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DE9D5">
      <w:pPr>
        <w:pStyle w:val="5"/>
        <w:jc w:val="center"/>
        <w:outlineLvl w:val="1"/>
      </w:pPr>
      <w:r>
        <w:rPr>
          <w:rFonts w:hint="eastAsia" w:ascii="仿宋_GB2312" w:hAnsi="仿宋_GB2312" w:eastAsia="仿宋_GB2312" w:cs="仿宋_GB2312"/>
          <w:b/>
          <w:sz w:val="36"/>
          <w:lang w:eastAsia="zh-CN"/>
        </w:rPr>
        <w:t>采购需求</w:t>
      </w:r>
      <w:bookmarkStart w:id="0" w:name="_GoBack"/>
      <w:bookmarkEnd w:id="0"/>
    </w:p>
    <w:p w14:paraId="138F198F">
      <w:pPr>
        <w:pStyle w:val="5"/>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6F533E3C">
      <w:pPr>
        <w:pStyle w:val="5"/>
        <w:jc w:val="left"/>
        <w:outlineLvl w:val="2"/>
      </w:pPr>
      <w:r>
        <w:rPr>
          <w:rFonts w:ascii="仿宋_GB2312" w:hAnsi="仿宋_GB2312" w:eastAsia="仿宋_GB2312" w:cs="仿宋_GB2312"/>
          <w:b/>
          <w:sz w:val="28"/>
        </w:rPr>
        <w:t>3.1.采购内容</w:t>
      </w:r>
    </w:p>
    <w:p w14:paraId="6BC557A8">
      <w:pPr>
        <w:pStyle w:val="5"/>
        <w:jc w:val="left"/>
      </w:pPr>
      <w:r>
        <w:rPr>
          <w:rFonts w:ascii="仿宋_GB2312" w:hAnsi="仿宋_GB2312" w:eastAsia="仿宋_GB2312" w:cs="仿宋_GB2312"/>
        </w:rPr>
        <w:t>采购包1：</w:t>
      </w:r>
    </w:p>
    <w:p w14:paraId="7FC9F19E">
      <w:pPr>
        <w:pStyle w:val="5"/>
        <w:jc w:val="left"/>
      </w:pPr>
      <w:r>
        <w:rPr>
          <w:rFonts w:ascii="仿宋_GB2312" w:hAnsi="仿宋_GB2312" w:eastAsia="仿宋_GB2312" w:cs="仿宋_GB2312"/>
        </w:rPr>
        <w:t>采购包预算金额（元）: 1,792,500.00</w:t>
      </w:r>
    </w:p>
    <w:p w14:paraId="77E8A3F6">
      <w:pPr>
        <w:pStyle w:val="5"/>
        <w:jc w:val="left"/>
      </w:pPr>
      <w:r>
        <w:rPr>
          <w:rFonts w:ascii="仿宋_GB2312" w:hAnsi="仿宋_GB2312" w:eastAsia="仿宋_GB2312" w:cs="仿宋_GB2312"/>
        </w:rPr>
        <w:t>采购包最高限价（元）: 1,792,500.00</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3"/>
        <w:gridCol w:w="1289"/>
        <w:gridCol w:w="685"/>
        <w:gridCol w:w="819"/>
        <w:gridCol w:w="1416"/>
        <w:gridCol w:w="685"/>
        <w:gridCol w:w="685"/>
        <w:gridCol w:w="685"/>
        <w:gridCol w:w="685"/>
        <w:gridCol w:w="565"/>
        <w:gridCol w:w="565"/>
      </w:tblGrid>
      <w:tr w14:paraId="6832B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404AB16">
            <w:pPr>
              <w:pStyle w:val="5"/>
              <w:jc w:val="center"/>
            </w:pPr>
            <w:r>
              <w:rPr>
                <w:rFonts w:ascii="仿宋_GB2312" w:hAnsi="仿宋_GB2312" w:eastAsia="仿宋_GB2312" w:cs="仿宋_GB2312"/>
              </w:rPr>
              <w:t>序号</w:t>
            </w:r>
          </w:p>
        </w:tc>
        <w:tc>
          <w:tcPr>
            <w:tcW w:w="821" w:type="dxa"/>
          </w:tcPr>
          <w:p w14:paraId="4102B607">
            <w:pPr>
              <w:pStyle w:val="5"/>
              <w:jc w:val="center"/>
            </w:pPr>
            <w:r>
              <w:rPr>
                <w:rFonts w:ascii="仿宋_GB2312" w:hAnsi="仿宋_GB2312" w:eastAsia="仿宋_GB2312" w:cs="仿宋_GB2312"/>
              </w:rPr>
              <w:t>采购品目名称</w:t>
            </w:r>
          </w:p>
        </w:tc>
        <w:tc>
          <w:tcPr>
            <w:tcW w:w="821" w:type="dxa"/>
          </w:tcPr>
          <w:p w14:paraId="1F95D08B">
            <w:pPr>
              <w:pStyle w:val="5"/>
              <w:jc w:val="center"/>
            </w:pPr>
            <w:r>
              <w:rPr>
                <w:rFonts w:ascii="仿宋_GB2312" w:hAnsi="仿宋_GB2312" w:eastAsia="仿宋_GB2312" w:cs="仿宋_GB2312"/>
              </w:rPr>
              <w:t>标的名称</w:t>
            </w:r>
          </w:p>
        </w:tc>
        <w:tc>
          <w:tcPr>
            <w:tcW w:w="821" w:type="dxa"/>
          </w:tcPr>
          <w:p w14:paraId="50533F6B">
            <w:pPr>
              <w:pStyle w:val="5"/>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5B3D18AA">
            <w:pPr>
              <w:pStyle w:val="5"/>
              <w:jc w:val="center"/>
            </w:pPr>
            <w:r>
              <w:rPr>
                <w:rFonts w:ascii="仿宋_GB2312" w:hAnsi="仿宋_GB2312" w:eastAsia="仿宋_GB2312" w:cs="仿宋_GB2312"/>
              </w:rPr>
              <w:t>标的金额 （元）</w:t>
            </w:r>
          </w:p>
        </w:tc>
        <w:tc>
          <w:tcPr>
            <w:tcW w:w="821" w:type="dxa"/>
          </w:tcPr>
          <w:p w14:paraId="510BCE1A">
            <w:pPr>
              <w:pStyle w:val="5"/>
              <w:jc w:val="center"/>
            </w:pPr>
            <w:r>
              <w:rPr>
                <w:rFonts w:ascii="仿宋_GB2312" w:hAnsi="仿宋_GB2312" w:eastAsia="仿宋_GB2312" w:cs="仿宋_GB2312"/>
              </w:rPr>
              <w:t>所属行业</w:t>
            </w:r>
          </w:p>
        </w:tc>
        <w:tc>
          <w:tcPr>
            <w:tcW w:w="821" w:type="dxa"/>
          </w:tcPr>
          <w:p w14:paraId="3F28CB54">
            <w:pPr>
              <w:pStyle w:val="5"/>
              <w:jc w:val="center"/>
            </w:pPr>
            <w:r>
              <w:rPr>
                <w:rFonts w:ascii="仿宋_GB2312" w:hAnsi="仿宋_GB2312" w:eastAsia="仿宋_GB2312" w:cs="仿宋_GB2312"/>
              </w:rPr>
              <w:t>是否涉及核心产品</w:t>
            </w:r>
          </w:p>
        </w:tc>
        <w:tc>
          <w:tcPr>
            <w:tcW w:w="821" w:type="dxa"/>
          </w:tcPr>
          <w:p w14:paraId="1F04C108">
            <w:pPr>
              <w:pStyle w:val="5"/>
              <w:jc w:val="center"/>
            </w:pPr>
            <w:r>
              <w:rPr>
                <w:rFonts w:ascii="仿宋_GB2312" w:hAnsi="仿宋_GB2312" w:eastAsia="仿宋_GB2312" w:cs="仿宋_GB2312"/>
              </w:rPr>
              <w:t>是否涉及采购进口产品</w:t>
            </w:r>
          </w:p>
        </w:tc>
        <w:tc>
          <w:tcPr>
            <w:tcW w:w="821" w:type="dxa"/>
          </w:tcPr>
          <w:p w14:paraId="2AE5F56E">
            <w:pPr>
              <w:pStyle w:val="5"/>
              <w:jc w:val="center"/>
            </w:pPr>
            <w:r>
              <w:rPr>
                <w:rFonts w:ascii="仿宋_GB2312" w:hAnsi="仿宋_GB2312" w:eastAsia="仿宋_GB2312" w:cs="仿宋_GB2312"/>
              </w:rPr>
              <w:t>是否涉及强制采购节能产品</w:t>
            </w:r>
          </w:p>
        </w:tc>
        <w:tc>
          <w:tcPr>
            <w:tcW w:w="639" w:type="dxa"/>
          </w:tcPr>
          <w:p w14:paraId="372AA93D">
            <w:pPr>
              <w:pStyle w:val="5"/>
              <w:jc w:val="center"/>
            </w:pPr>
            <w:r>
              <w:rPr>
                <w:rFonts w:ascii="仿宋_GB2312" w:hAnsi="仿宋_GB2312" w:eastAsia="仿宋_GB2312" w:cs="仿宋_GB2312"/>
              </w:rPr>
              <w:t>是否涉及优先采购节能产品</w:t>
            </w:r>
          </w:p>
        </w:tc>
        <w:tc>
          <w:tcPr>
            <w:tcW w:w="639" w:type="dxa"/>
          </w:tcPr>
          <w:p w14:paraId="6B1386AB">
            <w:pPr>
              <w:pStyle w:val="5"/>
              <w:jc w:val="center"/>
            </w:pPr>
            <w:r>
              <w:rPr>
                <w:rFonts w:ascii="仿宋_GB2312" w:hAnsi="仿宋_GB2312" w:eastAsia="仿宋_GB2312" w:cs="仿宋_GB2312"/>
              </w:rPr>
              <w:t>是否涉及优先采购环境标志产品</w:t>
            </w:r>
          </w:p>
        </w:tc>
      </w:tr>
      <w:tr w14:paraId="2C5E6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25050E0">
            <w:pPr>
              <w:pStyle w:val="5"/>
              <w:jc w:val="left"/>
            </w:pPr>
            <w:r>
              <w:rPr>
                <w:rFonts w:ascii="仿宋_GB2312" w:hAnsi="仿宋_GB2312" w:eastAsia="仿宋_GB2312" w:cs="仿宋_GB2312"/>
              </w:rPr>
              <w:t>1</w:t>
            </w:r>
          </w:p>
        </w:tc>
        <w:tc>
          <w:tcPr>
            <w:tcW w:w="821" w:type="dxa"/>
          </w:tcPr>
          <w:p w14:paraId="525D8BFE">
            <w:pPr>
              <w:pStyle w:val="5"/>
              <w:jc w:val="left"/>
            </w:pPr>
            <w:r>
              <w:rPr>
                <w:rFonts w:ascii="仿宋_GB2312" w:hAnsi="仿宋_GB2312" w:eastAsia="仿宋_GB2312" w:cs="仿宋_GB2312"/>
              </w:rPr>
              <w:t>C16070300 软件运维服务</w:t>
            </w:r>
          </w:p>
        </w:tc>
        <w:tc>
          <w:tcPr>
            <w:tcW w:w="821" w:type="dxa"/>
          </w:tcPr>
          <w:p w14:paraId="70427794">
            <w:pPr>
              <w:pStyle w:val="5"/>
              <w:jc w:val="left"/>
            </w:pPr>
            <w:r>
              <w:rPr>
                <w:rFonts w:ascii="仿宋_GB2312" w:hAnsi="仿宋_GB2312" w:eastAsia="仿宋_GB2312" w:cs="仿宋_GB2312"/>
              </w:rPr>
              <w:t>成都市新津区公园城市数字底座运维服务</w:t>
            </w:r>
          </w:p>
        </w:tc>
        <w:tc>
          <w:tcPr>
            <w:tcW w:w="821" w:type="dxa"/>
          </w:tcPr>
          <w:p w14:paraId="7028B035">
            <w:pPr>
              <w:pStyle w:val="5"/>
              <w:jc w:val="right"/>
            </w:pPr>
            <w:r>
              <w:rPr>
                <w:rFonts w:ascii="仿宋_GB2312" w:hAnsi="仿宋_GB2312" w:eastAsia="仿宋_GB2312" w:cs="仿宋_GB2312"/>
              </w:rPr>
              <w:t>1.00（项）</w:t>
            </w:r>
          </w:p>
        </w:tc>
        <w:tc>
          <w:tcPr>
            <w:tcW w:w="821" w:type="dxa"/>
          </w:tcPr>
          <w:p w14:paraId="09F5EB63">
            <w:pPr>
              <w:pStyle w:val="5"/>
              <w:jc w:val="right"/>
            </w:pPr>
            <w:r>
              <w:rPr>
                <w:rFonts w:ascii="仿宋_GB2312" w:hAnsi="仿宋_GB2312" w:eastAsia="仿宋_GB2312" w:cs="仿宋_GB2312"/>
              </w:rPr>
              <w:t>1,792,500.00</w:t>
            </w:r>
          </w:p>
        </w:tc>
        <w:tc>
          <w:tcPr>
            <w:tcW w:w="821" w:type="dxa"/>
          </w:tcPr>
          <w:p w14:paraId="79CD7F60">
            <w:pPr>
              <w:pStyle w:val="5"/>
              <w:jc w:val="left"/>
            </w:pPr>
            <w:r>
              <w:rPr>
                <w:rFonts w:ascii="仿宋_GB2312" w:hAnsi="仿宋_GB2312" w:eastAsia="仿宋_GB2312" w:cs="仿宋_GB2312"/>
              </w:rPr>
              <w:t>软件和信息技术服务业</w:t>
            </w:r>
          </w:p>
        </w:tc>
        <w:tc>
          <w:tcPr>
            <w:tcW w:w="821" w:type="dxa"/>
          </w:tcPr>
          <w:p w14:paraId="5A6EF814">
            <w:pPr>
              <w:pStyle w:val="5"/>
              <w:jc w:val="left"/>
            </w:pPr>
            <w:r>
              <w:rPr>
                <w:rFonts w:ascii="仿宋_GB2312" w:hAnsi="仿宋_GB2312" w:eastAsia="仿宋_GB2312" w:cs="仿宋_GB2312"/>
              </w:rPr>
              <w:t>否</w:t>
            </w:r>
          </w:p>
        </w:tc>
        <w:tc>
          <w:tcPr>
            <w:tcW w:w="821" w:type="dxa"/>
          </w:tcPr>
          <w:p w14:paraId="5F551F54">
            <w:pPr>
              <w:pStyle w:val="5"/>
              <w:jc w:val="left"/>
            </w:pPr>
            <w:r>
              <w:rPr>
                <w:rFonts w:ascii="仿宋_GB2312" w:hAnsi="仿宋_GB2312" w:eastAsia="仿宋_GB2312" w:cs="仿宋_GB2312"/>
              </w:rPr>
              <w:t>否</w:t>
            </w:r>
          </w:p>
        </w:tc>
        <w:tc>
          <w:tcPr>
            <w:tcW w:w="821" w:type="dxa"/>
          </w:tcPr>
          <w:p w14:paraId="0B7F22DA">
            <w:pPr>
              <w:pStyle w:val="5"/>
              <w:jc w:val="left"/>
            </w:pPr>
            <w:r>
              <w:rPr>
                <w:rFonts w:ascii="仿宋_GB2312" w:hAnsi="仿宋_GB2312" w:eastAsia="仿宋_GB2312" w:cs="仿宋_GB2312"/>
              </w:rPr>
              <w:t>否</w:t>
            </w:r>
          </w:p>
        </w:tc>
        <w:tc>
          <w:tcPr>
            <w:tcW w:w="639" w:type="dxa"/>
          </w:tcPr>
          <w:p w14:paraId="3DBC0FD4">
            <w:pPr>
              <w:pStyle w:val="5"/>
              <w:jc w:val="left"/>
            </w:pPr>
            <w:r>
              <w:rPr>
                <w:rFonts w:ascii="仿宋_GB2312" w:hAnsi="仿宋_GB2312" w:eastAsia="仿宋_GB2312" w:cs="仿宋_GB2312"/>
              </w:rPr>
              <w:t>否</w:t>
            </w:r>
          </w:p>
        </w:tc>
        <w:tc>
          <w:tcPr>
            <w:tcW w:w="639" w:type="dxa"/>
          </w:tcPr>
          <w:p w14:paraId="7F60E2EE">
            <w:pPr>
              <w:pStyle w:val="5"/>
              <w:jc w:val="left"/>
            </w:pPr>
            <w:r>
              <w:rPr>
                <w:rFonts w:ascii="仿宋_GB2312" w:hAnsi="仿宋_GB2312" w:eastAsia="仿宋_GB2312" w:cs="仿宋_GB2312"/>
              </w:rPr>
              <w:t>否</w:t>
            </w:r>
          </w:p>
        </w:tc>
      </w:tr>
    </w:tbl>
    <w:p w14:paraId="6E2087C7">
      <w:pPr>
        <w:pStyle w:val="5"/>
        <w:jc w:val="left"/>
        <w:outlineLvl w:val="3"/>
      </w:pPr>
      <w:r>
        <w:rPr>
          <w:rFonts w:ascii="仿宋_GB2312" w:hAnsi="仿宋_GB2312" w:eastAsia="仿宋_GB2312" w:cs="仿宋_GB2312"/>
          <w:b/>
          <w:sz w:val="24"/>
        </w:rPr>
        <w:t>报价要求</w:t>
      </w:r>
    </w:p>
    <w:p w14:paraId="72EBC3C7">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7A524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A5764E5">
            <w:pPr>
              <w:pStyle w:val="5"/>
              <w:jc w:val="center"/>
            </w:pPr>
            <w:r>
              <w:rPr>
                <w:rFonts w:ascii="仿宋_GB2312" w:hAnsi="仿宋_GB2312" w:eastAsia="仿宋_GB2312" w:cs="仿宋_GB2312"/>
              </w:rPr>
              <w:t>序号</w:t>
            </w:r>
          </w:p>
        </w:tc>
        <w:tc>
          <w:tcPr>
            <w:tcW w:w="1707" w:type="dxa"/>
          </w:tcPr>
          <w:p w14:paraId="432F151E">
            <w:pPr>
              <w:pStyle w:val="5"/>
              <w:jc w:val="center"/>
            </w:pPr>
            <w:r>
              <w:rPr>
                <w:rFonts w:ascii="仿宋_GB2312" w:hAnsi="仿宋_GB2312" w:eastAsia="仿宋_GB2312" w:cs="仿宋_GB2312"/>
              </w:rPr>
              <w:t>报价内容</w:t>
            </w:r>
          </w:p>
        </w:tc>
        <w:tc>
          <w:tcPr>
            <w:tcW w:w="1138" w:type="dxa"/>
          </w:tcPr>
          <w:p w14:paraId="02005CD9">
            <w:pPr>
              <w:pStyle w:val="5"/>
              <w:jc w:val="center"/>
            </w:pPr>
            <w:r>
              <w:rPr>
                <w:rFonts w:ascii="仿宋_GB2312" w:hAnsi="仿宋_GB2312" w:eastAsia="仿宋_GB2312" w:cs="仿宋_GB2312"/>
              </w:rPr>
              <w:t>数量（计量单位）</w:t>
            </w:r>
          </w:p>
        </w:tc>
        <w:tc>
          <w:tcPr>
            <w:tcW w:w="1365" w:type="dxa"/>
          </w:tcPr>
          <w:p w14:paraId="1C0A2B11">
            <w:pPr>
              <w:pStyle w:val="5"/>
              <w:jc w:val="center"/>
            </w:pPr>
            <w:r>
              <w:rPr>
                <w:rFonts w:ascii="仿宋_GB2312" w:hAnsi="仿宋_GB2312" w:eastAsia="仿宋_GB2312" w:cs="仿宋_GB2312"/>
              </w:rPr>
              <w:t>最高限价</w:t>
            </w:r>
          </w:p>
        </w:tc>
        <w:tc>
          <w:tcPr>
            <w:tcW w:w="1138" w:type="dxa"/>
          </w:tcPr>
          <w:p w14:paraId="3012E187">
            <w:pPr>
              <w:pStyle w:val="5"/>
              <w:jc w:val="center"/>
            </w:pPr>
            <w:r>
              <w:rPr>
                <w:rFonts w:ascii="仿宋_GB2312" w:hAnsi="仿宋_GB2312" w:eastAsia="仿宋_GB2312" w:cs="仿宋_GB2312"/>
              </w:rPr>
              <w:t>价款形式</w:t>
            </w:r>
          </w:p>
        </w:tc>
        <w:tc>
          <w:tcPr>
            <w:tcW w:w="1934" w:type="dxa"/>
          </w:tcPr>
          <w:p w14:paraId="2B3835D9">
            <w:pPr>
              <w:pStyle w:val="5"/>
              <w:jc w:val="center"/>
            </w:pPr>
            <w:r>
              <w:rPr>
                <w:rFonts w:ascii="仿宋_GB2312" w:hAnsi="仿宋_GB2312" w:eastAsia="仿宋_GB2312" w:cs="仿宋_GB2312"/>
              </w:rPr>
              <w:t>报价说明</w:t>
            </w:r>
          </w:p>
        </w:tc>
      </w:tr>
      <w:tr w14:paraId="72B32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DA63EA6">
            <w:pPr>
              <w:pStyle w:val="5"/>
              <w:jc w:val="center"/>
            </w:pPr>
            <w:r>
              <w:rPr>
                <w:rFonts w:ascii="仿宋_GB2312" w:hAnsi="仿宋_GB2312" w:eastAsia="仿宋_GB2312" w:cs="仿宋_GB2312"/>
              </w:rPr>
              <w:t>1</w:t>
            </w:r>
          </w:p>
        </w:tc>
        <w:tc>
          <w:tcPr>
            <w:tcW w:w="1707" w:type="dxa"/>
          </w:tcPr>
          <w:p w14:paraId="3C5C90B3">
            <w:pPr>
              <w:pStyle w:val="5"/>
              <w:jc w:val="center"/>
            </w:pPr>
            <w:r>
              <w:rPr>
                <w:rFonts w:ascii="仿宋_GB2312" w:hAnsi="仿宋_GB2312" w:eastAsia="仿宋_GB2312" w:cs="仿宋_GB2312"/>
              </w:rPr>
              <w:t>成都市新津区公园城市数字底座运维服务</w:t>
            </w:r>
          </w:p>
        </w:tc>
        <w:tc>
          <w:tcPr>
            <w:tcW w:w="1138" w:type="dxa"/>
          </w:tcPr>
          <w:p w14:paraId="2ADE068F">
            <w:pPr>
              <w:pStyle w:val="5"/>
              <w:jc w:val="center"/>
            </w:pPr>
            <w:r>
              <w:rPr>
                <w:rFonts w:ascii="仿宋_GB2312" w:hAnsi="仿宋_GB2312" w:eastAsia="仿宋_GB2312" w:cs="仿宋_GB2312"/>
              </w:rPr>
              <w:t>1.00（元/年）</w:t>
            </w:r>
          </w:p>
        </w:tc>
        <w:tc>
          <w:tcPr>
            <w:tcW w:w="1365" w:type="dxa"/>
          </w:tcPr>
          <w:p w14:paraId="01175D9F">
            <w:pPr>
              <w:pStyle w:val="5"/>
              <w:jc w:val="center"/>
            </w:pPr>
            <w:r>
              <w:rPr>
                <w:rFonts w:ascii="仿宋_GB2312" w:hAnsi="仿宋_GB2312" w:eastAsia="仿宋_GB2312" w:cs="仿宋_GB2312"/>
              </w:rPr>
              <w:t>1,792,500.00</w:t>
            </w:r>
          </w:p>
        </w:tc>
        <w:tc>
          <w:tcPr>
            <w:tcW w:w="1138" w:type="dxa"/>
          </w:tcPr>
          <w:p w14:paraId="036548D7">
            <w:pPr>
              <w:pStyle w:val="5"/>
              <w:jc w:val="center"/>
            </w:pPr>
            <w:r>
              <w:rPr>
                <w:rFonts w:ascii="仿宋_GB2312" w:hAnsi="仿宋_GB2312" w:eastAsia="仿宋_GB2312" w:cs="仿宋_GB2312"/>
              </w:rPr>
              <w:t>总价</w:t>
            </w:r>
          </w:p>
        </w:tc>
        <w:tc>
          <w:tcPr>
            <w:tcW w:w="1934" w:type="dxa"/>
          </w:tcPr>
          <w:p w14:paraId="56C13039">
            <w:pPr>
              <w:pStyle w:val="5"/>
              <w:jc w:val="left"/>
            </w:pPr>
            <w:r>
              <w:rPr>
                <w:rFonts w:ascii="仿宋_GB2312" w:hAnsi="仿宋_GB2312" w:eastAsia="仿宋_GB2312" w:cs="仿宋_GB2312"/>
              </w:rPr>
              <w:t>无</w:t>
            </w:r>
          </w:p>
        </w:tc>
      </w:tr>
    </w:tbl>
    <w:p w14:paraId="5FC40900">
      <w:pPr>
        <w:pStyle w:val="5"/>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4F550A39">
      <w:pPr>
        <w:pStyle w:val="5"/>
        <w:jc w:val="left"/>
        <w:outlineLvl w:val="3"/>
      </w:pPr>
      <w:r>
        <w:rPr>
          <w:rFonts w:ascii="仿宋_GB2312" w:hAnsi="仿宋_GB2312" w:eastAsia="仿宋_GB2312" w:cs="仿宋_GB2312"/>
          <w:b/>
          <w:sz w:val="24"/>
        </w:rPr>
        <w:t>本项目涉及核心产品：</w:t>
      </w:r>
    </w:p>
    <w:p w14:paraId="696D5177">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3442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9029D03">
            <w:pPr>
              <w:pStyle w:val="5"/>
              <w:jc w:val="center"/>
            </w:pPr>
            <w:r>
              <w:rPr>
                <w:rFonts w:ascii="仿宋_GB2312" w:hAnsi="仿宋_GB2312" w:eastAsia="仿宋_GB2312" w:cs="仿宋_GB2312"/>
              </w:rPr>
              <w:t>序号</w:t>
            </w:r>
          </w:p>
        </w:tc>
        <w:tc>
          <w:tcPr>
            <w:tcW w:w="2492" w:type="dxa"/>
          </w:tcPr>
          <w:p w14:paraId="04336956">
            <w:pPr>
              <w:pStyle w:val="5"/>
              <w:jc w:val="center"/>
            </w:pPr>
            <w:r>
              <w:rPr>
                <w:rFonts w:ascii="仿宋_GB2312" w:hAnsi="仿宋_GB2312" w:eastAsia="仿宋_GB2312" w:cs="仿宋_GB2312"/>
              </w:rPr>
              <w:t>采购品目名称</w:t>
            </w:r>
          </w:p>
        </w:tc>
        <w:tc>
          <w:tcPr>
            <w:tcW w:w="2492" w:type="dxa"/>
          </w:tcPr>
          <w:p w14:paraId="4DA7E57C">
            <w:pPr>
              <w:pStyle w:val="5"/>
              <w:jc w:val="center"/>
            </w:pPr>
            <w:r>
              <w:rPr>
                <w:rFonts w:ascii="仿宋_GB2312" w:hAnsi="仿宋_GB2312" w:eastAsia="仿宋_GB2312" w:cs="仿宋_GB2312"/>
              </w:rPr>
              <w:t>标的名称</w:t>
            </w:r>
          </w:p>
        </w:tc>
        <w:tc>
          <w:tcPr>
            <w:tcW w:w="2492" w:type="dxa"/>
          </w:tcPr>
          <w:p w14:paraId="39F1FEB7">
            <w:pPr>
              <w:pStyle w:val="5"/>
              <w:jc w:val="center"/>
            </w:pPr>
            <w:r>
              <w:rPr>
                <w:rFonts w:ascii="仿宋_GB2312" w:hAnsi="仿宋_GB2312" w:eastAsia="仿宋_GB2312" w:cs="仿宋_GB2312"/>
              </w:rPr>
              <w:t>产品名称</w:t>
            </w:r>
          </w:p>
        </w:tc>
      </w:tr>
      <w:tr w14:paraId="36C0A8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23A8F9B">
            <w:pPr>
              <w:pStyle w:val="5"/>
              <w:jc w:val="center"/>
            </w:pPr>
            <w:r>
              <w:rPr>
                <w:rFonts w:ascii="仿宋_GB2312" w:hAnsi="仿宋_GB2312" w:eastAsia="仿宋_GB2312" w:cs="仿宋_GB2312"/>
              </w:rPr>
              <w:t>不涉及</w:t>
            </w:r>
          </w:p>
        </w:tc>
      </w:tr>
    </w:tbl>
    <w:p w14:paraId="137850C8">
      <w:pPr>
        <w:pStyle w:val="5"/>
        <w:ind w:firstLine="480"/>
        <w:jc w:val="left"/>
      </w:pPr>
      <w:r>
        <w:rPr>
          <w:rFonts w:ascii="仿宋_GB2312" w:hAnsi="仿宋_GB2312" w:eastAsia="仿宋_GB2312" w:cs="仿宋_GB2312"/>
        </w:rPr>
        <w:t>注：涉及核心产品的，具体评审规定见第五章。</w:t>
      </w:r>
    </w:p>
    <w:p w14:paraId="3C99AC99">
      <w:pPr>
        <w:pStyle w:val="5"/>
        <w:jc w:val="left"/>
        <w:outlineLvl w:val="3"/>
      </w:pPr>
      <w:r>
        <w:rPr>
          <w:rFonts w:ascii="仿宋_GB2312" w:hAnsi="仿宋_GB2312" w:eastAsia="仿宋_GB2312" w:cs="仿宋_GB2312"/>
          <w:b/>
          <w:sz w:val="24"/>
        </w:rPr>
        <w:t>本项目涉及采购进口产品：</w:t>
      </w:r>
    </w:p>
    <w:p w14:paraId="127F47BE">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7683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1C0B07E">
            <w:pPr>
              <w:pStyle w:val="5"/>
              <w:jc w:val="center"/>
            </w:pPr>
            <w:r>
              <w:rPr>
                <w:rFonts w:ascii="仿宋_GB2312" w:hAnsi="仿宋_GB2312" w:eastAsia="仿宋_GB2312" w:cs="仿宋_GB2312"/>
              </w:rPr>
              <w:t>序号</w:t>
            </w:r>
          </w:p>
        </w:tc>
        <w:tc>
          <w:tcPr>
            <w:tcW w:w="2492" w:type="dxa"/>
          </w:tcPr>
          <w:p w14:paraId="6D667AB5">
            <w:pPr>
              <w:pStyle w:val="5"/>
              <w:jc w:val="center"/>
            </w:pPr>
            <w:r>
              <w:rPr>
                <w:rFonts w:ascii="仿宋_GB2312" w:hAnsi="仿宋_GB2312" w:eastAsia="仿宋_GB2312" w:cs="仿宋_GB2312"/>
              </w:rPr>
              <w:t>采购品目名称</w:t>
            </w:r>
          </w:p>
        </w:tc>
        <w:tc>
          <w:tcPr>
            <w:tcW w:w="2492" w:type="dxa"/>
          </w:tcPr>
          <w:p w14:paraId="4054E61B">
            <w:pPr>
              <w:pStyle w:val="5"/>
              <w:jc w:val="center"/>
            </w:pPr>
            <w:r>
              <w:rPr>
                <w:rFonts w:ascii="仿宋_GB2312" w:hAnsi="仿宋_GB2312" w:eastAsia="仿宋_GB2312" w:cs="仿宋_GB2312"/>
              </w:rPr>
              <w:t>标的名称</w:t>
            </w:r>
          </w:p>
        </w:tc>
        <w:tc>
          <w:tcPr>
            <w:tcW w:w="2492" w:type="dxa"/>
          </w:tcPr>
          <w:p w14:paraId="2ABB96D8">
            <w:pPr>
              <w:pStyle w:val="5"/>
              <w:jc w:val="center"/>
            </w:pPr>
            <w:r>
              <w:rPr>
                <w:rFonts w:ascii="仿宋_GB2312" w:hAnsi="仿宋_GB2312" w:eastAsia="仿宋_GB2312" w:cs="仿宋_GB2312"/>
              </w:rPr>
              <w:t>产品名称</w:t>
            </w:r>
          </w:p>
        </w:tc>
      </w:tr>
      <w:tr w14:paraId="63664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48D9575">
            <w:pPr>
              <w:pStyle w:val="5"/>
              <w:jc w:val="center"/>
            </w:pPr>
            <w:r>
              <w:rPr>
                <w:rFonts w:ascii="仿宋_GB2312" w:hAnsi="仿宋_GB2312" w:eastAsia="仿宋_GB2312" w:cs="仿宋_GB2312"/>
              </w:rPr>
              <w:t>不涉及</w:t>
            </w:r>
          </w:p>
        </w:tc>
      </w:tr>
    </w:tbl>
    <w:p w14:paraId="0C88DFDE">
      <w:pPr>
        <w:pStyle w:val="5"/>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1B7F2C87">
      <w:pPr>
        <w:pStyle w:val="5"/>
        <w:jc w:val="left"/>
        <w:outlineLvl w:val="3"/>
      </w:pPr>
      <w:r>
        <w:rPr>
          <w:rFonts w:ascii="仿宋_GB2312" w:hAnsi="仿宋_GB2312" w:eastAsia="仿宋_GB2312" w:cs="仿宋_GB2312"/>
          <w:b/>
          <w:sz w:val="24"/>
        </w:rPr>
        <w:t>本项目涉及强制采购节能产品：</w:t>
      </w:r>
    </w:p>
    <w:p w14:paraId="157A4920">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76F3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8CBD8EA">
            <w:pPr>
              <w:pStyle w:val="5"/>
              <w:jc w:val="center"/>
            </w:pPr>
            <w:r>
              <w:rPr>
                <w:rFonts w:ascii="仿宋_GB2312" w:hAnsi="仿宋_GB2312" w:eastAsia="仿宋_GB2312" w:cs="仿宋_GB2312"/>
              </w:rPr>
              <w:t>序号</w:t>
            </w:r>
          </w:p>
        </w:tc>
        <w:tc>
          <w:tcPr>
            <w:tcW w:w="2492" w:type="dxa"/>
          </w:tcPr>
          <w:p w14:paraId="623F67C4">
            <w:pPr>
              <w:pStyle w:val="5"/>
              <w:jc w:val="center"/>
            </w:pPr>
            <w:r>
              <w:rPr>
                <w:rFonts w:ascii="仿宋_GB2312" w:hAnsi="仿宋_GB2312" w:eastAsia="仿宋_GB2312" w:cs="仿宋_GB2312"/>
              </w:rPr>
              <w:t>采购品目名称</w:t>
            </w:r>
          </w:p>
        </w:tc>
        <w:tc>
          <w:tcPr>
            <w:tcW w:w="2492" w:type="dxa"/>
          </w:tcPr>
          <w:p w14:paraId="517948F7">
            <w:pPr>
              <w:pStyle w:val="5"/>
              <w:jc w:val="center"/>
            </w:pPr>
            <w:r>
              <w:rPr>
                <w:rFonts w:ascii="仿宋_GB2312" w:hAnsi="仿宋_GB2312" w:eastAsia="仿宋_GB2312" w:cs="仿宋_GB2312"/>
              </w:rPr>
              <w:t>标的名称</w:t>
            </w:r>
          </w:p>
        </w:tc>
        <w:tc>
          <w:tcPr>
            <w:tcW w:w="2492" w:type="dxa"/>
          </w:tcPr>
          <w:p w14:paraId="2320F8F5">
            <w:pPr>
              <w:pStyle w:val="5"/>
              <w:jc w:val="center"/>
            </w:pPr>
            <w:r>
              <w:rPr>
                <w:rFonts w:ascii="仿宋_GB2312" w:hAnsi="仿宋_GB2312" w:eastAsia="仿宋_GB2312" w:cs="仿宋_GB2312"/>
              </w:rPr>
              <w:t>产品名称</w:t>
            </w:r>
          </w:p>
        </w:tc>
      </w:tr>
      <w:tr w14:paraId="495636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13C4007">
            <w:pPr>
              <w:pStyle w:val="5"/>
              <w:jc w:val="center"/>
            </w:pPr>
            <w:r>
              <w:rPr>
                <w:rFonts w:ascii="仿宋_GB2312" w:hAnsi="仿宋_GB2312" w:eastAsia="仿宋_GB2312" w:cs="仿宋_GB2312"/>
              </w:rPr>
              <w:t>不涉及</w:t>
            </w:r>
          </w:p>
        </w:tc>
      </w:tr>
    </w:tbl>
    <w:p w14:paraId="088555D5">
      <w:pPr>
        <w:pStyle w:val="5"/>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36C5D454">
      <w:pPr>
        <w:pStyle w:val="5"/>
        <w:jc w:val="left"/>
      </w:pPr>
      <w:r>
        <w:rPr>
          <w:rFonts w:ascii="仿宋_GB2312" w:hAnsi="仿宋_GB2312" w:eastAsia="仿宋_GB2312" w:cs="仿宋_GB2312"/>
          <w:b/>
        </w:rPr>
        <w:t>本项目涉及优先采购节能产品：</w:t>
      </w:r>
    </w:p>
    <w:p w14:paraId="2FC46F1F">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EC16B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148FAF0">
            <w:pPr>
              <w:pStyle w:val="5"/>
              <w:jc w:val="center"/>
            </w:pPr>
            <w:r>
              <w:rPr>
                <w:rFonts w:ascii="仿宋_GB2312" w:hAnsi="仿宋_GB2312" w:eastAsia="仿宋_GB2312" w:cs="仿宋_GB2312"/>
              </w:rPr>
              <w:t>序号</w:t>
            </w:r>
          </w:p>
        </w:tc>
        <w:tc>
          <w:tcPr>
            <w:tcW w:w="2492" w:type="dxa"/>
          </w:tcPr>
          <w:p w14:paraId="70827485">
            <w:pPr>
              <w:pStyle w:val="5"/>
              <w:jc w:val="center"/>
            </w:pPr>
            <w:r>
              <w:rPr>
                <w:rFonts w:ascii="仿宋_GB2312" w:hAnsi="仿宋_GB2312" w:eastAsia="仿宋_GB2312" w:cs="仿宋_GB2312"/>
              </w:rPr>
              <w:t>采购品目名称</w:t>
            </w:r>
          </w:p>
        </w:tc>
        <w:tc>
          <w:tcPr>
            <w:tcW w:w="2492" w:type="dxa"/>
          </w:tcPr>
          <w:p w14:paraId="2D42B989">
            <w:pPr>
              <w:pStyle w:val="5"/>
              <w:jc w:val="center"/>
            </w:pPr>
            <w:r>
              <w:rPr>
                <w:rFonts w:ascii="仿宋_GB2312" w:hAnsi="仿宋_GB2312" w:eastAsia="仿宋_GB2312" w:cs="仿宋_GB2312"/>
              </w:rPr>
              <w:t>标的名称</w:t>
            </w:r>
          </w:p>
        </w:tc>
        <w:tc>
          <w:tcPr>
            <w:tcW w:w="2492" w:type="dxa"/>
          </w:tcPr>
          <w:p w14:paraId="3796A4BD">
            <w:pPr>
              <w:pStyle w:val="5"/>
              <w:jc w:val="center"/>
            </w:pPr>
            <w:r>
              <w:rPr>
                <w:rFonts w:ascii="仿宋_GB2312" w:hAnsi="仿宋_GB2312" w:eastAsia="仿宋_GB2312" w:cs="仿宋_GB2312"/>
              </w:rPr>
              <w:t>产品名称</w:t>
            </w:r>
          </w:p>
        </w:tc>
      </w:tr>
      <w:tr w14:paraId="57CA5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4B7D288">
            <w:pPr>
              <w:pStyle w:val="5"/>
              <w:jc w:val="center"/>
            </w:pPr>
            <w:r>
              <w:rPr>
                <w:rFonts w:ascii="仿宋_GB2312" w:hAnsi="仿宋_GB2312" w:eastAsia="仿宋_GB2312" w:cs="仿宋_GB2312"/>
              </w:rPr>
              <w:t>不涉及</w:t>
            </w:r>
          </w:p>
        </w:tc>
      </w:tr>
    </w:tbl>
    <w:p w14:paraId="68D9BE26">
      <w:pPr>
        <w:pStyle w:val="5"/>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6AD2421C">
      <w:pPr>
        <w:pStyle w:val="5"/>
        <w:jc w:val="left"/>
        <w:outlineLvl w:val="3"/>
      </w:pPr>
      <w:r>
        <w:rPr>
          <w:rFonts w:ascii="仿宋_GB2312" w:hAnsi="仿宋_GB2312" w:eastAsia="仿宋_GB2312" w:cs="仿宋_GB2312"/>
          <w:b/>
          <w:sz w:val="24"/>
        </w:rPr>
        <w:t>本项目涉及优先采购环境标志产品：</w:t>
      </w:r>
    </w:p>
    <w:p w14:paraId="53885D7E">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B360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54E651">
            <w:pPr>
              <w:pStyle w:val="5"/>
              <w:jc w:val="center"/>
            </w:pPr>
            <w:r>
              <w:rPr>
                <w:rFonts w:ascii="仿宋_GB2312" w:hAnsi="仿宋_GB2312" w:eastAsia="仿宋_GB2312" w:cs="仿宋_GB2312"/>
              </w:rPr>
              <w:t>序号</w:t>
            </w:r>
          </w:p>
        </w:tc>
        <w:tc>
          <w:tcPr>
            <w:tcW w:w="2492" w:type="dxa"/>
          </w:tcPr>
          <w:p w14:paraId="2C0C62F5">
            <w:pPr>
              <w:pStyle w:val="5"/>
              <w:jc w:val="center"/>
            </w:pPr>
            <w:r>
              <w:rPr>
                <w:rFonts w:ascii="仿宋_GB2312" w:hAnsi="仿宋_GB2312" w:eastAsia="仿宋_GB2312" w:cs="仿宋_GB2312"/>
              </w:rPr>
              <w:t>采购品目名称</w:t>
            </w:r>
          </w:p>
        </w:tc>
        <w:tc>
          <w:tcPr>
            <w:tcW w:w="2492" w:type="dxa"/>
          </w:tcPr>
          <w:p w14:paraId="0D41FDE8">
            <w:pPr>
              <w:pStyle w:val="5"/>
              <w:jc w:val="center"/>
            </w:pPr>
            <w:r>
              <w:rPr>
                <w:rFonts w:ascii="仿宋_GB2312" w:hAnsi="仿宋_GB2312" w:eastAsia="仿宋_GB2312" w:cs="仿宋_GB2312"/>
              </w:rPr>
              <w:t>标的名称</w:t>
            </w:r>
          </w:p>
        </w:tc>
        <w:tc>
          <w:tcPr>
            <w:tcW w:w="2492" w:type="dxa"/>
          </w:tcPr>
          <w:p w14:paraId="6605ABCD">
            <w:pPr>
              <w:pStyle w:val="5"/>
              <w:jc w:val="center"/>
            </w:pPr>
            <w:r>
              <w:rPr>
                <w:rFonts w:ascii="仿宋_GB2312" w:hAnsi="仿宋_GB2312" w:eastAsia="仿宋_GB2312" w:cs="仿宋_GB2312"/>
              </w:rPr>
              <w:t>产品名称</w:t>
            </w:r>
          </w:p>
        </w:tc>
      </w:tr>
      <w:tr w14:paraId="47584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1910938">
            <w:pPr>
              <w:pStyle w:val="5"/>
              <w:jc w:val="center"/>
            </w:pPr>
            <w:r>
              <w:rPr>
                <w:rFonts w:ascii="仿宋_GB2312" w:hAnsi="仿宋_GB2312" w:eastAsia="仿宋_GB2312" w:cs="仿宋_GB2312"/>
              </w:rPr>
              <w:t>不涉及</w:t>
            </w:r>
          </w:p>
        </w:tc>
      </w:tr>
    </w:tbl>
    <w:p w14:paraId="15C828AD">
      <w:pPr>
        <w:pStyle w:val="5"/>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36516CB3">
      <w:pPr>
        <w:pStyle w:val="5"/>
        <w:jc w:val="left"/>
        <w:outlineLvl w:val="2"/>
      </w:pPr>
      <w:r>
        <w:rPr>
          <w:rFonts w:ascii="仿宋_GB2312" w:hAnsi="仿宋_GB2312" w:eastAsia="仿宋_GB2312" w:cs="仿宋_GB2312"/>
          <w:b/>
          <w:sz w:val="28"/>
        </w:rPr>
        <w:t>3.2.技术要求</w:t>
      </w:r>
    </w:p>
    <w:p w14:paraId="0169AD71">
      <w:pPr>
        <w:pStyle w:val="5"/>
        <w:jc w:val="left"/>
      </w:pPr>
      <w:r>
        <w:rPr>
          <w:rFonts w:ascii="仿宋_GB2312" w:hAnsi="仿宋_GB2312" w:eastAsia="仿宋_GB2312" w:cs="仿宋_GB2312"/>
        </w:rPr>
        <w:t>采购包1：</w:t>
      </w:r>
    </w:p>
    <w:p w14:paraId="2B0EDCE9">
      <w:pPr>
        <w:pStyle w:val="5"/>
        <w:jc w:val="left"/>
      </w:pPr>
      <w:r>
        <w:rPr>
          <w:rFonts w:ascii="仿宋_GB2312" w:hAnsi="仿宋_GB2312" w:eastAsia="仿宋_GB2312" w:cs="仿宋_GB2312"/>
        </w:rPr>
        <w:t>标的名称：成都市新津区公园城市数字底座运维服务</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2EB65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81A53F6">
            <w:pPr>
              <w:pStyle w:val="5"/>
              <w:jc w:val="center"/>
            </w:pPr>
            <w:r>
              <w:rPr>
                <w:rFonts w:ascii="仿宋_GB2312" w:hAnsi="仿宋_GB2312" w:eastAsia="仿宋_GB2312" w:cs="仿宋_GB2312"/>
              </w:rPr>
              <w:t>序号</w:t>
            </w:r>
          </w:p>
        </w:tc>
        <w:tc>
          <w:tcPr>
            <w:tcW w:w="581" w:type="dxa"/>
          </w:tcPr>
          <w:p w14:paraId="75FEB45D">
            <w:pPr>
              <w:pStyle w:val="5"/>
              <w:jc w:val="center"/>
            </w:pPr>
            <w:r>
              <w:rPr>
                <w:rFonts w:ascii="仿宋_GB2312" w:hAnsi="仿宋_GB2312" w:eastAsia="仿宋_GB2312" w:cs="仿宋_GB2312"/>
              </w:rPr>
              <w:t>符号标识</w:t>
            </w:r>
          </w:p>
        </w:tc>
        <w:tc>
          <w:tcPr>
            <w:tcW w:w="1495" w:type="dxa"/>
          </w:tcPr>
          <w:p w14:paraId="2FD5CC49">
            <w:pPr>
              <w:pStyle w:val="5"/>
              <w:jc w:val="center"/>
            </w:pPr>
            <w:r>
              <w:rPr>
                <w:rFonts w:ascii="仿宋_GB2312" w:hAnsi="仿宋_GB2312" w:eastAsia="仿宋_GB2312" w:cs="仿宋_GB2312"/>
              </w:rPr>
              <w:t>技术要求名称</w:t>
            </w:r>
          </w:p>
        </w:tc>
        <w:tc>
          <w:tcPr>
            <w:tcW w:w="5814" w:type="dxa"/>
          </w:tcPr>
          <w:p w14:paraId="24C66C8F">
            <w:pPr>
              <w:pStyle w:val="5"/>
              <w:jc w:val="center"/>
            </w:pPr>
            <w:r>
              <w:rPr>
                <w:rFonts w:ascii="仿宋_GB2312" w:hAnsi="仿宋_GB2312" w:eastAsia="仿宋_GB2312" w:cs="仿宋_GB2312"/>
              </w:rPr>
              <w:t>技术参数与性能指标</w:t>
            </w:r>
          </w:p>
        </w:tc>
      </w:tr>
      <w:tr w14:paraId="1DD5F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9C84BCC">
            <w:pPr>
              <w:pStyle w:val="5"/>
              <w:jc w:val="center"/>
            </w:pPr>
            <w:r>
              <w:rPr>
                <w:rFonts w:ascii="仿宋_GB2312" w:hAnsi="仿宋_GB2312" w:eastAsia="仿宋_GB2312" w:cs="仿宋_GB2312"/>
              </w:rPr>
              <w:t>1</w:t>
            </w:r>
          </w:p>
        </w:tc>
        <w:tc>
          <w:tcPr>
            <w:tcW w:w="581" w:type="dxa"/>
          </w:tcPr>
          <w:p w14:paraId="4F46776B">
            <w:pPr>
              <w:pStyle w:val="5"/>
              <w:jc w:val="center"/>
            </w:pPr>
            <w:r>
              <w:rPr>
                <w:rFonts w:ascii="仿宋_GB2312" w:hAnsi="仿宋_GB2312" w:eastAsia="仿宋_GB2312" w:cs="仿宋_GB2312"/>
              </w:rPr>
              <w:t>★</w:t>
            </w:r>
          </w:p>
        </w:tc>
        <w:tc>
          <w:tcPr>
            <w:tcW w:w="1495" w:type="dxa"/>
          </w:tcPr>
          <w:p w14:paraId="31909C98">
            <w:pPr>
              <w:pStyle w:val="5"/>
              <w:jc w:val="left"/>
            </w:pPr>
            <w:r>
              <w:rPr>
                <w:rFonts w:ascii="仿宋_GB2312" w:hAnsi="仿宋_GB2312" w:eastAsia="仿宋_GB2312" w:cs="仿宋_GB2312"/>
              </w:rPr>
              <w:t>运维服务范围</w:t>
            </w:r>
          </w:p>
        </w:tc>
        <w:tc>
          <w:tcPr>
            <w:tcW w:w="5814" w:type="dxa"/>
          </w:tcPr>
          <w:p w14:paraId="4462E726">
            <w:pPr>
              <w:pStyle w:val="5"/>
              <w:jc w:val="both"/>
              <w:outlineLvl w:val="3"/>
            </w:pPr>
            <w:r>
              <w:rPr>
                <w:rFonts w:ascii="仿宋_GB2312" w:hAnsi="仿宋_GB2312" w:eastAsia="仿宋_GB2312" w:cs="仿宋_GB2312"/>
                <w:b/>
                <w:sz w:val="24"/>
              </w:rPr>
              <w:t>（1）运维服务范</w:t>
            </w:r>
            <w:r>
              <w:rPr>
                <w:rFonts w:ascii="仿宋_GB2312" w:hAnsi="仿宋_GB2312" w:eastAsia="仿宋_GB2312" w:cs="仿宋_GB2312"/>
                <w:b/>
                <w:sz w:val="21"/>
              </w:rPr>
              <w:t>围</w:t>
            </w:r>
          </w:p>
          <w:p w14:paraId="54A8F89C">
            <w:pPr>
              <w:pStyle w:val="5"/>
              <w:spacing w:before="30"/>
              <w:ind w:left="120" w:right="105" w:firstLine="480"/>
              <w:jc w:val="both"/>
            </w:pPr>
            <w:r>
              <w:rPr>
                <w:rFonts w:ascii="仿宋_GB2312" w:hAnsi="仿宋_GB2312" w:eastAsia="仿宋_GB2312" w:cs="仿宋_GB2312"/>
                <w:sz w:val="24"/>
              </w:rPr>
              <w:t>本项目的运维范围涵盖本项目所涉及的各系统的应用软件运维、应用数据运维、应用平台数据运营服务、基础支撑平台运维、安全运维和系统迁移。</w:t>
            </w:r>
          </w:p>
          <w:p w14:paraId="538EAF4B">
            <w:pPr>
              <w:pStyle w:val="5"/>
              <w:spacing w:before="30"/>
              <w:ind w:left="120" w:firstLine="472"/>
              <w:jc w:val="left"/>
            </w:pPr>
            <w:r>
              <w:rPr>
                <w:rFonts w:ascii="仿宋_GB2312" w:hAnsi="仿宋_GB2312" w:eastAsia="仿宋_GB2312" w:cs="仿宋_GB2312"/>
                <w:sz w:val="24"/>
              </w:rPr>
              <w:t>（一）运维服务清单</w:t>
            </w:r>
          </w:p>
          <w:p w14:paraId="6B224710">
            <w:pPr>
              <w:pStyle w:val="5"/>
              <w:spacing w:before="30"/>
              <w:ind w:left="120" w:right="45" w:firstLine="472"/>
              <w:jc w:val="left"/>
            </w:pPr>
            <w:r>
              <w:rPr>
                <w:rFonts w:ascii="仿宋_GB2312" w:hAnsi="仿宋_GB2312" w:eastAsia="仿宋_GB2312" w:cs="仿宋_GB2312"/>
                <w:sz w:val="24"/>
              </w:rPr>
              <w:t>针对成都市新津区公园城市数字底座运维服务项目进行运维维护，提供的运维服务清单具体如下：</w:t>
            </w:r>
          </w:p>
          <w:p w14:paraId="7F46DC9F">
            <w:pPr>
              <w:pStyle w:val="5"/>
              <w:jc w:val="center"/>
            </w:pPr>
            <w:r>
              <w:rPr>
                <w:rFonts w:ascii="仿宋_GB2312" w:hAnsi="仿宋_GB2312" w:eastAsia="仿宋_GB2312" w:cs="仿宋_GB2312"/>
                <w:b/>
                <w:sz w:val="24"/>
              </w:rPr>
              <w:t>表1运维服务清单</w:t>
            </w:r>
          </w:p>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99"/>
              <w:gridCol w:w="537"/>
              <w:gridCol w:w="916"/>
              <w:gridCol w:w="3826"/>
            </w:tblGrid>
            <w:tr w14:paraId="0F0779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tcBorders>
                    <w:top w:val="single" w:color="000000" w:sz="4" w:space="0"/>
                    <w:left w:val="single" w:color="000000" w:sz="4" w:space="0"/>
                    <w:bottom w:val="single" w:color="000000" w:sz="4" w:space="0"/>
                    <w:right w:val="single" w:color="000000" w:sz="4" w:space="0"/>
                  </w:tcBorders>
                  <w:shd w:val="clear" w:color="auto" w:fill="A6A6A6"/>
                  <w:tcMar>
                    <w:top w:w="0" w:type="dxa"/>
                    <w:left w:w="0" w:type="dxa"/>
                    <w:bottom w:w="0" w:type="dxa"/>
                    <w:right w:w="0" w:type="dxa"/>
                  </w:tcMar>
                  <w:vAlign w:val="top"/>
                </w:tcPr>
                <w:p w14:paraId="54641B59">
                  <w:pPr>
                    <w:pStyle w:val="5"/>
                    <w:jc w:val="center"/>
                  </w:pPr>
                  <w:r>
                    <w:rPr>
                      <w:rFonts w:ascii="仿宋_GB2312" w:hAnsi="仿宋_GB2312" w:eastAsia="仿宋_GB2312" w:cs="仿宋_GB2312"/>
                      <w:b/>
                      <w:sz w:val="21"/>
                    </w:rPr>
                    <w:t>序号</w:t>
                  </w:r>
                </w:p>
              </w:tc>
              <w:tc>
                <w:tcPr>
                  <w:tcW w:w="537" w:type="dxa"/>
                  <w:tcBorders>
                    <w:top w:val="single" w:color="000000" w:sz="4" w:space="0"/>
                    <w:left w:val="single" w:color="000000" w:sz="4" w:space="0"/>
                    <w:bottom w:val="single" w:color="000000" w:sz="4" w:space="0"/>
                    <w:right w:val="single" w:color="000000" w:sz="4" w:space="0"/>
                  </w:tcBorders>
                  <w:shd w:val="clear" w:color="auto" w:fill="A6A6A6"/>
                  <w:tcMar>
                    <w:top w:w="0" w:type="dxa"/>
                    <w:left w:w="0" w:type="dxa"/>
                    <w:bottom w:w="0" w:type="dxa"/>
                    <w:right w:w="0" w:type="dxa"/>
                  </w:tcMar>
                  <w:vAlign w:val="top"/>
                </w:tcPr>
                <w:p w14:paraId="124E97B8">
                  <w:pPr>
                    <w:pStyle w:val="5"/>
                    <w:jc w:val="center"/>
                  </w:pPr>
                  <w:r>
                    <w:rPr>
                      <w:rFonts w:ascii="仿宋_GB2312" w:hAnsi="仿宋_GB2312" w:eastAsia="仿宋_GB2312" w:cs="仿宋_GB2312"/>
                      <w:b/>
                      <w:sz w:val="21"/>
                    </w:rPr>
                    <w:t>服务名称</w:t>
                  </w:r>
                </w:p>
              </w:tc>
              <w:tc>
                <w:tcPr>
                  <w:tcW w:w="916" w:type="dxa"/>
                  <w:tcBorders>
                    <w:top w:val="single" w:color="000000" w:sz="4" w:space="0"/>
                    <w:left w:val="single" w:color="000000" w:sz="4" w:space="0"/>
                    <w:bottom w:val="single" w:color="000000" w:sz="4" w:space="0"/>
                    <w:right w:val="single" w:color="000000" w:sz="4" w:space="0"/>
                  </w:tcBorders>
                  <w:shd w:val="clear" w:color="auto" w:fill="A6A6A6"/>
                  <w:tcMar>
                    <w:top w:w="0" w:type="dxa"/>
                    <w:left w:w="0" w:type="dxa"/>
                    <w:bottom w:w="0" w:type="dxa"/>
                    <w:right w:w="0" w:type="dxa"/>
                  </w:tcMar>
                  <w:vAlign w:val="top"/>
                </w:tcPr>
                <w:p w14:paraId="241E9C3C">
                  <w:pPr>
                    <w:pStyle w:val="5"/>
                    <w:jc w:val="center"/>
                  </w:pPr>
                  <w:r>
                    <w:rPr>
                      <w:rFonts w:ascii="仿宋_GB2312" w:hAnsi="仿宋_GB2312" w:eastAsia="仿宋_GB2312" w:cs="仿宋_GB2312"/>
                      <w:b/>
                      <w:sz w:val="21"/>
                    </w:rPr>
                    <w:t>服务子项</w:t>
                  </w:r>
                </w:p>
              </w:tc>
              <w:tc>
                <w:tcPr>
                  <w:tcW w:w="3826" w:type="dxa"/>
                  <w:tcBorders>
                    <w:top w:val="single" w:color="000000" w:sz="4" w:space="0"/>
                    <w:left w:val="single" w:color="000000" w:sz="4" w:space="0"/>
                    <w:bottom w:val="single" w:color="000000" w:sz="4" w:space="0"/>
                    <w:right w:val="single" w:color="000000" w:sz="4" w:space="0"/>
                  </w:tcBorders>
                  <w:shd w:val="clear" w:color="auto" w:fill="A6A6A6"/>
                  <w:tcMar>
                    <w:top w:w="0" w:type="dxa"/>
                    <w:left w:w="0" w:type="dxa"/>
                    <w:bottom w:w="0" w:type="dxa"/>
                    <w:right w:w="0" w:type="dxa"/>
                  </w:tcMar>
                  <w:vAlign w:val="top"/>
                </w:tcPr>
                <w:p w14:paraId="1BF8CB59">
                  <w:pPr>
                    <w:pStyle w:val="5"/>
                    <w:ind w:left="75" w:right="135"/>
                    <w:jc w:val="center"/>
                  </w:pPr>
                  <w:r>
                    <w:rPr>
                      <w:rFonts w:ascii="仿宋_GB2312" w:hAnsi="仿宋_GB2312" w:eastAsia="仿宋_GB2312" w:cs="仿宋_GB2312"/>
                      <w:b/>
                      <w:sz w:val="21"/>
                    </w:rPr>
                    <w:t>内容概述</w:t>
                  </w:r>
                </w:p>
              </w:tc>
            </w:tr>
            <w:tr w14:paraId="109212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71496F">
                  <w:pPr>
                    <w:pStyle w:val="5"/>
                    <w:jc w:val="center"/>
                  </w:pPr>
                  <w:r>
                    <w:rPr>
                      <w:rFonts w:ascii="仿宋_GB2312" w:hAnsi="仿宋_GB2312" w:eastAsia="仿宋_GB2312" w:cs="仿宋_GB2312"/>
                      <w:sz w:val="21"/>
                    </w:rPr>
                    <w:t>1</w:t>
                  </w:r>
                </w:p>
              </w:tc>
              <w:tc>
                <w:tcPr>
                  <w:tcW w:w="53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A12EE4">
                  <w:pPr>
                    <w:pStyle w:val="5"/>
                    <w:jc w:val="center"/>
                  </w:pPr>
                  <w:r>
                    <w:rPr>
                      <w:rFonts w:ascii="仿宋_GB2312" w:hAnsi="仿宋_GB2312" w:eastAsia="仿宋_GB2312" w:cs="仿宋_GB2312"/>
                      <w:sz w:val="21"/>
                    </w:rPr>
                    <w:t>应用软件</w:t>
                  </w:r>
                </w:p>
                <w:p w14:paraId="69D73E34">
                  <w:pPr>
                    <w:pStyle w:val="5"/>
                    <w:jc w:val="center"/>
                  </w:pPr>
                  <w:r>
                    <w:rPr>
                      <w:rFonts w:ascii="仿宋_GB2312" w:hAnsi="仿宋_GB2312" w:eastAsia="仿宋_GB2312" w:cs="仿宋_GB2312"/>
                      <w:sz w:val="21"/>
                    </w:rPr>
                    <w:t>运维</w:t>
                  </w:r>
                </w:p>
              </w:tc>
              <w:tc>
                <w:tcPr>
                  <w:tcW w:w="9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01F83E">
                  <w:pPr>
                    <w:pStyle w:val="5"/>
                    <w:jc w:val="center"/>
                  </w:pPr>
                  <w:r>
                    <w:rPr>
                      <w:rFonts w:ascii="仿宋_GB2312" w:hAnsi="仿宋_GB2312" w:eastAsia="仿宋_GB2312" w:cs="仿宋_GB2312"/>
                      <w:sz w:val="21"/>
                    </w:rPr>
                    <w:t>咨询服务</w:t>
                  </w:r>
                </w:p>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F4FF69">
                  <w:pPr>
                    <w:pStyle w:val="5"/>
                    <w:ind w:left="75" w:right="135"/>
                    <w:jc w:val="both"/>
                  </w:pPr>
                  <w:r>
                    <w:rPr>
                      <w:rFonts w:ascii="仿宋_GB2312" w:hAnsi="仿宋_GB2312" w:eastAsia="仿宋_GB2312" w:cs="仿宋_GB2312"/>
                      <w:sz w:val="21"/>
                    </w:rPr>
                    <w:t>供应商提供相关咨询服务工作，对于用户提出的系统功能优化等要求进行评估，与用户进行需求沟通分析和确认，提出合理的系统优化调整方案；对于各部门数据的接入，提供接口咨询等服务。</w:t>
                  </w:r>
                </w:p>
              </w:tc>
            </w:tr>
            <w:tr w14:paraId="3786C3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46C17419"/>
              </w:tc>
              <w:tc>
                <w:tcPr>
                  <w:tcW w:w="537" w:type="dxa"/>
                  <w:vMerge w:val="continue"/>
                  <w:tcBorders>
                    <w:top w:val="nil"/>
                    <w:left w:val="single" w:color="000000" w:sz="4" w:space="0"/>
                    <w:bottom w:val="single" w:color="000000" w:sz="4" w:space="0"/>
                    <w:right w:val="single" w:color="000000" w:sz="4" w:space="0"/>
                  </w:tcBorders>
                </w:tcPr>
                <w:p w14:paraId="78E9068D"/>
              </w:tc>
              <w:tc>
                <w:tcPr>
                  <w:tcW w:w="9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57E476">
                  <w:pPr>
                    <w:pStyle w:val="5"/>
                    <w:jc w:val="center"/>
                  </w:pPr>
                  <w:r>
                    <w:rPr>
                      <w:rFonts w:ascii="仿宋_GB2312" w:hAnsi="仿宋_GB2312" w:eastAsia="仿宋_GB2312" w:cs="仿宋_GB2312"/>
                      <w:sz w:val="21"/>
                    </w:rPr>
                    <w:t>培训服务</w:t>
                  </w:r>
                </w:p>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DB4FB2">
                  <w:pPr>
                    <w:pStyle w:val="5"/>
                    <w:ind w:left="75" w:right="135"/>
                    <w:jc w:val="both"/>
                  </w:pPr>
                  <w:r>
                    <w:rPr>
                      <w:rFonts w:ascii="仿宋_GB2312" w:hAnsi="仿宋_GB2312" w:eastAsia="仿宋_GB2312" w:cs="仿宋_GB2312"/>
                      <w:sz w:val="21"/>
                    </w:rPr>
                    <w:t>在项目日常使用过程中，不断有新增用户，日常的操作培训需要贯穿系统运维过程的始终；面向新津区各层级相关人员，供应商提供集中或分散的操作培训，以及相关人员在使用过程中的疑问解答服务。</w:t>
                  </w:r>
                </w:p>
              </w:tc>
            </w:tr>
            <w:tr w14:paraId="3699D5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1CCA77EC"/>
              </w:tc>
              <w:tc>
                <w:tcPr>
                  <w:tcW w:w="537" w:type="dxa"/>
                  <w:vMerge w:val="continue"/>
                  <w:tcBorders>
                    <w:top w:val="nil"/>
                    <w:left w:val="single" w:color="000000" w:sz="4" w:space="0"/>
                    <w:bottom w:val="single" w:color="000000" w:sz="4" w:space="0"/>
                    <w:right w:val="single" w:color="000000" w:sz="4" w:space="0"/>
                  </w:tcBorders>
                </w:tcPr>
                <w:p w14:paraId="057F68DF"/>
              </w:tc>
              <w:tc>
                <w:tcPr>
                  <w:tcW w:w="91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BBAEB5">
                  <w:pPr>
                    <w:pStyle w:val="5"/>
                    <w:jc w:val="center"/>
                  </w:pPr>
                  <w:r>
                    <w:rPr>
                      <w:rFonts w:ascii="仿宋_GB2312" w:hAnsi="仿宋_GB2312" w:eastAsia="仿宋_GB2312" w:cs="仿宋_GB2312"/>
                      <w:sz w:val="21"/>
                    </w:rPr>
                    <w:t>状态监控</w:t>
                  </w:r>
                </w:p>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E7D9A6">
                  <w:pPr>
                    <w:pStyle w:val="5"/>
                    <w:ind w:left="75" w:right="135"/>
                    <w:jc w:val="both"/>
                  </w:pPr>
                  <w:r>
                    <w:rPr>
                      <w:rFonts w:ascii="仿宋_GB2312" w:hAnsi="仿宋_GB2312" w:eastAsia="仿宋_GB2312" w:cs="仿宋_GB2312"/>
                      <w:sz w:val="21"/>
                    </w:rPr>
                    <w:t>日志监控</w:t>
                  </w:r>
                </w:p>
              </w:tc>
            </w:tr>
            <w:tr w14:paraId="0DA94A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3CB6AACF"/>
              </w:tc>
              <w:tc>
                <w:tcPr>
                  <w:tcW w:w="537" w:type="dxa"/>
                  <w:vMerge w:val="continue"/>
                  <w:tcBorders>
                    <w:top w:val="nil"/>
                    <w:left w:val="single" w:color="000000" w:sz="4" w:space="0"/>
                    <w:bottom w:val="single" w:color="000000" w:sz="4" w:space="0"/>
                    <w:right w:val="single" w:color="000000" w:sz="4" w:space="0"/>
                  </w:tcBorders>
                </w:tcPr>
                <w:p w14:paraId="185EF1E4"/>
              </w:tc>
              <w:tc>
                <w:tcPr>
                  <w:tcW w:w="916" w:type="dxa"/>
                  <w:vMerge w:val="continue"/>
                  <w:tcBorders>
                    <w:top w:val="nil"/>
                    <w:left w:val="single" w:color="000000" w:sz="4" w:space="0"/>
                    <w:bottom w:val="single" w:color="000000" w:sz="4" w:space="0"/>
                    <w:right w:val="single" w:color="000000" w:sz="4" w:space="0"/>
                  </w:tcBorders>
                </w:tcPr>
                <w:p w14:paraId="36AD23CF"/>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3BE28C">
                  <w:pPr>
                    <w:pStyle w:val="5"/>
                    <w:ind w:left="75" w:right="135"/>
                    <w:jc w:val="both"/>
                  </w:pPr>
                  <w:r>
                    <w:rPr>
                      <w:rFonts w:ascii="仿宋_GB2312" w:hAnsi="仿宋_GB2312" w:eastAsia="仿宋_GB2312" w:cs="仿宋_GB2312"/>
                      <w:sz w:val="21"/>
                    </w:rPr>
                    <w:t>登录监控</w:t>
                  </w:r>
                </w:p>
              </w:tc>
            </w:tr>
            <w:tr w14:paraId="3D56D1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2D8C8744"/>
              </w:tc>
              <w:tc>
                <w:tcPr>
                  <w:tcW w:w="537" w:type="dxa"/>
                  <w:vMerge w:val="continue"/>
                  <w:tcBorders>
                    <w:top w:val="nil"/>
                    <w:left w:val="single" w:color="000000" w:sz="4" w:space="0"/>
                    <w:bottom w:val="single" w:color="000000" w:sz="4" w:space="0"/>
                    <w:right w:val="single" w:color="000000" w:sz="4" w:space="0"/>
                  </w:tcBorders>
                </w:tcPr>
                <w:p w14:paraId="58B0A456"/>
              </w:tc>
              <w:tc>
                <w:tcPr>
                  <w:tcW w:w="916" w:type="dxa"/>
                  <w:vMerge w:val="continue"/>
                  <w:tcBorders>
                    <w:top w:val="nil"/>
                    <w:left w:val="single" w:color="000000" w:sz="4" w:space="0"/>
                    <w:bottom w:val="single" w:color="000000" w:sz="4" w:space="0"/>
                    <w:right w:val="single" w:color="000000" w:sz="4" w:space="0"/>
                  </w:tcBorders>
                </w:tcPr>
                <w:p w14:paraId="7A436D09"/>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6D9F84">
                  <w:pPr>
                    <w:pStyle w:val="5"/>
                    <w:ind w:left="75" w:right="135"/>
                    <w:jc w:val="both"/>
                  </w:pPr>
                  <w:r>
                    <w:rPr>
                      <w:rFonts w:ascii="仿宋_GB2312" w:hAnsi="仿宋_GB2312" w:eastAsia="仿宋_GB2312" w:cs="仿宋_GB2312"/>
                      <w:sz w:val="21"/>
                    </w:rPr>
                    <w:t>会话监控</w:t>
                  </w:r>
                </w:p>
              </w:tc>
            </w:tr>
            <w:tr w14:paraId="5233B8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26659282"/>
              </w:tc>
              <w:tc>
                <w:tcPr>
                  <w:tcW w:w="537" w:type="dxa"/>
                  <w:vMerge w:val="continue"/>
                  <w:tcBorders>
                    <w:top w:val="nil"/>
                    <w:left w:val="single" w:color="000000" w:sz="4" w:space="0"/>
                    <w:bottom w:val="single" w:color="000000" w:sz="4" w:space="0"/>
                    <w:right w:val="single" w:color="000000" w:sz="4" w:space="0"/>
                  </w:tcBorders>
                </w:tcPr>
                <w:p w14:paraId="6CAD9B86"/>
              </w:tc>
              <w:tc>
                <w:tcPr>
                  <w:tcW w:w="916" w:type="dxa"/>
                  <w:vMerge w:val="continue"/>
                  <w:tcBorders>
                    <w:top w:val="nil"/>
                    <w:left w:val="single" w:color="000000" w:sz="4" w:space="0"/>
                    <w:bottom w:val="single" w:color="000000" w:sz="4" w:space="0"/>
                    <w:right w:val="single" w:color="000000" w:sz="4" w:space="0"/>
                  </w:tcBorders>
                </w:tcPr>
                <w:p w14:paraId="7E2504C0"/>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8E043D">
                  <w:pPr>
                    <w:pStyle w:val="5"/>
                    <w:ind w:left="75" w:right="135"/>
                    <w:jc w:val="both"/>
                  </w:pPr>
                  <w:r>
                    <w:rPr>
                      <w:rFonts w:ascii="仿宋_GB2312" w:hAnsi="仿宋_GB2312" w:eastAsia="仿宋_GB2312" w:cs="仿宋_GB2312"/>
                      <w:sz w:val="21"/>
                    </w:rPr>
                    <w:t>业务量监控</w:t>
                  </w:r>
                </w:p>
              </w:tc>
            </w:tr>
            <w:tr w14:paraId="4C0824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0919238C"/>
              </w:tc>
              <w:tc>
                <w:tcPr>
                  <w:tcW w:w="537" w:type="dxa"/>
                  <w:vMerge w:val="continue"/>
                  <w:tcBorders>
                    <w:top w:val="nil"/>
                    <w:left w:val="single" w:color="000000" w:sz="4" w:space="0"/>
                    <w:bottom w:val="single" w:color="000000" w:sz="4" w:space="0"/>
                    <w:right w:val="single" w:color="000000" w:sz="4" w:space="0"/>
                  </w:tcBorders>
                </w:tcPr>
                <w:p w14:paraId="2FE26331"/>
              </w:tc>
              <w:tc>
                <w:tcPr>
                  <w:tcW w:w="916" w:type="dxa"/>
                  <w:vMerge w:val="continue"/>
                  <w:tcBorders>
                    <w:top w:val="nil"/>
                    <w:left w:val="single" w:color="000000" w:sz="4" w:space="0"/>
                    <w:bottom w:val="single" w:color="000000" w:sz="4" w:space="0"/>
                    <w:right w:val="single" w:color="000000" w:sz="4" w:space="0"/>
                  </w:tcBorders>
                </w:tcPr>
                <w:p w14:paraId="35F06C98"/>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B42126">
                  <w:pPr>
                    <w:pStyle w:val="5"/>
                    <w:ind w:left="75" w:right="135"/>
                    <w:jc w:val="both"/>
                  </w:pPr>
                  <w:r>
                    <w:rPr>
                      <w:rFonts w:ascii="仿宋_GB2312" w:hAnsi="仿宋_GB2312" w:eastAsia="仿宋_GB2312" w:cs="仿宋_GB2312"/>
                      <w:sz w:val="21"/>
                    </w:rPr>
                    <w:t>接口监控</w:t>
                  </w:r>
                </w:p>
              </w:tc>
            </w:tr>
            <w:tr w14:paraId="79EDC3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1BA5DF65"/>
              </w:tc>
              <w:tc>
                <w:tcPr>
                  <w:tcW w:w="537" w:type="dxa"/>
                  <w:vMerge w:val="continue"/>
                  <w:tcBorders>
                    <w:top w:val="nil"/>
                    <w:left w:val="single" w:color="000000" w:sz="4" w:space="0"/>
                    <w:bottom w:val="single" w:color="000000" w:sz="4" w:space="0"/>
                    <w:right w:val="single" w:color="000000" w:sz="4" w:space="0"/>
                  </w:tcBorders>
                </w:tcPr>
                <w:p w14:paraId="1875AB0E"/>
              </w:tc>
              <w:tc>
                <w:tcPr>
                  <w:tcW w:w="91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E7E702">
                  <w:pPr>
                    <w:pStyle w:val="5"/>
                    <w:jc w:val="center"/>
                  </w:pPr>
                  <w:r>
                    <w:rPr>
                      <w:rFonts w:ascii="仿宋_GB2312" w:hAnsi="仿宋_GB2312" w:eastAsia="仿宋_GB2312" w:cs="仿宋_GB2312"/>
                      <w:sz w:val="21"/>
                    </w:rPr>
                    <w:t>日常维护</w:t>
                  </w:r>
                </w:p>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3AFE14">
                  <w:pPr>
                    <w:pStyle w:val="5"/>
                    <w:ind w:left="75" w:right="135"/>
                    <w:jc w:val="both"/>
                  </w:pPr>
                  <w:r>
                    <w:rPr>
                      <w:rFonts w:ascii="仿宋_GB2312" w:hAnsi="仿宋_GB2312" w:eastAsia="仿宋_GB2312" w:cs="仿宋_GB2312"/>
                      <w:sz w:val="21"/>
                    </w:rPr>
                    <w:t>日常操作维护</w:t>
                  </w:r>
                </w:p>
              </w:tc>
            </w:tr>
            <w:tr w14:paraId="0478E9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277556E9"/>
              </w:tc>
              <w:tc>
                <w:tcPr>
                  <w:tcW w:w="537" w:type="dxa"/>
                  <w:vMerge w:val="continue"/>
                  <w:tcBorders>
                    <w:top w:val="nil"/>
                    <w:left w:val="single" w:color="000000" w:sz="4" w:space="0"/>
                    <w:bottom w:val="single" w:color="000000" w:sz="4" w:space="0"/>
                    <w:right w:val="single" w:color="000000" w:sz="4" w:space="0"/>
                  </w:tcBorders>
                </w:tcPr>
                <w:p w14:paraId="2D613697"/>
              </w:tc>
              <w:tc>
                <w:tcPr>
                  <w:tcW w:w="916" w:type="dxa"/>
                  <w:vMerge w:val="continue"/>
                  <w:tcBorders>
                    <w:top w:val="nil"/>
                    <w:left w:val="single" w:color="000000" w:sz="4" w:space="0"/>
                    <w:bottom w:val="single" w:color="000000" w:sz="4" w:space="0"/>
                    <w:right w:val="single" w:color="000000" w:sz="4" w:space="0"/>
                  </w:tcBorders>
                </w:tcPr>
                <w:p w14:paraId="3AA73723"/>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E9E02B">
                  <w:pPr>
                    <w:pStyle w:val="5"/>
                    <w:ind w:left="75" w:right="135"/>
                    <w:jc w:val="both"/>
                  </w:pPr>
                  <w:r>
                    <w:rPr>
                      <w:rFonts w:ascii="仿宋_GB2312" w:hAnsi="仿宋_GB2312" w:eastAsia="仿宋_GB2312" w:cs="仿宋_GB2312"/>
                      <w:sz w:val="21"/>
                    </w:rPr>
                    <w:t>bug修复</w:t>
                  </w:r>
                </w:p>
              </w:tc>
            </w:tr>
            <w:tr w14:paraId="455A7E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184AC3ED"/>
              </w:tc>
              <w:tc>
                <w:tcPr>
                  <w:tcW w:w="537" w:type="dxa"/>
                  <w:vMerge w:val="continue"/>
                  <w:tcBorders>
                    <w:top w:val="nil"/>
                    <w:left w:val="single" w:color="000000" w:sz="4" w:space="0"/>
                    <w:bottom w:val="single" w:color="000000" w:sz="4" w:space="0"/>
                    <w:right w:val="single" w:color="000000" w:sz="4" w:space="0"/>
                  </w:tcBorders>
                </w:tcPr>
                <w:p w14:paraId="45B48765"/>
              </w:tc>
              <w:tc>
                <w:tcPr>
                  <w:tcW w:w="916" w:type="dxa"/>
                  <w:vMerge w:val="continue"/>
                  <w:tcBorders>
                    <w:top w:val="nil"/>
                    <w:left w:val="single" w:color="000000" w:sz="4" w:space="0"/>
                    <w:bottom w:val="single" w:color="000000" w:sz="4" w:space="0"/>
                    <w:right w:val="single" w:color="000000" w:sz="4" w:space="0"/>
                  </w:tcBorders>
                </w:tcPr>
                <w:p w14:paraId="06F3B793"/>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0A0965">
                  <w:pPr>
                    <w:pStyle w:val="5"/>
                    <w:ind w:left="75" w:right="135"/>
                    <w:jc w:val="both"/>
                  </w:pPr>
                  <w:r>
                    <w:rPr>
                      <w:rFonts w:ascii="仿宋_GB2312" w:hAnsi="仿宋_GB2312" w:eastAsia="仿宋_GB2312" w:cs="仿宋_GB2312"/>
                      <w:sz w:val="21"/>
                    </w:rPr>
                    <w:t>日常服务报告定期发布</w:t>
                  </w:r>
                </w:p>
              </w:tc>
            </w:tr>
            <w:tr w14:paraId="1487C4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01D64B3D"/>
              </w:tc>
              <w:tc>
                <w:tcPr>
                  <w:tcW w:w="537" w:type="dxa"/>
                  <w:vMerge w:val="continue"/>
                  <w:tcBorders>
                    <w:top w:val="nil"/>
                    <w:left w:val="single" w:color="000000" w:sz="4" w:space="0"/>
                    <w:bottom w:val="single" w:color="000000" w:sz="4" w:space="0"/>
                    <w:right w:val="single" w:color="000000" w:sz="4" w:space="0"/>
                  </w:tcBorders>
                </w:tcPr>
                <w:p w14:paraId="34A15ABB"/>
              </w:tc>
              <w:tc>
                <w:tcPr>
                  <w:tcW w:w="916" w:type="dxa"/>
                  <w:vMerge w:val="continue"/>
                  <w:tcBorders>
                    <w:top w:val="nil"/>
                    <w:left w:val="single" w:color="000000" w:sz="4" w:space="0"/>
                    <w:bottom w:val="single" w:color="000000" w:sz="4" w:space="0"/>
                    <w:right w:val="single" w:color="000000" w:sz="4" w:space="0"/>
                  </w:tcBorders>
                </w:tcPr>
                <w:p w14:paraId="551E3552"/>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253084">
                  <w:pPr>
                    <w:pStyle w:val="5"/>
                    <w:ind w:left="75" w:right="135"/>
                    <w:jc w:val="both"/>
                  </w:pPr>
                  <w:r>
                    <w:rPr>
                      <w:rFonts w:ascii="仿宋_GB2312" w:hAnsi="仿宋_GB2312" w:eastAsia="仿宋_GB2312" w:cs="仿宋_GB2312"/>
                      <w:sz w:val="21"/>
                    </w:rPr>
                    <w:t>系统灾备维护配合</w:t>
                  </w:r>
                </w:p>
              </w:tc>
            </w:tr>
            <w:tr w14:paraId="29B365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4147A688"/>
              </w:tc>
              <w:tc>
                <w:tcPr>
                  <w:tcW w:w="537" w:type="dxa"/>
                  <w:vMerge w:val="continue"/>
                  <w:tcBorders>
                    <w:top w:val="nil"/>
                    <w:left w:val="single" w:color="000000" w:sz="4" w:space="0"/>
                    <w:bottom w:val="single" w:color="000000" w:sz="4" w:space="0"/>
                    <w:right w:val="single" w:color="000000" w:sz="4" w:space="0"/>
                  </w:tcBorders>
                </w:tcPr>
                <w:p w14:paraId="1BCBFEDE"/>
              </w:tc>
              <w:tc>
                <w:tcPr>
                  <w:tcW w:w="9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0AC6BD">
                  <w:pPr>
                    <w:pStyle w:val="5"/>
                    <w:jc w:val="center"/>
                  </w:pPr>
                  <w:r>
                    <w:rPr>
                      <w:rFonts w:ascii="仿宋_GB2312" w:hAnsi="仿宋_GB2312" w:eastAsia="仿宋_GB2312" w:cs="仿宋_GB2312"/>
                      <w:sz w:val="21"/>
                    </w:rPr>
                    <w:t>应急性维护</w:t>
                  </w:r>
                </w:p>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A04C47">
                  <w:pPr>
                    <w:pStyle w:val="5"/>
                    <w:ind w:left="75" w:right="135"/>
                    <w:jc w:val="both"/>
                  </w:pPr>
                  <w:r>
                    <w:rPr>
                      <w:rFonts w:ascii="仿宋_GB2312" w:hAnsi="仿宋_GB2312" w:eastAsia="仿宋_GB2312" w:cs="仿宋_GB2312"/>
                      <w:sz w:val="21"/>
                    </w:rPr>
                    <w:t>提供软件系统的灾难恢复和应急服务</w:t>
                  </w:r>
                </w:p>
              </w:tc>
            </w:tr>
            <w:tr w14:paraId="275D6B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6133A1FD"/>
              </w:tc>
              <w:tc>
                <w:tcPr>
                  <w:tcW w:w="537" w:type="dxa"/>
                  <w:vMerge w:val="continue"/>
                  <w:tcBorders>
                    <w:top w:val="nil"/>
                    <w:left w:val="single" w:color="000000" w:sz="4" w:space="0"/>
                    <w:bottom w:val="single" w:color="000000" w:sz="4" w:space="0"/>
                    <w:right w:val="single" w:color="000000" w:sz="4" w:space="0"/>
                  </w:tcBorders>
                </w:tcPr>
                <w:p w14:paraId="0ADEB3B6"/>
              </w:tc>
              <w:tc>
                <w:tcPr>
                  <w:tcW w:w="9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30E05F">
                  <w:pPr>
                    <w:pStyle w:val="5"/>
                    <w:jc w:val="center"/>
                  </w:pPr>
                  <w:r>
                    <w:rPr>
                      <w:rFonts w:ascii="仿宋_GB2312" w:hAnsi="仿宋_GB2312" w:eastAsia="仿宋_GB2312" w:cs="仿宋_GB2312"/>
                      <w:sz w:val="21"/>
                    </w:rPr>
                    <w:t>临时性维护</w:t>
                  </w:r>
                </w:p>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AEB5DD">
                  <w:pPr>
                    <w:pStyle w:val="5"/>
                    <w:ind w:left="75" w:right="135"/>
                    <w:jc w:val="both"/>
                  </w:pPr>
                  <w:r>
                    <w:rPr>
                      <w:rFonts w:ascii="仿宋_GB2312" w:hAnsi="仿宋_GB2312" w:eastAsia="仿宋_GB2312" w:cs="仿宋_GB2312"/>
                      <w:sz w:val="21"/>
                    </w:rPr>
                    <w:t>临时性的技术支持</w:t>
                  </w:r>
                </w:p>
              </w:tc>
            </w:tr>
            <w:tr w14:paraId="03759F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3C525309"/>
              </w:tc>
              <w:tc>
                <w:tcPr>
                  <w:tcW w:w="537" w:type="dxa"/>
                  <w:vMerge w:val="continue"/>
                  <w:tcBorders>
                    <w:top w:val="nil"/>
                    <w:left w:val="single" w:color="000000" w:sz="4" w:space="0"/>
                    <w:bottom w:val="single" w:color="000000" w:sz="4" w:space="0"/>
                    <w:right w:val="single" w:color="000000" w:sz="4" w:space="0"/>
                  </w:tcBorders>
                </w:tcPr>
                <w:p w14:paraId="2283A259"/>
              </w:tc>
              <w:tc>
                <w:tcPr>
                  <w:tcW w:w="91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F76116">
                  <w:pPr>
                    <w:pStyle w:val="5"/>
                    <w:jc w:val="center"/>
                  </w:pPr>
                  <w:r>
                    <w:rPr>
                      <w:rFonts w:ascii="仿宋_GB2312" w:hAnsi="仿宋_GB2312" w:eastAsia="仿宋_GB2312" w:cs="仿宋_GB2312"/>
                      <w:sz w:val="21"/>
                    </w:rPr>
                    <w:t>定期巡检及性能优化服务</w:t>
                  </w:r>
                </w:p>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4691B4">
                  <w:pPr>
                    <w:pStyle w:val="5"/>
                    <w:ind w:left="75" w:right="135"/>
                    <w:jc w:val="both"/>
                  </w:pPr>
                  <w:r>
                    <w:rPr>
                      <w:rFonts w:ascii="仿宋_GB2312" w:hAnsi="仿宋_GB2312" w:eastAsia="仿宋_GB2312" w:cs="仿宋_GB2312"/>
                      <w:sz w:val="21"/>
                    </w:rPr>
                    <w:t>定时巡检</w:t>
                  </w:r>
                </w:p>
              </w:tc>
            </w:tr>
            <w:tr w14:paraId="39F939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71116474"/>
              </w:tc>
              <w:tc>
                <w:tcPr>
                  <w:tcW w:w="537" w:type="dxa"/>
                  <w:vMerge w:val="continue"/>
                  <w:tcBorders>
                    <w:top w:val="nil"/>
                    <w:left w:val="single" w:color="000000" w:sz="4" w:space="0"/>
                    <w:bottom w:val="single" w:color="000000" w:sz="4" w:space="0"/>
                    <w:right w:val="single" w:color="000000" w:sz="4" w:space="0"/>
                  </w:tcBorders>
                </w:tcPr>
                <w:p w14:paraId="29F43674"/>
              </w:tc>
              <w:tc>
                <w:tcPr>
                  <w:tcW w:w="916" w:type="dxa"/>
                  <w:vMerge w:val="continue"/>
                  <w:tcBorders>
                    <w:top w:val="nil"/>
                    <w:left w:val="single" w:color="000000" w:sz="4" w:space="0"/>
                    <w:bottom w:val="single" w:color="000000" w:sz="4" w:space="0"/>
                    <w:right w:val="single" w:color="000000" w:sz="4" w:space="0"/>
                  </w:tcBorders>
                </w:tcPr>
                <w:p w14:paraId="3E87CBD2"/>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695F9F">
                  <w:pPr>
                    <w:pStyle w:val="5"/>
                    <w:ind w:left="75" w:right="135"/>
                    <w:jc w:val="both"/>
                  </w:pPr>
                  <w:r>
                    <w:rPr>
                      <w:rFonts w:ascii="仿宋_GB2312" w:hAnsi="仿宋_GB2312" w:eastAsia="仿宋_GB2312" w:cs="仿宋_GB2312"/>
                      <w:sz w:val="21"/>
                    </w:rPr>
                    <w:t>性能优化服务</w:t>
                  </w:r>
                </w:p>
              </w:tc>
            </w:tr>
            <w:tr w14:paraId="0BFE0F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01E72E43"/>
              </w:tc>
              <w:tc>
                <w:tcPr>
                  <w:tcW w:w="537" w:type="dxa"/>
                  <w:vMerge w:val="continue"/>
                  <w:tcBorders>
                    <w:top w:val="nil"/>
                    <w:left w:val="single" w:color="000000" w:sz="4" w:space="0"/>
                    <w:bottom w:val="single" w:color="000000" w:sz="4" w:space="0"/>
                    <w:right w:val="single" w:color="000000" w:sz="4" w:space="0"/>
                  </w:tcBorders>
                </w:tcPr>
                <w:p w14:paraId="4892CC36"/>
              </w:tc>
              <w:tc>
                <w:tcPr>
                  <w:tcW w:w="9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A81C4E">
                  <w:pPr>
                    <w:pStyle w:val="5"/>
                    <w:jc w:val="center"/>
                  </w:pPr>
                  <w:r>
                    <w:rPr>
                      <w:rFonts w:ascii="仿宋_GB2312" w:hAnsi="仿宋_GB2312" w:eastAsia="仿宋_GB2312" w:cs="仿宋_GB2312"/>
                      <w:sz w:val="21"/>
                    </w:rPr>
                    <w:t>事故分析服务</w:t>
                  </w:r>
                </w:p>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76073D">
                  <w:pPr>
                    <w:pStyle w:val="5"/>
                    <w:ind w:left="75" w:right="135"/>
                    <w:jc w:val="both"/>
                  </w:pPr>
                  <w:r>
                    <w:rPr>
                      <w:rFonts w:ascii="仿宋_GB2312" w:hAnsi="仿宋_GB2312" w:eastAsia="仿宋_GB2312" w:cs="仿宋_GB2312"/>
                      <w:sz w:val="21"/>
                    </w:rPr>
                    <w:t>提供应用系统故障分析服务，对事故均做出详细原因分析报告</w:t>
                  </w:r>
                </w:p>
              </w:tc>
            </w:tr>
            <w:tr w14:paraId="27B3B0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77189990"/>
              </w:tc>
              <w:tc>
                <w:tcPr>
                  <w:tcW w:w="537" w:type="dxa"/>
                  <w:vMerge w:val="continue"/>
                  <w:tcBorders>
                    <w:top w:val="nil"/>
                    <w:left w:val="single" w:color="000000" w:sz="4" w:space="0"/>
                    <w:bottom w:val="single" w:color="000000" w:sz="4" w:space="0"/>
                    <w:right w:val="single" w:color="000000" w:sz="4" w:space="0"/>
                  </w:tcBorders>
                </w:tcPr>
                <w:p w14:paraId="5088D8D1"/>
              </w:tc>
              <w:tc>
                <w:tcPr>
                  <w:tcW w:w="91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4A0CE4">
                  <w:pPr>
                    <w:pStyle w:val="5"/>
                    <w:jc w:val="center"/>
                  </w:pPr>
                  <w:r>
                    <w:rPr>
                      <w:rFonts w:ascii="仿宋_GB2312" w:hAnsi="仿宋_GB2312" w:eastAsia="仿宋_GB2312" w:cs="仿宋_GB2312"/>
                      <w:sz w:val="21"/>
                    </w:rPr>
                    <w:t>应用功能优化</w:t>
                  </w:r>
                </w:p>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9966A4">
                  <w:pPr>
                    <w:pStyle w:val="5"/>
                    <w:ind w:left="75" w:right="135"/>
                    <w:jc w:val="both"/>
                  </w:pPr>
                  <w:r>
                    <w:rPr>
                      <w:rFonts w:ascii="仿宋_GB2312" w:hAnsi="仿宋_GB2312" w:eastAsia="仿宋_GB2312" w:cs="仿宋_GB2312"/>
                      <w:sz w:val="21"/>
                    </w:rPr>
                    <w:t>应用系统优化分析及制定优化策略</w:t>
                  </w:r>
                </w:p>
              </w:tc>
            </w:tr>
            <w:tr w14:paraId="4E263A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0F1BEE55"/>
              </w:tc>
              <w:tc>
                <w:tcPr>
                  <w:tcW w:w="537" w:type="dxa"/>
                  <w:vMerge w:val="continue"/>
                  <w:tcBorders>
                    <w:top w:val="nil"/>
                    <w:left w:val="single" w:color="000000" w:sz="4" w:space="0"/>
                    <w:bottom w:val="single" w:color="000000" w:sz="4" w:space="0"/>
                    <w:right w:val="single" w:color="000000" w:sz="4" w:space="0"/>
                  </w:tcBorders>
                </w:tcPr>
                <w:p w14:paraId="097A0EFA"/>
              </w:tc>
              <w:tc>
                <w:tcPr>
                  <w:tcW w:w="916" w:type="dxa"/>
                  <w:vMerge w:val="continue"/>
                  <w:tcBorders>
                    <w:top w:val="nil"/>
                    <w:left w:val="single" w:color="000000" w:sz="4" w:space="0"/>
                    <w:bottom w:val="single" w:color="000000" w:sz="4" w:space="0"/>
                    <w:right w:val="single" w:color="000000" w:sz="4" w:space="0"/>
                  </w:tcBorders>
                </w:tcPr>
                <w:p w14:paraId="0ECAC008"/>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44A869">
                  <w:pPr>
                    <w:pStyle w:val="5"/>
                    <w:ind w:left="75" w:right="135"/>
                    <w:jc w:val="both"/>
                  </w:pPr>
                  <w:r>
                    <w:rPr>
                      <w:rFonts w:ascii="仿宋_GB2312" w:hAnsi="仿宋_GB2312" w:eastAsia="仿宋_GB2312" w:cs="仿宋_GB2312"/>
                      <w:sz w:val="21"/>
                    </w:rPr>
                    <w:t>优化数据逻辑结构</w:t>
                  </w:r>
                </w:p>
              </w:tc>
            </w:tr>
            <w:tr w14:paraId="4D55F3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53AE320D"/>
              </w:tc>
              <w:tc>
                <w:tcPr>
                  <w:tcW w:w="537" w:type="dxa"/>
                  <w:vMerge w:val="continue"/>
                  <w:tcBorders>
                    <w:top w:val="nil"/>
                    <w:left w:val="single" w:color="000000" w:sz="4" w:space="0"/>
                    <w:bottom w:val="single" w:color="000000" w:sz="4" w:space="0"/>
                    <w:right w:val="single" w:color="000000" w:sz="4" w:space="0"/>
                  </w:tcBorders>
                </w:tcPr>
                <w:p w14:paraId="239BE4A8"/>
              </w:tc>
              <w:tc>
                <w:tcPr>
                  <w:tcW w:w="916" w:type="dxa"/>
                  <w:vMerge w:val="continue"/>
                  <w:tcBorders>
                    <w:top w:val="nil"/>
                    <w:left w:val="single" w:color="000000" w:sz="4" w:space="0"/>
                    <w:bottom w:val="single" w:color="000000" w:sz="4" w:space="0"/>
                    <w:right w:val="single" w:color="000000" w:sz="4" w:space="0"/>
                  </w:tcBorders>
                </w:tcPr>
                <w:p w14:paraId="328A5C8C"/>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CF5D1B">
                  <w:pPr>
                    <w:pStyle w:val="5"/>
                    <w:ind w:left="75" w:right="135"/>
                    <w:jc w:val="both"/>
                  </w:pPr>
                  <w:r>
                    <w:rPr>
                      <w:rFonts w:ascii="仿宋_GB2312" w:hAnsi="仿宋_GB2312" w:eastAsia="仿宋_GB2312" w:cs="仿宋_GB2312"/>
                      <w:sz w:val="21"/>
                    </w:rPr>
                    <w:t>优化应用系统功能</w:t>
                  </w:r>
                </w:p>
              </w:tc>
            </w:tr>
            <w:tr w14:paraId="54E6D0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046F4E3C"/>
              </w:tc>
              <w:tc>
                <w:tcPr>
                  <w:tcW w:w="537" w:type="dxa"/>
                  <w:vMerge w:val="continue"/>
                  <w:tcBorders>
                    <w:top w:val="nil"/>
                    <w:left w:val="single" w:color="000000" w:sz="4" w:space="0"/>
                    <w:bottom w:val="single" w:color="000000" w:sz="4" w:space="0"/>
                    <w:right w:val="single" w:color="000000" w:sz="4" w:space="0"/>
                  </w:tcBorders>
                </w:tcPr>
                <w:p w14:paraId="161A8987"/>
              </w:tc>
              <w:tc>
                <w:tcPr>
                  <w:tcW w:w="916" w:type="dxa"/>
                  <w:vMerge w:val="continue"/>
                  <w:tcBorders>
                    <w:top w:val="nil"/>
                    <w:left w:val="single" w:color="000000" w:sz="4" w:space="0"/>
                    <w:bottom w:val="single" w:color="000000" w:sz="4" w:space="0"/>
                    <w:right w:val="single" w:color="000000" w:sz="4" w:space="0"/>
                  </w:tcBorders>
                </w:tcPr>
                <w:p w14:paraId="7FAA312E"/>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2AFEFF8">
                  <w:pPr>
                    <w:pStyle w:val="5"/>
                    <w:ind w:left="75" w:right="135"/>
                    <w:jc w:val="both"/>
                  </w:pPr>
                  <w:r>
                    <w:rPr>
                      <w:rFonts w:ascii="仿宋_GB2312" w:hAnsi="仿宋_GB2312" w:eastAsia="仿宋_GB2312" w:cs="仿宋_GB2312"/>
                      <w:sz w:val="21"/>
                    </w:rPr>
                    <w:t>系统功能适配</w:t>
                  </w:r>
                </w:p>
              </w:tc>
            </w:tr>
            <w:tr w14:paraId="6A6AEE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5BD116E9"/>
              </w:tc>
              <w:tc>
                <w:tcPr>
                  <w:tcW w:w="537" w:type="dxa"/>
                  <w:vMerge w:val="continue"/>
                  <w:tcBorders>
                    <w:top w:val="nil"/>
                    <w:left w:val="single" w:color="000000" w:sz="4" w:space="0"/>
                    <w:bottom w:val="single" w:color="000000" w:sz="4" w:space="0"/>
                    <w:right w:val="single" w:color="000000" w:sz="4" w:space="0"/>
                  </w:tcBorders>
                </w:tcPr>
                <w:p w14:paraId="4846E9BC"/>
              </w:tc>
              <w:tc>
                <w:tcPr>
                  <w:tcW w:w="91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9EA05B">
                  <w:pPr>
                    <w:pStyle w:val="5"/>
                    <w:jc w:val="center"/>
                  </w:pPr>
                  <w:r>
                    <w:rPr>
                      <w:rFonts w:ascii="仿宋_GB2312" w:hAnsi="仿宋_GB2312" w:eastAsia="仿宋_GB2312" w:cs="仿宋_GB2312"/>
                      <w:sz w:val="21"/>
                    </w:rPr>
                    <w:t>应用系统代码维护</w:t>
                  </w:r>
                </w:p>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BEE9767">
                  <w:pPr>
                    <w:pStyle w:val="5"/>
                    <w:ind w:left="75" w:right="135"/>
                    <w:jc w:val="both"/>
                  </w:pPr>
                  <w:r>
                    <w:rPr>
                      <w:rFonts w:ascii="仿宋_GB2312" w:hAnsi="仿宋_GB2312" w:eastAsia="仿宋_GB2312" w:cs="仿宋_GB2312"/>
                      <w:sz w:val="21"/>
                    </w:rPr>
                    <w:t>缺陷修复维护</w:t>
                  </w:r>
                </w:p>
              </w:tc>
            </w:tr>
            <w:tr w14:paraId="589232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43A9BCA7"/>
              </w:tc>
              <w:tc>
                <w:tcPr>
                  <w:tcW w:w="537" w:type="dxa"/>
                  <w:vMerge w:val="continue"/>
                  <w:tcBorders>
                    <w:top w:val="nil"/>
                    <w:left w:val="single" w:color="000000" w:sz="4" w:space="0"/>
                    <w:bottom w:val="single" w:color="000000" w:sz="4" w:space="0"/>
                    <w:right w:val="single" w:color="000000" w:sz="4" w:space="0"/>
                  </w:tcBorders>
                </w:tcPr>
                <w:p w14:paraId="7040FEBA"/>
              </w:tc>
              <w:tc>
                <w:tcPr>
                  <w:tcW w:w="916" w:type="dxa"/>
                  <w:vMerge w:val="continue"/>
                  <w:tcBorders>
                    <w:top w:val="nil"/>
                    <w:left w:val="single" w:color="000000" w:sz="4" w:space="0"/>
                    <w:bottom w:val="single" w:color="000000" w:sz="4" w:space="0"/>
                    <w:right w:val="single" w:color="000000" w:sz="4" w:space="0"/>
                  </w:tcBorders>
                </w:tcPr>
                <w:p w14:paraId="26813B43"/>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BDCC26">
                  <w:pPr>
                    <w:pStyle w:val="5"/>
                    <w:ind w:left="75" w:right="135"/>
                    <w:jc w:val="both"/>
                  </w:pPr>
                  <w:r>
                    <w:rPr>
                      <w:rFonts w:ascii="仿宋_GB2312" w:hAnsi="仿宋_GB2312" w:eastAsia="仿宋_GB2312" w:cs="仿宋_GB2312"/>
                      <w:sz w:val="21"/>
                    </w:rPr>
                    <w:t>适应性维护</w:t>
                  </w:r>
                </w:p>
              </w:tc>
            </w:tr>
            <w:tr w14:paraId="3EA93F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297461AB"/>
              </w:tc>
              <w:tc>
                <w:tcPr>
                  <w:tcW w:w="537" w:type="dxa"/>
                  <w:vMerge w:val="continue"/>
                  <w:tcBorders>
                    <w:top w:val="nil"/>
                    <w:left w:val="single" w:color="000000" w:sz="4" w:space="0"/>
                    <w:bottom w:val="single" w:color="000000" w:sz="4" w:space="0"/>
                    <w:right w:val="single" w:color="000000" w:sz="4" w:space="0"/>
                  </w:tcBorders>
                </w:tcPr>
                <w:p w14:paraId="7185897C"/>
              </w:tc>
              <w:tc>
                <w:tcPr>
                  <w:tcW w:w="916" w:type="dxa"/>
                  <w:vMerge w:val="continue"/>
                  <w:tcBorders>
                    <w:top w:val="nil"/>
                    <w:left w:val="single" w:color="000000" w:sz="4" w:space="0"/>
                    <w:bottom w:val="single" w:color="000000" w:sz="4" w:space="0"/>
                    <w:right w:val="single" w:color="000000" w:sz="4" w:space="0"/>
                  </w:tcBorders>
                </w:tcPr>
                <w:p w14:paraId="3CB11486"/>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5C0DF9">
                  <w:pPr>
                    <w:pStyle w:val="5"/>
                    <w:ind w:left="75" w:right="135"/>
                    <w:jc w:val="both"/>
                  </w:pPr>
                  <w:r>
                    <w:rPr>
                      <w:rFonts w:ascii="仿宋_GB2312" w:hAnsi="仿宋_GB2312" w:eastAsia="仿宋_GB2312" w:cs="仿宋_GB2312"/>
                      <w:sz w:val="21"/>
                    </w:rPr>
                    <w:t>完善性维护</w:t>
                  </w:r>
                </w:p>
              </w:tc>
            </w:tr>
            <w:tr w14:paraId="7AE7C7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86EBD3">
                  <w:pPr>
                    <w:pStyle w:val="5"/>
                    <w:jc w:val="center"/>
                  </w:pPr>
                  <w:r>
                    <w:rPr>
                      <w:rFonts w:ascii="仿宋_GB2312" w:hAnsi="仿宋_GB2312" w:eastAsia="仿宋_GB2312" w:cs="仿宋_GB2312"/>
                      <w:sz w:val="21"/>
                    </w:rPr>
                    <w:t>2</w:t>
                  </w:r>
                </w:p>
              </w:tc>
              <w:tc>
                <w:tcPr>
                  <w:tcW w:w="53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A05CF2">
                  <w:pPr>
                    <w:pStyle w:val="5"/>
                    <w:jc w:val="center"/>
                  </w:pPr>
                  <w:r>
                    <w:rPr>
                      <w:rFonts w:ascii="仿宋_GB2312" w:hAnsi="仿宋_GB2312" w:eastAsia="仿宋_GB2312" w:cs="仿宋_GB2312"/>
                      <w:sz w:val="21"/>
                    </w:rPr>
                    <w:t>应用数据</w:t>
                  </w:r>
                </w:p>
                <w:p w14:paraId="54291E9C">
                  <w:pPr>
                    <w:pStyle w:val="5"/>
                    <w:jc w:val="center"/>
                  </w:pPr>
                  <w:r>
                    <w:rPr>
                      <w:rFonts w:ascii="仿宋_GB2312" w:hAnsi="仿宋_GB2312" w:eastAsia="仿宋_GB2312" w:cs="仿宋_GB2312"/>
                      <w:sz w:val="21"/>
                    </w:rPr>
                    <w:t>运维</w:t>
                  </w:r>
                </w:p>
              </w:tc>
              <w:tc>
                <w:tcPr>
                  <w:tcW w:w="91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8494B6">
                  <w:pPr>
                    <w:pStyle w:val="5"/>
                    <w:jc w:val="center"/>
                  </w:pPr>
                  <w:r>
                    <w:rPr>
                      <w:rFonts w:ascii="仿宋_GB2312" w:hAnsi="仿宋_GB2312" w:eastAsia="仿宋_GB2312" w:cs="仿宋_GB2312"/>
                      <w:sz w:val="21"/>
                    </w:rPr>
                    <w:t>数据库运维</w:t>
                  </w:r>
                </w:p>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46F3AC">
                  <w:pPr>
                    <w:pStyle w:val="5"/>
                    <w:ind w:left="75" w:right="135"/>
                    <w:jc w:val="both"/>
                  </w:pPr>
                  <w:r>
                    <w:rPr>
                      <w:rFonts w:ascii="仿宋_GB2312" w:hAnsi="仿宋_GB2312" w:eastAsia="仿宋_GB2312" w:cs="仿宋_GB2312"/>
                      <w:sz w:val="21"/>
                    </w:rPr>
                    <w:t>数据库补丁</w:t>
                  </w:r>
                </w:p>
              </w:tc>
            </w:tr>
            <w:tr w14:paraId="4D4F49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33FE27B9"/>
              </w:tc>
              <w:tc>
                <w:tcPr>
                  <w:tcW w:w="537" w:type="dxa"/>
                  <w:vMerge w:val="continue"/>
                  <w:tcBorders>
                    <w:top w:val="nil"/>
                    <w:left w:val="single" w:color="000000" w:sz="4" w:space="0"/>
                    <w:bottom w:val="single" w:color="000000" w:sz="4" w:space="0"/>
                    <w:right w:val="single" w:color="000000" w:sz="4" w:space="0"/>
                  </w:tcBorders>
                </w:tcPr>
                <w:p w14:paraId="1DDDB42B"/>
              </w:tc>
              <w:tc>
                <w:tcPr>
                  <w:tcW w:w="916" w:type="dxa"/>
                  <w:vMerge w:val="continue"/>
                  <w:tcBorders>
                    <w:top w:val="nil"/>
                    <w:left w:val="single" w:color="000000" w:sz="4" w:space="0"/>
                    <w:bottom w:val="single" w:color="000000" w:sz="4" w:space="0"/>
                    <w:right w:val="single" w:color="000000" w:sz="4" w:space="0"/>
                  </w:tcBorders>
                </w:tcPr>
                <w:p w14:paraId="31BC99E0"/>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126700">
                  <w:pPr>
                    <w:pStyle w:val="5"/>
                    <w:ind w:left="75" w:right="135"/>
                    <w:jc w:val="both"/>
                  </w:pPr>
                  <w:r>
                    <w:rPr>
                      <w:rFonts w:ascii="仿宋_GB2312" w:hAnsi="仿宋_GB2312" w:eastAsia="仿宋_GB2312" w:cs="仿宋_GB2312"/>
                      <w:sz w:val="21"/>
                    </w:rPr>
                    <w:t>数据库应急恢复</w:t>
                  </w:r>
                </w:p>
              </w:tc>
            </w:tr>
            <w:tr w14:paraId="3159F5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1D7A80A7"/>
              </w:tc>
              <w:tc>
                <w:tcPr>
                  <w:tcW w:w="537" w:type="dxa"/>
                  <w:vMerge w:val="continue"/>
                  <w:tcBorders>
                    <w:top w:val="nil"/>
                    <w:left w:val="single" w:color="000000" w:sz="4" w:space="0"/>
                    <w:bottom w:val="single" w:color="000000" w:sz="4" w:space="0"/>
                    <w:right w:val="single" w:color="000000" w:sz="4" w:space="0"/>
                  </w:tcBorders>
                </w:tcPr>
                <w:p w14:paraId="6C33EBF7"/>
              </w:tc>
              <w:tc>
                <w:tcPr>
                  <w:tcW w:w="916" w:type="dxa"/>
                  <w:vMerge w:val="continue"/>
                  <w:tcBorders>
                    <w:top w:val="nil"/>
                    <w:left w:val="single" w:color="000000" w:sz="4" w:space="0"/>
                    <w:bottom w:val="single" w:color="000000" w:sz="4" w:space="0"/>
                    <w:right w:val="single" w:color="000000" w:sz="4" w:space="0"/>
                  </w:tcBorders>
                </w:tcPr>
                <w:p w14:paraId="1E2D9BB2"/>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66DC3D">
                  <w:pPr>
                    <w:pStyle w:val="5"/>
                    <w:ind w:left="75" w:right="135"/>
                    <w:jc w:val="both"/>
                  </w:pPr>
                  <w:r>
                    <w:rPr>
                      <w:rFonts w:ascii="仿宋_GB2312" w:hAnsi="仿宋_GB2312" w:eastAsia="仿宋_GB2312" w:cs="仿宋_GB2312"/>
                      <w:sz w:val="21"/>
                    </w:rPr>
                    <w:t>数据接口服务</w:t>
                  </w:r>
                </w:p>
              </w:tc>
            </w:tr>
            <w:tr w14:paraId="2C602F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1C794BFD"/>
              </w:tc>
              <w:tc>
                <w:tcPr>
                  <w:tcW w:w="537" w:type="dxa"/>
                  <w:vMerge w:val="continue"/>
                  <w:tcBorders>
                    <w:top w:val="nil"/>
                    <w:left w:val="single" w:color="000000" w:sz="4" w:space="0"/>
                    <w:bottom w:val="single" w:color="000000" w:sz="4" w:space="0"/>
                    <w:right w:val="single" w:color="000000" w:sz="4" w:space="0"/>
                  </w:tcBorders>
                </w:tcPr>
                <w:p w14:paraId="1BEACE7C"/>
              </w:tc>
              <w:tc>
                <w:tcPr>
                  <w:tcW w:w="916" w:type="dxa"/>
                  <w:vMerge w:val="continue"/>
                  <w:tcBorders>
                    <w:top w:val="nil"/>
                    <w:left w:val="single" w:color="000000" w:sz="4" w:space="0"/>
                    <w:bottom w:val="single" w:color="000000" w:sz="4" w:space="0"/>
                    <w:right w:val="single" w:color="000000" w:sz="4" w:space="0"/>
                  </w:tcBorders>
                </w:tcPr>
                <w:p w14:paraId="64064D89"/>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0F0BE4">
                  <w:pPr>
                    <w:pStyle w:val="5"/>
                    <w:ind w:left="75" w:right="135"/>
                    <w:jc w:val="both"/>
                  </w:pPr>
                  <w:r>
                    <w:rPr>
                      <w:rFonts w:ascii="仿宋_GB2312" w:hAnsi="仿宋_GB2312" w:eastAsia="仿宋_GB2312" w:cs="仿宋_GB2312"/>
                      <w:sz w:val="21"/>
                    </w:rPr>
                    <w:t>数据库定期巡检</w:t>
                  </w:r>
                </w:p>
              </w:tc>
            </w:tr>
            <w:tr w14:paraId="1FBC96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38A20F12"/>
              </w:tc>
              <w:tc>
                <w:tcPr>
                  <w:tcW w:w="537" w:type="dxa"/>
                  <w:vMerge w:val="continue"/>
                  <w:tcBorders>
                    <w:top w:val="nil"/>
                    <w:left w:val="single" w:color="000000" w:sz="4" w:space="0"/>
                    <w:bottom w:val="single" w:color="000000" w:sz="4" w:space="0"/>
                    <w:right w:val="single" w:color="000000" w:sz="4" w:space="0"/>
                  </w:tcBorders>
                </w:tcPr>
                <w:p w14:paraId="46A4AFC8"/>
              </w:tc>
              <w:tc>
                <w:tcPr>
                  <w:tcW w:w="916" w:type="dxa"/>
                  <w:vMerge w:val="continue"/>
                  <w:tcBorders>
                    <w:top w:val="nil"/>
                    <w:left w:val="single" w:color="000000" w:sz="4" w:space="0"/>
                    <w:bottom w:val="single" w:color="000000" w:sz="4" w:space="0"/>
                    <w:right w:val="single" w:color="000000" w:sz="4" w:space="0"/>
                  </w:tcBorders>
                </w:tcPr>
                <w:p w14:paraId="52C46AAE"/>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739B4D">
                  <w:pPr>
                    <w:pStyle w:val="5"/>
                    <w:ind w:left="75" w:right="135"/>
                    <w:jc w:val="both"/>
                  </w:pPr>
                  <w:r>
                    <w:rPr>
                      <w:rFonts w:ascii="仿宋_GB2312" w:hAnsi="仿宋_GB2312" w:eastAsia="仿宋_GB2312" w:cs="仿宋_GB2312"/>
                      <w:sz w:val="21"/>
                    </w:rPr>
                    <w:t>数据库故障分析</w:t>
                  </w:r>
                </w:p>
              </w:tc>
            </w:tr>
            <w:tr w14:paraId="626412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23DE45F5"/>
              </w:tc>
              <w:tc>
                <w:tcPr>
                  <w:tcW w:w="537" w:type="dxa"/>
                  <w:vMerge w:val="continue"/>
                  <w:tcBorders>
                    <w:top w:val="nil"/>
                    <w:left w:val="single" w:color="000000" w:sz="4" w:space="0"/>
                    <w:bottom w:val="single" w:color="000000" w:sz="4" w:space="0"/>
                    <w:right w:val="single" w:color="000000" w:sz="4" w:space="0"/>
                  </w:tcBorders>
                </w:tcPr>
                <w:p w14:paraId="5192CA99"/>
              </w:tc>
              <w:tc>
                <w:tcPr>
                  <w:tcW w:w="91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928208">
                  <w:pPr>
                    <w:pStyle w:val="5"/>
                    <w:jc w:val="center"/>
                  </w:pPr>
                  <w:r>
                    <w:rPr>
                      <w:rFonts w:ascii="仿宋_GB2312" w:hAnsi="仿宋_GB2312" w:eastAsia="仿宋_GB2312" w:cs="仿宋_GB2312"/>
                      <w:sz w:val="21"/>
                    </w:rPr>
                    <w:t>数据维护</w:t>
                  </w:r>
                </w:p>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1A933E">
                  <w:pPr>
                    <w:pStyle w:val="5"/>
                    <w:ind w:left="75" w:right="135"/>
                    <w:jc w:val="both"/>
                  </w:pPr>
                  <w:r>
                    <w:rPr>
                      <w:rFonts w:ascii="仿宋_GB2312" w:hAnsi="仿宋_GB2312" w:eastAsia="仿宋_GB2312" w:cs="仿宋_GB2312"/>
                      <w:sz w:val="21"/>
                    </w:rPr>
                    <w:t>数据更新运维</w:t>
                  </w:r>
                </w:p>
              </w:tc>
            </w:tr>
            <w:tr w14:paraId="2CB28C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4BEC8D38"/>
              </w:tc>
              <w:tc>
                <w:tcPr>
                  <w:tcW w:w="537" w:type="dxa"/>
                  <w:vMerge w:val="continue"/>
                  <w:tcBorders>
                    <w:top w:val="nil"/>
                    <w:left w:val="single" w:color="000000" w:sz="4" w:space="0"/>
                    <w:bottom w:val="single" w:color="000000" w:sz="4" w:space="0"/>
                    <w:right w:val="single" w:color="000000" w:sz="4" w:space="0"/>
                  </w:tcBorders>
                </w:tcPr>
                <w:p w14:paraId="35DCA1EB"/>
              </w:tc>
              <w:tc>
                <w:tcPr>
                  <w:tcW w:w="916" w:type="dxa"/>
                  <w:vMerge w:val="continue"/>
                  <w:tcBorders>
                    <w:top w:val="nil"/>
                    <w:left w:val="single" w:color="000000" w:sz="4" w:space="0"/>
                    <w:bottom w:val="single" w:color="000000" w:sz="4" w:space="0"/>
                    <w:right w:val="single" w:color="000000" w:sz="4" w:space="0"/>
                  </w:tcBorders>
                </w:tcPr>
                <w:p w14:paraId="3D3C32EA"/>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32F9E9">
                  <w:pPr>
                    <w:pStyle w:val="5"/>
                    <w:ind w:left="75" w:right="135"/>
                    <w:jc w:val="both"/>
                  </w:pPr>
                  <w:r>
                    <w:rPr>
                      <w:rFonts w:ascii="仿宋_GB2312" w:hAnsi="仿宋_GB2312" w:eastAsia="仿宋_GB2312" w:cs="仿宋_GB2312"/>
                      <w:sz w:val="21"/>
                    </w:rPr>
                    <w:t>异常数据日常运维</w:t>
                  </w:r>
                </w:p>
              </w:tc>
            </w:tr>
            <w:tr w14:paraId="2831ED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28DA0EFD"/>
              </w:tc>
              <w:tc>
                <w:tcPr>
                  <w:tcW w:w="537" w:type="dxa"/>
                  <w:vMerge w:val="continue"/>
                  <w:tcBorders>
                    <w:top w:val="nil"/>
                    <w:left w:val="single" w:color="000000" w:sz="4" w:space="0"/>
                    <w:bottom w:val="single" w:color="000000" w:sz="4" w:space="0"/>
                    <w:right w:val="single" w:color="000000" w:sz="4" w:space="0"/>
                  </w:tcBorders>
                </w:tcPr>
                <w:p w14:paraId="4559DABC"/>
              </w:tc>
              <w:tc>
                <w:tcPr>
                  <w:tcW w:w="916" w:type="dxa"/>
                  <w:vMerge w:val="continue"/>
                  <w:tcBorders>
                    <w:top w:val="nil"/>
                    <w:left w:val="single" w:color="000000" w:sz="4" w:space="0"/>
                    <w:bottom w:val="single" w:color="000000" w:sz="4" w:space="0"/>
                    <w:right w:val="single" w:color="000000" w:sz="4" w:space="0"/>
                  </w:tcBorders>
                </w:tcPr>
                <w:p w14:paraId="68F43E9D"/>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5F0399">
                  <w:pPr>
                    <w:pStyle w:val="5"/>
                    <w:ind w:left="75" w:right="135"/>
                    <w:jc w:val="both"/>
                  </w:pPr>
                  <w:r>
                    <w:rPr>
                      <w:rFonts w:ascii="仿宋_GB2312" w:hAnsi="仿宋_GB2312" w:eastAsia="仿宋_GB2312" w:cs="仿宋_GB2312"/>
                      <w:sz w:val="21"/>
                    </w:rPr>
                    <w:t>历史错误数据运维</w:t>
                  </w:r>
                </w:p>
              </w:tc>
            </w:tr>
            <w:tr w14:paraId="7C6D58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6B5DDEBF"/>
              </w:tc>
              <w:tc>
                <w:tcPr>
                  <w:tcW w:w="537" w:type="dxa"/>
                  <w:vMerge w:val="continue"/>
                  <w:tcBorders>
                    <w:top w:val="nil"/>
                    <w:left w:val="single" w:color="000000" w:sz="4" w:space="0"/>
                    <w:bottom w:val="single" w:color="000000" w:sz="4" w:space="0"/>
                    <w:right w:val="single" w:color="000000" w:sz="4" w:space="0"/>
                  </w:tcBorders>
                </w:tcPr>
                <w:p w14:paraId="25872396"/>
              </w:tc>
              <w:tc>
                <w:tcPr>
                  <w:tcW w:w="916" w:type="dxa"/>
                  <w:vMerge w:val="continue"/>
                  <w:tcBorders>
                    <w:top w:val="nil"/>
                    <w:left w:val="single" w:color="000000" w:sz="4" w:space="0"/>
                    <w:bottom w:val="single" w:color="000000" w:sz="4" w:space="0"/>
                    <w:right w:val="single" w:color="000000" w:sz="4" w:space="0"/>
                  </w:tcBorders>
                </w:tcPr>
                <w:p w14:paraId="1837FAA1"/>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0F3EB7">
                  <w:pPr>
                    <w:pStyle w:val="5"/>
                    <w:ind w:left="75" w:right="135"/>
                    <w:jc w:val="both"/>
                  </w:pPr>
                  <w:r>
                    <w:rPr>
                      <w:rFonts w:ascii="仿宋_GB2312" w:hAnsi="仿宋_GB2312" w:eastAsia="仿宋_GB2312" w:cs="仿宋_GB2312"/>
                      <w:sz w:val="21"/>
                    </w:rPr>
                    <w:t>数据共享运维</w:t>
                  </w:r>
                </w:p>
              </w:tc>
            </w:tr>
            <w:tr w14:paraId="2BA5FA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066C803F"/>
              </w:tc>
              <w:tc>
                <w:tcPr>
                  <w:tcW w:w="537" w:type="dxa"/>
                  <w:vMerge w:val="continue"/>
                  <w:tcBorders>
                    <w:top w:val="nil"/>
                    <w:left w:val="single" w:color="000000" w:sz="4" w:space="0"/>
                    <w:bottom w:val="single" w:color="000000" w:sz="4" w:space="0"/>
                    <w:right w:val="single" w:color="000000" w:sz="4" w:space="0"/>
                  </w:tcBorders>
                </w:tcPr>
                <w:p w14:paraId="700E9836"/>
              </w:tc>
              <w:tc>
                <w:tcPr>
                  <w:tcW w:w="916" w:type="dxa"/>
                  <w:vMerge w:val="continue"/>
                  <w:tcBorders>
                    <w:top w:val="nil"/>
                    <w:left w:val="single" w:color="000000" w:sz="4" w:space="0"/>
                    <w:bottom w:val="single" w:color="000000" w:sz="4" w:space="0"/>
                    <w:right w:val="single" w:color="000000" w:sz="4" w:space="0"/>
                  </w:tcBorders>
                </w:tcPr>
                <w:p w14:paraId="36F99600"/>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96636F">
                  <w:pPr>
                    <w:pStyle w:val="5"/>
                    <w:ind w:left="75" w:right="135"/>
                    <w:jc w:val="both"/>
                  </w:pPr>
                  <w:r>
                    <w:rPr>
                      <w:rFonts w:ascii="仿宋_GB2312" w:hAnsi="仿宋_GB2312" w:eastAsia="仿宋_GB2312" w:cs="仿宋_GB2312"/>
                      <w:sz w:val="21"/>
                    </w:rPr>
                    <w:t>数据安全运维</w:t>
                  </w:r>
                </w:p>
              </w:tc>
            </w:tr>
            <w:tr w14:paraId="3682E9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52197007"/>
              </w:tc>
              <w:tc>
                <w:tcPr>
                  <w:tcW w:w="537" w:type="dxa"/>
                  <w:vMerge w:val="continue"/>
                  <w:tcBorders>
                    <w:top w:val="nil"/>
                    <w:left w:val="single" w:color="000000" w:sz="4" w:space="0"/>
                    <w:bottom w:val="single" w:color="000000" w:sz="4" w:space="0"/>
                    <w:right w:val="single" w:color="000000" w:sz="4" w:space="0"/>
                  </w:tcBorders>
                </w:tcPr>
                <w:p w14:paraId="068F08CE"/>
              </w:tc>
              <w:tc>
                <w:tcPr>
                  <w:tcW w:w="916" w:type="dxa"/>
                  <w:vMerge w:val="continue"/>
                  <w:tcBorders>
                    <w:top w:val="nil"/>
                    <w:left w:val="single" w:color="000000" w:sz="4" w:space="0"/>
                    <w:bottom w:val="single" w:color="000000" w:sz="4" w:space="0"/>
                    <w:right w:val="single" w:color="000000" w:sz="4" w:space="0"/>
                  </w:tcBorders>
                </w:tcPr>
                <w:p w14:paraId="3FE5F54C"/>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0D5B00">
                  <w:pPr>
                    <w:pStyle w:val="5"/>
                    <w:ind w:left="75" w:right="135"/>
                    <w:jc w:val="both"/>
                  </w:pPr>
                  <w:r>
                    <w:rPr>
                      <w:rFonts w:ascii="仿宋_GB2312" w:hAnsi="仿宋_GB2312" w:eastAsia="仿宋_GB2312" w:cs="仿宋_GB2312"/>
                      <w:sz w:val="21"/>
                    </w:rPr>
                    <w:t>数据清洗</w:t>
                  </w:r>
                </w:p>
              </w:tc>
            </w:tr>
            <w:tr w14:paraId="471BAE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3A12D98C"/>
              </w:tc>
              <w:tc>
                <w:tcPr>
                  <w:tcW w:w="537" w:type="dxa"/>
                  <w:vMerge w:val="continue"/>
                  <w:tcBorders>
                    <w:top w:val="nil"/>
                    <w:left w:val="single" w:color="000000" w:sz="4" w:space="0"/>
                    <w:bottom w:val="single" w:color="000000" w:sz="4" w:space="0"/>
                    <w:right w:val="single" w:color="000000" w:sz="4" w:space="0"/>
                  </w:tcBorders>
                </w:tcPr>
                <w:p w14:paraId="676E6104"/>
              </w:tc>
              <w:tc>
                <w:tcPr>
                  <w:tcW w:w="916" w:type="dxa"/>
                  <w:vMerge w:val="continue"/>
                  <w:tcBorders>
                    <w:top w:val="nil"/>
                    <w:left w:val="single" w:color="000000" w:sz="4" w:space="0"/>
                    <w:bottom w:val="single" w:color="000000" w:sz="4" w:space="0"/>
                    <w:right w:val="single" w:color="000000" w:sz="4" w:space="0"/>
                  </w:tcBorders>
                </w:tcPr>
                <w:p w14:paraId="29D72FCD"/>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60755C">
                  <w:pPr>
                    <w:pStyle w:val="5"/>
                    <w:ind w:left="75" w:right="135"/>
                    <w:jc w:val="both"/>
                  </w:pPr>
                  <w:r>
                    <w:rPr>
                      <w:rFonts w:ascii="仿宋_GB2312" w:hAnsi="仿宋_GB2312" w:eastAsia="仿宋_GB2312" w:cs="仿宋_GB2312"/>
                      <w:sz w:val="21"/>
                    </w:rPr>
                    <w:t>数据巡检</w:t>
                  </w:r>
                </w:p>
              </w:tc>
            </w:tr>
            <w:tr w14:paraId="1AAEE1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30683159"/>
              </w:tc>
              <w:tc>
                <w:tcPr>
                  <w:tcW w:w="537" w:type="dxa"/>
                  <w:vMerge w:val="continue"/>
                  <w:tcBorders>
                    <w:top w:val="nil"/>
                    <w:left w:val="single" w:color="000000" w:sz="4" w:space="0"/>
                    <w:bottom w:val="single" w:color="000000" w:sz="4" w:space="0"/>
                    <w:right w:val="single" w:color="000000" w:sz="4" w:space="0"/>
                  </w:tcBorders>
                </w:tcPr>
                <w:p w14:paraId="60A5F4C9"/>
              </w:tc>
              <w:tc>
                <w:tcPr>
                  <w:tcW w:w="916" w:type="dxa"/>
                  <w:vMerge w:val="continue"/>
                  <w:tcBorders>
                    <w:top w:val="nil"/>
                    <w:left w:val="single" w:color="000000" w:sz="4" w:space="0"/>
                    <w:bottom w:val="single" w:color="000000" w:sz="4" w:space="0"/>
                    <w:right w:val="single" w:color="000000" w:sz="4" w:space="0"/>
                  </w:tcBorders>
                </w:tcPr>
                <w:p w14:paraId="3997D9F1"/>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62290F">
                  <w:pPr>
                    <w:pStyle w:val="5"/>
                    <w:ind w:left="75" w:right="135"/>
                    <w:jc w:val="both"/>
                  </w:pPr>
                  <w:r>
                    <w:rPr>
                      <w:rFonts w:ascii="仿宋_GB2312" w:hAnsi="仿宋_GB2312" w:eastAsia="仿宋_GB2312" w:cs="仿宋_GB2312"/>
                      <w:sz w:val="21"/>
                    </w:rPr>
                    <w:t>数据质量评估优化</w:t>
                  </w:r>
                </w:p>
              </w:tc>
            </w:tr>
            <w:tr w14:paraId="2D4345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3F60C4D4"/>
              </w:tc>
              <w:tc>
                <w:tcPr>
                  <w:tcW w:w="537" w:type="dxa"/>
                  <w:vMerge w:val="continue"/>
                  <w:tcBorders>
                    <w:top w:val="nil"/>
                    <w:left w:val="single" w:color="000000" w:sz="4" w:space="0"/>
                    <w:bottom w:val="single" w:color="000000" w:sz="4" w:space="0"/>
                    <w:right w:val="single" w:color="000000" w:sz="4" w:space="0"/>
                  </w:tcBorders>
                </w:tcPr>
                <w:p w14:paraId="7B0BAC30"/>
              </w:tc>
              <w:tc>
                <w:tcPr>
                  <w:tcW w:w="916" w:type="dxa"/>
                  <w:vMerge w:val="continue"/>
                  <w:tcBorders>
                    <w:top w:val="nil"/>
                    <w:left w:val="single" w:color="000000" w:sz="4" w:space="0"/>
                    <w:bottom w:val="single" w:color="000000" w:sz="4" w:space="0"/>
                    <w:right w:val="single" w:color="000000" w:sz="4" w:space="0"/>
                  </w:tcBorders>
                </w:tcPr>
                <w:p w14:paraId="6BEC046A"/>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536483">
                  <w:pPr>
                    <w:pStyle w:val="5"/>
                    <w:ind w:left="75" w:right="135"/>
                    <w:jc w:val="both"/>
                  </w:pPr>
                  <w:r>
                    <w:rPr>
                      <w:rFonts w:ascii="仿宋_GB2312" w:hAnsi="仿宋_GB2312" w:eastAsia="仿宋_GB2312" w:cs="仿宋_GB2312"/>
                      <w:sz w:val="21"/>
                    </w:rPr>
                    <w:t>数据库备份策略优化</w:t>
                  </w:r>
                </w:p>
              </w:tc>
            </w:tr>
            <w:tr w14:paraId="19A996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47D19978"/>
              </w:tc>
              <w:tc>
                <w:tcPr>
                  <w:tcW w:w="537" w:type="dxa"/>
                  <w:vMerge w:val="continue"/>
                  <w:tcBorders>
                    <w:top w:val="nil"/>
                    <w:left w:val="single" w:color="000000" w:sz="4" w:space="0"/>
                    <w:bottom w:val="single" w:color="000000" w:sz="4" w:space="0"/>
                    <w:right w:val="single" w:color="000000" w:sz="4" w:space="0"/>
                  </w:tcBorders>
                </w:tcPr>
                <w:p w14:paraId="19C96592"/>
              </w:tc>
              <w:tc>
                <w:tcPr>
                  <w:tcW w:w="9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560C2B">
                  <w:pPr>
                    <w:pStyle w:val="5"/>
                    <w:jc w:val="center"/>
                  </w:pPr>
                  <w:r>
                    <w:rPr>
                      <w:rFonts w:ascii="仿宋_GB2312" w:hAnsi="仿宋_GB2312" w:eastAsia="仿宋_GB2312" w:cs="仿宋_GB2312"/>
                      <w:sz w:val="21"/>
                    </w:rPr>
                    <w:t>算法维护</w:t>
                  </w:r>
                </w:p>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037012">
                  <w:pPr>
                    <w:pStyle w:val="5"/>
                    <w:ind w:left="75" w:right="135"/>
                    <w:jc w:val="both"/>
                  </w:pPr>
                  <w:r>
                    <w:rPr>
                      <w:rFonts w:ascii="仿宋_GB2312" w:hAnsi="仿宋_GB2312" w:eastAsia="仿宋_GB2312" w:cs="仿宋_GB2312"/>
                      <w:sz w:val="21"/>
                    </w:rPr>
                    <w:t>AI智能中台算法维护</w:t>
                  </w:r>
                </w:p>
              </w:tc>
            </w:tr>
            <w:tr w14:paraId="245690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82A8B9">
                  <w:pPr>
                    <w:pStyle w:val="5"/>
                    <w:jc w:val="center"/>
                  </w:pPr>
                  <w:r>
                    <w:rPr>
                      <w:rFonts w:ascii="仿宋_GB2312" w:hAnsi="仿宋_GB2312" w:eastAsia="仿宋_GB2312" w:cs="仿宋_GB2312"/>
                      <w:sz w:val="21"/>
                    </w:rPr>
                    <w:t>3</w:t>
                  </w:r>
                </w:p>
              </w:tc>
              <w:tc>
                <w:tcPr>
                  <w:tcW w:w="53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6089D3">
                  <w:pPr>
                    <w:pStyle w:val="5"/>
                    <w:jc w:val="center"/>
                  </w:pPr>
                  <w:r>
                    <w:rPr>
                      <w:rFonts w:ascii="仿宋_GB2312" w:hAnsi="仿宋_GB2312" w:eastAsia="仿宋_GB2312" w:cs="仿宋_GB2312"/>
                      <w:sz w:val="21"/>
                    </w:rPr>
                    <w:t>应用平台数据运营服务</w:t>
                  </w:r>
                </w:p>
              </w:tc>
              <w:tc>
                <w:tcPr>
                  <w:tcW w:w="91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EABB6E">
                  <w:pPr>
                    <w:pStyle w:val="5"/>
                    <w:jc w:val="center"/>
                  </w:pPr>
                  <w:r>
                    <w:rPr>
                      <w:rFonts w:ascii="仿宋_GB2312" w:hAnsi="仿宋_GB2312" w:eastAsia="仿宋_GB2312" w:cs="仿宋_GB2312"/>
                      <w:sz w:val="21"/>
                    </w:rPr>
                    <w:t>数据汇聚管理</w:t>
                  </w:r>
                </w:p>
                <w:p w14:paraId="3FD2E3E7">
                  <w:pPr>
                    <w:pStyle w:val="5"/>
                    <w:jc w:val="center"/>
                  </w:pPr>
                </w:p>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D7CF3E">
                  <w:pPr>
                    <w:pStyle w:val="5"/>
                    <w:jc w:val="both"/>
                  </w:pPr>
                  <w:r>
                    <w:rPr>
                      <w:rFonts w:ascii="仿宋_GB2312" w:hAnsi="仿宋_GB2312" w:eastAsia="仿宋_GB2312" w:cs="仿宋_GB2312"/>
                      <w:sz w:val="21"/>
                    </w:rPr>
                    <w:t>数据源管理</w:t>
                  </w:r>
                </w:p>
              </w:tc>
            </w:tr>
            <w:tr w14:paraId="39F01C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59D833C9"/>
              </w:tc>
              <w:tc>
                <w:tcPr>
                  <w:tcW w:w="537" w:type="dxa"/>
                  <w:vMerge w:val="continue"/>
                  <w:tcBorders>
                    <w:top w:val="nil"/>
                    <w:left w:val="single" w:color="000000" w:sz="4" w:space="0"/>
                    <w:bottom w:val="single" w:color="000000" w:sz="4" w:space="0"/>
                    <w:right w:val="single" w:color="000000" w:sz="4" w:space="0"/>
                  </w:tcBorders>
                </w:tcPr>
                <w:p w14:paraId="28F7E2FA"/>
              </w:tc>
              <w:tc>
                <w:tcPr>
                  <w:tcW w:w="916" w:type="dxa"/>
                  <w:vMerge w:val="continue"/>
                  <w:tcBorders>
                    <w:top w:val="nil"/>
                    <w:left w:val="single" w:color="000000" w:sz="4" w:space="0"/>
                    <w:bottom w:val="single" w:color="000000" w:sz="4" w:space="0"/>
                    <w:right w:val="single" w:color="000000" w:sz="4" w:space="0"/>
                  </w:tcBorders>
                </w:tcPr>
                <w:p w14:paraId="41AE9CE1"/>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EBAF3B">
                  <w:pPr>
                    <w:pStyle w:val="5"/>
                    <w:ind w:left="75" w:right="135"/>
                    <w:jc w:val="both"/>
                  </w:pPr>
                  <w:r>
                    <w:rPr>
                      <w:rFonts w:ascii="仿宋_GB2312" w:hAnsi="仿宋_GB2312" w:eastAsia="仿宋_GB2312" w:cs="仿宋_GB2312"/>
                      <w:sz w:val="21"/>
                    </w:rPr>
                    <w:t>数据采集与接入</w:t>
                  </w:r>
                </w:p>
              </w:tc>
            </w:tr>
            <w:tr w14:paraId="39202C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364AFD77"/>
              </w:tc>
              <w:tc>
                <w:tcPr>
                  <w:tcW w:w="537" w:type="dxa"/>
                  <w:vMerge w:val="continue"/>
                  <w:tcBorders>
                    <w:top w:val="nil"/>
                    <w:left w:val="single" w:color="000000" w:sz="4" w:space="0"/>
                    <w:bottom w:val="single" w:color="000000" w:sz="4" w:space="0"/>
                    <w:right w:val="single" w:color="000000" w:sz="4" w:space="0"/>
                  </w:tcBorders>
                </w:tcPr>
                <w:p w14:paraId="11430AF9"/>
              </w:tc>
              <w:tc>
                <w:tcPr>
                  <w:tcW w:w="916" w:type="dxa"/>
                  <w:vMerge w:val="continue"/>
                  <w:tcBorders>
                    <w:top w:val="nil"/>
                    <w:left w:val="single" w:color="000000" w:sz="4" w:space="0"/>
                    <w:bottom w:val="single" w:color="000000" w:sz="4" w:space="0"/>
                    <w:right w:val="single" w:color="000000" w:sz="4" w:space="0"/>
                  </w:tcBorders>
                </w:tcPr>
                <w:p w14:paraId="6B6FA863"/>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2B11FD">
                  <w:pPr>
                    <w:pStyle w:val="5"/>
                    <w:ind w:left="75" w:right="135"/>
                    <w:jc w:val="both"/>
                  </w:pPr>
                  <w:r>
                    <w:rPr>
                      <w:rFonts w:ascii="仿宋_GB2312" w:hAnsi="仿宋_GB2312" w:eastAsia="仿宋_GB2312" w:cs="仿宋_GB2312"/>
                      <w:sz w:val="21"/>
                    </w:rPr>
                    <w:t>数据清洗与转换</w:t>
                  </w:r>
                </w:p>
              </w:tc>
            </w:tr>
            <w:tr w14:paraId="6EC073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7231A399"/>
              </w:tc>
              <w:tc>
                <w:tcPr>
                  <w:tcW w:w="537" w:type="dxa"/>
                  <w:vMerge w:val="continue"/>
                  <w:tcBorders>
                    <w:top w:val="nil"/>
                    <w:left w:val="single" w:color="000000" w:sz="4" w:space="0"/>
                    <w:bottom w:val="single" w:color="000000" w:sz="4" w:space="0"/>
                    <w:right w:val="single" w:color="000000" w:sz="4" w:space="0"/>
                  </w:tcBorders>
                </w:tcPr>
                <w:p w14:paraId="22C4A145"/>
              </w:tc>
              <w:tc>
                <w:tcPr>
                  <w:tcW w:w="916" w:type="dxa"/>
                  <w:vMerge w:val="continue"/>
                  <w:tcBorders>
                    <w:top w:val="nil"/>
                    <w:left w:val="single" w:color="000000" w:sz="4" w:space="0"/>
                    <w:bottom w:val="single" w:color="000000" w:sz="4" w:space="0"/>
                    <w:right w:val="single" w:color="000000" w:sz="4" w:space="0"/>
                  </w:tcBorders>
                </w:tcPr>
                <w:p w14:paraId="14665724"/>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CFEE74">
                  <w:pPr>
                    <w:pStyle w:val="5"/>
                    <w:ind w:left="75" w:right="135"/>
                    <w:jc w:val="both"/>
                  </w:pPr>
                  <w:r>
                    <w:rPr>
                      <w:rFonts w:ascii="仿宋_GB2312" w:hAnsi="仿宋_GB2312" w:eastAsia="仿宋_GB2312" w:cs="仿宋_GB2312"/>
                      <w:sz w:val="21"/>
                    </w:rPr>
                    <w:t>数据存储与管理</w:t>
                  </w:r>
                </w:p>
              </w:tc>
            </w:tr>
            <w:tr w14:paraId="27D0AB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78A2ED64"/>
              </w:tc>
              <w:tc>
                <w:tcPr>
                  <w:tcW w:w="537" w:type="dxa"/>
                  <w:vMerge w:val="continue"/>
                  <w:tcBorders>
                    <w:top w:val="nil"/>
                    <w:left w:val="single" w:color="000000" w:sz="4" w:space="0"/>
                    <w:bottom w:val="single" w:color="000000" w:sz="4" w:space="0"/>
                    <w:right w:val="single" w:color="000000" w:sz="4" w:space="0"/>
                  </w:tcBorders>
                </w:tcPr>
                <w:p w14:paraId="48AFA32B"/>
              </w:tc>
              <w:tc>
                <w:tcPr>
                  <w:tcW w:w="916" w:type="dxa"/>
                  <w:vMerge w:val="continue"/>
                  <w:tcBorders>
                    <w:top w:val="nil"/>
                    <w:left w:val="single" w:color="000000" w:sz="4" w:space="0"/>
                    <w:bottom w:val="single" w:color="000000" w:sz="4" w:space="0"/>
                    <w:right w:val="single" w:color="000000" w:sz="4" w:space="0"/>
                  </w:tcBorders>
                </w:tcPr>
                <w:p w14:paraId="032BF4A3"/>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F1A7FD">
                  <w:pPr>
                    <w:pStyle w:val="5"/>
                    <w:ind w:left="75" w:right="135"/>
                    <w:jc w:val="both"/>
                  </w:pPr>
                  <w:r>
                    <w:rPr>
                      <w:rFonts w:ascii="仿宋_GB2312" w:hAnsi="仿宋_GB2312" w:eastAsia="仿宋_GB2312" w:cs="仿宋_GB2312"/>
                      <w:sz w:val="21"/>
                    </w:rPr>
                    <w:t>数据集成与融合</w:t>
                  </w:r>
                </w:p>
              </w:tc>
            </w:tr>
            <w:tr w14:paraId="30B4A7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3C3B4BA0"/>
              </w:tc>
              <w:tc>
                <w:tcPr>
                  <w:tcW w:w="537" w:type="dxa"/>
                  <w:vMerge w:val="continue"/>
                  <w:tcBorders>
                    <w:top w:val="nil"/>
                    <w:left w:val="single" w:color="000000" w:sz="4" w:space="0"/>
                    <w:bottom w:val="single" w:color="000000" w:sz="4" w:space="0"/>
                    <w:right w:val="single" w:color="000000" w:sz="4" w:space="0"/>
                  </w:tcBorders>
                </w:tcPr>
                <w:p w14:paraId="75A2860A"/>
              </w:tc>
              <w:tc>
                <w:tcPr>
                  <w:tcW w:w="91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B2FFDC">
                  <w:pPr>
                    <w:pStyle w:val="5"/>
                    <w:jc w:val="center"/>
                  </w:pPr>
                  <w:r>
                    <w:rPr>
                      <w:rFonts w:ascii="仿宋_GB2312" w:hAnsi="仿宋_GB2312" w:eastAsia="仿宋_GB2312" w:cs="仿宋_GB2312"/>
                      <w:sz w:val="21"/>
                    </w:rPr>
                    <w:t>数据质量管理</w:t>
                  </w:r>
                </w:p>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9DC0D6">
                  <w:pPr>
                    <w:pStyle w:val="5"/>
                    <w:ind w:left="75" w:right="135"/>
                    <w:jc w:val="both"/>
                  </w:pPr>
                  <w:r>
                    <w:rPr>
                      <w:rFonts w:ascii="仿宋_GB2312" w:hAnsi="仿宋_GB2312" w:eastAsia="仿宋_GB2312" w:cs="仿宋_GB2312"/>
                      <w:sz w:val="21"/>
                    </w:rPr>
                    <w:t>数据准确性验证</w:t>
                  </w:r>
                </w:p>
              </w:tc>
            </w:tr>
            <w:tr w14:paraId="5DFE6C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3DEBEAF7"/>
              </w:tc>
              <w:tc>
                <w:tcPr>
                  <w:tcW w:w="537" w:type="dxa"/>
                  <w:vMerge w:val="continue"/>
                  <w:tcBorders>
                    <w:top w:val="nil"/>
                    <w:left w:val="single" w:color="000000" w:sz="4" w:space="0"/>
                    <w:bottom w:val="single" w:color="000000" w:sz="4" w:space="0"/>
                    <w:right w:val="single" w:color="000000" w:sz="4" w:space="0"/>
                  </w:tcBorders>
                </w:tcPr>
                <w:p w14:paraId="7C78721E"/>
              </w:tc>
              <w:tc>
                <w:tcPr>
                  <w:tcW w:w="916" w:type="dxa"/>
                  <w:vMerge w:val="continue"/>
                  <w:tcBorders>
                    <w:top w:val="nil"/>
                    <w:left w:val="single" w:color="000000" w:sz="4" w:space="0"/>
                    <w:bottom w:val="single" w:color="000000" w:sz="4" w:space="0"/>
                    <w:right w:val="single" w:color="000000" w:sz="4" w:space="0"/>
                  </w:tcBorders>
                </w:tcPr>
                <w:p w14:paraId="203934FC"/>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E5DBF8">
                  <w:pPr>
                    <w:pStyle w:val="5"/>
                    <w:ind w:left="75" w:right="135"/>
                    <w:jc w:val="both"/>
                  </w:pPr>
                  <w:r>
                    <w:rPr>
                      <w:rFonts w:ascii="仿宋_GB2312" w:hAnsi="仿宋_GB2312" w:eastAsia="仿宋_GB2312" w:cs="仿宋_GB2312"/>
                      <w:sz w:val="21"/>
                    </w:rPr>
                    <w:t>数据完整性检查</w:t>
                  </w:r>
                </w:p>
              </w:tc>
            </w:tr>
            <w:tr w14:paraId="5F9B73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756815CF"/>
              </w:tc>
              <w:tc>
                <w:tcPr>
                  <w:tcW w:w="537" w:type="dxa"/>
                  <w:vMerge w:val="continue"/>
                  <w:tcBorders>
                    <w:top w:val="nil"/>
                    <w:left w:val="single" w:color="000000" w:sz="4" w:space="0"/>
                    <w:bottom w:val="single" w:color="000000" w:sz="4" w:space="0"/>
                    <w:right w:val="single" w:color="000000" w:sz="4" w:space="0"/>
                  </w:tcBorders>
                </w:tcPr>
                <w:p w14:paraId="47863F2D"/>
              </w:tc>
              <w:tc>
                <w:tcPr>
                  <w:tcW w:w="916" w:type="dxa"/>
                  <w:vMerge w:val="continue"/>
                  <w:tcBorders>
                    <w:top w:val="nil"/>
                    <w:left w:val="single" w:color="000000" w:sz="4" w:space="0"/>
                    <w:bottom w:val="single" w:color="000000" w:sz="4" w:space="0"/>
                    <w:right w:val="single" w:color="000000" w:sz="4" w:space="0"/>
                  </w:tcBorders>
                </w:tcPr>
                <w:p w14:paraId="3F41D036"/>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3237B0">
                  <w:pPr>
                    <w:pStyle w:val="5"/>
                    <w:ind w:left="75" w:right="135"/>
                    <w:jc w:val="both"/>
                  </w:pPr>
                  <w:r>
                    <w:rPr>
                      <w:rFonts w:ascii="仿宋_GB2312" w:hAnsi="仿宋_GB2312" w:eastAsia="仿宋_GB2312" w:cs="仿宋_GB2312"/>
                      <w:sz w:val="21"/>
                    </w:rPr>
                    <w:t>数据一致性维护</w:t>
                  </w:r>
                </w:p>
              </w:tc>
            </w:tr>
            <w:tr w14:paraId="6930FF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36840D66"/>
              </w:tc>
              <w:tc>
                <w:tcPr>
                  <w:tcW w:w="537" w:type="dxa"/>
                  <w:vMerge w:val="continue"/>
                  <w:tcBorders>
                    <w:top w:val="nil"/>
                    <w:left w:val="single" w:color="000000" w:sz="4" w:space="0"/>
                    <w:bottom w:val="single" w:color="000000" w:sz="4" w:space="0"/>
                    <w:right w:val="single" w:color="000000" w:sz="4" w:space="0"/>
                  </w:tcBorders>
                </w:tcPr>
                <w:p w14:paraId="3F60E602"/>
              </w:tc>
              <w:tc>
                <w:tcPr>
                  <w:tcW w:w="916" w:type="dxa"/>
                  <w:vMerge w:val="continue"/>
                  <w:tcBorders>
                    <w:top w:val="nil"/>
                    <w:left w:val="single" w:color="000000" w:sz="4" w:space="0"/>
                    <w:bottom w:val="single" w:color="000000" w:sz="4" w:space="0"/>
                    <w:right w:val="single" w:color="000000" w:sz="4" w:space="0"/>
                  </w:tcBorders>
                </w:tcPr>
                <w:p w14:paraId="00477A95"/>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26C0CB">
                  <w:pPr>
                    <w:pStyle w:val="5"/>
                    <w:ind w:left="75" w:right="135"/>
                    <w:jc w:val="both"/>
                  </w:pPr>
                  <w:r>
                    <w:rPr>
                      <w:rFonts w:ascii="仿宋_GB2312" w:hAnsi="仿宋_GB2312" w:eastAsia="仿宋_GB2312" w:cs="仿宋_GB2312"/>
                      <w:sz w:val="21"/>
                    </w:rPr>
                    <w:t>数据时效性管理</w:t>
                  </w:r>
                </w:p>
              </w:tc>
            </w:tr>
            <w:tr w14:paraId="6D7241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0EEA76E0"/>
              </w:tc>
              <w:tc>
                <w:tcPr>
                  <w:tcW w:w="537" w:type="dxa"/>
                  <w:vMerge w:val="continue"/>
                  <w:tcBorders>
                    <w:top w:val="nil"/>
                    <w:left w:val="single" w:color="000000" w:sz="4" w:space="0"/>
                    <w:bottom w:val="single" w:color="000000" w:sz="4" w:space="0"/>
                    <w:right w:val="single" w:color="000000" w:sz="4" w:space="0"/>
                  </w:tcBorders>
                </w:tcPr>
                <w:p w14:paraId="2165815C"/>
              </w:tc>
              <w:tc>
                <w:tcPr>
                  <w:tcW w:w="916" w:type="dxa"/>
                  <w:vMerge w:val="continue"/>
                  <w:tcBorders>
                    <w:top w:val="nil"/>
                    <w:left w:val="single" w:color="000000" w:sz="4" w:space="0"/>
                    <w:bottom w:val="single" w:color="000000" w:sz="4" w:space="0"/>
                    <w:right w:val="single" w:color="000000" w:sz="4" w:space="0"/>
                  </w:tcBorders>
                </w:tcPr>
                <w:p w14:paraId="1E40CC87"/>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2EF265">
                  <w:pPr>
                    <w:pStyle w:val="5"/>
                    <w:ind w:left="75" w:right="135"/>
                    <w:jc w:val="both"/>
                  </w:pPr>
                  <w:r>
                    <w:rPr>
                      <w:rFonts w:ascii="仿宋_GB2312" w:hAnsi="仿宋_GB2312" w:eastAsia="仿宋_GB2312" w:cs="仿宋_GB2312"/>
                      <w:sz w:val="21"/>
                    </w:rPr>
                    <w:t>数据唯一性控制</w:t>
                  </w:r>
                </w:p>
              </w:tc>
            </w:tr>
            <w:tr w14:paraId="270890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49A013E8"/>
              </w:tc>
              <w:tc>
                <w:tcPr>
                  <w:tcW w:w="537" w:type="dxa"/>
                  <w:vMerge w:val="continue"/>
                  <w:tcBorders>
                    <w:top w:val="nil"/>
                    <w:left w:val="single" w:color="000000" w:sz="4" w:space="0"/>
                    <w:bottom w:val="single" w:color="000000" w:sz="4" w:space="0"/>
                    <w:right w:val="single" w:color="000000" w:sz="4" w:space="0"/>
                  </w:tcBorders>
                </w:tcPr>
                <w:p w14:paraId="184A5331"/>
              </w:tc>
              <w:tc>
                <w:tcPr>
                  <w:tcW w:w="91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657411">
                  <w:pPr>
                    <w:pStyle w:val="5"/>
                    <w:jc w:val="center"/>
                  </w:pPr>
                  <w:r>
                    <w:rPr>
                      <w:rFonts w:ascii="仿宋_GB2312" w:hAnsi="仿宋_GB2312" w:eastAsia="仿宋_GB2312" w:cs="仿宋_GB2312"/>
                      <w:sz w:val="21"/>
                    </w:rPr>
                    <w:t>数据架构管理</w:t>
                  </w:r>
                </w:p>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2A9C55">
                  <w:pPr>
                    <w:pStyle w:val="5"/>
                    <w:ind w:left="75" w:right="135"/>
                    <w:jc w:val="both"/>
                  </w:pPr>
                  <w:r>
                    <w:rPr>
                      <w:rFonts w:ascii="仿宋_GB2312" w:hAnsi="仿宋_GB2312" w:eastAsia="仿宋_GB2312" w:cs="仿宋_GB2312"/>
                      <w:sz w:val="21"/>
                    </w:rPr>
                    <w:t>数据模型设计</w:t>
                  </w:r>
                </w:p>
              </w:tc>
            </w:tr>
            <w:tr w14:paraId="17B87B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5F5AF3BC"/>
              </w:tc>
              <w:tc>
                <w:tcPr>
                  <w:tcW w:w="537" w:type="dxa"/>
                  <w:vMerge w:val="continue"/>
                  <w:tcBorders>
                    <w:top w:val="nil"/>
                    <w:left w:val="single" w:color="000000" w:sz="4" w:space="0"/>
                    <w:bottom w:val="single" w:color="000000" w:sz="4" w:space="0"/>
                    <w:right w:val="single" w:color="000000" w:sz="4" w:space="0"/>
                  </w:tcBorders>
                </w:tcPr>
                <w:p w14:paraId="5A46B02A"/>
              </w:tc>
              <w:tc>
                <w:tcPr>
                  <w:tcW w:w="916" w:type="dxa"/>
                  <w:vMerge w:val="continue"/>
                  <w:tcBorders>
                    <w:top w:val="nil"/>
                    <w:left w:val="single" w:color="000000" w:sz="4" w:space="0"/>
                    <w:bottom w:val="single" w:color="000000" w:sz="4" w:space="0"/>
                    <w:right w:val="single" w:color="000000" w:sz="4" w:space="0"/>
                  </w:tcBorders>
                </w:tcPr>
                <w:p w14:paraId="5435AA64"/>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97E1B1">
                  <w:pPr>
                    <w:pStyle w:val="5"/>
                    <w:ind w:left="75" w:right="135"/>
                    <w:jc w:val="both"/>
                  </w:pPr>
                  <w:r>
                    <w:rPr>
                      <w:rFonts w:ascii="仿宋_GB2312" w:hAnsi="仿宋_GB2312" w:eastAsia="仿宋_GB2312" w:cs="仿宋_GB2312"/>
                      <w:sz w:val="21"/>
                    </w:rPr>
                    <w:t>数据存储架构</w:t>
                  </w:r>
                </w:p>
              </w:tc>
            </w:tr>
            <w:tr w14:paraId="36CE23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52521F68"/>
              </w:tc>
              <w:tc>
                <w:tcPr>
                  <w:tcW w:w="537" w:type="dxa"/>
                  <w:vMerge w:val="continue"/>
                  <w:tcBorders>
                    <w:top w:val="nil"/>
                    <w:left w:val="single" w:color="000000" w:sz="4" w:space="0"/>
                    <w:bottom w:val="single" w:color="000000" w:sz="4" w:space="0"/>
                    <w:right w:val="single" w:color="000000" w:sz="4" w:space="0"/>
                  </w:tcBorders>
                </w:tcPr>
                <w:p w14:paraId="2B453C23"/>
              </w:tc>
              <w:tc>
                <w:tcPr>
                  <w:tcW w:w="916" w:type="dxa"/>
                  <w:vMerge w:val="continue"/>
                  <w:tcBorders>
                    <w:top w:val="nil"/>
                    <w:left w:val="single" w:color="000000" w:sz="4" w:space="0"/>
                    <w:bottom w:val="single" w:color="000000" w:sz="4" w:space="0"/>
                    <w:right w:val="single" w:color="000000" w:sz="4" w:space="0"/>
                  </w:tcBorders>
                </w:tcPr>
                <w:p w14:paraId="4270179F"/>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D2BAC8">
                  <w:pPr>
                    <w:pStyle w:val="5"/>
                    <w:ind w:left="75" w:right="135"/>
                    <w:jc w:val="both"/>
                  </w:pPr>
                  <w:r>
                    <w:rPr>
                      <w:rFonts w:ascii="仿宋_GB2312" w:hAnsi="仿宋_GB2312" w:eastAsia="仿宋_GB2312" w:cs="仿宋_GB2312"/>
                      <w:sz w:val="21"/>
                    </w:rPr>
                    <w:t>数据流设计</w:t>
                  </w:r>
                </w:p>
              </w:tc>
            </w:tr>
            <w:tr w14:paraId="06C20B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7064D00D"/>
              </w:tc>
              <w:tc>
                <w:tcPr>
                  <w:tcW w:w="537" w:type="dxa"/>
                  <w:vMerge w:val="continue"/>
                  <w:tcBorders>
                    <w:top w:val="nil"/>
                    <w:left w:val="single" w:color="000000" w:sz="4" w:space="0"/>
                    <w:bottom w:val="single" w:color="000000" w:sz="4" w:space="0"/>
                    <w:right w:val="single" w:color="000000" w:sz="4" w:space="0"/>
                  </w:tcBorders>
                </w:tcPr>
                <w:p w14:paraId="5CA66E1F"/>
              </w:tc>
              <w:tc>
                <w:tcPr>
                  <w:tcW w:w="916" w:type="dxa"/>
                  <w:vMerge w:val="continue"/>
                  <w:tcBorders>
                    <w:top w:val="nil"/>
                    <w:left w:val="single" w:color="000000" w:sz="4" w:space="0"/>
                    <w:bottom w:val="single" w:color="000000" w:sz="4" w:space="0"/>
                    <w:right w:val="single" w:color="000000" w:sz="4" w:space="0"/>
                  </w:tcBorders>
                </w:tcPr>
                <w:p w14:paraId="55343DF2"/>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B3D78A">
                  <w:pPr>
                    <w:pStyle w:val="5"/>
                    <w:ind w:left="75" w:right="135"/>
                    <w:jc w:val="both"/>
                  </w:pPr>
                  <w:r>
                    <w:rPr>
                      <w:rFonts w:ascii="仿宋_GB2312" w:hAnsi="仿宋_GB2312" w:eastAsia="仿宋_GB2312" w:cs="仿宋_GB2312"/>
                      <w:sz w:val="21"/>
                    </w:rPr>
                    <w:t>数据集成方案</w:t>
                  </w:r>
                </w:p>
              </w:tc>
            </w:tr>
            <w:tr w14:paraId="1069FD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64003AEB"/>
              </w:tc>
              <w:tc>
                <w:tcPr>
                  <w:tcW w:w="537" w:type="dxa"/>
                  <w:vMerge w:val="continue"/>
                  <w:tcBorders>
                    <w:top w:val="nil"/>
                    <w:left w:val="single" w:color="000000" w:sz="4" w:space="0"/>
                    <w:bottom w:val="single" w:color="000000" w:sz="4" w:space="0"/>
                    <w:right w:val="single" w:color="000000" w:sz="4" w:space="0"/>
                  </w:tcBorders>
                </w:tcPr>
                <w:p w14:paraId="26DFEEBF"/>
              </w:tc>
              <w:tc>
                <w:tcPr>
                  <w:tcW w:w="916" w:type="dxa"/>
                  <w:vMerge w:val="continue"/>
                  <w:tcBorders>
                    <w:top w:val="nil"/>
                    <w:left w:val="single" w:color="000000" w:sz="4" w:space="0"/>
                    <w:bottom w:val="single" w:color="000000" w:sz="4" w:space="0"/>
                    <w:right w:val="single" w:color="000000" w:sz="4" w:space="0"/>
                  </w:tcBorders>
                </w:tcPr>
                <w:p w14:paraId="12F50449"/>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2F662D">
                  <w:pPr>
                    <w:pStyle w:val="5"/>
                    <w:ind w:left="75" w:right="135"/>
                    <w:jc w:val="both"/>
                  </w:pPr>
                  <w:r>
                    <w:rPr>
                      <w:rFonts w:ascii="仿宋_GB2312" w:hAnsi="仿宋_GB2312" w:eastAsia="仿宋_GB2312" w:cs="仿宋_GB2312"/>
                      <w:sz w:val="21"/>
                    </w:rPr>
                    <w:t>主数据管理</w:t>
                  </w:r>
                </w:p>
              </w:tc>
            </w:tr>
            <w:tr w14:paraId="69F568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1B95493E"/>
              </w:tc>
              <w:tc>
                <w:tcPr>
                  <w:tcW w:w="537" w:type="dxa"/>
                  <w:vMerge w:val="continue"/>
                  <w:tcBorders>
                    <w:top w:val="nil"/>
                    <w:left w:val="single" w:color="000000" w:sz="4" w:space="0"/>
                    <w:bottom w:val="single" w:color="000000" w:sz="4" w:space="0"/>
                    <w:right w:val="single" w:color="000000" w:sz="4" w:space="0"/>
                  </w:tcBorders>
                </w:tcPr>
                <w:p w14:paraId="5E48FBE6"/>
              </w:tc>
              <w:tc>
                <w:tcPr>
                  <w:tcW w:w="91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23BEB9">
                  <w:pPr>
                    <w:pStyle w:val="5"/>
                    <w:jc w:val="center"/>
                  </w:pPr>
                  <w:r>
                    <w:rPr>
                      <w:rFonts w:ascii="仿宋_GB2312" w:hAnsi="仿宋_GB2312" w:eastAsia="仿宋_GB2312" w:cs="仿宋_GB2312"/>
                      <w:sz w:val="21"/>
                    </w:rPr>
                    <w:t>元数据管理</w:t>
                  </w:r>
                </w:p>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02947D">
                  <w:pPr>
                    <w:pStyle w:val="5"/>
                    <w:ind w:left="75" w:right="135"/>
                    <w:jc w:val="both"/>
                  </w:pPr>
                  <w:r>
                    <w:rPr>
                      <w:rFonts w:ascii="仿宋_GB2312" w:hAnsi="仿宋_GB2312" w:eastAsia="仿宋_GB2312" w:cs="仿宋_GB2312"/>
                      <w:sz w:val="21"/>
                    </w:rPr>
                    <w:t>业务元数据管理</w:t>
                  </w:r>
                </w:p>
              </w:tc>
            </w:tr>
            <w:tr w14:paraId="3366DC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46656BD9"/>
              </w:tc>
              <w:tc>
                <w:tcPr>
                  <w:tcW w:w="537" w:type="dxa"/>
                  <w:vMerge w:val="continue"/>
                  <w:tcBorders>
                    <w:top w:val="nil"/>
                    <w:left w:val="single" w:color="000000" w:sz="4" w:space="0"/>
                    <w:bottom w:val="single" w:color="000000" w:sz="4" w:space="0"/>
                    <w:right w:val="single" w:color="000000" w:sz="4" w:space="0"/>
                  </w:tcBorders>
                </w:tcPr>
                <w:p w14:paraId="7A32A38A"/>
              </w:tc>
              <w:tc>
                <w:tcPr>
                  <w:tcW w:w="916" w:type="dxa"/>
                  <w:vMerge w:val="continue"/>
                  <w:tcBorders>
                    <w:top w:val="nil"/>
                    <w:left w:val="single" w:color="000000" w:sz="4" w:space="0"/>
                    <w:bottom w:val="single" w:color="000000" w:sz="4" w:space="0"/>
                    <w:right w:val="single" w:color="000000" w:sz="4" w:space="0"/>
                  </w:tcBorders>
                </w:tcPr>
                <w:p w14:paraId="1709B8AF"/>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A7E8A7">
                  <w:pPr>
                    <w:pStyle w:val="5"/>
                    <w:ind w:left="75" w:right="135"/>
                    <w:jc w:val="both"/>
                  </w:pPr>
                  <w:r>
                    <w:rPr>
                      <w:rFonts w:ascii="仿宋_GB2312" w:hAnsi="仿宋_GB2312" w:eastAsia="仿宋_GB2312" w:cs="仿宋_GB2312"/>
                      <w:sz w:val="21"/>
                    </w:rPr>
                    <w:t>技术元数据管理</w:t>
                  </w:r>
                </w:p>
              </w:tc>
            </w:tr>
            <w:tr w14:paraId="0ACA92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481EF6F8"/>
              </w:tc>
              <w:tc>
                <w:tcPr>
                  <w:tcW w:w="537" w:type="dxa"/>
                  <w:vMerge w:val="continue"/>
                  <w:tcBorders>
                    <w:top w:val="nil"/>
                    <w:left w:val="single" w:color="000000" w:sz="4" w:space="0"/>
                    <w:bottom w:val="single" w:color="000000" w:sz="4" w:space="0"/>
                    <w:right w:val="single" w:color="000000" w:sz="4" w:space="0"/>
                  </w:tcBorders>
                </w:tcPr>
                <w:p w14:paraId="0A3037FE"/>
              </w:tc>
              <w:tc>
                <w:tcPr>
                  <w:tcW w:w="916" w:type="dxa"/>
                  <w:vMerge w:val="continue"/>
                  <w:tcBorders>
                    <w:top w:val="nil"/>
                    <w:left w:val="single" w:color="000000" w:sz="4" w:space="0"/>
                    <w:bottom w:val="single" w:color="000000" w:sz="4" w:space="0"/>
                    <w:right w:val="single" w:color="000000" w:sz="4" w:space="0"/>
                  </w:tcBorders>
                </w:tcPr>
                <w:p w14:paraId="182EE658"/>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6C9D21">
                  <w:pPr>
                    <w:pStyle w:val="5"/>
                    <w:ind w:left="75" w:right="135"/>
                    <w:jc w:val="both"/>
                  </w:pPr>
                  <w:r>
                    <w:rPr>
                      <w:rFonts w:ascii="仿宋_GB2312" w:hAnsi="仿宋_GB2312" w:eastAsia="仿宋_GB2312" w:cs="仿宋_GB2312"/>
                      <w:sz w:val="21"/>
                    </w:rPr>
                    <w:t>操作元数据管理</w:t>
                  </w:r>
                </w:p>
              </w:tc>
            </w:tr>
            <w:tr w14:paraId="2C1C6E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55F1B630"/>
              </w:tc>
              <w:tc>
                <w:tcPr>
                  <w:tcW w:w="537" w:type="dxa"/>
                  <w:vMerge w:val="continue"/>
                  <w:tcBorders>
                    <w:top w:val="nil"/>
                    <w:left w:val="single" w:color="000000" w:sz="4" w:space="0"/>
                    <w:bottom w:val="single" w:color="000000" w:sz="4" w:space="0"/>
                    <w:right w:val="single" w:color="000000" w:sz="4" w:space="0"/>
                  </w:tcBorders>
                </w:tcPr>
                <w:p w14:paraId="138EADFD"/>
              </w:tc>
              <w:tc>
                <w:tcPr>
                  <w:tcW w:w="916" w:type="dxa"/>
                  <w:vMerge w:val="continue"/>
                  <w:tcBorders>
                    <w:top w:val="nil"/>
                    <w:left w:val="single" w:color="000000" w:sz="4" w:space="0"/>
                    <w:bottom w:val="single" w:color="000000" w:sz="4" w:space="0"/>
                    <w:right w:val="single" w:color="000000" w:sz="4" w:space="0"/>
                  </w:tcBorders>
                </w:tcPr>
                <w:p w14:paraId="6CC8049D"/>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3538DD">
                  <w:pPr>
                    <w:pStyle w:val="5"/>
                    <w:ind w:left="75" w:right="135"/>
                    <w:jc w:val="both"/>
                  </w:pPr>
                  <w:r>
                    <w:rPr>
                      <w:rFonts w:ascii="仿宋_GB2312" w:hAnsi="仿宋_GB2312" w:eastAsia="仿宋_GB2312" w:cs="仿宋_GB2312"/>
                      <w:sz w:val="21"/>
                    </w:rPr>
                    <w:t>元数据采集与维护</w:t>
                  </w:r>
                </w:p>
              </w:tc>
            </w:tr>
            <w:tr w14:paraId="4C8A85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081CA19C"/>
              </w:tc>
              <w:tc>
                <w:tcPr>
                  <w:tcW w:w="537" w:type="dxa"/>
                  <w:vMerge w:val="continue"/>
                  <w:tcBorders>
                    <w:top w:val="nil"/>
                    <w:left w:val="single" w:color="000000" w:sz="4" w:space="0"/>
                    <w:bottom w:val="single" w:color="000000" w:sz="4" w:space="0"/>
                    <w:right w:val="single" w:color="000000" w:sz="4" w:space="0"/>
                  </w:tcBorders>
                </w:tcPr>
                <w:p w14:paraId="159B0327"/>
              </w:tc>
              <w:tc>
                <w:tcPr>
                  <w:tcW w:w="916" w:type="dxa"/>
                  <w:vMerge w:val="continue"/>
                  <w:tcBorders>
                    <w:top w:val="nil"/>
                    <w:left w:val="single" w:color="000000" w:sz="4" w:space="0"/>
                    <w:bottom w:val="single" w:color="000000" w:sz="4" w:space="0"/>
                    <w:right w:val="single" w:color="000000" w:sz="4" w:space="0"/>
                  </w:tcBorders>
                </w:tcPr>
                <w:p w14:paraId="370D7387"/>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DE8D1C">
                  <w:pPr>
                    <w:pStyle w:val="5"/>
                    <w:ind w:left="75" w:right="135"/>
                    <w:jc w:val="both"/>
                  </w:pPr>
                  <w:r>
                    <w:rPr>
                      <w:rFonts w:ascii="仿宋_GB2312" w:hAnsi="仿宋_GB2312" w:eastAsia="仿宋_GB2312" w:cs="仿宋_GB2312"/>
                      <w:sz w:val="21"/>
                    </w:rPr>
                    <w:t>元数据应用</w:t>
                  </w:r>
                </w:p>
              </w:tc>
            </w:tr>
            <w:tr w14:paraId="39B91B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6E356C07"/>
              </w:tc>
              <w:tc>
                <w:tcPr>
                  <w:tcW w:w="537" w:type="dxa"/>
                  <w:vMerge w:val="continue"/>
                  <w:tcBorders>
                    <w:top w:val="nil"/>
                    <w:left w:val="single" w:color="000000" w:sz="4" w:space="0"/>
                    <w:bottom w:val="single" w:color="000000" w:sz="4" w:space="0"/>
                    <w:right w:val="single" w:color="000000" w:sz="4" w:space="0"/>
                  </w:tcBorders>
                </w:tcPr>
                <w:p w14:paraId="662C366E"/>
              </w:tc>
              <w:tc>
                <w:tcPr>
                  <w:tcW w:w="91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5E5293">
                  <w:pPr>
                    <w:pStyle w:val="5"/>
                    <w:jc w:val="center"/>
                  </w:pPr>
                  <w:r>
                    <w:rPr>
                      <w:rFonts w:ascii="仿宋_GB2312" w:hAnsi="仿宋_GB2312" w:eastAsia="仿宋_GB2312" w:cs="仿宋_GB2312"/>
                      <w:sz w:val="21"/>
                    </w:rPr>
                    <w:t>数据使用与共享</w:t>
                  </w:r>
                </w:p>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B0877D">
                  <w:pPr>
                    <w:pStyle w:val="5"/>
                    <w:ind w:left="75" w:right="135"/>
                    <w:jc w:val="both"/>
                  </w:pPr>
                  <w:r>
                    <w:rPr>
                      <w:rFonts w:ascii="仿宋_GB2312" w:hAnsi="仿宋_GB2312" w:eastAsia="仿宋_GB2312" w:cs="仿宋_GB2312"/>
                      <w:sz w:val="21"/>
                    </w:rPr>
                    <w:t>数据共享</w:t>
                  </w:r>
                </w:p>
              </w:tc>
            </w:tr>
            <w:tr w14:paraId="7F92B4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586ECDD0"/>
              </w:tc>
              <w:tc>
                <w:tcPr>
                  <w:tcW w:w="537" w:type="dxa"/>
                  <w:vMerge w:val="continue"/>
                  <w:tcBorders>
                    <w:top w:val="nil"/>
                    <w:left w:val="single" w:color="000000" w:sz="4" w:space="0"/>
                    <w:bottom w:val="single" w:color="000000" w:sz="4" w:space="0"/>
                    <w:right w:val="single" w:color="000000" w:sz="4" w:space="0"/>
                  </w:tcBorders>
                </w:tcPr>
                <w:p w14:paraId="7090C9DE"/>
              </w:tc>
              <w:tc>
                <w:tcPr>
                  <w:tcW w:w="916" w:type="dxa"/>
                  <w:vMerge w:val="continue"/>
                  <w:tcBorders>
                    <w:top w:val="nil"/>
                    <w:left w:val="single" w:color="000000" w:sz="4" w:space="0"/>
                    <w:bottom w:val="single" w:color="000000" w:sz="4" w:space="0"/>
                    <w:right w:val="single" w:color="000000" w:sz="4" w:space="0"/>
                  </w:tcBorders>
                </w:tcPr>
                <w:p w14:paraId="3FBA664E"/>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B982AF">
                  <w:pPr>
                    <w:pStyle w:val="5"/>
                    <w:ind w:left="75" w:right="135"/>
                    <w:jc w:val="both"/>
                  </w:pPr>
                  <w:r>
                    <w:rPr>
                      <w:rFonts w:ascii="仿宋_GB2312" w:hAnsi="仿宋_GB2312" w:eastAsia="仿宋_GB2312" w:cs="仿宋_GB2312"/>
                      <w:sz w:val="21"/>
                    </w:rPr>
                    <w:t>数据归档</w:t>
                  </w:r>
                </w:p>
              </w:tc>
            </w:tr>
            <w:tr w14:paraId="78C887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528400C0"/>
              </w:tc>
              <w:tc>
                <w:tcPr>
                  <w:tcW w:w="537" w:type="dxa"/>
                  <w:vMerge w:val="continue"/>
                  <w:tcBorders>
                    <w:top w:val="nil"/>
                    <w:left w:val="single" w:color="000000" w:sz="4" w:space="0"/>
                    <w:bottom w:val="single" w:color="000000" w:sz="4" w:space="0"/>
                    <w:right w:val="single" w:color="000000" w:sz="4" w:space="0"/>
                  </w:tcBorders>
                </w:tcPr>
                <w:p w14:paraId="39C4E1FF"/>
              </w:tc>
              <w:tc>
                <w:tcPr>
                  <w:tcW w:w="916" w:type="dxa"/>
                  <w:vMerge w:val="continue"/>
                  <w:tcBorders>
                    <w:top w:val="nil"/>
                    <w:left w:val="single" w:color="000000" w:sz="4" w:space="0"/>
                    <w:bottom w:val="single" w:color="000000" w:sz="4" w:space="0"/>
                    <w:right w:val="single" w:color="000000" w:sz="4" w:space="0"/>
                  </w:tcBorders>
                </w:tcPr>
                <w:p w14:paraId="6A9EFC2B"/>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DB98A9">
                  <w:pPr>
                    <w:pStyle w:val="5"/>
                    <w:ind w:left="75" w:right="135"/>
                    <w:jc w:val="both"/>
                  </w:pPr>
                  <w:r>
                    <w:rPr>
                      <w:rFonts w:ascii="仿宋_GB2312" w:hAnsi="仿宋_GB2312" w:eastAsia="仿宋_GB2312" w:cs="仿宋_GB2312"/>
                      <w:sz w:val="21"/>
                    </w:rPr>
                    <w:t>数据销毁</w:t>
                  </w:r>
                </w:p>
              </w:tc>
            </w:tr>
            <w:tr w14:paraId="6ECEA0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78B094AA"/>
              </w:tc>
              <w:tc>
                <w:tcPr>
                  <w:tcW w:w="537" w:type="dxa"/>
                  <w:vMerge w:val="continue"/>
                  <w:tcBorders>
                    <w:top w:val="nil"/>
                    <w:left w:val="single" w:color="000000" w:sz="4" w:space="0"/>
                    <w:bottom w:val="single" w:color="000000" w:sz="4" w:space="0"/>
                    <w:right w:val="single" w:color="000000" w:sz="4" w:space="0"/>
                  </w:tcBorders>
                </w:tcPr>
                <w:p w14:paraId="545EBFE9"/>
              </w:tc>
              <w:tc>
                <w:tcPr>
                  <w:tcW w:w="91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4FAB9E">
                  <w:pPr>
                    <w:pStyle w:val="5"/>
                    <w:jc w:val="center"/>
                  </w:pPr>
                  <w:r>
                    <w:rPr>
                      <w:rFonts w:ascii="仿宋_GB2312" w:hAnsi="仿宋_GB2312" w:eastAsia="仿宋_GB2312" w:cs="仿宋_GB2312"/>
                      <w:sz w:val="21"/>
                    </w:rPr>
                    <w:t>应用场景对接开发服务</w:t>
                  </w:r>
                </w:p>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BF3768">
                  <w:pPr>
                    <w:pStyle w:val="5"/>
                    <w:ind w:left="75" w:right="135"/>
                    <w:jc w:val="both"/>
                  </w:pPr>
                  <w:r>
                    <w:rPr>
                      <w:rFonts w:ascii="仿宋_GB2312" w:hAnsi="仿宋_GB2312" w:eastAsia="仿宋_GB2312" w:cs="仿宋_GB2312"/>
                      <w:sz w:val="21"/>
                    </w:rPr>
                    <w:t>需求分析服务</w:t>
                  </w:r>
                </w:p>
              </w:tc>
            </w:tr>
            <w:tr w14:paraId="18875E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4BB2937A"/>
              </w:tc>
              <w:tc>
                <w:tcPr>
                  <w:tcW w:w="537" w:type="dxa"/>
                  <w:vMerge w:val="continue"/>
                  <w:tcBorders>
                    <w:top w:val="nil"/>
                    <w:left w:val="single" w:color="000000" w:sz="4" w:space="0"/>
                    <w:bottom w:val="single" w:color="000000" w:sz="4" w:space="0"/>
                    <w:right w:val="single" w:color="000000" w:sz="4" w:space="0"/>
                  </w:tcBorders>
                </w:tcPr>
                <w:p w14:paraId="576FA3CD"/>
              </w:tc>
              <w:tc>
                <w:tcPr>
                  <w:tcW w:w="916" w:type="dxa"/>
                  <w:vMerge w:val="continue"/>
                  <w:tcBorders>
                    <w:top w:val="nil"/>
                    <w:left w:val="single" w:color="000000" w:sz="4" w:space="0"/>
                    <w:bottom w:val="single" w:color="000000" w:sz="4" w:space="0"/>
                    <w:right w:val="single" w:color="000000" w:sz="4" w:space="0"/>
                  </w:tcBorders>
                </w:tcPr>
                <w:p w14:paraId="490E0408"/>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1F4F25">
                  <w:pPr>
                    <w:pStyle w:val="5"/>
                    <w:ind w:left="75" w:right="135"/>
                    <w:jc w:val="both"/>
                  </w:pPr>
                  <w:r>
                    <w:rPr>
                      <w:rFonts w:ascii="仿宋_GB2312" w:hAnsi="仿宋_GB2312" w:eastAsia="仿宋_GB2312" w:cs="仿宋_GB2312"/>
                      <w:sz w:val="21"/>
                    </w:rPr>
                    <w:t>场景挖掘设计</w:t>
                  </w:r>
                </w:p>
              </w:tc>
            </w:tr>
            <w:tr w14:paraId="7A6D97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117AC877"/>
              </w:tc>
              <w:tc>
                <w:tcPr>
                  <w:tcW w:w="537" w:type="dxa"/>
                  <w:vMerge w:val="continue"/>
                  <w:tcBorders>
                    <w:top w:val="nil"/>
                    <w:left w:val="single" w:color="000000" w:sz="4" w:space="0"/>
                    <w:bottom w:val="single" w:color="000000" w:sz="4" w:space="0"/>
                    <w:right w:val="single" w:color="000000" w:sz="4" w:space="0"/>
                  </w:tcBorders>
                </w:tcPr>
                <w:p w14:paraId="2C9B41AE"/>
              </w:tc>
              <w:tc>
                <w:tcPr>
                  <w:tcW w:w="916" w:type="dxa"/>
                  <w:vMerge w:val="continue"/>
                  <w:tcBorders>
                    <w:top w:val="nil"/>
                    <w:left w:val="single" w:color="000000" w:sz="4" w:space="0"/>
                    <w:bottom w:val="single" w:color="000000" w:sz="4" w:space="0"/>
                    <w:right w:val="single" w:color="000000" w:sz="4" w:space="0"/>
                  </w:tcBorders>
                </w:tcPr>
                <w:p w14:paraId="44B7954F"/>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A42E7F">
                  <w:pPr>
                    <w:pStyle w:val="5"/>
                    <w:ind w:left="75" w:right="135"/>
                    <w:jc w:val="both"/>
                  </w:pPr>
                  <w:r>
                    <w:rPr>
                      <w:rFonts w:ascii="仿宋_GB2312" w:hAnsi="仿宋_GB2312" w:eastAsia="仿宋_GB2312" w:cs="仿宋_GB2312"/>
                      <w:sz w:val="21"/>
                    </w:rPr>
                    <w:t>应用与开发测试</w:t>
                  </w:r>
                </w:p>
              </w:tc>
            </w:tr>
            <w:tr w14:paraId="03032E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66F3E0AB"/>
              </w:tc>
              <w:tc>
                <w:tcPr>
                  <w:tcW w:w="537" w:type="dxa"/>
                  <w:vMerge w:val="continue"/>
                  <w:tcBorders>
                    <w:top w:val="nil"/>
                    <w:left w:val="single" w:color="000000" w:sz="4" w:space="0"/>
                    <w:bottom w:val="single" w:color="000000" w:sz="4" w:space="0"/>
                    <w:right w:val="single" w:color="000000" w:sz="4" w:space="0"/>
                  </w:tcBorders>
                </w:tcPr>
                <w:p w14:paraId="0E89328E"/>
              </w:tc>
              <w:tc>
                <w:tcPr>
                  <w:tcW w:w="916" w:type="dxa"/>
                  <w:vMerge w:val="continue"/>
                  <w:tcBorders>
                    <w:top w:val="nil"/>
                    <w:left w:val="single" w:color="000000" w:sz="4" w:space="0"/>
                    <w:bottom w:val="single" w:color="000000" w:sz="4" w:space="0"/>
                    <w:right w:val="single" w:color="000000" w:sz="4" w:space="0"/>
                  </w:tcBorders>
                </w:tcPr>
                <w:p w14:paraId="536C7E94"/>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B7D8FF">
                  <w:pPr>
                    <w:pStyle w:val="5"/>
                    <w:ind w:left="75" w:right="135"/>
                    <w:jc w:val="both"/>
                  </w:pPr>
                  <w:r>
                    <w:rPr>
                      <w:rFonts w:ascii="仿宋_GB2312" w:hAnsi="仿宋_GB2312" w:eastAsia="仿宋_GB2312" w:cs="仿宋_GB2312"/>
                      <w:sz w:val="21"/>
                    </w:rPr>
                    <w:t>价值挖掘</w:t>
                  </w:r>
                </w:p>
              </w:tc>
            </w:tr>
            <w:tr w14:paraId="002660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99DC91">
                  <w:pPr>
                    <w:pStyle w:val="5"/>
                    <w:jc w:val="center"/>
                  </w:pPr>
                  <w:r>
                    <w:rPr>
                      <w:rFonts w:ascii="仿宋_GB2312" w:hAnsi="仿宋_GB2312" w:eastAsia="仿宋_GB2312" w:cs="仿宋_GB2312"/>
                      <w:sz w:val="21"/>
                    </w:rPr>
                    <w:t>4</w:t>
                  </w:r>
                </w:p>
              </w:tc>
              <w:tc>
                <w:tcPr>
                  <w:tcW w:w="53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B5F91C">
                  <w:pPr>
                    <w:pStyle w:val="5"/>
                    <w:jc w:val="center"/>
                  </w:pPr>
                  <w:r>
                    <w:rPr>
                      <w:rFonts w:ascii="仿宋_GB2312" w:hAnsi="仿宋_GB2312" w:eastAsia="仿宋_GB2312" w:cs="仿宋_GB2312"/>
                      <w:sz w:val="21"/>
                    </w:rPr>
                    <w:t>基础平台</w:t>
                  </w:r>
                </w:p>
                <w:p w14:paraId="71CA87CF">
                  <w:pPr>
                    <w:pStyle w:val="5"/>
                    <w:jc w:val="center"/>
                  </w:pPr>
                  <w:r>
                    <w:rPr>
                      <w:rFonts w:ascii="仿宋_GB2312" w:hAnsi="仿宋_GB2312" w:eastAsia="仿宋_GB2312" w:cs="仿宋_GB2312"/>
                      <w:sz w:val="21"/>
                    </w:rPr>
                    <w:t>运维</w:t>
                  </w:r>
                </w:p>
              </w:tc>
              <w:tc>
                <w:tcPr>
                  <w:tcW w:w="91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EE833C">
                  <w:pPr>
                    <w:pStyle w:val="5"/>
                    <w:jc w:val="center"/>
                  </w:pPr>
                  <w:r>
                    <w:rPr>
                      <w:rFonts w:ascii="仿宋_GB2312" w:hAnsi="仿宋_GB2312" w:eastAsia="仿宋_GB2312" w:cs="仿宋_GB2312"/>
                      <w:sz w:val="21"/>
                    </w:rPr>
                    <w:t>日常运维服务</w:t>
                  </w:r>
                </w:p>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4BFEC0">
                  <w:pPr>
                    <w:pStyle w:val="5"/>
                    <w:ind w:left="75" w:right="135"/>
                    <w:jc w:val="both"/>
                  </w:pPr>
                  <w:r>
                    <w:rPr>
                      <w:rFonts w:ascii="仿宋_GB2312" w:hAnsi="仿宋_GB2312" w:eastAsia="仿宋_GB2312" w:cs="仿宋_GB2312"/>
                      <w:sz w:val="21"/>
                    </w:rPr>
                    <w:t>服务器及存储日常检测及处理</w:t>
                  </w:r>
                </w:p>
              </w:tc>
            </w:tr>
            <w:tr w14:paraId="25168A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12EA0F6A"/>
              </w:tc>
              <w:tc>
                <w:tcPr>
                  <w:tcW w:w="537" w:type="dxa"/>
                  <w:vMerge w:val="continue"/>
                  <w:tcBorders>
                    <w:top w:val="nil"/>
                    <w:left w:val="single" w:color="000000" w:sz="4" w:space="0"/>
                    <w:bottom w:val="single" w:color="000000" w:sz="4" w:space="0"/>
                    <w:right w:val="single" w:color="000000" w:sz="4" w:space="0"/>
                  </w:tcBorders>
                </w:tcPr>
                <w:p w14:paraId="673095FE"/>
              </w:tc>
              <w:tc>
                <w:tcPr>
                  <w:tcW w:w="916" w:type="dxa"/>
                  <w:vMerge w:val="continue"/>
                  <w:tcBorders>
                    <w:top w:val="nil"/>
                    <w:left w:val="single" w:color="000000" w:sz="4" w:space="0"/>
                    <w:bottom w:val="single" w:color="000000" w:sz="4" w:space="0"/>
                    <w:right w:val="single" w:color="000000" w:sz="4" w:space="0"/>
                  </w:tcBorders>
                </w:tcPr>
                <w:p w14:paraId="1DC9D116"/>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D3C6D8">
                  <w:pPr>
                    <w:pStyle w:val="5"/>
                    <w:ind w:left="75" w:right="135"/>
                    <w:jc w:val="both"/>
                  </w:pPr>
                  <w:r>
                    <w:rPr>
                      <w:rFonts w:ascii="仿宋_GB2312" w:hAnsi="仿宋_GB2312" w:eastAsia="仿宋_GB2312" w:cs="仿宋_GB2312"/>
                      <w:sz w:val="21"/>
                    </w:rPr>
                    <w:t>网络检测与处理</w:t>
                  </w:r>
                </w:p>
              </w:tc>
            </w:tr>
            <w:tr w14:paraId="77D85B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35B100D8"/>
              </w:tc>
              <w:tc>
                <w:tcPr>
                  <w:tcW w:w="537" w:type="dxa"/>
                  <w:vMerge w:val="continue"/>
                  <w:tcBorders>
                    <w:top w:val="nil"/>
                    <w:left w:val="single" w:color="000000" w:sz="4" w:space="0"/>
                    <w:bottom w:val="single" w:color="000000" w:sz="4" w:space="0"/>
                    <w:right w:val="single" w:color="000000" w:sz="4" w:space="0"/>
                  </w:tcBorders>
                </w:tcPr>
                <w:p w14:paraId="1F1E212C"/>
              </w:tc>
              <w:tc>
                <w:tcPr>
                  <w:tcW w:w="916" w:type="dxa"/>
                  <w:vMerge w:val="continue"/>
                  <w:tcBorders>
                    <w:top w:val="nil"/>
                    <w:left w:val="single" w:color="000000" w:sz="4" w:space="0"/>
                    <w:bottom w:val="single" w:color="000000" w:sz="4" w:space="0"/>
                    <w:right w:val="single" w:color="000000" w:sz="4" w:space="0"/>
                  </w:tcBorders>
                </w:tcPr>
                <w:p w14:paraId="1373CF5F"/>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0DC4665">
                  <w:pPr>
                    <w:pStyle w:val="5"/>
                    <w:ind w:left="75" w:right="135"/>
                    <w:jc w:val="both"/>
                  </w:pPr>
                  <w:r>
                    <w:rPr>
                      <w:rFonts w:ascii="仿宋_GB2312" w:hAnsi="仿宋_GB2312" w:eastAsia="仿宋_GB2312" w:cs="仿宋_GB2312"/>
                      <w:sz w:val="21"/>
                    </w:rPr>
                    <w:t>系统日常软件升级</w:t>
                  </w:r>
                </w:p>
              </w:tc>
            </w:tr>
            <w:tr w14:paraId="7F1C1C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11DC1A91"/>
              </w:tc>
              <w:tc>
                <w:tcPr>
                  <w:tcW w:w="537" w:type="dxa"/>
                  <w:vMerge w:val="continue"/>
                  <w:tcBorders>
                    <w:top w:val="nil"/>
                    <w:left w:val="single" w:color="000000" w:sz="4" w:space="0"/>
                    <w:bottom w:val="single" w:color="000000" w:sz="4" w:space="0"/>
                    <w:right w:val="single" w:color="000000" w:sz="4" w:space="0"/>
                  </w:tcBorders>
                </w:tcPr>
                <w:p w14:paraId="74AE47BF"/>
              </w:tc>
              <w:tc>
                <w:tcPr>
                  <w:tcW w:w="916" w:type="dxa"/>
                  <w:vMerge w:val="continue"/>
                  <w:tcBorders>
                    <w:top w:val="nil"/>
                    <w:left w:val="single" w:color="000000" w:sz="4" w:space="0"/>
                    <w:bottom w:val="single" w:color="000000" w:sz="4" w:space="0"/>
                    <w:right w:val="single" w:color="000000" w:sz="4" w:space="0"/>
                  </w:tcBorders>
                </w:tcPr>
                <w:p w14:paraId="7811DAD7"/>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24A8C9">
                  <w:pPr>
                    <w:pStyle w:val="5"/>
                    <w:ind w:left="75" w:right="135"/>
                    <w:jc w:val="both"/>
                  </w:pPr>
                  <w:r>
                    <w:rPr>
                      <w:rFonts w:ascii="仿宋_GB2312" w:hAnsi="仿宋_GB2312" w:eastAsia="仿宋_GB2312" w:cs="仿宋_GB2312"/>
                      <w:sz w:val="21"/>
                    </w:rPr>
                    <w:t>系统安全日志维护</w:t>
                  </w:r>
                </w:p>
              </w:tc>
            </w:tr>
            <w:tr w14:paraId="099422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2E1B0F40"/>
              </w:tc>
              <w:tc>
                <w:tcPr>
                  <w:tcW w:w="537" w:type="dxa"/>
                  <w:vMerge w:val="continue"/>
                  <w:tcBorders>
                    <w:top w:val="nil"/>
                    <w:left w:val="single" w:color="000000" w:sz="4" w:space="0"/>
                    <w:bottom w:val="single" w:color="000000" w:sz="4" w:space="0"/>
                    <w:right w:val="single" w:color="000000" w:sz="4" w:space="0"/>
                  </w:tcBorders>
                </w:tcPr>
                <w:p w14:paraId="47E29D94"/>
              </w:tc>
              <w:tc>
                <w:tcPr>
                  <w:tcW w:w="91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9E334A">
                  <w:pPr>
                    <w:pStyle w:val="5"/>
                    <w:jc w:val="center"/>
                  </w:pPr>
                  <w:r>
                    <w:rPr>
                      <w:rFonts w:ascii="仿宋_GB2312" w:hAnsi="仿宋_GB2312" w:eastAsia="仿宋_GB2312" w:cs="仿宋_GB2312"/>
                      <w:sz w:val="21"/>
                    </w:rPr>
                    <w:t>系统升级和优化</w:t>
                  </w:r>
                </w:p>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B20D74">
                  <w:pPr>
                    <w:pStyle w:val="5"/>
                    <w:ind w:left="75" w:right="135"/>
                    <w:jc w:val="both"/>
                  </w:pPr>
                  <w:r>
                    <w:rPr>
                      <w:rFonts w:ascii="仿宋_GB2312" w:hAnsi="仿宋_GB2312" w:eastAsia="仿宋_GB2312" w:cs="仿宋_GB2312"/>
                      <w:sz w:val="21"/>
                    </w:rPr>
                    <w:t>版本采集</w:t>
                  </w:r>
                </w:p>
              </w:tc>
            </w:tr>
            <w:tr w14:paraId="3AFAAC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4A59341E"/>
              </w:tc>
              <w:tc>
                <w:tcPr>
                  <w:tcW w:w="537" w:type="dxa"/>
                  <w:vMerge w:val="continue"/>
                  <w:tcBorders>
                    <w:top w:val="nil"/>
                    <w:left w:val="single" w:color="000000" w:sz="4" w:space="0"/>
                    <w:bottom w:val="single" w:color="000000" w:sz="4" w:space="0"/>
                    <w:right w:val="single" w:color="000000" w:sz="4" w:space="0"/>
                  </w:tcBorders>
                </w:tcPr>
                <w:p w14:paraId="5AECD5C8"/>
              </w:tc>
              <w:tc>
                <w:tcPr>
                  <w:tcW w:w="916" w:type="dxa"/>
                  <w:vMerge w:val="continue"/>
                  <w:tcBorders>
                    <w:top w:val="nil"/>
                    <w:left w:val="single" w:color="000000" w:sz="4" w:space="0"/>
                    <w:bottom w:val="single" w:color="000000" w:sz="4" w:space="0"/>
                    <w:right w:val="single" w:color="000000" w:sz="4" w:space="0"/>
                  </w:tcBorders>
                </w:tcPr>
                <w:p w14:paraId="72D8C14A"/>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856978">
                  <w:pPr>
                    <w:pStyle w:val="5"/>
                    <w:ind w:left="75" w:right="135"/>
                    <w:jc w:val="both"/>
                  </w:pPr>
                  <w:r>
                    <w:rPr>
                      <w:rFonts w:ascii="仿宋_GB2312" w:hAnsi="仿宋_GB2312" w:eastAsia="仿宋_GB2312" w:cs="仿宋_GB2312"/>
                      <w:sz w:val="21"/>
                    </w:rPr>
                    <w:t>应急预案制定</w:t>
                  </w:r>
                </w:p>
              </w:tc>
            </w:tr>
            <w:tr w14:paraId="256541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66A74A18"/>
              </w:tc>
              <w:tc>
                <w:tcPr>
                  <w:tcW w:w="537" w:type="dxa"/>
                  <w:vMerge w:val="continue"/>
                  <w:tcBorders>
                    <w:top w:val="nil"/>
                    <w:left w:val="single" w:color="000000" w:sz="4" w:space="0"/>
                    <w:bottom w:val="single" w:color="000000" w:sz="4" w:space="0"/>
                    <w:right w:val="single" w:color="000000" w:sz="4" w:space="0"/>
                  </w:tcBorders>
                </w:tcPr>
                <w:p w14:paraId="3A4CB8A1"/>
              </w:tc>
              <w:tc>
                <w:tcPr>
                  <w:tcW w:w="916" w:type="dxa"/>
                  <w:vMerge w:val="continue"/>
                  <w:tcBorders>
                    <w:top w:val="nil"/>
                    <w:left w:val="single" w:color="000000" w:sz="4" w:space="0"/>
                    <w:bottom w:val="single" w:color="000000" w:sz="4" w:space="0"/>
                    <w:right w:val="single" w:color="000000" w:sz="4" w:space="0"/>
                  </w:tcBorders>
                </w:tcPr>
                <w:p w14:paraId="4AFDD79A"/>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0B55DF">
                  <w:pPr>
                    <w:pStyle w:val="5"/>
                    <w:ind w:left="75" w:right="135"/>
                    <w:jc w:val="both"/>
                  </w:pPr>
                  <w:r>
                    <w:rPr>
                      <w:rFonts w:ascii="仿宋_GB2312" w:hAnsi="仿宋_GB2312" w:eastAsia="仿宋_GB2312" w:cs="仿宋_GB2312"/>
                      <w:sz w:val="21"/>
                    </w:rPr>
                    <w:t>升级方案评估</w:t>
                  </w:r>
                </w:p>
              </w:tc>
            </w:tr>
            <w:tr w14:paraId="023402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2F74B0CA"/>
              </w:tc>
              <w:tc>
                <w:tcPr>
                  <w:tcW w:w="537" w:type="dxa"/>
                  <w:vMerge w:val="continue"/>
                  <w:tcBorders>
                    <w:top w:val="nil"/>
                    <w:left w:val="single" w:color="000000" w:sz="4" w:space="0"/>
                    <w:bottom w:val="single" w:color="000000" w:sz="4" w:space="0"/>
                    <w:right w:val="single" w:color="000000" w:sz="4" w:space="0"/>
                  </w:tcBorders>
                </w:tcPr>
                <w:p w14:paraId="58BF831D"/>
              </w:tc>
              <w:tc>
                <w:tcPr>
                  <w:tcW w:w="916" w:type="dxa"/>
                  <w:vMerge w:val="continue"/>
                  <w:tcBorders>
                    <w:top w:val="nil"/>
                    <w:left w:val="single" w:color="000000" w:sz="4" w:space="0"/>
                    <w:bottom w:val="single" w:color="000000" w:sz="4" w:space="0"/>
                    <w:right w:val="single" w:color="000000" w:sz="4" w:space="0"/>
                  </w:tcBorders>
                </w:tcPr>
                <w:p w14:paraId="4F5BE381"/>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8B4CDE">
                  <w:pPr>
                    <w:pStyle w:val="5"/>
                    <w:ind w:left="75" w:right="135"/>
                    <w:jc w:val="both"/>
                  </w:pPr>
                  <w:r>
                    <w:rPr>
                      <w:rFonts w:ascii="仿宋_GB2312" w:hAnsi="仿宋_GB2312" w:eastAsia="仿宋_GB2312" w:cs="仿宋_GB2312"/>
                      <w:sz w:val="21"/>
                    </w:rPr>
                    <w:t>获取升级资源</w:t>
                  </w:r>
                </w:p>
              </w:tc>
            </w:tr>
            <w:tr w14:paraId="2BA087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62F98B58"/>
              </w:tc>
              <w:tc>
                <w:tcPr>
                  <w:tcW w:w="537" w:type="dxa"/>
                  <w:vMerge w:val="continue"/>
                  <w:tcBorders>
                    <w:top w:val="nil"/>
                    <w:left w:val="single" w:color="000000" w:sz="4" w:space="0"/>
                    <w:bottom w:val="single" w:color="000000" w:sz="4" w:space="0"/>
                    <w:right w:val="single" w:color="000000" w:sz="4" w:space="0"/>
                  </w:tcBorders>
                </w:tcPr>
                <w:p w14:paraId="28A5E2B7"/>
              </w:tc>
              <w:tc>
                <w:tcPr>
                  <w:tcW w:w="916" w:type="dxa"/>
                  <w:vMerge w:val="continue"/>
                  <w:tcBorders>
                    <w:top w:val="nil"/>
                    <w:left w:val="single" w:color="000000" w:sz="4" w:space="0"/>
                    <w:bottom w:val="single" w:color="000000" w:sz="4" w:space="0"/>
                    <w:right w:val="single" w:color="000000" w:sz="4" w:space="0"/>
                  </w:tcBorders>
                </w:tcPr>
                <w:p w14:paraId="2FBA127D"/>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179216">
                  <w:pPr>
                    <w:pStyle w:val="5"/>
                    <w:ind w:left="75" w:right="135"/>
                    <w:jc w:val="both"/>
                  </w:pPr>
                  <w:r>
                    <w:rPr>
                      <w:rFonts w:ascii="仿宋_GB2312" w:hAnsi="仿宋_GB2312" w:eastAsia="仿宋_GB2312" w:cs="仿宋_GB2312"/>
                      <w:sz w:val="21"/>
                    </w:rPr>
                    <w:t>升级实施</w:t>
                  </w:r>
                </w:p>
              </w:tc>
            </w:tr>
            <w:tr w14:paraId="4F8607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5F283676"/>
              </w:tc>
              <w:tc>
                <w:tcPr>
                  <w:tcW w:w="537" w:type="dxa"/>
                  <w:vMerge w:val="continue"/>
                  <w:tcBorders>
                    <w:top w:val="nil"/>
                    <w:left w:val="single" w:color="000000" w:sz="4" w:space="0"/>
                    <w:bottom w:val="single" w:color="000000" w:sz="4" w:space="0"/>
                    <w:right w:val="single" w:color="000000" w:sz="4" w:space="0"/>
                  </w:tcBorders>
                </w:tcPr>
                <w:p w14:paraId="1AFF5DB9"/>
              </w:tc>
              <w:tc>
                <w:tcPr>
                  <w:tcW w:w="916" w:type="dxa"/>
                  <w:vMerge w:val="continue"/>
                  <w:tcBorders>
                    <w:top w:val="nil"/>
                    <w:left w:val="single" w:color="000000" w:sz="4" w:space="0"/>
                    <w:bottom w:val="single" w:color="000000" w:sz="4" w:space="0"/>
                    <w:right w:val="single" w:color="000000" w:sz="4" w:space="0"/>
                  </w:tcBorders>
                </w:tcPr>
                <w:p w14:paraId="20D15898"/>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A3C896">
                  <w:pPr>
                    <w:pStyle w:val="5"/>
                    <w:ind w:left="75" w:right="135"/>
                    <w:jc w:val="both"/>
                  </w:pPr>
                  <w:r>
                    <w:rPr>
                      <w:rFonts w:ascii="仿宋_GB2312" w:hAnsi="仿宋_GB2312" w:eastAsia="仿宋_GB2312" w:cs="仿宋_GB2312"/>
                      <w:sz w:val="21"/>
                    </w:rPr>
                    <w:t>系统性能评估</w:t>
                  </w:r>
                </w:p>
              </w:tc>
            </w:tr>
            <w:tr w14:paraId="59503F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03B6F7D7"/>
              </w:tc>
              <w:tc>
                <w:tcPr>
                  <w:tcW w:w="537" w:type="dxa"/>
                  <w:vMerge w:val="continue"/>
                  <w:tcBorders>
                    <w:top w:val="nil"/>
                    <w:left w:val="single" w:color="000000" w:sz="4" w:space="0"/>
                    <w:bottom w:val="single" w:color="000000" w:sz="4" w:space="0"/>
                    <w:right w:val="single" w:color="000000" w:sz="4" w:space="0"/>
                  </w:tcBorders>
                </w:tcPr>
                <w:p w14:paraId="0FEA7181"/>
              </w:tc>
              <w:tc>
                <w:tcPr>
                  <w:tcW w:w="916" w:type="dxa"/>
                  <w:vMerge w:val="continue"/>
                  <w:tcBorders>
                    <w:top w:val="nil"/>
                    <w:left w:val="single" w:color="000000" w:sz="4" w:space="0"/>
                    <w:bottom w:val="single" w:color="000000" w:sz="4" w:space="0"/>
                    <w:right w:val="single" w:color="000000" w:sz="4" w:space="0"/>
                  </w:tcBorders>
                </w:tcPr>
                <w:p w14:paraId="426BA6FA"/>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561222">
                  <w:pPr>
                    <w:pStyle w:val="5"/>
                    <w:ind w:left="75" w:right="135"/>
                    <w:jc w:val="both"/>
                  </w:pPr>
                  <w:r>
                    <w:rPr>
                      <w:rFonts w:ascii="仿宋_GB2312" w:hAnsi="仿宋_GB2312" w:eastAsia="仿宋_GB2312" w:cs="仿宋_GB2312"/>
                      <w:sz w:val="21"/>
                    </w:rPr>
                    <w:t>优化方案制定</w:t>
                  </w:r>
                </w:p>
              </w:tc>
            </w:tr>
            <w:tr w14:paraId="300D1B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3574ED1E"/>
              </w:tc>
              <w:tc>
                <w:tcPr>
                  <w:tcW w:w="537" w:type="dxa"/>
                  <w:vMerge w:val="continue"/>
                  <w:tcBorders>
                    <w:top w:val="nil"/>
                    <w:left w:val="single" w:color="000000" w:sz="4" w:space="0"/>
                    <w:bottom w:val="single" w:color="000000" w:sz="4" w:space="0"/>
                    <w:right w:val="single" w:color="000000" w:sz="4" w:space="0"/>
                  </w:tcBorders>
                </w:tcPr>
                <w:p w14:paraId="54EBE57D"/>
              </w:tc>
              <w:tc>
                <w:tcPr>
                  <w:tcW w:w="916" w:type="dxa"/>
                  <w:vMerge w:val="continue"/>
                  <w:tcBorders>
                    <w:top w:val="nil"/>
                    <w:left w:val="single" w:color="000000" w:sz="4" w:space="0"/>
                    <w:bottom w:val="single" w:color="000000" w:sz="4" w:space="0"/>
                    <w:right w:val="single" w:color="000000" w:sz="4" w:space="0"/>
                  </w:tcBorders>
                </w:tcPr>
                <w:p w14:paraId="07904698"/>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41C853">
                  <w:pPr>
                    <w:pStyle w:val="5"/>
                    <w:ind w:left="75" w:right="135"/>
                    <w:jc w:val="both"/>
                  </w:pPr>
                  <w:r>
                    <w:rPr>
                      <w:rFonts w:ascii="仿宋_GB2312" w:hAnsi="仿宋_GB2312" w:eastAsia="仿宋_GB2312" w:cs="仿宋_GB2312"/>
                      <w:sz w:val="21"/>
                    </w:rPr>
                    <w:t>系统优化实施</w:t>
                  </w:r>
                </w:p>
              </w:tc>
            </w:tr>
            <w:tr w14:paraId="68973B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3137D09E"/>
              </w:tc>
              <w:tc>
                <w:tcPr>
                  <w:tcW w:w="537" w:type="dxa"/>
                  <w:vMerge w:val="continue"/>
                  <w:tcBorders>
                    <w:top w:val="nil"/>
                    <w:left w:val="single" w:color="000000" w:sz="4" w:space="0"/>
                    <w:bottom w:val="single" w:color="000000" w:sz="4" w:space="0"/>
                    <w:right w:val="single" w:color="000000" w:sz="4" w:space="0"/>
                  </w:tcBorders>
                </w:tcPr>
                <w:p w14:paraId="6250C143"/>
              </w:tc>
              <w:tc>
                <w:tcPr>
                  <w:tcW w:w="916" w:type="dxa"/>
                  <w:vMerge w:val="continue"/>
                  <w:tcBorders>
                    <w:top w:val="nil"/>
                    <w:left w:val="single" w:color="000000" w:sz="4" w:space="0"/>
                    <w:bottom w:val="single" w:color="000000" w:sz="4" w:space="0"/>
                    <w:right w:val="single" w:color="000000" w:sz="4" w:space="0"/>
                  </w:tcBorders>
                </w:tcPr>
                <w:p w14:paraId="43AEC6DB"/>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FB7B5F">
                  <w:pPr>
                    <w:pStyle w:val="5"/>
                    <w:ind w:left="75" w:right="135"/>
                    <w:jc w:val="both"/>
                  </w:pPr>
                  <w:r>
                    <w:rPr>
                      <w:rFonts w:ascii="仿宋_GB2312" w:hAnsi="仿宋_GB2312" w:eastAsia="仿宋_GB2312" w:cs="仿宋_GB2312"/>
                      <w:sz w:val="21"/>
                    </w:rPr>
                    <w:t>优化性能评估</w:t>
                  </w:r>
                </w:p>
              </w:tc>
            </w:tr>
            <w:tr w14:paraId="2712A1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3B4FC739"/>
              </w:tc>
              <w:tc>
                <w:tcPr>
                  <w:tcW w:w="537" w:type="dxa"/>
                  <w:vMerge w:val="continue"/>
                  <w:tcBorders>
                    <w:top w:val="nil"/>
                    <w:left w:val="single" w:color="000000" w:sz="4" w:space="0"/>
                    <w:bottom w:val="single" w:color="000000" w:sz="4" w:space="0"/>
                    <w:right w:val="single" w:color="000000" w:sz="4" w:space="0"/>
                  </w:tcBorders>
                </w:tcPr>
                <w:p w14:paraId="31FF56F9"/>
              </w:tc>
              <w:tc>
                <w:tcPr>
                  <w:tcW w:w="91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ABFAD4">
                  <w:pPr>
                    <w:pStyle w:val="5"/>
                    <w:jc w:val="center"/>
                  </w:pPr>
                  <w:r>
                    <w:rPr>
                      <w:rFonts w:ascii="仿宋_GB2312" w:hAnsi="仿宋_GB2312" w:eastAsia="仿宋_GB2312" w:cs="仿宋_GB2312"/>
                      <w:sz w:val="21"/>
                    </w:rPr>
                    <w:t>故障管理和应急处理</w:t>
                  </w:r>
                </w:p>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9B6BAF">
                  <w:pPr>
                    <w:pStyle w:val="5"/>
                    <w:ind w:left="75" w:right="135"/>
                    <w:jc w:val="both"/>
                  </w:pPr>
                  <w:r>
                    <w:rPr>
                      <w:rFonts w:ascii="仿宋_GB2312" w:hAnsi="仿宋_GB2312" w:eastAsia="仿宋_GB2312" w:cs="仿宋_GB2312"/>
                      <w:sz w:val="21"/>
                    </w:rPr>
                    <w:t>故障报告</w:t>
                  </w:r>
                </w:p>
              </w:tc>
            </w:tr>
            <w:tr w14:paraId="6F7B5E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2AA53181"/>
              </w:tc>
              <w:tc>
                <w:tcPr>
                  <w:tcW w:w="537" w:type="dxa"/>
                  <w:vMerge w:val="continue"/>
                  <w:tcBorders>
                    <w:top w:val="nil"/>
                    <w:left w:val="single" w:color="000000" w:sz="4" w:space="0"/>
                    <w:bottom w:val="single" w:color="000000" w:sz="4" w:space="0"/>
                    <w:right w:val="single" w:color="000000" w:sz="4" w:space="0"/>
                  </w:tcBorders>
                </w:tcPr>
                <w:p w14:paraId="5A24EE7F"/>
              </w:tc>
              <w:tc>
                <w:tcPr>
                  <w:tcW w:w="916" w:type="dxa"/>
                  <w:vMerge w:val="continue"/>
                  <w:tcBorders>
                    <w:top w:val="nil"/>
                    <w:left w:val="single" w:color="000000" w:sz="4" w:space="0"/>
                    <w:bottom w:val="single" w:color="000000" w:sz="4" w:space="0"/>
                    <w:right w:val="single" w:color="000000" w:sz="4" w:space="0"/>
                  </w:tcBorders>
                </w:tcPr>
                <w:p w14:paraId="6599B48C"/>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1720FD">
                  <w:pPr>
                    <w:pStyle w:val="5"/>
                    <w:ind w:left="75" w:right="135"/>
                    <w:jc w:val="both"/>
                  </w:pPr>
                  <w:r>
                    <w:rPr>
                      <w:rFonts w:ascii="仿宋_GB2312" w:hAnsi="仿宋_GB2312" w:eastAsia="仿宋_GB2312" w:cs="仿宋_GB2312"/>
                      <w:sz w:val="21"/>
                    </w:rPr>
                    <w:t>特殊节假日会议保障</w:t>
                  </w:r>
                </w:p>
              </w:tc>
            </w:tr>
            <w:tr w14:paraId="0ADD03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62E39AA1"/>
              </w:tc>
              <w:tc>
                <w:tcPr>
                  <w:tcW w:w="537" w:type="dxa"/>
                  <w:vMerge w:val="continue"/>
                  <w:tcBorders>
                    <w:top w:val="nil"/>
                    <w:left w:val="single" w:color="000000" w:sz="4" w:space="0"/>
                    <w:bottom w:val="single" w:color="000000" w:sz="4" w:space="0"/>
                    <w:right w:val="single" w:color="000000" w:sz="4" w:space="0"/>
                  </w:tcBorders>
                </w:tcPr>
                <w:p w14:paraId="327E7656"/>
              </w:tc>
              <w:tc>
                <w:tcPr>
                  <w:tcW w:w="916" w:type="dxa"/>
                  <w:vMerge w:val="continue"/>
                  <w:tcBorders>
                    <w:top w:val="nil"/>
                    <w:left w:val="single" w:color="000000" w:sz="4" w:space="0"/>
                    <w:bottom w:val="single" w:color="000000" w:sz="4" w:space="0"/>
                    <w:right w:val="single" w:color="000000" w:sz="4" w:space="0"/>
                  </w:tcBorders>
                </w:tcPr>
                <w:p w14:paraId="44D8BD43"/>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89FD0C">
                  <w:pPr>
                    <w:pStyle w:val="5"/>
                    <w:ind w:left="75" w:right="135"/>
                    <w:jc w:val="both"/>
                  </w:pPr>
                  <w:r>
                    <w:rPr>
                      <w:rFonts w:ascii="仿宋_GB2312" w:hAnsi="仿宋_GB2312" w:eastAsia="仿宋_GB2312" w:cs="仿宋_GB2312"/>
                      <w:sz w:val="21"/>
                    </w:rPr>
                    <w:t>应急处置</w:t>
                  </w:r>
                </w:p>
              </w:tc>
            </w:tr>
            <w:tr w14:paraId="1E6B40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A5D40A">
                  <w:pPr>
                    <w:pStyle w:val="5"/>
                    <w:jc w:val="center"/>
                  </w:pPr>
                  <w:r>
                    <w:rPr>
                      <w:rFonts w:ascii="仿宋_GB2312" w:hAnsi="仿宋_GB2312" w:eastAsia="仿宋_GB2312" w:cs="仿宋_GB2312"/>
                      <w:sz w:val="21"/>
                    </w:rPr>
                    <w:t>5</w:t>
                  </w:r>
                </w:p>
              </w:tc>
              <w:tc>
                <w:tcPr>
                  <w:tcW w:w="53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B8F521B">
                  <w:pPr>
                    <w:pStyle w:val="5"/>
                    <w:jc w:val="center"/>
                  </w:pPr>
                  <w:r>
                    <w:rPr>
                      <w:rFonts w:ascii="仿宋_GB2312" w:hAnsi="仿宋_GB2312" w:eastAsia="仿宋_GB2312" w:cs="仿宋_GB2312"/>
                      <w:sz w:val="21"/>
                    </w:rPr>
                    <w:t>安全运维</w:t>
                  </w:r>
                </w:p>
              </w:tc>
              <w:tc>
                <w:tcPr>
                  <w:tcW w:w="9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47D775">
                  <w:pPr>
                    <w:pStyle w:val="5"/>
                    <w:jc w:val="center"/>
                  </w:pPr>
                  <w:r>
                    <w:rPr>
                      <w:rFonts w:ascii="仿宋_GB2312" w:hAnsi="仿宋_GB2312" w:eastAsia="仿宋_GB2312" w:cs="仿宋_GB2312"/>
                      <w:sz w:val="21"/>
                    </w:rPr>
                    <w:t>虚拟防火墙</w:t>
                  </w:r>
                </w:p>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60249E">
                  <w:pPr>
                    <w:pStyle w:val="5"/>
                    <w:ind w:left="75" w:right="135"/>
                    <w:jc w:val="both"/>
                  </w:pPr>
                  <w:r>
                    <w:rPr>
                      <w:rFonts w:ascii="仿宋_GB2312" w:hAnsi="仿宋_GB2312" w:eastAsia="仿宋_GB2312" w:cs="仿宋_GB2312"/>
                      <w:sz w:val="21"/>
                    </w:rPr>
                    <w:t>日常管理</w:t>
                  </w:r>
                </w:p>
              </w:tc>
            </w:tr>
            <w:tr w14:paraId="133250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7BA2AA9B"/>
              </w:tc>
              <w:tc>
                <w:tcPr>
                  <w:tcW w:w="537" w:type="dxa"/>
                  <w:vMerge w:val="continue"/>
                  <w:tcBorders>
                    <w:top w:val="nil"/>
                    <w:left w:val="single" w:color="000000" w:sz="4" w:space="0"/>
                    <w:bottom w:val="single" w:color="000000" w:sz="4" w:space="0"/>
                    <w:right w:val="single" w:color="000000" w:sz="4" w:space="0"/>
                  </w:tcBorders>
                </w:tcPr>
                <w:p w14:paraId="08C938DE"/>
              </w:tc>
              <w:tc>
                <w:tcPr>
                  <w:tcW w:w="9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683DB74">
                  <w:pPr>
                    <w:pStyle w:val="5"/>
                    <w:jc w:val="center"/>
                  </w:pPr>
                  <w:r>
                    <w:rPr>
                      <w:rFonts w:ascii="仿宋_GB2312" w:hAnsi="仿宋_GB2312" w:eastAsia="仿宋_GB2312" w:cs="仿宋_GB2312"/>
                      <w:sz w:val="21"/>
                    </w:rPr>
                    <w:t>VPN</w:t>
                  </w:r>
                </w:p>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1AF95B">
                  <w:pPr>
                    <w:pStyle w:val="5"/>
                    <w:ind w:left="75" w:right="135"/>
                    <w:jc w:val="both"/>
                  </w:pPr>
                  <w:r>
                    <w:rPr>
                      <w:rFonts w:ascii="仿宋_GB2312" w:hAnsi="仿宋_GB2312" w:eastAsia="仿宋_GB2312" w:cs="仿宋_GB2312"/>
                      <w:sz w:val="21"/>
                    </w:rPr>
                    <w:t>日常管理</w:t>
                  </w:r>
                </w:p>
              </w:tc>
            </w:tr>
            <w:tr w14:paraId="2B6D57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4C7EC4FC"/>
              </w:tc>
              <w:tc>
                <w:tcPr>
                  <w:tcW w:w="537" w:type="dxa"/>
                  <w:vMerge w:val="continue"/>
                  <w:tcBorders>
                    <w:top w:val="nil"/>
                    <w:left w:val="single" w:color="000000" w:sz="4" w:space="0"/>
                    <w:bottom w:val="single" w:color="000000" w:sz="4" w:space="0"/>
                    <w:right w:val="single" w:color="000000" w:sz="4" w:space="0"/>
                  </w:tcBorders>
                </w:tcPr>
                <w:p w14:paraId="4C19B08F"/>
              </w:tc>
              <w:tc>
                <w:tcPr>
                  <w:tcW w:w="9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DBCD04">
                  <w:pPr>
                    <w:pStyle w:val="5"/>
                    <w:jc w:val="center"/>
                  </w:pPr>
                  <w:r>
                    <w:rPr>
                      <w:rFonts w:ascii="仿宋_GB2312" w:hAnsi="仿宋_GB2312" w:eastAsia="仿宋_GB2312" w:cs="仿宋_GB2312"/>
                      <w:sz w:val="21"/>
                    </w:rPr>
                    <w:t>堡垒机</w:t>
                  </w:r>
                </w:p>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E24BB6">
                  <w:pPr>
                    <w:pStyle w:val="5"/>
                    <w:ind w:left="75" w:right="135"/>
                    <w:jc w:val="both"/>
                  </w:pPr>
                  <w:r>
                    <w:rPr>
                      <w:rFonts w:ascii="仿宋_GB2312" w:hAnsi="仿宋_GB2312" w:eastAsia="仿宋_GB2312" w:cs="仿宋_GB2312"/>
                      <w:sz w:val="21"/>
                    </w:rPr>
                    <w:t>日常管理</w:t>
                  </w:r>
                </w:p>
              </w:tc>
            </w:tr>
            <w:tr w14:paraId="1AE404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3709A976"/>
              </w:tc>
              <w:tc>
                <w:tcPr>
                  <w:tcW w:w="537" w:type="dxa"/>
                  <w:vMerge w:val="continue"/>
                  <w:tcBorders>
                    <w:top w:val="nil"/>
                    <w:left w:val="single" w:color="000000" w:sz="4" w:space="0"/>
                    <w:bottom w:val="single" w:color="000000" w:sz="4" w:space="0"/>
                    <w:right w:val="single" w:color="000000" w:sz="4" w:space="0"/>
                  </w:tcBorders>
                </w:tcPr>
                <w:p w14:paraId="37B3C459"/>
              </w:tc>
              <w:tc>
                <w:tcPr>
                  <w:tcW w:w="9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F9E26A">
                  <w:pPr>
                    <w:pStyle w:val="5"/>
                    <w:jc w:val="center"/>
                  </w:pPr>
                  <w:r>
                    <w:rPr>
                      <w:rFonts w:ascii="仿宋_GB2312" w:hAnsi="仿宋_GB2312" w:eastAsia="仿宋_GB2312" w:cs="仿宋_GB2312"/>
                      <w:sz w:val="21"/>
                    </w:rPr>
                    <w:t>网络安全</w:t>
                  </w:r>
                </w:p>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A58B55">
                  <w:pPr>
                    <w:pStyle w:val="5"/>
                    <w:ind w:left="75" w:right="135"/>
                    <w:jc w:val="both"/>
                  </w:pPr>
                  <w:r>
                    <w:rPr>
                      <w:rFonts w:ascii="仿宋_GB2312" w:hAnsi="仿宋_GB2312" w:eastAsia="仿宋_GB2312" w:cs="仿宋_GB2312"/>
                      <w:sz w:val="21"/>
                    </w:rPr>
                    <w:t>问题和隐患处置</w:t>
                  </w:r>
                </w:p>
              </w:tc>
            </w:tr>
            <w:tr w14:paraId="01BD54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9010C9">
                  <w:pPr>
                    <w:pStyle w:val="5"/>
                    <w:jc w:val="center"/>
                  </w:pPr>
                  <w:r>
                    <w:rPr>
                      <w:rFonts w:ascii="仿宋_GB2312" w:hAnsi="仿宋_GB2312" w:eastAsia="仿宋_GB2312" w:cs="仿宋_GB2312"/>
                      <w:sz w:val="21"/>
                    </w:rPr>
                    <w:t>6</w:t>
                  </w:r>
                </w:p>
              </w:tc>
              <w:tc>
                <w:tcPr>
                  <w:tcW w:w="53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D17375">
                  <w:pPr>
                    <w:pStyle w:val="5"/>
                    <w:jc w:val="center"/>
                  </w:pPr>
                  <w:r>
                    <w:rPr>
                      <w:rFonts w:ascii="仿宋_GB2312" w:hAnsi="仿宋_GB2312" w:eastAsia="仿宋_GB2312" w:cs="仿宋_GB2312"/>
                      <w:sz w:val="21"/>
                    </w:rPr>
                    <w:t>成都市新津区公园城市数字底座各系统迁移</w:t>
                  </w:r>
                </w:p>
              </w:tc>
              <w:tc>
                <w:tcPr>
                  <w:tcW w:w="9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8A31D2">
                  <w:pPr>
                    <w:pStyle w:val="5"/>
                    <w:jc w:val="center"/>
                  </w:pPr>
                  <w:r>
                    <w:rPr>
                      <w:rFonts w:ascii="仿宋_GB2312" w:hAnsi="仿宋_GB2312" w:eastAsia="仿宋_GB2312" w:cs="仿宋_GB2312"/>
                      <w:sz w:val="21"/>
                    </w:rPr>
                    <w:t>迁移规划与评估</w:t>
                  </w:r>
                </w:p>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8A5C3F">
                  <w:pPr>
                    <w:pStyle w:val="5"/>
                    <w:ind w:left="75" w:right="135"/>
                    <w:jc w:val="both"/>
                  </w:pPr>
                  <w:r>
                    <w:rPr>
                      <w:rFonts w:ascii="仿宋_GB2312" w:hAnsi="仿宋_GB2312" w:eastAsia="仿宋_GB2312" w:cs="仿宋_GB2312"/>
                      <w:sz w:val="21"/>
                    </w:rPr>
                    <w:t>业务需求分析、系统现状评估、迁移策略选择风险评估</w:t>
                  </w:r>
                </w:p>
              </w:tc>
            </w:tr>
            <w:tr w14:paraId="174395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3CE6D191"/>
              </w:tc>
              <w:tc>
                <w:tcPr>
                  <w:tcW w:w="537" w:type="dxa"/>
                  <w:vMerge w:val="continue"/>
                  <w:tcBorders>
                    <w:top w:val="nil"/>
                    <w:left w:val="single" w:color="000000" w:sz="4" w:space="0"/>
                    <w:bottom w:val="single" w:color="000000" w:sz="4" w:space="0"/>
                    <w:right w:val="single" w:color="000000" w:sz="4" w:space="0"/>
                  </w:tcBorders>
                </w:tcPr>
                <w:p w14:paraId="518321DF"/>
              </w:tc>
              <w:tc>
                <w:tcPr>
                  <w:tcW w:w="9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1BFD7F">
                  <w:pPr>
                    <w:pStyle w:val="5"/>
                    <w:jc w:val="center"/>
                  </w:pPr>
                  <w:r>
                    <w:rPr>
                      <w:rFonts w:ascii="仿宋_GB2312" w:hAnsi="仿宋_GB2312" w:eastAsia="仿宋_GB2312" w:cs="仿宋_GB2312"/>
                      <w:sz w:val="21"/>
                    </w:rPr>
                    <w:t>环境准备与架构设计</w:t>
                  </w:r>
                </w:p>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ECD5C1">
                  <w:pPr>
                    <w:pStyle w:val="5"/>
                    <w:ind w:left="75" w:right="135"/>
                    <w:jc w:val="both"/>
                  </w:pPr>
                  <w:r>
                    <w:rPr>
                      <w:rFonts w:ascii="仿宋_GB2312" w:hAnsi="仿宋_GB2312" w:eastAsia="仿宋_GB2312" w:cs="仿宋_GB2312"/>
                      <w:sz w:val="21"/>
                    </w:rPr>
                    <w:t>目标环境搭建、架构适配、依赖管理</w:t>
                  </w:r>
                </w:p>
              </w:tc>
            </w:tr>
            <w:tr w14:paraId="531A2A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3AED9D8A"/>
              </w:tc>
              <w:tc>
                <w:tcPr>
                  <w:tcW w:w="537" w:type="dxa"/>
                  <w:vMerge w:val="continue"/>
                  <w:tcBorders>
                    <w:top w:val="nil"/>
                    <w:left w:val="single" w:color="000000" w:sz="4" w:space="0"/>
                    <w:bottom w:val="single" w:color="000000" w:sz="4" w:space="0"/>
                    <w:right w:val="single" w:color="000000" w:sz="4" w:space="0"/>
                  </w:tcBorders>
                </w:tcPr>
                <w:p w14:paraId="3ABE2A0C"/>
              </w:tc>
              <w:tc>
                <w:tcPr>
                  <w:tcW w:w="9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597C2B">
                  <w:pPr>
                    <w:pStyle w:val="5"/>
                    <w:jc w:val="center"/>
                  </w:pPr>
                  <w:r>
                    <w:rPr>
                      <w:rFonts w:ascii="仿宋_GB2312" w:hAnsi="仿宋_GB2312" w:eastAsia="仿宋_GB2312" w:cs="仿宋_GB2312"/>
                      <w:sz w:val="21"/>
                    </w:rPr>
                    <w:t>数据迁移</w:t>
                  </w:r>
                </w:p>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6FFDF7">
                  <w:pPr>
                    <w:pStyle w:val="5"/>
                    <w:ind w:left="75" w:right="135"/>
                    <w:jc w:val="both"/>
                  </w:pPr>
                  <w:r>
                    <w:rPr>
                      <w:rFonts w:ascii="仿宋_GB2312" w:hAnsi="仿宋_GB2312" w:eastAsia="仿宋_GB2312" w:cs="仿宋_GB2312"/>
                      <w:sz w:val="21"/>
                    </w:rPr>
                    <w:t>数据评估、迁移方案、数据验证</w:t>
                  </w:r>
                </w:p>
              </w:tc>
            </w:tr>
            <w:tr w14:paraId="7C7ABA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34E241A2"/>
              </w:tc>
              <w:tc>
                <w:tcPr>
                  <w:tcW w:w="537" w:type="dxa"/>
                  <w:vMerge w:val="continue"/>
                  <w:tcBorders>
                    <w:top w:val="nil"/>
                    <w:left w:val="single" w:color="000000" w:sz="4" w:space="0"/>
                    <w:bottom w:val="single" w:color="000000" w:sz="4" w:space="0"/>
                    <w:right w:val="single" w:color="000000" w:sz="4" w:space="0"/>
                  </w:tcBorders>
                </w:tcPr>
                <w:p w14:paraId="42BF0843"/>
              </w:tc>
              <w:tc>
                <w:tcPr>
                  <w:tcW w:w="9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618F01">
                  <w:pPr>
                    <w:pStyle w:val="5"/>
                    <w:jc w:val="center"/>
                  </w:pPr>
                  <w:r>
                    <w:rPr>
                      <w:rFonts w:ascii="仿宋_GB2312" w:hAnsi="仿宋_GB2312" w:eastAsia="仿宋_GB2312" w:cs="仿宋_GB2312"/>
                      <w:sz w:val="21"/>
                    </w:rPr>
                    <w:t>应用迁移</w:t>
                  </w:r>
                </w:p>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6F9E26">
                  <w:pPr>
                    <w:pStyle w:val="5"/>
                    <w:ind w:left="75" w:right="135"/>
                    <w:jc w:val="both"/>
                  </w:pPr>
                  <w:r>
                    <w:rPr>
                      <w:rFonts w:ascii="仿宋_GB2312" w:hAnsi="仿宋_GB2312" w:eastAsia="仿宋_GB2312" w:cs="仿宋_GB2312"/>
                      <w:sz w:val="21"/>
                    </w:rPr>
                    <w:t>代码与配置迁移、兼容性适配、功能测试</w:t>
                  </w:r>
                </w:p>
              </w:tc>
            </w:tr>
            <w:tr w14:paraId="218ACE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00404170"/>
              </w:tc>
              <w:tc>
                <w:tcPr>
                  <w:tcW w:w="537" w:type="dxa"/>
                  <w:vMerge w:val="continue"/>
                  <w:tcBorders>
                    <w:top w:val="nil"/>
                    <w:left w:val="single" w:color="000000" w:sz="4" w:space="0"/>
                    <w:bottom w:val="single" w:color="000000" w:sz="4" w:space="0"/>
                    <w:right w:val="single" w:color="000000" w:sz="4" w:space="0"/>
                  </w:tcBorders>
                </w:tcPr>
                <w:p w14:paraId="1B47629B"/>
              </w:tc>
              <w:tc>
                <w:tcPr>
                  <w:tcW w:w="9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DD865A">
                  <w:pPr>
                    <w:pStyle w:val="5"/>
                    <w:jc w:val="center"/>
                  </w:pPr>
                  <w:r>
                    <w:rPr>
                      <w:rFonts w:ascii="仿宋_GB2312" w:hAnsi="仿宋_GB2312" w:eastAsia="仿宋_GB2312" w:cs="仿宋_GB2312"/>
                      <w:sz w:val="21"/>
                    </w:rPr>
                    <w:t>用户与权限迁移</w:t>
                  </w:r>
                </w:p>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CD2CD1">
                  <w:pPr>
                    <w:pStyle w:val="5"/>
                    <w:ind w:left="75" w:right="135"/>
                    <w:jc w:val="both"/>
                  </w:pPr>
                  <w:r>
                    <w:rPr>
                      <w:rFonts w:ascii="仿宋_GB2312" w:hAnsi="仿宋_GB2312" w:eastAsia="仿宋_GB2312" w:cs="仿宋_GB2312"/>
                      <w:sz w:val="21"/>
                    </w:rPr>
                    <w:t>身份认证迁移、权限模型调整</w:t>
                  </w:r>
                </w:p>
              </w:tc>
            </w:tr>
            <w:tr w14:paraId="328E32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288874B9"/>
              </w:tc>
              <w:tc>
                <w:tcPr>
                  <w:tcW w:w="537" w:type="dxa"/>
                  <w:vMerge w:val="continue"/>
                  <w:tcBorders>
                    <w:top w:val="nil"/>
                    <w:left w:val="single" w:color="000000" w:sz="4" w:space="0"/>
                    <w:bottom w:val="single" w:color="000000" w:sz="4" w:space="0"/>
                    <w:right w:val="single" w:color="000000" w:sz="4" w:space="0"/>
                  </w:tcBorders>
                </w:tcPr>
                <w:p w14:paraId="3B6AE04C"/>
              </w:tc>
              <w:tc>
                <w:tcPr>
                  <w:tcW w:w="9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EA0C0D">
                  <w:pPr>
                    <w:pStyle w:val="5"/>
                    <w:jc w:val="center"/>
                  </w:pPr>
                  <w:r>
                    <w:rPr>
                      <w:rFonts w:ascii="仿宋_GB2312" w:hAnsi="仿宋_GB2312" w:eastAsia="仿宋_GB2312" w:cs="仿宋_GB2312"/>
                      <w:sz w:val="21"/>
                    </w:rPr>
                    <w:t>网络与安全迁移</w:t>
                  </w:r>
                </w:p>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CED407">
                  <w:pPr>
                    <w:pStyle w:val="5"/>
                    <w:ind w:left="75" w:right="135"/>
                    <w:jc w:val="both"/>
                  </w:pPr>
                  <w:r>
                    <w:rPr>
                      <w:rFonts w:ascii="仿宋_GB2312" w:hAnsi="仿宋_GB2312" w:eastAsia="仿宋_GB2312" w:cs="仿宋_GB2312"/>
                      <w:sz w:val="21"/>
                    </w:rPr>
                    <w:t>网络架构调整、安全策略迁移</w:t>
                  </w:r>
                </w:p>
              </w:tc>
            </w:tr>
            <w:tr w14:paraId="011C22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10759EF6"/>
              </w:tc>
              <w:tc>
                <w:tcPr>
                  <w:tcW w:w="537" w:type="dxa"/>
                  <w:vMerge w:val="continue"/>
                  <w:tcBorders>
                    <w:top w:val="nil"/>
                    <w:left w:val="single" w:color="000000" w:sz="4" w:space="0"/>
                    <w:bottom w:val="single" w:color="000000" w:sz="4" w:space="0"/>
                    <w:right w:val="single" w:color="000000" w:sz="4" w:space="0"/>
                  </w:tcBorders>
                </w:tcPr>
                <w:p w14:paraId="031C01A2"/>
              </w:tc>
              <w:tc>
                <w:tcPr>
                  <w:tcW w:w="9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034287">
                  <w:pPr>
                    <w:pStyle w:val="5"/>
                    <w:jc w:val="center"/>
                  </w:pPr>
                  <w:r>
                    <w:rPr>
                      <w:rFonts w:ascii="仿宋_GB2312" w:hAnsi="仿宋_GB2312" w:eastAsia="仿宋_GB2312" w:cs="仿宋_GB2312"/>
                      <w:sz w:val="21"/>
                    </w:rPr>
                    <w:t>测试与验证</w:t>
                  </w:r>
                </w:p>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58FBC2">
                  <w:pPr>
                    <w:pStyle w:val="5"/>
                    <w:ind w:left="75" w:right="135"/>
                    <w:jc w:val="both"/>
                  </w:pPr>
                  <w:r>
                    <w:rPr>
                      <w:rFonts w:ascii="仿宋_GB2312" w:hAnsi="仿宋_GB2312" w:eastAsia="仿宋_GB2312" w:cs="仿宋_GB2312"/>
                      <w:sz w:val="21"/>
                    </w:rPr>
                    <w:t>性能测试、灾难恢复测试、用户验收测试</w:t>
                  </w:r>
                </w:p>
              </w:tc>
            </w:tr>
            <w:tr w14:paraId="6CDFA0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dxa"/>
                  <w:vMerge w:val="continue"/>
                  <w:tcBorders>
                    <w:top w:val="nil"/>
                    <w:left w:val="single" w:color="000000" w:sz="4" w:space="0"/>
                    <w:bottom w:val="single" w:color="000000" w:sz="4" w:space="0"/>
                    <w:right w:val="single" w:color="000000" w:sz="4" w:space="0"/>
                  </w:tcBorders>
                </w:tcPr>
                <w:p w14:paraId="706DA12E"/>
              </w:tc>
              <w:tc>
                <w:tcPr>
                  <w:tcW w:w="537" w:type="dxa"/>
                  <w:vMerge w:val="continue"/>
                  <w:tcBorders>
                    <w:top w:val="nil"/>
                    <w:left w:val="single" w:color="000000" w:sz="4" w:space="0"/>
                    <w:bottom w:val="single" w:color="000000" w:sz="4" w:space="0"/>
                    <w:right w:val="single" w:color="000000" w:sz="4" w:space="0"/>
                  </w:tcBorders>
                </w:tcPr>
                <w:p w14:paraId="7A2AAA41"/>
              </w:tc>
              <w:tc>
                <w:tcPr>
                  <w:tcW w:w="9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3640E8">
                  <w:pPr>
                    <w:pStyle w:val="5"/>
                    <w:jc w:val="center"/>
                  </w:pPr>
                  <w:r>
                    <w:rPr>
                      <w:rFonts w:ascii="仿宋_GB2312" w:hAnsi="仿宋_GB2312" w:eastAsia="仿宋_GB2312" w:cs="仿宋_GB2312"/>
                      <w:sz w:val="21"/>
                    </w:rPr>
                    <w:t>切换与回滚计划</w:t>
                  </w:r>
                </w:p>
              </w:tc>
              <w:tc>
                <w:tcPr>
                  <w:tcW w:w="38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07F365">
                  <w:pPr>
                    <w:pStyle w:val="5"/>
                    <w:ind w:left="75" w:right="135"/>
                    <w:jc w:val="both"/>
                  </w:pPr>
                  <w:r>
                    <w:rPr>
                      <w:rFonts w:ascii="仿宋_GB2312" w:hAnsi="仿宋_GB2312" w:eastAsia="仿宋_GB2312" w:cs="仿宋_GB2312"/>
                      <w:sz w:val="21"/>
                    </w:rPr>
                    <w:t>切换策略、回滚方案</w:t>
                  </w:r>
                </w:p>
              </w:tc>
            </w:tr>
          </w:tbl>
          <w:p w14:paraId="71DF831B">
            <w:pPr>
              <w:pStyle w:val="5"/>
              <w:jc w:val="both"/>
            </w:pPr>
            <w:r>
              <w:rPr>
                <w:rFonts w:ascii="仿宋_GB2312" w:hAnsi="仿宋_GB2312" w:eastAsia="仿宋_GB2312" w:cs="仿宋_GB2312"/>
                <w:sz w:val="21"/>
              </w:rPr>
              <w:t>（二）运维对象清单</w:t>
            </w:r>
          </w:p>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51"/>
              <w:gridCol w:w="1350"/>
              <w:gridCol w:w="1350"/>
              <w:gridCol w:w="900"/>
              <w:gridCol w:w="774"/>
              <w:gridCol w:w="855"/>
            </w:tblGrid>
            <w:tr w14:paraId="11F9E4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7AFFDEE">
                  <w:pPr>
                    <w:pStyle w:val="5"/>
                    <w:jc w:val="center"/>
                  </w:pPr>
                  <w:r>
                    <w:rPr>
                      <w:rFonts w:ascii="仿宋_GB2312" w:hAnsi="仿宋_GB2312" w:eastAsia="仿宋_GB2312" w:cs="仿宋_GB2312"/>
                      <w:b/>
                      <w:sz w:val="21"/>
                    </w:rPr>
                    <w:t>序号</w:t>
                  </w:r>
                </w:p>
              </w:tc>
              <w:tc>
                <w:tcPr>
                  <w:tcW w:w="13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4B8AB61">
                  <w:pPr>
                    <w:pStyle w:val="5"/>
                    <w:jc w:val="center"/>
                  </w:pPr>
                  <w:r>
                    <w:rPr>
                      <w:rFonts w:ascii="仿宋_GB2312" w:hAnsi="仿宋_GB2312" w:eastAsia="仿宋_GB2312" w:cs="仿宋_GB2312"/>
                      <w:b/>
                      <w:sz w:val="21"/>
                    </w:rPr>
                    <w:t>项目名称</w:t>
                  </w:r>
                </w:p>
              </w:tc>
              <w:tc>
                <w:tcPr>
                  <w:tcW w:w="13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9AC2B7B">
                  <w:pPr>
                    <w:pStyle w:val="5"/>
                    <w:jc w:val="center"/>
                  </w:pPr>
                  <w:r>
                    <w:rPr>
                      <w:rFonts w:ascii="仿宋_GB2312" w:hAnsi="仿宋_GB2312" w:eastAsia="仿宋_GB2312" w:cs="仿宋_GB2312"/>
                      <w:b/>
                      <w:sz w:val="21"/>
                    </w:rPr>
                    <w:t>具体对象</w:t>
                  </w:r>
                </w:p>
              </w:tc>
              <w:tc>
                <w:tcPr>
                  <w:tcW w:w="9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D5B025B">
                  <w:pPr>
                    <w:pStyle w:val="5"/>
                    <w:jc w:val="center"/>
                  </w:pPr>
                  <w:r>
                    <w:rPr>
                      <w:rFonts w:ascii="仿宋_GB2312" w:hAnsi="仿宋_GB2312" w:eastAsia="仿宋_GB2312" w:cs="仿宋_GB2312"/>
                      <w:b/>
                      <w:sz w:val="21"/>
                    </w:rPr>
                    <w:t>数量</w:t>
                  </w:r>
                </w:p>
              </w:tc>
              <w:tc>
                <w:tcPr>
                  <w:tcW w:w="77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6916913">
                  <w:pPr>
                    <w:pStyle w:val="5"/>
                    <w:jc w:val="center"/>
                  </w:pPr>
                  <w:r>
                    <w:rPr>
                      <w:rFonts w:ascii="仿宋_GB2312" w:hAnsi="仿宋_GB2312" w:eastAsia="仿宋_GB2312" w:cs="仿宋_GB2312"/>
                      <w:b/>
                      <w:sz w:val="21"/>
                    </w:rPr>
                    <w:t>投入使用时间</w:t>
                  </w:r>
                </w:p>
              </w:tc>
              <w:tc>
                <w:tcPr>
                  <w:tcW w:w="85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C11476F">
                  <w:pPr>
                    <w:pStyle w:val="5"/>
                    <w:jc w:val="center"/>
                  </w:pPr>
                  <w:r>
                    <w:rPr>
                      <w:rFonts w:ascii="仿宋_GB2312" w:hAnsi="仿宋_GB2312" w:eastAsia="仿宋_GB2312" w:cs="仿宋_GB2312"/>
                      <w:b/>
                      <w:sz w:val="21"/>
                    </w:rPr>
                    <w:t>状态</w:t>
                  </w:r>
                </w:p>
              </w:tc>
            </w:tr>
            <w:tr w14:paraId="372E8C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48BC50">
                  <w:pPr>
                    <w:pStyle w:val="5"/>
                    <w:jc w:val="center"/>
                  </w:pPr>
                  <w:r>
                    <w:rPr>
                      <w:rFonts w:ascii="仿宋_GB2312" w:hAnsi="仿宋_GB2312" w:eastAsia="仿宋_GB2312" w:cs="仿宋_GB2312"/>
                      <w:sz w:val="21"/>
                    </w:rPr>
                    <w:t>1</w:t>
                  </w:r>
                </w:p>
              </w:tc>
              <w:tc>
                <w:tcPr>
                  <w:tcW w:w="135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92E9D7">
                  <w:pPr>
                    <w:pStyle w:val="5"/>
                    <w:jc w:val="center"/>
                  </w:pPr>
                  <w:r>
                    <w:rPr>
                      <w:rFonts w:ascii="仿宋_GB2312" w:hAnsi="仿宋_GB2312" w:eastAsia="仿宋_GB2312" w:cs="仿宋_GB2312"/>
                      <w:sz w:val="21"/>
                    </w:rPr>
                    <w:t>成都市新津区公园城市数字底座</w:t>
                  </w:r>
                </w:p>
              </w:tc>
              <w:tc>
                <w:tcPr>
                  <w:tcW w:w="13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7F0C9E">
                  <w:pPr>
                    <w:pStyle w:val="5"/>
                    <w:jc w:val="center"/>
                  </w:pPr>
                  <w:r>
                    <w:rPr>
                      <w:rFonts w:ascii="仿宋_GB2312" w:hAnsi="仿宋_GB2312" w:eastAsia="仿宋_GB2312" w:cs="仿宋_GB2312"/>
                      <w:sz w:val="21"/>
                    </w:rPr>
                    <w:t>城市物联感知平台</w:t>
                  </w:r>
                </w:p>
              </w:tc>
              <w:tc>
                <w:tcPr>
                  <w:tcW w:w="9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54BBDD">
                  <w:pPr>
                    <w:pStyle w:val="5"/>
                    <w:jc w:val="center"/>
                  </w:pPr>
                  <w:r>
                    <w:rPr>
                      <w:rFonts w:ascii="仿宋_GB2312" w:hAnsi="仿宋_GB2312" w:eastAsia="仿宋_GB2312" w:cs="仿宋_GB2312"/>
                      <w:sz w:val="21"/>
                    </w:rPr>
                    <w:t>1套</w:t>
                  </w:r>
                </w:p>
              </w:tc>
              <w:tc>
                <w:tcPr>
                  <w:tcW w:w="7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993AB0">
                  <w:pPr>
                    <w:pStyle w:val="5"/>
                    <w:jc w:val="center"/>
                  </w:pPr>
                  <w:r>
                    <w:rPr>
                      <w:rFonts w:ascii="仿宋_GB2312" w:hAnsi="仿宋_GB2312" w:eastAsia="仿宋_GB2312" w:cs="仿宋_GB2312"/>
                      <w:sz w:val="21"/>
                    </w:rPr>
                    <w:t>2022年</w:t>
                  </w:r>
                </w:p>
              </w:tc>
              <w:tc>
                <w:tcPr>
                  <w:tcW w:w="8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D6A3D6">
                  <w:pPr>
                    <w:pStyle w:val="5"/>
                    <w:jc w:val="center"/>
                  </w:pPr>
                  <w:r>
                    <w:rPr>
                      <w:rFonts w:ascii="仿宋_GB2312" w:hAnsi="仿宋_GB2312" w:eastAsia="仿宋_GB2312" w:cs="仿宋_GB2312"/>
                      <w:sz w:val="21"/>
                    </w:rPr>
                    <w:t>良好</w:t>
                  </w:r>
                </w:p>
              </w:tc>
            </w:tr>
            <w:tr w14:paraId="7FEB08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F26631">
                  <w:pPr>
                    <w:pStyle w:val="5"/>
                    <w:jc w:val="center"/>
                  </w:pPr>
                  <w:r>
                    <w:rPr>
                      <w:rFonts w:ascii="仿宋_GB2312" w:hAnsi="仿宋_GB2312" w:eastAsia="仿宋_GB2312" w:cs="仿宋_GB2312"/>
                      <w:sz w:val="21"/>
                    </w:rPr>
                    <w:t>2</w:t>
                  </w:r>
                </w:p>
              </w:tc>
              <w:tc>
                <w:tcPr>
                  <w:tcW w:w="1350" w:type="dxa"/>
                  <w:vMerge w:val="continue"/>
                  <w:tcBorders>
                    <w:top w:val="nil"/>
                    <w:left w:val="single" w:color="000000" w:sz="4" w:space="0"/>
                    <w:bottom w:val="single" w:color="000000" w:sz="4" w:space="0"/>
                    <w:right w:val="single" w:color="000000" w:sz="4" w:space="0"/>
                  </w:tcBorders>
                </w:tcPr>
                <w:p w14:paraId="3B189C4E"/>
              </w:tc>
              <w:tc>
                <w:tcPr>
                  <w:tcW w:w="13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C98595">
                  <w:pPr>
                    <w:pStyle w:val="5"/>
                    <w:jc w:val="center"/>
                  </w:pPr>
                  <w:r>
                    <w:rPr>
                      <w:rFonts w:ascii="仿宋_GB2312" w:hAnsi="仿宋_GB2312" w:eastAsia="仿宋_GB2312" w:cs="仿宋_GB2312"/>
                      <w:sz w:val="21"/>
                    </w:rPr>
                    <w:t>物联网视频平台</w:t>
                  </w:r>
                </w:p>
              </w:tc>
              <w:tc>
                <w:tcPr>
                  <w:tcW w:w="9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DC3E55">
                  <w:pPr>
                    <w:pStyle w:val="5"/>
                    <w:jc w:val="center"/>
                  </w:pPr>
                  <w:r>
                    <w:rPr>
                      <w:rFonts w:ascii="仿宋_GB2312" w:hAnsi="仿宋_GB2312" w:eastAsia="仿宋_GB2312" w:cs="仿宋_GB2312"/>
                      <w:sz w:val="21"/>
                    </w:rPr>
                    <w:t>1套</w:t>
                  </w:r>
                </w:p>
              </w:tc>
              <w:tc>
                <w:tcPr>
                  <w:tcW w:w="7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F57D7B">
                  <w:pPr>
                    <w:pStyle w:val="5"/>
                    <w:jc w:val="center"/>
                  </w:pPr>
                  <w:r>
                    <w:rPr>
                      <w:rFonts w:ascii="仿宋_GB2312" w:hAnsi="仿宋_GB2312" w:eastAsia="仿宋_GB2312" w:cs="仿宋_GB2312"/>
                      <w:sz w:val="21"/>
                    </w:rPr>
                    <w:t>2022年</w:t>
                  </w:r>
                </w:p>
              </w:tc>
              <w:tc>
                <w:tcPr>
                  <w:tcW w:w="8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258DE6">
                  <w:pPr>
                    <w:pStyle w:val="5"/>
                    <w:jc w:val="center"/>
                  </w:pPr>
                  <w:r>
                    <w:rPr>
                      <w:rFonts w:ascii="仿宋_GB2312" w:hAnsi="仿宋_GB2312" w:eastAsia="仿宋_GB2312" w:cs="仿宋_GB2312"/>
                      <w:sz w:val="21"/>
                    </w:rPr>
                    <w:t>良好</w:t>
                  </w:r>
                </w:p>
              </w:tc>
            </w:tr>
            <w:tr w14:paraId="25FB13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855B59">
                  <w:pPr>
                    <w:pStyle w:val="5"/>
                    <w:jc w:val="center"/>
                  </w:pPr>
                  <w:r>
                    <w:rPr>
                      <w:rFonts w:ascii="仿宋_GB2312" w:hAnsi="仿宋_GB2312" w:eastAsia="仿宋_GB2312" w:cs="仿宋_GB2312"/>
                      <w:sz w:val="21"/>
                    </w:rPr>
                    <w:t>3</w:t>
                  </w:r>
                </w:p>
              </w:tc>
              <w:tc>
                <w:tcPr>
                  <w:tcW w:w="1350" w:type="dxa"/>
                  <w:vMerge w:val="continue"/>
                  <w:tcBorders>
                    <w:top w:val="nil"/>
                    <w:left w:val="single" w:color="000000" w:sz="4" w:space="0"/>
                    <w:bottom w:val="single" w:color="000000" w:sz="4" w:space="0"/>
                    <w:right w:val="single" w:color="000000" w:sz="4" w:space="0"/>
                  </w:tcBorders>
                </w:tcPr>
                <w:p w14:paraId="00B8352B"/>
              </w:tc>
              <w:tc>
                <w:tcPr>
                  <w:tcW w:w="13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B52C8C">
                  <w:pPr>
                    <w:pStyle w:val="5"/>
                    <w:jc w:val="center"/>
                  </w:pPr>
                  <w:r>
                    <w:rPr>
                      <w:rFonts w:ascii="仿宋_GB2312" w:hAnsi="仿宋_GB2312" w:eastAsia="仿宋_GB2312" w:cs="仿宋_GB2312"/>
                      <w:sz w:val="21"/>
                    </w:rPr>
                    <w:t>数据中台</w:t>
                  </w:r>
                </w:p>
              </w:tc>
              <w:tc>
                <w:tcPr>
                  <w:tcW w:w="9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CD0881">
                  <w:pPr>
                    <w:pStyle w:val="5"/>
                    <w:jc w:val="center"/>
                  </w:pPr>
                  <w:r>
                    <w:rPr>
                      <w:rFonts w:ascii="仿宋_GB2312" w:hAnsi="仿宋_GB2312" w:eastAsia="仿宋_GB2312" w:cs="仿宋_GB2312"/>
                      <w:sz w:val="21"/>
                    </w:rPr>
                    <w:t>1套</w:t>
                  </w:r>
                </w:p>
              </w:tc>
              <w:tc>
                <w:tcPr>
                  <w:tcW w:w="7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E982EA">
                  <w:pPr>
                    <w:pStyle w:val="5"/>
                    <w:jc w:val="center"/>
                  </w:pPr>
                  <w:r>
                    <w:rPr>
                      <w:rFonts w:ascii="仿宋_GB2312" w:hAnsi="仿宋_GB2312" w:eastAsia="仿宋_GB2312" w:cs="仿宋_GB2312"/>
                      <w:sz w:val="21"/>
                    </w:rPr>
                    <w:t>2022年</w:t>
                  </w:r>
                </w:p>
              </w:tc>
              <w:tc>
                <w:tcPr>
                  <w:tcW w:w="8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954EBD">
                  <w:pPr>
                    <w:pStyle w:val="5"/>
                    <w:jc w:val="center"/>
                  </w:pPr>
                  <w:r>
                    <w:rPr>
                      <w:rFonts w:ascii="仿宋_GB2312" w:hAnsi="仿宋_GB2312" w:eastAsia="仿宋_GB2312" w:cs="仿宋_GB2312"/>
                      <w:sz w:val="21"/>
                    </w:rPr>
                    <w:t>良好</w:t>
                  </w:r>
                </w:p>
              </w:tc>
            </w:tr>
            <w:tr w14:paraId="0D1FA9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FBD820">
                  <w:pPr>
                    <w:pStyle w:val="5"/>
                    <w:jc w:val="center"/>
                  </w:pPr>
                  <w:r>
                    <w:rPr>
                      <w:rFonts w:ascii="仿宋_GB2312" w:hAnsi="仿宋_GB2312" w:eastAsia="仿宋_GB2312" w:cs="仿宋_GB2312"/>
                      <w:sz w:val="21"/>
                    </w:rPr>
                    <w:t>4</w:t>
                  </w:r>
                </w:p>
              </w:tc>
              <w:tc>
                <w:tcPr>
                  <w:tcW w:w="1350" w:type="dxa"/>
                  <w:vMerge w:val="continue"/>
                  <w:tcBorders>
                    <w:top w:val="nil"/>
                    <w:left w:val="single" w:color="000000" w:sz="4" w:space="0"/>
                    <w:bottom w:val="single" w:color="000000" w:sz="4" w:space="0"/>
                    <w:right w:val="single" w:color="000000" w:sz="4" w:space="0"/>
                  </w:tcBorders>
                </w:tcPr>
                <w:p w14:paraId="0133AF54"/>
              </w:tc>
              <w:tc>
                <w:tcPr>
                  <w:tcW w:w="13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F339EA">
                  <w:pPr>
                    <w:pStyle w:val="5"/>
                    <w:jc w:val="center"/>
                  </w:pPr>
                  <w:r>
                    <w:rPr>
                      <w:rFonts w:ascii="仿宋_GB2312" w:hAnsi="仿宋_GB2312" w:eastAsia="仿宋_GB2312" w:cs="仿宋_GB2312"/>
                      <w:sz w:val="21"/>
                    </w:rPr>
                    <w:t>应用中台</w:t>
                  </w:r>
                </w:p>
              </w:tc>
              <w:tc>
                <w:tcPr>
                  <w:tcW w:w="9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29C65E">
                  <w:pPr>
                    <w:pStyle w:val="5"/>
                    <w:jc w:val="center"/>
                  </w:pPr>
                  <w:r>
                    <w:rPr>
                      <w:rFonts w:ascii="仿宋_GB2312" w:hAnsi="仿宋_GB2312" w:eastAsia="仿宋_GB2312" w:cs="仿宋_GB2312"/>
                      <w:sz w:val="21"/>
                    </w:rPr>
                    <w:t>1套</w:t>
                  </w:r>
                </w:p>
              </w:tc>
              <w:tc>
                <w:tcPr>
                  <w:tcW w:w="7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109456">
                  <w:pPr>
                    <w:pStyle w:val="5"/>
                    <w:jc w:val="center"/>
                  </w:pPr>
                  <w:r>
                    <w:rPr>
                      <w:rFonts w:ascii="仿宋_GB2312" w:hAnsi="仿宋_GB2312" w:eastAsia="仿宋_GB2312" w:cs="仿宋_GB2312"/>
                      <w:sz w:val="21"/>
                    </w:rPr>
                    <w:t>2022年</w:t>
                  </w:r>
                </w:p>
              </w:tc>
              <w:tc>
                <w:tcPr>
                  <w:tcW w:w="8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03C768">
                  <w:pPr>
                    <w:pStyle w:val="5"/>
                    <w:jc w:val="center"/>
                  </w:pPr>
                  <w:r>
                    <w:rPr>
                      <w:rFonts w:ascii="仿宋_GB2312" w:hAnsi="仿宋_GB2312" w:eastAsia="仿宋_GB2312" w:cs="仿宋_GB2312"/>
                      <w:sz w:val="21"/>
                    </w:rPr>
                    <w:t>良好</w:t>
                  </w:r>
                </w:p>
              </w:tc>
            </w:tr>
            <w:tr w14:paraId="4EFE57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CE1C51">
                  <w:pPr>
                    <w:pStyle w:val="5"/>
                    <w:jc w:val="center"/>
                  </w:pPr>
                  <w:r>
                    <w:rPr>
                      <w:rFonts w:ascii="仿宋_GB2312" w:hAnsi="仿宋_GB2312" w:eastAsia="仿宋_GB2312" w:cs="仿宋_GB2312"/>
                      <w:sz w:val="21"/>
                    </w:rPr>
                    <w:t>5</w:t>
                  </w:r>
                </w:p>
              </w:tc>
              <w:tc>
                <w:tcPr>
                  <w:tcW w:w="1350" w:type="dxa"/>
                  <w:vMerge w:val="continue"/>
                  <w:tcBorders>
                    <w:top w:val="nil"/>
                    <w:left w:val="single" w:color="000000" w:sz="4" w:space="0"/>
                    <w:bottom w:val="single" w:color="000000" w:sz="4" w:space="0"/>
                    <w:right w:val="single" w:color="000000" w:sz="4" w:space="0"/>
                  </w:tcBorders>
                </w:tcPr>
                <w:p w14:paraId="4F1ADC66"/>
              </w:tc>
              <w:tc>
                <w:tcPr>
                  <w:tcW w:w="13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FC88F6">
                  <w:pPr>
                    <w:pStyle w:val="5"/>
                    <w:jc w:val="center"/>
                  </w:pPr>
                  <w:r>
                    <w:rPr>
                      <w:rFonts w:ascii="仿宋_GB2312" w:hAnsi="仿宋_GB2312" w:eastAsia="仿宋_GB2312" w:cs="仿宋_GB2312"/>
                      <w:sz w:val="21"/>
                    </w:rPr>
                    <w:t>AI智能中台</w:t>
                  </w:r>
                </w:p>
              </w:tc>
              <w:tc>
                <w:tcPr>
                  <w:tcW w:w="9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5E6BFD">
                  <w:pPr>
                    <w:pStyle w:val="5"/>
                    <w:jc w:val="center"/>
                  </w:pPr>
                  <w:r>
                    <w:rPr>
                      <w:rFonts w:ascii="仿宋_GB2312" w:hAnsi="仿宋_GB2312" w:eastAsia="仿宋_GB2312" w:cs="仿宋_GB2312"/>
                      <w:sz w:val="21"/>
                    </w:rPr>
                    <w:t>1套</w:t>
                  </w:r>
                </w:p>
              </w:tc>
              <w:tc>
                <w:tcPr>
                  <w:tcW w:w="7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5998EA">
                  <w:pPr>
                    <w:pStyle w:val="5"/>
                    <w:jc w:val="center"/>
                  </w:pPr>
                  <w:r>
                    <w:rPr>
                      <w:rFonts w:ascii="仿宋_GB2312" w:hAnsi="仿宋_GB2312" w:eastAsia="仿宋_GB2312" w:cs="仿宋_GB2312"/>
                      <w:sz w:val="21"/>
                    </w:rPr>
                    <w:t>2022年</w:t>
                  </w:r>
                </w:p>
              </w:tc>
              <w:tc>
                <w:tcPr>
                  <w:tcW w:w="8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9634E1">
                  <w:pPr>
                    <w:pStyle w:val="5"/>
                    <w:jc w:val="center"/>
                  </w:pPr>
                  <w:r>
                    <w:rPr>
                      <w:rFonts w:ascii="仿宋_GB2312" w:hAnsi="仿宋_GB2312" w:eastAsia="仿宋_GB2312" w:cs="仿宋_GB2312"/>
                      <w:sz w:val="21"/>
                    </w:rPr>
                    <w:t>良好</w:t>
                  </w:r>
                </w:p>
              </w:tc>
            </w:tr>
            <w:tr w14:paraId="1AAD63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E9102E">
                  <w:pPr>
                    <w:pStyle w:val="5"/>
                    <w:jc w:val="center"/>
                  </w:pPr>
                  <w:r>
                    <w:rPr>
                      <w:rFonts w:ascii="仿宋_GB2312" w:hAnsi="仿宋_GB2312" w:eastAsia="仿宋_GB2312" w:cs="仿宋_GB2312"/>
                      <w:sz w:val="21"/>
                    </w:rPr>
                    <w:t>6</w:t>
                  </w:r>
                </w:p>
              </w:tc>
              <w:tc>
                <w:tcPr>
                  <w:tcW w:w="1350" w:type="dxa"/>
                  <w:vMerge w:val="continue"/>
                  <w:tcBorders>
                    <w:top w:val="nil"/>
                    <w:left w:val="single" w:color="000000" w:sz="4" w:space="0"/>
                    <w:bottom w:val="single" w:color="000000" w:sz="4" w:space="0"/>
                    <w:right w:val="single" w:color="000000" w:sz="4" w:space="0"/>
                  </w:tcBorders>
                </w:tcPr>
                <w:p w14:paraId="3DF15DBC"/>
              </w:tc>
              <w:tc>
                <w:tcPr>
                  <w:tcW w:w="13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7B4362">
                  <w:pPr>
                    <w:pStyle w:val="5"/>
                    <w:jc w:val="center"/>
                  </w:pPr>
                  <w:r>
                    <w:rPr>
                      <w:rFonts w:ascii="仿宋_GB2312" w:hAnsi="仿宋_GB2312" w:eastAsia="仿宋_GB2312" w:cs="仿宋_GB2312"/>
                      <w:sz w:val="21"/>
                    </w:rPr>
                    <w:t>统一应用门户</w:t>
                  </w:r>
                </w:p>
              </w:tc>
              <w:tc>
                <w:tcPr>
                  <w:tcW w:w="9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32D261D">
                  <w:pPr>
                    <w:pStyle w:val="5"/>
                    <w:jc w:val="center"/>
                  </w:pPr>
                  <w:r>
                    <w:rPr>
                      <w:rFonts w:ascii="仿宋_GB2312" w:hAnsi="仿宋_GB2312" w:eastAsia="仿宋_GB2312" w:cs="仿宋_GB2312"/>
                      <w:sz w:val="21"/>
                    </w:rPr>
                    <w:t>1套</w:t>
                  </w:r>
                </w:p>
              </w:tc>
              <w:tc>
                <w:tcPr>
                  <w:tcW w:w="7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578119">
                  <w:pPr>
                    <w:pStyle w:val="5"/>
                    <w:jc w:val="center"/>
                  </w:pPr>
                  <w:r>
                    <w:rPr>
                      <w:rFonts w:ascii="仿宋_GB2312" w:hAnsi="仿宋_GB2312" w:eastAsia="仿宋_GB2312" w:cs="仿宋_GB2312"/>
                      <w:sz w:val="21"/>
                    </w:rPr>
                    <w:t>2022年</w:t>
                  </w:r>
                </w:p>
              </w:tc>
              <w:tc>
                <w:tcPr>
                  <w:tcW w:w="8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59855D">
                  <w:pPr>
                    <w:pStyle w:val="5"/>
                    <w:jc w:val="center"/>
                  </w:pPr>
                  <w:r>
                    <w:rPr>
                      <w:rFonts w:ascii="仿宋_GB2312" w:hAnsi="仿宋_GB2312" w:eastAsia="仿宋_GB2312" w:cs="仿宋_GB2312"/>
                      <w:sz w:val="21"/>
                    </w:rPr>
                    <w:t>良好</w:t>
                  </w:r>
                </w:p>
              </w:tc>
            </w:tr>
            <w:tr w14:paraId="78A09B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3AA60E">
                  <w:pPr>
                    <w:pStyle w:val="5"/>
                    <w:jc w:val="center"/>
                  </w:pPr>
                  <w:r>
                    <w:rPr>
                      <w:rFonts w:ascii="仿宋_GB2312" w:hAnsi="仿宋_GB2312" w:eastAsia="仿宋_GB2312" w:cs="仿宋_GB2312"/>
                      <w:sz w:val="21"/>
                    </w:rPr>
                    <w:t>7</w:t>
                  </w:r>
                </w:p>
              </w:tc>
              <w:tc>
                <w:tcPr>
                  <w:tcW w:w="1350" w:type="dxa"/>
                  <w:vMerge w:val="continue"/>
                  <w:tcBorders>
                    <w:top w:val="nil"/>
                    <w:left w:val="single" w:color="000000" w:sz="4" w:space="0"/>
                    <w:bottom w:val="single" w:color="000000" w:sz="4" w:space="0"/>
                    <w:right w:val="single" w:color="000000" w:sz="4" w:space="0"/>
                  </w:tcBorders>
                </w:tcPr>
                <w:p w14:paraId="6A5AFFDD"/>
              </w:tc>
              <w:tc>
                <w:tcPr>
                  <w:tcW w:w="13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8368DF">
                  <w:pPr>
                    <w:pStyle w:val="5"/>
                    <w:jc w:val="center"/>
                  </w:pPr>
                  <w:r>
                    <w:rPr>
                      <w:rFonts w:ascii="仿宋_GB2312" w:hAnsi="仿宋_GB2312" w:eastAsia="仿宋_GB2312" w:cs="仿宋_GB2312"/>
                      <w:sz w:val="21"/>
                    </w:rPr>
                    <w:t>可视化展现层</w:t>
                  </w:r>
                </w:p>
              </w:tc>
              <w:tc>
                <w:tcPr>
                  <w:tcW w:w="9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0E8662">
                  <w:pPr>
                    <w:pStyle w:val="5"/>
                    <w:jc w:val="center"/>
                  </w:pPr>
                  <w:r>
                    <w:rPr>
                      <w:rFonts w:ascii="仿宋_GB2312" w:hAnsi="仿宋_GB2312" w:eastAsia="仿宋_GB2312" w:cs="仿宋_GB2312"/>
                      <w:sz w:val="21"/>
                    </w:rPr>
                    <w:t>1套</w:t>
                  </w:r>
                </w:p>
              </w:tc>
              <w:tc>
                <w:tcPr>
                  <w:tcW w:w="7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F122AE">
                  <w:pPr>
                    <w:pStyle w:val="5"/>
                    <w:jc w:val="center"/>
                  </w:pPr>
                  <w:r>
                    <w:rPr>
                      <w:rFonts w:ascii="仿宋_GB2312" w:hAnsi="仿宋_GB2312" w:eastAsia="仿宋_GB2312" w:cs="仿宋_GB2312"/>
                      <w:sz w:val="21"/>
                    </w:rPr>
                    <w:t>2022年</w:t>
                  </w:r>
                </w:p>
              </w:tc>
              <w:tc>
                <w:tcPr>
                  <w:tcW w:w="8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EACFAF">
                  <w:pPr>
                    <w:pStyle w:val="5"/>
                    <w:jc w:val="center"/>
                  </w:pPr>
                  <w:r>
                    <w:rPr>
                      <w:rFonts w:ascii="仿宋_GB2312" w:hAnsi="仿宋_GB2312" w:eastAsia="仿宋_GB2312" w:cs="仿宋_GB2312"/>
                      <w:sz w:val="21"/>
                    </w:rPr>
                    <w:t>良好</w:t>
                  </w:r>
                </w:p>
              </w:tc>
            </w:tr>
            <w:tr w14:paraId="11FDAC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BBF4A2">
                  <w:pPr>
                    <w:pStyle w:val="5"/>
                    <w:jc w:val="center"/>
                  </w:pPr>
                  <w:r>
                    <w:rPr>
                      <w:rFonts w:ascii="仿宋_GB2312" w:hAnsi="仿宋_GB2312" w:eastAsia="仿宋_GB2312" w:cs="仿宋_GB2312"/>
                      <w:sz w:val="21"/>
                    </w:rPr>
                    <w:t>8</w:t>
                  </w:r>
                </w:p>
              </w:tc>
              <w:tc>
                <w:tcPr>
                  <w:tcW w:w="1350" w:type="dxa"/>
                  <w:vMerge w:val="continue"/>
                  <w:tcBorders>
                    <w:top w:val="nil"/>
                    <w:left w:val="single" w:color="000000" w:sz="4" w:space="0"/>
                    <w:bottom w:val="single" w:color="000000" w:sz="4" w:space="0"/>
                    <w:right w:val="single" w:color="000000" w:sz="4" w:space="0"/>
                  </w:tcBorders>
                </w:tcPr>
                <w:p w14:paraId="36C920E9"/>
              </w:tc>
              <w:tc>
                <w:tcPr>
                  <w:tcW w:w="13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D2938D">
                  <w:pPr>
                    <w:pStyle w:val="5"/>
                    <w:jc w:val="center"/>
                  </w:pPr>
                  <w:r>
                    <w:rPr>
                      <w:rFonts w:ascii="仿宋_GB2312" w:hAnsi="仿宋_GB2312" w:eastAsia="仿宋_GB2312" w:cs="仿宋_GB2312"/>
                      <w:sz w:val="21"/>
                    </w:rPr>
                    <w:t>一网统管</w:t>
                  </w:r>
                </w:p>
              </w:tc>
              <w:tc>
                <w:tcPr>
                  <w:tcW w:w="9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22D3A0">
                  <w:pPr>
                    <w:pStyle w:val="5"/>
                    <w:jc w:val="center"/>
                  </w:pPr>
                  <w:r>
                    <w:rPr>
                      <w:rFonts w:ascii="仿宋_GB2312" w:hAnsi="仿宋_GB2312" w:eastAsia="仿宋_GB2312" w:cs="仿宋_GB2312"/>
                      <w:sz w:val="21"/>
                    </w:rPr>
                    <w:t>1套</w:t>
                  </w:r>
                </w:p>
              </w:tc>
              <w:tc>
                <w:tcPr>
                  <w:tcW w:w="7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2DEAD1">
                  <w:pPr>
                    <w:pStyle w:val="5"/>
                    <w:jc w:val="center"/>
                  </w:pPr>
                  <w:r>
                    <w:rPr>
                      <w:rFonts w:ascii="仿宋_GB2312" w:hAnsi="仿宋_GB2312" w:eastAsia="仿宋_GB2312" w:cs="仿宋_GB2312"/>
                      <w:sz w:val="21"/>
                    </w:rPr>
                    <w:t>2022年</w:t>
                  </w:r>
                </w:p>
              </w:tc>
              <w:tc>
                <w:tcPr>
                  <w:tcW w:w="8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78A9A2">
                  <w:pPr>
                    <w:pStyle w:val="5"/>
                    <w:jc w:val="center"/>
                  </w:pPr>
                  <w:r>
                    <w:rPr>
                      <w:rFonts w:ascii="仿宋_GB2312" w:hAnsi="仿宋_GB2312" w:eastAsia="仿宋_GB2312" w:cs="仿宋_GB2312"/>
                      <w:sz w:val="21"/>
                    </w:rPr>
                    <w:t>良好</w:t>
                  </w:r>
                </w:p>
              </w:tc>
            </w:tr>
            <w:tr w14:paraId="4D9519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3C6EAF">
                  <w:pPr>
                    <w:pStyle w:val="5"/>
                    <w:jc w:val="center"/>
                  </w:pPr>
                  <w:r>
                    <w:rPr>
                      <w:rFonts w:ascii="仿宋_GB2312" w:hAnsi="仿宋_GB2312" w:eastAsia="仿宋_GB2312" w:cs="仿宋_GB2312"/>
                      <w:sz w:val="21"/>
                    </w:rPr>
                    <w:t>9</w:t>
                  </w:r>
                </w:p>
              </w:tc>
              <w:tc>
                <w:tcPr>
                  <w:tcW w:w="1350" w:type="dxa"/>
                  <w:vMerge w:val="continue"/>
                  <w:tcBorders>
                    <w:top w:val="nil"/>
                    <w:left w:val="single" w:color="000000" w:sz="4" w:space="0"/>
                    <w:bottom w:val="single" w:color="000000" w:sz="4" w:space="0"/>
                    <w:right w:val="single" w:color="000000" w:sz="4" w:space="0"/>
                  </w:tcBorders>
                </w:tcPr>
                <w:p w14:paraId="651DB5E1"/>
              </w:tc>
              <w:tc>
                <w:tcPr>
                  <w:tcW w:w="13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325836A">
                  <w:pPr>
                    <w:pStyle w:val="5"/>
                    <w:jc w:val="center"/>
                  </w:pPr>
                  <w:r>
                    <w:rPr>
                      <w:rFonts w:ascii="仿宋_GB2312" w:hAnsi="仿宋_GB2312" w:eastAsia="仿宋_GB2312" w:cs="仿宋_GB2312"/>
                      <w:sz w:val="21"/>
                    </w:rPr>
                    <w:t>掌上办公（事件处置）</w:t>
                  </w:r>
                </w:p>
              </w:tc>
              <w:tc>
                <w:tcPr>
                  <w:tcW w:w="9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A4AA2F">
                  <w:pPr>
                    <w:pStyle w:val="5"/>
                    <w:jc w:val="center"/>
                  </w:pPr>
                  <w:r>
                    <w:rPr>
                      <w:rFonts w:ascii="仿宋_GB2312" w:hAnsi="仿宋_GB2312" w:eastAsia="仿宋_GB2312" w:cs="仿宋_GB2312"/>
                      <w:sz w:val="21"/>
                    </w:rPr>
                    <w:t>1套</w:t>
                  </w:r>
                </w:p>
              </w:tc>
              <w:tc>
                <w:tcPr>
                  <w:tcW w:w="7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9AB66F">
                  <w:pPr>
                    <w:pStyle w:val="5"/>
                    <w:jc w:val="center"/>
                  </w:pPr>
                  <w:r>
                    <w:rPr>
                      <w:rFonts w:ascii="仿宋_GB2312" w:hAnsi="仿宋_GB2312" w:eastAsia="仿宋_GB2312" w:cs="仿宋_GB2312"/>
                      <w:sz w:val="21"/>
                    </w:rPr>
                    <w:t>2022年</w:t>
                  </w:r>
                </w:p>
              </w:tc>
              <w:tc>
                <w:tcPr>
                  <w:tcW w:w="8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BAA2B1">
                  <w:pPr>
                    <w:pStyle w:val="5"/>
                    <w:jc w:val="center"/>
                  </w:pPr>
                  <w:r>
                    <w:rPr>
                      <w:rFonts w:ascii="仿宋_GB2312" w:hAnsi="仿宋_GB2312" w:eastAsia="仿宋_GB2312" w:cs="仿宋_GB2312"/>
                      <w:sz w:val="21"/>
                    </w:rPr>
                    <w:t>良好</w:t>
                  </w:r>
                </w:p>
              </w:tc>
            </w:tr>
            <w:tr w14:paraId="7EC916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EED6BC">
                  <w:pPr>
                    <w:pStyle w:val="5"/>
                    <w:jc w:val="center"/>
                  </w:pPr>
                  <w:r>
                    <w:rPr>
                      <w:rFonts w:ascii="仿宋_GB2312" w:hAnsi="仿宋_GB2312" w:eastAsia="仿宋_GB2312" w:cs="仿宋_GB2312"/>
                      <w:sz w:val="21"/>
                    </w:rPr>
                    <w:t>10</w:t>
                  </w:r>
                </w:p>
              </w:tc>
              <w:tc>
                <w:tcPr>
                  <w:tcW w:w="1350" w:type="dxa"/>
                  <w:vMerge w:val="continue"/>
                  <w:tcBorders>
                    <w:top w:val="nil"/>
                    <w:left w:val="single" w:color="000000" w:sz="4" w:space="0"/>
                    <w:bottom w:val="single" w:color="000000" w:sz="4" w:space="0"/>
                    <w:right w:val="single" w:color="000000" w:sz="4" w:space="0"/>
                  </w:tcBorders>
                </w:tcPr>
                <w:p w14:paraId="4268AAFD"/>
              </w:tc>
              <w:tc>
                <w:tcPr>
                  <w:tcW w:w="13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5FA6EB">
                  <w:pPr>
                    <w:pStyle w:val="5"/>
                    <w:jc w:val="center"/>
                  </w:pPr>
                  <w:r>
                    <w:rPr>
                      <w:rFonts w:ascii="仿宋_GB2312" w:hAnsi="仿宋_GB2312" w:eastAsia="仿宋_GB2312" w:cs="仿宋_GB2312"/>
                      <w:sz w:val="21"/>
                    </w:rPr>
                    <w:t>视频融合指挥调度系统</w:t>
                  </w:r>
                </w:p>
              </w:tc>
              <w:tc>
                <w:tcPr>
                  <w:tcW w:w="9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3A2B7C">
                  <w:pPr>
                    <w:pStyle w:val="5"/>
                    <w:jc w:val="center"/>
                  </w:pPr>
                  <w:r>
                    <w:rPr>
                      <w:rFonts w:ascii="仿宋_GB2312" w:hAnsi="仿宋_GB2312" w:eastAsia="仿宋_GB2312" w:cs="仿宋_GB2312"/>
                      <w:sz w:val="21"/>
                    </w:rPr>
                    <w:t>1套</w:t>
                  </w:r>
                </w:p>
              </w:tc>
              <w:tc>
                <w:tcPr>
                  <w:tcW w:w="7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3668EC">
                  <w:pPr>
                    <w:pStyle w:val="5"/>
                    <w:jc w:val="center"/>
                  </w:pPr>
                  <w:r>
                    <w:rPr>
                      <w:rFonts w:ascii="仿宋_GB2312" w:hAnsi="仿宋_GB2312" w:eastAsia="仿宋_GB2312" w:cs="仿宋_GB2312"/>
                      <w:sz w:val="21"/>
                    </w:rPr>
                    <w:t>2022年</w:t>
                  </w:r>
                </w:p>
              </w:tc>
              <w:tc>
                <w:tcPr>
                  <w:tcW w:w="8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7BEDA6">
                  <w:pPr>
                    <w:pStyle w:val="5"/>
                    <w:jc w:val="center"/>
                  </w:pPr>
                  <w:r>
                    <w:rPr>
                      <w:rFonts w:ascii="仿宋_GB2312" w:hAnsi="仿宋_GB2312" w:eastAsia="仿宋_GB2312" w:cs="仿宋_GB2312"/>
                      <w:sz w:val="21"/>
                    </w:rPr>
                    <w:t>良好</w:t>
                  </w:r>
                </w:p>
              </w:tc>
            </w:tr>
            <w:tr w14:paraId="73B107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0FA5F3">
                  <w:pPr>
                    <w:pStyle w:val="5"/>
                    <w:jc w:val="center"/>
                  </w:pPr>
                  <w:r>
                    <w:rPr>
                      <w:rFonts w:ascii="仿宋_GB2312" w:hAnsi="仿宋_GB2312" w:eastAsia="仿宋_GB2312" w:cs="仿宋_GB2312"/>
                      <w:sz w:val="21"/>
                    </w:rPr>
                    <w:t>11</w:t>
                  </w:r>
                </w:p>
              </w:tc>
              <w:tc>
                <w:tcPr>
                  <w:tcW w:w="1350" w:type="dxa"/>
                  <w:vMerge w:val="continue"/>
                  <w:tcBorders>
                    <w:top w:val="nil"/>
                    <w:left w:val="single" w:color="000000" w:sz="4" w:space="0"/>
                    <w:bottom w:val="single" w:color="000000" w:sz="4" w:space="0"/>
                    <w:right w:val="single" w:color="000000" w:sz="4" w:space="0"/>
                  </w:tcBorders>
                </w:tcPr>
                <w:p w14:paraId="49800586"/>
              </w:tc>
              <w:tc>
                <w:tcPr>
                  <w:tcW w:w="13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9D829F">
                  <w:pPr>
                    <w:pStyle w:val="5"/>
                    <w:jc w:val="center"/>
                  </w:pPr>
                  <w:r>
                    <w:rPr>
                      <w:rFonts w:ascii="仿宋_GB2312" w:hAnsi="仿宋_GB2312" w:eastAsia="仿宋_GB2312" w:cs="仿宋_GB2312"/>
                      <w:sz w:val="21"/>
                    </w:rPr>
                    <w:t>报表引擎</w:t>
                  </w:r>
                </w:p>
              </w:tc>
              <w:tc>
                <w:tcPr>
                  <w:tcW w:w="9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9B4B31">
                  <w:pPr>
                    <w:pStyle w:val="5"/>
                    <w:jc w:val="center"/>
                  </w:pPr>
                  <w:r>
                    <w:rPr>
                      <w:rFonts w:ascii="仿宋_GB2312" w:hAnsi="仿宋_GB2312" w:eastAsia="仿宋_GB2312" w:cs="仿宋_GB2312"/>
                      <w:sz w:val="21"/>
                    </w:rPr>
                    <w:t>1套</w:t>
                  </w:r>
                </w:p>
              </w:tc>
              <w:tc>
                <w:tcPr>
                  <w:tcW w:w="7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4A6BA9">
                  <w:pPr>
                    <w:pStyle w:val="5"/>
                    <w:jc w:val="center"/>
                  </w:pPr>
                  <w:r>
                    <w:rPr>
                      <w:rFonts w:ascii="仿宋_GB2312" w:hAnsi="仿宋_GB2312" w:eastAsia="仿宋_GB2312" w:cs="仿宋_GB2312"/>
                      <w:sz w:val="21"/>
                    </w:rPr>
                    <w:t>2022年</w:t>
                  </w:r>
                </w:p>
              </w:tc>
              <w:tc>
                <w:tcPr>
                  <w:tcW w:w="8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A78F06">
                  <w:pPr>
                    <w:pStyle w:val="5"/>
                    <w:jc w:val="center"/>
                  </w:pPr>
                  <w:r>
                    <w:rPr>
                      <w:rFonts w:ascii="仿宋_GB2312" w:hAnsi="仿宋_GB2312" w:eastAsia="仿宋_GB2312" w:cs="仿宋_GB2312"/>
                      <w:sz w:val="21"/>
                    </w:rPr>
                    <w:t>良好</w:t>
                  </w:r>
                </w:p>
              </w:tc>
            </w:tr>
            <w:tr w14:paraId="2483ED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54E13B">
                  <w:pPr>
                    <w:pStyle w:val="5"/>
                    <w:jc w:val="center"/>
                  </w:pPr>
                  <w:r>
                    <w:rPr>
                      <w:rFonts w:ascii="仿宋_GB2312" w:hAnsi="仿宋_GB2312" w:eastAsia="仿宋_GB2312" w:cs="仿宋_GB2312"/>
                      <w:sz w:val="21"/>
                    </w:rPr>
                    <w:t>12</w:t>
                  </w:r>
                </w:p>
              </w:tc>
              <w:tc>
                <w:tcPr>
                  <w:tcW w:w="1350" w:type="dxa"/>
                  <w:vMerge w:val="continue"/>
                  <w:tcBorders>
                    <w:top w:val="nil"/>
                    <w:left w:val="single" w:color="000000" w:sz="4" w:space="0"/>
                    <w:bottom w:val="single" w:color="000000" w:sz="4" w:space="0"/>
                    <w:right w:val="single" w:color="000000" w:sz="4" w:space="0"/>
                  </w:tcBorders>
                </w:tcPr>
                <w:p w14:paraId="36852A1E"/>
              </w:tc>
              <w:tc>
                <w:tcPr>
                  <w:tcW w:w="13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951AAB">
                  <w:pPr>
                    <w:pStyle w:val="5"/>
                    <w:jc w:val="center"/>
                  </w:pPr>
                  <w:r>
                    <w:rPr>
                      <w:rFonts w:ascii="仿宋_GB2312" w:hAnsi="仿宋_GB2312" w:eastAsia="仿宋_GB2312" w:cs="仿宋_GB2312"/>
                      <w:sz w:val="21"/>
                    </w:rPr>
                    <w:t>时空地理平台</w:t>
                  </w:r>
                </w:p>
              </w:tc>
              <w:tc>
                <w:tcPr>
                  <w:tcW w:w="9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1F5033">
                  <w:pPr>
                    <w:pStyle w:val="5"/>
                    <w:jc w:val="center"/>
                  </w:pPr>
                  <w:r>
                    <w:rPr>
                      <w:rFonts w:ascii="仿宋_GB2312" w:hAnsi="仿宋_GB2312" w:eastAsia="仿宋_GB2312" w:cs="仿宋_GB2312"/>
                      <w:sz w:val="21"/>
                    </w:rPr>
                    <w:t>1套</w:t>
                  </w:r>
                </w:p>
              </w:tc>
              <w:tc>
                <w:tcPr>
                  <w:tcW w:w="7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0FBEB4">
                  <w:pPr>
                    <w:pStyle w:val="5"/>
                    <w:jc w:val="center"/>
                  </w:pPr>
                  <w:r>
                    <w:rPr>
                      <w:rFonts w:ascii="仿宋_GB2312" w:hAnsi="仿宋_GB2312" w:eastAsia="仿宋_GB2312" w:cs="仿宋_GB2312"/>
                      <w:sz w:val="21"/>
                    </w:rPr>
                    <w:t>2022年</w:t>
                  </w:r>
                </w:p>
              </w:tc>
              <w:tc>
                <w:tcPr>
                  <w:tcW w:w="8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1D722D">
                  <w:pPr>
                    <w:pStyle w:val="5"/>
                    <w:jc w:val="center"/>
                  </w:pPr>
                  <w:r>
                    <w:rPr>
                      <w:rFonts w:ascii="仿宋_GB2312" w:hAnsi="仿宋_GB2312" w:eastAsia="仿宋_GB2312" w:cs="仿宋_GB2312"/>
                      <w:sz w:val="21"/>
                    </w:rPr>
                    <w:t>良好</w:t>
                  </w:r>
                </w:p>
              </w:tc>
            </w:tr>
            <w:tr w14:paraId="1C1181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BA3DE6">
                  <w:pPr>
                    <w:pStyle w:val="5"/>
                    <w:jc w:val="center"/>
                  </w:pPr>
                  <w:r>
                    <w:rPr>
                      <w:rFonts w:ascii="仿宋_GB2312" w:hAnsi="仿宋_GB2312" w:eastAsia="仿宋_GB2312" w:cs="仿宋_GB2312"/>
                      <w:sz w:val="21"/>
                    </w:rPr>
                    <w:t>13</w:t>
                  </w:r>
                </w:p>
              </w:tc>
              <w:tc>
                <w:tcPr>
                  <w:tcW w:w="1350" w:type="dxa"/>
                  <w:vMerge w:val="continue"/>
                  <w:tcBorders>
                    <w:top w:val="nil"/>
                    <w:left w:val="single" w:color="000000" w:sz="4" w:space="0"/>
                    <w:bottom w:val="single" w:color="000000" w:sz="4" w:space="0"/>
                    <w:right w:val="single" w:color="000000" w:sz="4" w:space="0"/>
                  </w:tcBorders>
                </w:tcPr>
                <w:p w14:paraId="099BA4AC"/>
              </w:tc>
              <w:tc>
                <w:tcPr>
                  <w:tcW w:w="13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4A84DD">
                  <w:pPr>
                    <w:pStyle w:val="5"/>
                    <w:jc w:val="center"/>
                  </w:pPr>
                  <w:r>
                    <w:rPr>
                      <w:rFonts w:ascii="仿宋_GB2312" w:hAnsi="仿宋_GB2312" w:eastAsia="仿宋_GB2312" w:cs="仿宋_GB2312"/>
                      <w:sz w:val="21"/>
                    </w:rPr>
                    <w:t>超级绿叶码</w:t>
                  </w:r>
                </w:p>
              </w:tc>
              <w:tc>
                <w:tcPr>
                  <w:tcW w:w="9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2D98AF">
                  <w:pPr>
                    <w:pStyle w:val="5"/>
                    <w:jc w:val="center"/>
                  </w:pPr>
                  <w:r>
                    <w:rPr>
                      <w:rFonts w:ascii="仿宋_GB2312" w:hAnsi="仿宋_GB2312" w:eastAsia="仿宋_GB2312" w:cs="仿宋_GB2312"/>
                      <w:sz w:val="21"/>
                    </w:rPr>
                    <w:t>1套</w:t>
                  </w:r>
                </w:p>
              </w:tc>
              <w:tc>
                <w:tcPr>
                  <w:tcW w:w="7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FB3B14">
                  <w:pPr>
                    <w:pStyle w:val="5"/>
                    <w:jc w:val="center"/>
                  </w:pPr>
                  <w:r>
                    <w:rPr>
                      <w:rFonts w:ascii="仿宋_GB2312" w:hAnsi="仿宋_GB2312" w:eastAsia="仿宋_GB2312" w:cs="仿宋_GB2312"/>
                      <w:sz w:val="21"/>
                    </w:rPr>
                    <w:t>2022年</w:t>
                  </w:r>
                </w:p>
              </w:tc>
              <w:tc>
                <w:tcPr>
                  <w:tcW w:w="8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4E5579">
                  <w:pPr>
                    <w:pStyle w:val="5"/>
                    <w:jc w:val="center"/>
                  </w:pPr>
                  <w:r>
                    <w:rPr>
                      <w:rFonts w:ascii="仿宋_GB2312" w:hAnsi="仿宋_GB2312" w:eastAsia="仿宋_GB2312" w:cs="仿宋_GB2312"/>
                      <w:sz w:val="21"/>
                    </w:rPr>
                    <w:t>良好</w:t>
                  </w:r>
                </w:p>
              </w:tc>
            </w:tr>
            <w:tr w14:paraId="5E1B37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8FFA8F">
                  <w:pPr>
                    <w:pStyle w:val="5"/>
                    <w:jc w:val="center"/>
                  </w:pPr>
                  <w:r>
                    <w:rPr>
                      <w:rFonts w:ascii="仿宋_GB2312" w:hAnsi="仿宋_GB2312" w:eastAsia="仿宋_GB2312" w:cs="仿宋_GB2312"/>
                      <w:sz w:val="21"/>
                    </w:rPr>
                    <w:t>14</w:t>
                  </w:r>
                </w:p>
              </w:tc>
              <w:tc>
                <w:tcPr>
                  <w:tcW w:w="1350" w:type="dxa"/>
                  <w:vMerge w:val="continue"/>
                  <w:tcBorders>
                    <w:top w:val="nil"/>
                    <w:left w:val="single" w:color="000000" w:sz="4" w:space="0"/>
                    <w:bottom w:val="single" w:color="000000" w:sz="4" w:space="0"/>
                    <w:right w:val="single" w:color="000000" w:sz="4" w:space="0"/>
                  </w:tcBorders>
                </w:tcPr>
                <w:p w14:paraId="5AEA2603"/>
              </w:tc>
              <w:tc>
                <w:tcPr>
                  <w:tcW w:w="13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9B7307">
                  <w:pPr>
                    <w:pStyle w:val="5"/>
                    <w:jc w:val="center"/>
                  </w:pPr>
                  <w:r>
                    <w:rPr>
                      <w:rFonts w:ascii="仿宋_GB2312" w:hAnsi="仿宋_GB2312" w:eastAsia="仿宋_GB2312" w:cs="仿宋_GB2312"/>
                      <w:sz w:val="21"/>
                    </w:rPr>
                    <w:t>文库系统</w:t>
                  </w:r>
                </w:p>
              </w:tc>
              <w:tc>
                <w:tcPr>
                  <w:tcW w:w="9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677CBF">
                  <w:pPr>
                    <w:pStyle w:val="5"/>
                    <w:jc w:val="center"/>
                  </w:pPr>
                  <w:r>
                    <w:rPr>
                      <w:rFonts w:ascii="仿宋_GB2312" w:hAnsi="仿宋_GB2312" w:eastAsia="仿宋_GB2312" w:cs="仿宋_GB2312"/>
                      <w:sz w:val="21"/>
                    </w:rPr>
                    <w:t>1套</w:t>
                  </w:r>
                </w:p>
              </w:tc>
              <w:tc>
                <w:tcPr>
                  <w:tcW w:w="7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B2775D">
                  <w:pPr>
                    <w:pStyle w:val="5"/>
                    <w:jc w:val="center"/>
                  </w:pPr>
                  <w:r>
                    <w:rPr>
                      <w:rFonts w:ascii="仿宋_GB2312" w:hAnsi="仿宋_GB2312" w:eastAsia="仿宋_GB2312" w:cs="仿宋_GB2312"/>
                      <w:sz w:val="21"/>
                    </w:rPr>
                    <w:t>2022年</w:t>
                  </w:r>
                </w:p>
              </w:tc>
              <w:tc>
                <w:tcPr>
                  <w:tcW w:w="8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F5A6F0">
                  <w:pPr>
                    <w:pStyle w:val="5"/>
                    <w:jc w:val="center"/>
                  </w:pPr>
                  <w:r>
                    <w:rPr>
                      <w:rFonts w:ascii="仿宋_GB2312" w:hAnsi="仿宋_GB2312" w:eastAsia="仿宋_GB2312" w:cs="仿宋_GB2312"/>
                      <w:sz w:val="21"/>
                    </w:rPr>
                    <w:t>良好</w:t>
                  </w:r>
                </w:p>
              </w:tc>
            </w:tr>
            <w:tr w14:paraId="26680B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05F6F7">
                  <w:pPr>
                    <w:pStyle w:val="5"/>
                    <w:jc w:val="center"/>
                  </w:pPr>
                  <w:r>
                    <w:rPr>
                      <w:rFonts w:ascii="仿宋_GB2312" w:hAnsi="仿宋_GB2312" w:eastAsia="仿宋_GB2312" w:cs="仿宋_GB2312"/>
                      <w:sz w:val="21"/>
                    </w:rPr>
                    <w:t>15</w:t>
                  </w:r>
                </w:p>
              </w:tc>
              <w:tc>
                <w:tcPr>
                  <w:tcW w:w="13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1BE0A7">
                  <w:pPr>
                    <w:pStyle w:val="5"/>
                    <w:jc w:val="center"/>
                  </w:pPr>
                  <w:r>
                    <w:rPr>
                      <w:rFonts w:ascii="仿宋_GB2312" w:hAnsi="仿宋_GB2312" w:eastAsia="仿宋_GB2312" w:cs="仿宋_GB2312"/>
                      <w:sz w:val="21"/>
                    </w:rPr>
                    <w:t>应用数据运维</w:t>
                  </w:r>
                </w:p>
              </w:tc>
              <w:tc>
                <w:tcPr>
                  <w:tcW w:w="13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9B8BF9">
                  <w:pPr>
                    <w:pStyle w:val="5"/>
                    <w:jc w:val="center"/>
                  </w:pPr>
                  <w:r>
                    <w:rPr>
                      <w:rFonts w:ascii="仿宋_GB2312" w:hAnsi="仿宋_GB2312" w:eastAsia="仿宋_GB2312" w:cs="仿宋_GB2312"/>
                      <w:sz w:val="21"/>
                    </w:rPr>
                    <w:t>系统应用数据</w:t>
                  </w:r>
                </w:p>
              </w:tc>
              <w:tc>
                <w:tcPr>
                  <w:tcW w:w="9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E52F7D">
                  <w:pPr>
                    <w:pStyle w:val="5"/>
                    <w:jc w:val="center"/>
                  </w:pPr>
                  <w:r>
                    <w:rPr>
                      <w:rFonts w:ascii="仿宋_GB2312" w:hAnsi="仿宋_GB2312" w:eastAsia="仿宋_GB2312" w:cs="仿宋_GB2312"/>
                      <w:sz w:val="21"/>
                    </w:rPr>
                    <w:t>10TB</w:t>
                  </w:r>
                </w:p>
              </w:tc>
              <w:tc>
                <w:tcPr>
                  <w:tcW w:w="77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A2E649">
                  <w:pPr>
                    <w:pStyle w:val="5"/>
                    <w:jc w:val="center"/>
                  </w:pPr>
                  <w:r>
                    <w:rPr>
                      <w:rFonts w:ascii="仿宋_GB2312" w:hAnsi="仿宋_GB2312" w:eastAsia="仿宋_GB2312" w:cs="仿宋_GB2312"/>
                      <w:sz w:val="21"/>
                    </w:rPr>
                    <w:t>/</w:t>
                  </w:r>
                </w:p>
              </w:tc>
              <w:tc>
                <w:tcPr>
                  <w:tcW w:w="8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B01126">
                  <w:pPr>
                    <w:pStyle w:val="5"/>
                    <w:jc w:val="center"/>
                  </w:pPr>
                  <w:r>
                    <w:rPr>
                      <w:rFonts w:ascii="仿宋_GB2312" w:hAnsi="仿宋_GB2312" w:eastAsia="仿宋_GB2312" w:cs="仿宋_GB2312"/>
                      <w:sz w:val="21"/>
                    </w:rPr>
                    <w:t>良好</w:t>
                  </w:r>
                </w:p>
              </w:tc>
            </w:tr>
          </w:tbl>
          <w:p w14:paraId="5B0C8FE2"/>
        </w:tc>
      </w:tr>
      <w:tr w14:paraId="6ED6E9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FA3E2F">
            <w:pPr>
              <w:pStyle w:val="5"/>
              <w:jc w:val="center"/>
            </w:pPr>
            <w:r>
              <w:rPr>
                <w:rFonts w:ascii="仿宋_GB2312" w:hAnsi="仿宋_GB2312" w:eastAsia="仿宋_GB2312" w:cs="仿宋_GB2312"/>
              </w:rPr>
              <w:t>2</w:t>
            </w:r>
          </w:p>
        </w:tc>
        <w:tc>
          <w:tcPr>
            <w:tcW w:w="581" w:type="dxa"/>
          </w:tcPr>
          <w:p w14:paraId="7D046BEB">
            <w:pPr>
              <w:pStyle w:val="5"/>
              <w:jc w:val="center"/>
            </w:pPr>
            <w:r>
              <w:rPr>
                <w:rFonts w:ascii="仿宋_GB2312" w:hAnsi="仿宋_GB2312" w:eastAsia="仿宋_GB2312" w:cs="仿宋_GB2312"/>
              </w:rPr>
              <w:t>★</w:t>
            </w:r>
          </w:p>
        </w:tc>
        <w:tc>
          <w:tcPr>
            <w:tcW w:w="1495" w:type="dxa"/>
          </w:tcPr>
          <w:p w14:paraId="3F47F367">
            <w:pPr>
              <w:pStyle w:val="5"/>
              <w:jc w:val="left"/>
            </w:pPr>
            <w:r>
              <w:rPr>
                <w:rFonts w:ascii="仿宋_GB2312" w:hAnsi="仿宋_GB2312" w:eastAsia="仿宋_GB2312" w:cs="仿宋_GB2312"/>
              </w:rPr>
              <w:t>运维服务内容及要求</w:t>
            </w:r>
          </w:p>
        </w:tc>
        <w:tc>
          <w:tcPr>
            <w:tcW w:w="5814" w:type="dxa"/>
          </w:tcPr>
          <w:p w14:paraId="3BEBC1A8">
            <w:pPr>
              <w:pStyle w:val="5"/>
              <w:spacing w:before="45"/>
              <w:ind w:firstLine="484"/>
              <w:jc w:val="left"/>
            </w:pPr>
            <w:r>
              <w:rPr>
                <w:rFonts w:ascii="仿宋_GB2312" w:hAnsi="仿宋_GB2312" w:eastAsia="仿宋_GB2312" w:cs="仿宋_GB2312"/>
                <w:sz w:val="24"/>
              </w:rPr>
              <w:t>针对本项目运维服务包括6方面，应用软件运维、应用数据运维、应用平台数据运营服务、基础支撑平台运维、安全运维和系统迁移。</w:t>
            </w:r>
          </w:p>
          <w:p w14:paraId="4AB7F0B7">
            <w:pPr>
              <w:pStyle w:val="5"/>
              <w:ind w:firstLine="472"/>
              <w:jc w:val="left"/>
            </w:pPr>
            <w:r>
              <w:rPr>
                <w:rFonts w:ascii="仿宋_GB2312" w:hAnsi="仿宋_GB2312" w:eastAsia="仿宋_GB2312" w:cs="仿宋_GB2312"/>
                <w:sz w:val="24"/>
              </w:rPr>
              <w:t>（一）应用软件运维</w:t>
            </w:r>
          </w:p>
          <w:p w14:paraId="1787EE93">
            <w:pPr>
              <w:pStyle w:val="5"/>
              <w:ind w:firstLine="460"/>
              <w:jc w:val="left"/>
            </w:pPr>
            <w:r>
              <w:rPr>
                <w:rFonts w:ascii="仿宋_GB2312" w:hAnsi="仿宋_GB2312" w:eastAsia="仿宋_GB2312" w:cs="仿宋_GB2312"/>
                <w:sz w:val="24"/>
              </w:rPr>
              <w:t>1.咨询服务</w:t>
            </w:r>
          </w:p>
          <w:p w14:paraId="112CA93C">
            <w:pPr>
              <w:pStyle w:val="5"/>
              <w:spacing w:before="30"/>
              <w:ind w:firstLine="464"/>
              <w:jc w:val="left"/>
            </w:pPr>
            <w:r>
              <w:rPr>
                <w:rFonts w:ascii="仿宋_GB2312" w:hAnsi="仿宋_GB2312" w:eastAsia="仿宋_GB2312" w:cs="仿宋_GB2312"/>
                <w:sz w:val="24"/>
              </w:rPr>
              <w:t>供应商提供相关咨询服务工作，对于用户提出的系统功能优化等要求进行评估，与用户进行需求沟通分析和确认，提出合理的系统优化调整方案；对于各部门数据的接入，提供接口咨询等服务。</w:t>
            </w:r>
          </w:p>
          <w:p w14:paraId="17975F9F">
            <w:pPr>
              <w:pStyle w:val="5"/>
              <w:ind w:firstLine="472"/>
              <w:jc w:val="left"/>
            </w:pPr>
            <w:r>
              <w:rPr>
                <w:rFonts w:ascii="仿宋_GB2312" w:hAnsi="仿宋_GB2312" w:eastAsia="仿宋_GB2312" w:cs="仿宋_GB2312"/>
                <w:sz w:val="24"/>
              </w:rPr>
              <w:t>2.状态监控</w:t>
            </w:r>
          </w:p>
          <w:p w14:paraId="43EF9F54">
            <w:pPr>
              <w:pStyle w:val="5"/>
              <w:ind w:firstLine="428"/>
              <w:jc w:val="left"/>
            </w:pPr>
            <w:r>
              <w:rPr>
                <w:rFonts w:ascii="仿宋_GB2312" w:hAnsi="仿宋_GB2312" w:eastAsia="仿宋_GB2312" w:cs="仿宋_GB2312"/>
                <w:sz w:val="24"/>
              </w:rPr>
              <w:t>（1）日志监控</w:t>
            </w:r>
          </w:p>
          <w:p w14:paraId="7CE1B38A">
            <w:pPr>
              <w:pStyle w:val="5"/>
              <w:ind w:firstLine="480"/>
              <w:jc w:val="left"/>
            </w:pPr>
            <w:r>
              <w:rPr>
                <w:rFonts w:ascii="仿宋_GB2312" w:hAnsi="仿宋_GB2312" w:eastAsia="仿宋_GB2312" w:cs="仿宋_GB2312"/>
                <w:sz w:val="24"/>
              </w:rPr>
              <w:t>通过操作系统日志、中间件日志以及应用系统日志等分析和发现和应用系统相关的异常情况，并及时上报。</w:t>
            </w:r>
          </w:p>
          <w:p w14:paraId="4E777D10">
            <w:pPr>
              <w:pStyle w:val="5"/>
              <w:spacing w:before="30"/>
              <w:ind w:firstLine="468"/>
              <w:jc w:val="left"/>
            </w:pPr>
            <w:r>
              <w:rPr>
                <w:rFonts w:ascii="仿宋_GB2312" w:hAnsi="仿宋_GB2312" w:eastAsia="仿宋_GB2312" w:cs="仿宋_GB2312"/>
                <w:sz w:val="24"/>
              </w:rPr>
              <w:t>（2）登录监控</w:t>
            </w:r>
          </w:p>
          <w:p w14:paraId="6985EB9C">
            <w:pPr>
              <w:pStyle w:val="5"/>
              <w:spacing w:before="15"/>
              <w:ind w:firstLine="488"/>
              <w:jc w:val="left"/>
            </w:pPr>
            <w:r>
              <w:rPr>
                <w:rFonts w:ascii="仿宋_GB2312" w:hAnsi="仿宋_GB2312" w:eastAsia="仿宋_GB2312" w:cs="仿宋_GB2312"/>
                <w:sz w:val="24"/>
              </w:rPr>
              <w:t>通过系统管理的登录数据对应用系统用户登录进行监控，并及时上报异常情况。</w:t>
            </w:r>
          </w:p>
          <w:p w14:paraId="0BCC744F">
            <w:pPr>
              <w:pStyle w:val="5"/>
              <w:spacing w:before="30"/>
              <w:ind w:firstLine="468"/>
              <w:jc w:val="left"/>
            </w:pPr>
            <w:r>
              <w:rPr>
                <w:rFonts w:ascii="仿宋_GB2312" w:hAnsi="仿宋_GB2312" w:eastAsia="仿宋_GB2312" w:cs="仿宋_GB2312"/>
                <w:sz w:val="24"/>
              </w:rPr>
              <w:t>（3）会话监控</w:t>
            </w:r>
          </w:p>
          <w:p w14:paraId="053DB9A8">
            <w:pPr>
              <w:pStyle w:val="5"/>
              <w:spacing w:before="30"/>
              <w:ind w:right="105" w:firstLine="488"/>
              <w:jc w:val="left"/>
            </w:pPr>
            <w:r>
              <w:rPr>
                <w:rFonts w:ascii="仿宋_GB2312" w:hAnsi="仿宋_GB2312" w:eastAsia="仿宋_GB2312" w:cs="仿宋_GB2312"/>
                <w:sz w:val="24"/>
              </w:rPr>
              <w:t>通过系统管理中的会话监控分析会话情况，发现异常情况及时上报。</w:t>
            </w:r>
          </w:p>
          <w:p w14:paraId="4F6B493E">
            <w:pPr>
              <w:pStyle w:val="5"/>
              <w:spacing w:before="30"/>
              <w:ind w:firstLine="468"/>
              <w:jc w:val="left"/>
            </w:pPr>
            <w:r>
              <w:rPr>
                <w:rFonts w:ascii="仿宋_GB2312" w:hAnsi="仿宋_GB2312" w:eastAsia="仿宋_GB2312" w:cs="仿宋_GB2312"/>
                <w:sz w:val="24"/>
              </w:rPr>
              <w:t>（4）业务量监控</w:t>
            </w:r>
          </w:p>
          <w:p w14:paraId="0E42727D">
            <w:pPr>
              <w:pStyle w:val="5"/>
              <w:spacing w:before="30"/>
              <w:ind w:right="105" w:firstLine="488"/>
              <w:jc w:val="left"/>
            </w:pPr>
            <w:r>
              <w:rPr>
                <w:rFonts w:ascii="仿宋_GB2312" w:hAnsi="仿宋_GB2312" w:eastAsia="仿宋_GB2312" w:cs="仿宋_GB2312"/>
                <w:sz w:val="24"/>
              </w:rPr>
              <w:t>通过应用服务使用日志监控服务使用情况，对异常情况进行上报。</w:t>
            </w:r>
          </w:p>
          <w:p w14:paraId="74CEEFEB">
            <w:pPr>
              <w:pStyle w:val="5"/>
              <w:spacing w:before="30"/>
              <w:ind w:firstLine="468"/>
              <w:jc w:val="left"/>
            </w:pPr>
            <w:r>
              <w:rPr>
                <w:rFonts w:ascii="仿宋_GB2312" w:hAnsi="仿宋_GB2312" w:eastAsia="仿宋_GB2312" w:cs="仿宋_GB2312"/>
                <w:sz w:val="24"/>
              </w:rPr>
              <w:t>（5）接口监控</w:t>
            </w:r>
          </w:p>
          <w:p w14:paraId="341D5F33">
            <w:pPr>
              <w:pStyle w:val="5"/>
              <w:ind w:firstLine="480"/>
              <w:jc w:val="left"/>
            </w:pPr>
            <w:r>
              <w:rPr>
                <w:rFonts w:ascii="仿宋_GB2312" w:hAnsi="仿宋_GB2312" w:eastAsia="仿宋_GB2312" w:cs="仿宋_GB2312"/>
                <w:sz w:val="24"/>
              </w:rPr>
              <w:t>包括对“成都市智慧蓉城运行平台”“成都市一体化政务大数据平台”“区级各单位”等数据交换的运行使用、运行异常、进程进行监控。并对出现的漏洞进行修复管理，对运行故障进行处理记录，每周定期巡检。</w:t>
            </w:r>
          </w:p>
          <w:p w14:paraId="084DF037">
            <w:pPr>
              <w:pStyle w:val="5"/>
              <w:ind w:firstLine="424"/>
              <w:jc w:val="left"/>
            </w:pPr>
            <w:r>
              <w:rPr>
                <w:rFonts w:ascii="仿宋_GB2312" w:hAnsi="仿宋_GB2312" w:eastAsia="仿宋_GB2312" w:cs="仿宋_GB2312"/>
                <w:sz w:val="24"/>
              </w:rPr>
              <w:t>3.日常维护</w:t>
            </w:r>
          </w:p>
          <w:p w14:paraId="266F46F2">
            <w:pPr>
              <w:pStyle w:val="5"/>
              <w:spacing w:before="30"/>
              <w:ind w:firstLine="440"/>
              <w:jc w:val="left"/>
            </w:pPr>
            <w:r>
              <w:rPr>
                <w:rFonts w:ascii="仿宋_GB2312" w:hAnsi="仿宋_GB2312" w:eastAsia="仿宋_GB2312" w:cs="仿宋_GB2312"/>
                <w:sz w:val="24"/>
              </w:rPr>
              <w:t>（1）日常操作维护</w:t>
            </w:r>
          </w:p>
          <w:p w14:paraId="195EB72F">
            <w:pPr>
              <w:pStyle w:val="5"/>
              <w:ind w:firstLine="488"/>
              <w:jc w:val="left"/>
            </w:pPr>
            <w:r>
              <w:rPr>
                <w:rFonts w:ascii="仿宋_GB2312" w:hAnsi="仿宋_GB2312" w:eastAsia="仿宋_GB2312" w:cs="仿宋_GB2312"/>
                <w:sz w:val="24"/>
              </w:rPr>
              <w:t>对平台日常操作过程中出现的使用习惯，操作步骤以及其他一些使用过程中出现的问题做优化和调整。根据采购人需求完成运维对象系统的优化升级。</w:t>
            </w:r>
          </w:p>
          <w:p w14:paraId="029EB475">
            <w:pPr>
              <w:pStyle w:val="5"/>
              <w:spacing w:before="15"/>
              <w:ind w:firstLine="460"/>
              <w:jc w:val="left"/>
            </w:pPr>
            <w:r>
              <w:rPr>
                <w:rFonts w:ascii="仿宋_GB2312" w:hAnsi="仿宋_GB2312" w:eastAsia="仿宋_GB2312" w:cs="仿宋_GB2312"/>
                <w:sz w:val="24"/>
              </w:rPr>
              <w:t>（2）bug修复</w:t>
            </w:r>
          </w:p>
          <w:p w14:paraId="0AB4C64A">
            <w:pPr>
              <w:pStyle w:val="5"/>
              <w:ind w:firstLine="484"/>
              <w:jc w:val="left"/>
            </w:pPr>
            <w:r>
              <w:rPr>
                <w:rFonts w:ascii="仿宋_GB2312" w:hAnsi="仿宋_GB2312" w:eastAsia="仿宋_GB2312" w:cs="仿宋_GB2312"/>
                <w:sz w:val="24"/>
              </w:rPr>
              <w:t>对应用系统日常使用出现的bug进行及时的修正和完善，保障系统的正常运行。</w:t>
            </w:r>
          </w:p>
          <w:p w14:paraId="488135DA">
            <w:pPr>
              <w:pStyle w:val="5"/>
              <w:ind w:firstLine="452"/>
              <w:jc w:val="left"/>
            </w:pPr>
            <w:r>
              <w:rPr>
                <w:rFonts w:ascii="仿宋_GB2312" w:hAnsi="仿宋_GB2312" w:eastAsia="仿宋_GB2312" w:cs="仿宋_GB2312"/>
                <w:sz w:val="24"/>
              </w:rPr>
              <w:t>（3）日常维护服务报告定期发布</w:t>
            </w:r>
          </w:p>
          <w:p w14:paraId="69A7A3EA">
            <w:pPr>
              <w:pStyle w:val="5"/>
              <w:ind w:right="45" w:firstLine="456"/>
              <w:jc w:val="left"/>
            </w:pPr>
            <w:r>
              <w:rPr>
                <w:rFonts w:ascii="仿宋_GB2312" w:hAnsi="仿宋_GB2312" w:eastAsia="仿宋_GB2312" w:cs="仿宋_GB2312"/>
                <w:sz w:val="24"/>
              </w:rPr>
              <w:t>对日常服务中发现和解决的问题，每周形成文档上报给主管部门。应用系统日常维护服务周报的主要内容包括：</w:t>
            </w:r>
          </w:p>
          <w:p w14:paraId="424B9B92">
            <w:pPr>
              <w:pStyle w:val="5"/>
              <w:ind w:right="45" w:firstLine="456"/>
              <w:jc w:val="left"/>
            </w:pPr>
            <w:r>
              <w:rPr>
                <w:rFonts w:ascii="仿宋_GB2312" w:hAnsi="仿宋_GB2312" w:eastAsia="仿宋_GB2312" w:cs="仿宋_GB2312"/>
                <w:sz w:val="24"/>
              </w:rPr>
              <w:t>①应用系统运行出现的问题及解决过程和解决办法；</w:t>
            </w:r>
          </w:p>
          <w:p w14:paraId="3DCFB2BA">
            <w:pPr>
              <w:pStyle w:val="5"/>
              <w:ind w:right="45" w:firstLine="456"/>
              <w:jc w:val="left"/>
            </w:pPr>
            <w:r>
              <w:rPr>
                <w:rFonts w:ascii="仿宋_GB2312" w:hAnsi="仿宋_GB2312" w:eastAsia="仿宋_GB2312" w:cs="仿宋_GB2312"/>
                <w:sz w:val="24"/>
              </w:rPr>
              <w:t>②日常bug修复记录总结；</w:t>
            </w:r>
          </w:p>
          <w:p w14:paraId="5C62F0C2">
            <w:pPr>
              <w:pStyle w:val="5"/>
              <w:ind w:right="45" w:firstLine="456"/>
              <w:jc w:val="left"/>
            </w:pPr>
            <w:r>
              <w:rPr>
                <w:rFonts w:ascii="仿宋_GB2312" w:hAnsi="仿宋_GB2312" w:eastAsia="仿宋_GB2312" w:cs="仿宋_GB2312"/>
                <w:sz w:val="24"/>
              </w:rPr>
              <w:t>③日常操作培训记录总结。</w:t>
            </w:r>
          </w:p>
          <w:p w14:paraId="2C4833EE">
            <w:pPr>
              <w:pStyle w:val="5"/>
              <w:ind w:firstLine="472"/>
              <w:jc w:val="left"/>
            </w:pPr>
            <w:r>
              <w:rPr>
                <w:rFonts w:ascii="仿宋_GB2312" w:hAnsi="仿宋_GB2312" w:eastAsia="仿宋_GB2312" w:cs="仿宋_GB2312"/>
                <w:sz w:val="24"/>
              </w:rPr>
              <w:t>（4）系统灾备维护配合</w:t>
            </w:r>
          </w:p>
          <w:p w14:paraId="3C6DE424">
            <w:pPr>
              <w:pStyle w:val="5"/>
              <w:spacing w:before="30"/>
              <w:ind w:firstLine="488"/>
              <w:jc w:val="left"/>
            </w:pPr>
            <w:r>
              <w:rPr>
                <w:rFonts w:ascii="仿宋_GB2312" w:hAnsi="仿宋_GB2312" w:eastAsia="仿宋_GB2312" w:cs="仿宋_GB2312"/>
                <w:sz w:val="24"/>
              </w:rPr>
              <w:t>本项目由政务云统一提供数据灾备服务，供应商根据项目情况，配合灾备服务商进行项目运行情况的分析，提出合理完整的应用备份、数据库备份和恢复解决方案。</w:t>
            </w:r>
          </w:p>
          <w:p w14:paraId="4AA65040">
            <w:pPr>
              <w:pStyle w:val="5"/>
              <w:spacing w:before="30"/>
              <w:ind w:firstLine="472"/>
              <w:jc w:val="left"/>
            </w:pPr>
            <w:r>
              <w:rPr>
                <w:rFonts w:ascii="仿宋_GB2312" w:hAnsi="仿宋_GB2312" w:eastAsia="仿宋_GB2312" w:cs="仿宋_GB2312"/>
                <w:sz w:val="24"/>
              </w:rPr>
              <w:t>4.应急性维护</w:t>
            </w:r>
          </w:p>
          <w:p w14:paraId="1B02601F">
            <w:pPr>
              <w:pStyle w:val="5"/>
              <w:spacing w:before="30"/>
              <w:ind w:firstLine="488"/>
              <w:jc w:val="left"/>
            </w:pPr>
            <w:r>
              <w:rPr>
                <w:rFonts w:ascii="仿宋_GB2312" w:hAnsi="仿宋_GB2312" w:eastAsia="仿宋_GB2312" w:cs="仿宋_GB2312"/>
                <w:sz w:val="24"/>
              </w:rPr>
              <w:t>供应商提供软件系统的灾难恢复和应急服务；根据关键业务时间、关键事件等紧急情况，提供人员进行技术支持，并派出专业人员保证业务过渡、系统平稳运行。</w:t>
            </w:r>
          </w:p>
          <w:p w14:paraId="40ED852A">
            <w:pPr>
              <w:pStyle w:val="5"/>
              <w:ind w:firstLine="484"/>
              <w:jc w:val="left"/>
            </w:pPr>
            <w:r>
              <w:rPr>
                <w:rFonts w:ascii="仿宋_GB2312" w:hAnsi="仿宋_GB2312" w:eastAsia="仿宋_GB2312" w:cs="仿宋_GB2312"/>
                <w:sz w:val="24"/>
              </w:rPr>
              <w:t>当系统出现系统整体性能急速下降，严重影响系统的正常运行，导致部分或全部系统不能正常办理时，进行应急服务，在最短时间内，恢复系统正常状态。</w:t>
            </w:r>
          </w:p>
          <w:p w14:paraId="50533492">
            <w:pPr>
              <w:pStyle w:val="5"/>
              <w:spacing w:before="30"/>
              <w:ind w:firstLine="488"/>
              <w:jc w:val="left"/>
            </w:pPr>
            <w:r>
              <w:rPr>
                <w:rFonts w:ascii="仿宋_GB2312" w:hAnsi="仿宋_GB2312" w:eastAsia="仿宋_GB2312" w:cs="仿宋_GB2312"/>
                <w:sz w:val="24"/>
              </w:rPr>
              <w:t>保障系统的稳定运行是一个综合工程，引起系统性能急速下降的原因甚多，例如：主机系统的问题、网络系统的问题、存储系统的问题、系统平台的问题、应用系统的问题，误操作引起的问题等等。在进行应急性维护时，从多方面综合查找原因，以利于快速地发现问题，解决问题。</w:t>
            </w:r>
          </w:p>
          <w:p w14:paraId="04772C73">
            <w:pPr>
              <w:pStyle w:val="5"/>
              <w:spacing w:before="30"/>
              <w:ind w:firstLine="472"/>
              <w:jc w:val="left"/>
            </w:pPr>
            <w:r>
              <w:rPr>
                <w:rFonts w:ascii="仿宋_GB2312" w:hAnsi="仿宋_GB2312" w:eastAsia="仿宋_GB2312" w:cs="仿宋_GB2312"/>
                <w:sz w:val="24"/>
              </w:rPr>
              <w:t>5.临时性维护</w:t>
            </w:r>
          </w:p>
          <w:p w14:paraId="397C09E3">
            <w:pPr>
              <w:pStyle w:val="5"/>
              <w:ind w:firstLine="488"/>
              <w:jc w:val="left"/>
            </w:pPr>
            <w:r>
              <w:rPr>
                <w:rFonts w:ascii="仿宋_GB2312" w:hAnsi="仿宋_GB2312" w:eastAsia="仿宋_GB2312" w:cs="仿宋_GB2312"/>
                <w:sz w:val="24"/>
              </w:rPr>
              <w:t>供应商提供临时性任务的技术支持，包括临时性统计任务、审计数据提取和汇总等；对临时性的技术支持，供应商的维护成员应及时响应，及时沟通并解决，配合解决问题。</w:t>
            </w:r>
          </w:p>
          <w:p w14:paraId="05A75745">
            <w:pPr>
              <w:pStyle w:val="5"/>
              <w:ind w:firstLine="476"/>
              <w:jc w:val="left"/>
            </w:pPr>
            <w:r>
              <w:rPr>
                <w:rFonts w:ascii="仿宋_GB2312" w:hAnsi="仿宋_GB2312" w:eastAsia="仿宋_GB2312" w:cs="仿宋_GB2312"/>
                <w:sz w:val="24"/>
              </w:rPr>
              <w:t>6.定期巡检及性能优化服务</w:t>
            </w:r>
          </w:p>
          <w:p w14:paraId="4399BE04">
            <w:pPr>
              <w:pStyle w:val="5"/>
              <w:spacing w:before="30"/>
              <w:ind w:firstLine="488"/>
              <w:jc w:val="left"/>
            </w:pPr>
            <w:r>
              <w:rPr>
                <w:rFonts w:ascii="仿宋_GB2312" w:hAnsi="仿宋_GB2312" w:eastAsia="仿宋_GB2312" w:cs="仿宋_GB2312"/>
                <w:sz w:val="24"/>
              </w:rPr>
              <w:t>供应商制定并执行应用系统巡检服务计划；制定应用系统性能调整方案，执行性能调优计划。</w:t>
            </w:r>
          </w:p>
          <w:p w14:paraId="4A7002B3">
            <w:pPr>
              <w:pStyle w:val="5"/>
              <w:ind w:firstLine="468"/>
              <w:jc w:val="left"/>
            </w:pPr>
            <w:r>
              <w:rPr>
                <w:rFonts w:ascii="仿宋_GB2312" w:hAnsi="仿宋_GB2312" w:eastAsia="仿宋_GB2312" w:cs="仿宋_GB2312"/>
                <w:sz w:val="24"/>
              </w:rPr>
              <w:t>（1）定期巡检服务</w:t>
            </w:r>
          </w:p>
          <w:p w14:paraId="69EDDA86">
            <w:pPr>
              <w:pStyle w:val="5"/>
              <w:ind w:firstLine="488"/>
              <w:jc w:val="left"/>
            </w:pPr>
            <w:r>
              <w:rPr>
                <w:rFonts w:ascii="仿宋_GB2312" w:hAnsi="仿宋_GB2312" w:eastAsia="仿宋_GB2312" w:cs="仿宋_GB2312"/>
                <w:sz w:val="24"/>
              </w:rPr>
              <w:t>供应商建立运维档案，详细记录服务情况，对每次服务进行追踪；定制巡检计划，按计划定期进行综合性的检查，以便及时发现问题，防患于未然。</w:t>
            </w:r>
          </w:p>
          <w:p w14:paraId="0564C283">
            <w:pPr>
              <w:pStyle w:val="5"/>
              <w:ind w:firstLine="488"/>
              <w:jc w:val="left"/>
            </w:pPr>
            <w:r>
              <w:rPr>
                <w:rFonts w:ascii="仿宋_GB2312" w:hAnsi="仿宋_GB2312" w:eastAsia="仿宋_GB2312" w:cs="仿宋_GB2312"/>
                <w:sz w:val="24"/>
              </w:rPr>
              <w:t>定期巡检服务将在适当的时间派遣运维供应商相关业务和技术专家到现场，分析业务运行情况，检查数据库状态，分析操作系统瓶颈及运行状态，通过进程分析，业务办理情况分析，重点业务性能分析等工作，全面评估信息系统的状况并提供巡检报告。</w:t>
            </w:r>
          </w:p>
          <w:p w14:paraId="4BDAFD5D">
            <w:pPr>
              <w:pStyle w:val="5"/>
              <w:ind w:firstLine="468"/>
              <w:jc w:val="left"/>
            </w:pPr>
            <w:r>
              <w:rPr>
                <w:rFonts w:ascii="仿宋_GB2312" w:hAnsi="仿宋_GB2312" w:eastAsia="仿宋_GB2312" w:cs="仿宋_GB2312"/>
                <w:sz w:val="24"/>
              </w:rPr>
              <w:t>服务内容包括：</w:t>
            </w:r>
          </w:p>
          <w:p w14:paraId="76FE7595">
            <w:pPr>
              <w:pStyle w:val="5"/>
              <w:spacing w:before="30"/>
              <w:ind w:firstLine="476"/>
              <w:jc w:val="left"/>
            </w:pPr>
            <w:r>
              <w:rPr>
                <w:rFonts w:ascii="仿宋_GB2312" w:hAnsi="仿宋_GB2312" w:eastAsia="仿宋_GB2312" w:cs="仿宋_GB2312"/>
                <w:sz w:val="24"/>
              </w:rPr>
              <w:t>检查并记录现有系统的配置和运行情况；</w:t>
            </w:r>
          </w:p>
          <w:p w14:paraId="614C4910">
            <w:pPr>
              <w:pStyle w:val="5"/>
              <w:spacing w:before="30"/>
              <w:ind w:firstLine="476"/>
              <w:jc w:val="left"/>
            </w:pPr>
            <w:r>
              <w:rPr>
                <w:rFonts w:ascii="仿宋_GB2312" w:hAnsi="仿宋_GB2312" w:eastAsia="仿宋_GB2312" w:cs="仿宋_GB2312"/>
                <w:sz w:val="24"/>
              </w:rPr>
              <w:t>检查当前系统的操作系统资源的使用情况；</w:t>
            </w:r>
          </w:p>
          <w:p w14:paraId="03226EF8">
            <w:pPr>
              <w:pStyle w:val="5"/>
              <w:spacing w:before="30"/>
              <w:ind w:firstLine="476"/>
              <w:jc w:val="left"/>
            </w:pPr>
            <w:r>
              <w:rPr>
                <w:rFonts w:ascii="仿宋_GB2312" w:hAnsi="仿宋_GB2312" w:eastAsia="仿宋_GB2312" w:cs="仿宋_GB2312"/>
                <w:sz w:val="24"/>
              </w:rPr>
              <w:t>检查应用系统业务办理情况、业务瓶颈；</w:t>
            </w:r>
          </w:p>
          <w:p w14:paraId="14C683F0">
            <w:pPr>
              <w:pStyle w:val="5"/>
              <w:spacing w:before="30"/>
              <w:ind w:firstLine="472"/>
              <w:jc w:val="left"/>
            </w:pPr>
            <w:r>
              <w:rPr>
                <w:rFonts w:ascii="仿宋_GB2312" w:hAnsi="仿宋_GB2312" w:eastAsia="仿宋_GB2312" w:cs="仿宋_GB2312"/>
                <w:sz w:val="24"/>
              </w:rPr>
              <w:t>提供合理的调整建议；</w:t>
            </w:r>
          </w:p>
          <w:p w14:paraId="60D44CC6">
            <w:pPr>
              <w:pStyle w:val="5"/>
              <w:ind w:firstLine="472"/>
              <w:jc w:val="both"/>
            </w:pPr>
            <w:r>
              <w:rPr>
                <w:rFonts w:ascii="仿宋_GB2312" w:hAnsi="仿宋_GB2312" w:eastAsia="仿宋_GB2312" w:cs="仿宋_GB2312"/>
                <w:sz w:val="24"/>
              </w:rPr>
              <w:t>解决一段时间内系统发生的问题；</w:t>
            </w:r>
          </w:p>
          <w:p w14:paraId="453B1AE5">
            <w:pPr>
              <w:pStyle w:val="5"/>
              <w:spacing w:before="30"/>
              <w:ind w:firstLine="472"/>
              <w:jc w:val="left"/>
            </w:pPr>
            <w:r>
              <w:rPr>
                <w:rFonts w:ascii="仿宋_GB2312" w:hAnsi="仿宋_GB2312" w:eastAsia="仿宋_GB2312" w:cs="仿宋_GB2312"/>
                <w:sz w:val="24"/>
              </w:rPr>
              <w:t>提交系统检查文档；</w:t>
            </w:r>
          </w:p>
          <w:p w14:paraId="03431389">
            <w:pPr>
              <w:pStyle w:val="5"/>
              <w:spacing w:before="30"/>
              <w:ind w:firstLine="488"/>
              <w:jc w:val="left"/>
            </w:pPr>
            <w:r>
              <w:rPr>
                <w:rFonts w:ascii="仿宋_GB2312" w:hAnsi="仿宋_GB2312" w:eastAsia="仿宋_GB2312" w:cs="仿宋_GB2312"/>
                <w:sz w:val="24"/>
              </w:rPr>
              <w:t>形成分析报告：每次巡检结束后，运维供应商工程师提供系统巡检的分析报告，分析报告以书面方式提供，报告最终需要双方签字认可。报告内容分为三个部分：系统使用状态、分析和建议，并附全部的性能报表和跟踪文件，并提供必要的截屏图片。如果巡检中发现问题，并经双方确认的确需要加以解决，双方就此问题进行技术协调确定调整日期，调整前运维供应商提供技术解决的方案并实现提交采购人确认。</w:t>
            </w:r>
          </w:p>
          <w:p w14:paraId="68680952">
            <w:pPr>
              <w:pStyle w:val="5"/>
              <w:ind w:firstLine="468"/>
              <w:jc w:val="left"/>
            </w:pPr>
            <w:r>
              <w:rPr>
                <w:rFonts w:ascii="仿宋_GB2312" w:hAnsi="仿宋_GB2312" w:eastAsia="仿宋_GB2312" w:cs="仿宋_GB2312"/>
                <w:sz w:val="24"/>
              </w:rPr>
              <w:t>（2）性能优化服务</w:t>
            </w:r>
          </w:p>
          <w:p w14:paraId="3C497F2B">
            <w:pPr>
              <w:pStyle w:val="5"/>
              <w:ind w:firstLine="488"/>
              <w:jc w:val="left"/>
            </w:pPr>
            <w:r>
              <w:rPr>
                <w:rFonts w:ascii="仿宋_GB2312" w:hAnsi="仿宋_GB2312" w:eastAsia="仿宋_GB2312" w:cs="仿宋_GB2312"/>
                <w:sz w:val="24"/>
              </w:rPr>
              <w:t>在巡检过程中提供性能优化服务，对主机、操作系统、数据库系统、中间件进行性能优化，并提交分析报告和建议。</w:t>
            </w:r>
          </w:p>
          <w:p w14:paraId="00200F85">
            <w:pPr>
              <w:pStyle w:val="5"/>
              <w:ind w:firstLine="472"/>
              <w:jc w:val="left"/>
            </w:pPr>
            <w:r>
              <w:rPr>
                <w:rFonts w:ascii="仿宋_GB2312" w:hAnsi="仿宋_GB2312" w:eastAsia="仿宋_GB2312" w:cs="仿宋_GB2312"/>
                <w:sz w:val="24"/>
              </w:rPr>
              <w:t>性能优化服务内容包括：</w:t>
            </w:r>
          </w:p>
          <w:p w14:paraId="64E17914">
            <w:pPr>
              <w:pStyle w:val="5"/>
              <w:spacing w:before="30"/>
              <w:ind w:right="105" w:firstLine="488"/>
              <w:jc w:val="left"/>
            </w:pPr>
            <w:r>
              <w:rPr>
                <w:rFonts w:ascii="仿宋_GB2312" w:hAnsi="仿宋_GB2312" w:eastAsia="仿宋_GB2312" w:cs="仿宋_GB2312"/>
                <w:sz w:val="24"/>
              </w:rPr>
              <w:t>针对应用系统的运行情况提出建议，以更好地使用现有资源；</w:t>
            </w:r>
          </w:p>
          <w:p w14:paraId="3425494B">
            <w:pPr>
              <w:pStyle w:val="5"/>
              <w:spacing w:before="15"/>
              <w:ind w:firstLine="472"/>
              <w:jc w:val="left"/>
            </w:pPr>
            <w:r>
              <w:rPr>
                <w:rFonts w:ascii="仿宋_GB2312" w:hAnsi="仿宋_GB2312" w:eastAsia="仿宋_GB2312" w:cs="仿宋_GB2312"/>
                <w:sz w:val="24"/>
              </w:rPr>
              <w:t>评测相应的软件功能；</w:t>
            </w:r>
          </w:p>
          <w:p w14:paraId="05C53337">
            <w:pPr>
              <w:pStyle w:val="5"/>
              <w:spacing w:before="30"/>
              <w:ind w:firstLine="472"/>
              <w:jc w:val="left"/>
            </w:pPr>
            <w:r>
              <w:rPr>
                <w:rFonts w:ascii="仿宋_GB2312" w:hAnsi="仿宋_GB2312" w:eastAsia="仿宋_GB2312" w:cs="仿宋_GB2312"/>
                <w:sz w:val="24"/>
              </w:rPr>
              <w:t>确认系统中已存在或潜在的问题；</w:t>
            </w:r>
          </w:p>
          <w:p w14:paraId="3B0B5C04">
            <w:pPr>
              <w:pStyle w:val="5"/>
              <w:spacing w:before="30"/>
              <w:ind w:right="105" w:firstLine="488"/>
              <w:jc w:val="left"/>
            </w:pPr>
            <w:r>
              <w:rPr>
                <w:rFonts w:ascii="仿宋_GB2312" w:hAnsi="仿宋_GB2312" w:eastAsia="仿宋_GB2312" w:cs="仿宋_GB2312"/>
                <w:sz w:val="24"/>
              </w:rPr>
              <w:t>依据性能分析报告进行性能调优，力争使其性能得到提升。</w:t>
            </w:r>
          </w:p>
          <w:p w14:paraId="6C7AC798">
            <w:pPr>
              <w:pStyle w:val="5"/>
              <w:spacing w:before="15"/>
              <w:ind w:firstLine="472"/>
              <w:jc w:val="left"/>
            </w:pPr>
            <w:r>
              <w:rPr>
                <w:rFonts w:ascii="仿宋_GB2312" w:hAnsi="仿宋_GB2312" w:eastAsia="仿宋_GB2312" w:cs="仿宋_GB2312"/>
                <w:sz w:val="24"/>
              </w:rPr>
              <w:t>7.事故分析服务</w:t>
            </w:r>
          </w:p>
          <w:p w14:paraId="5311131D">
            <w:pPr>
              <w:pStyle w:val="5"/>
              <w:spacing w:before="30"/>
              <w:ind w:firstLine="488"/>
              <w:jc w:val="left"/>
            </w:pPr>
            <w:r>
              <w:rPr>
                <w:rFonts w:ascii="仿宋_GB2312" w:hAnsi="仿宋_GB2312" w:eastAsia="仿宋_GB2312" w:cs="仿宋_GB2312"/>
                <w:sz w:val="24"/>
              </w:rPr>
              <w:t>供应商提供应用系统故障分析服务，每一次故障排除或常规检查之后，进行详细的记载并提交存档；对事故均做出详细原因分析报告，并以此提供系统维护资料和数据，及时给出适当建议。</w:t>
            </w:r>
          </w:p>
          <w:p w14:paraId="15028798">
            <w:pPr>
              <w:pStyle w:val="5"/>
              <w:spacing w:before="15"/>
              <w:ind w:firstLine="536"/>
              <w:jc w:val="left"/>
            </w:pPr>
            <w:r>
              <w:rPr>
                <w:rFonts w:ascii="仿宋_GB2312" w:hAnsi="仿宋_GB2312" w:eastAsia="仿宋_GB2312" w:cs="仿宋_GB2312"/>
                <w:sz w:val="24"/>
              </w:rPr>
              <w:t>将各月的问题数及相关情况做成一个问题分类图。通过分析细化各类问题所占的比例，便于持续做好维护服务。</w:t>
            </w:r>
          </w:p>
          <w:p w14:paraId="0E6EA12C">
            <w:pPr>
              <w:pStyle w:val="5"/>
              <w:spacing w:before="30"/>
              <w:ind w:firstLine="472"/>
              <w:jc w:val="left"/>
            </w:pPr>
            <w:r>
              <w:rPr>
                <w:rFonts w:ascii="仿宋_GB2312" w:hAnsi="仿宋_GB2312" w:eastAsia="仿宋_GB2312" w:cs="仿宋_GB2312"/>
                <w:sz w:val="24"/>
              </w:rPr>
              <w:t>8.应用功能优化</w:t>
            </w:r>
          </w:p>
          <w:p w14:paraId="53B9C6A7">
            <w:pPr>
              <w:pStyle w:val="5"/>
              <w:spacing w:before="30"/>
              <w:ind w:right="105" w:firstLine="536"/>
              <w:jc w:val="left"/>
            </w:pPr>
            <w:r>
              <w:rPr>
                <w:rFonts w:ascii="仿宋_GB2312" w:hAnsi="仿宋_GB2312" w:eastAsia="仿宋_GB2312" w:cs="仿宋_GB2312"/>
                <w:sz w:val="24"/>
              </w:rPr>
              <w:t>对系统使用过程中出现的一些问题进行功能优化，包括：</w:t>
            </w:r>
          </w:p>
          <w:p w14:paraId="3BF6DA9B">
            <w:pPr>
              <w:pStyle w:val="5"/>
              <w:spacing w:before="30"/>
              <w:ind w:firstLine="472"/>
              <w:jc w:val="left"/>
            </w:pPr>
            <w:r>
              <w:rPr>
                <w:rFonts w:ascii="仿宋_GB2312" w:hAnsi="仿宋_GB2312" w:eastAsia="仿宋_GB2312" w:cs="仿宋_GB2312"/>
                <w:sz w:val="24"/>
              </w:rPr>
              <w:t>（1）应用系统优化分析及制定优化策略</w:t>
            </w:r>
          </w:p>
          <w:p w14:paraId="6E6AD19B">
            <w:pPr>
              <w:pStyle w:val="5"/>
              <w:spacing w:before="30"/>
              <w:ind w:firstLine="488"/>
              <w:jc w:val="left"/>
            </w:pPr>
            <w:r>
              <w:rPr>
                <w:rFonts w:ascii="仿宋_GB2312" w:hAnsi="仿宋_GB2312" w:eastAsia="仿宋_GB2312" w:cs="仿宋_GB2312"/>
                <w:sz w:val="24"/>
              </w:rPr>
              <w:t>通过系统运维软件的监控和日志监控的结果，以及总结和收集用户的使用感受，对应用系统的使用感受，效率，流程做优化分析和制定优化策略。</w:t>
            </w:r>
          </w:p>
          <w:p w14:paraId="1E542FF8">
            <w:pPr>
              <w:pStyle w:val="5"/>
              <w:spacing w:before="30"/>
              <w:ind w:firstLine="472"/>
              <w:jc w:val="left"/>
            </w:pPr>
            <w:r>
              <w:rPr>
                <w:rFonts w:ascii="仿宋_GB2312" w:hAnsi="仿宋_GB2312" w:eastAsia="仿宋_GB2312" w:cs="仿宋_GB2312"/>
                <w:sz w:val="24"/>
              </w:rPr>
              <w:t>（2）优化数据逻辑结构</w:t>
            </w:r>
          </w:p>
          <w:p w14:paraId="35A9D6A6">
            <w:pPr>
              <w:pStyle w:val="5"/>
              <w:spacing w:before="30"/>
              <w:ind w:firstLine="488"/>
              <w:jc w:val="left"/>
            </w:pPr>
            <w:r>
              <w:rPr>
                <w:rFonts w:ascii="仿宋_GB2312" w:hAnsi="仿宋_GB2312" w:eastAsia="仿宋_GB2312" w:cs="仿宋_GB2312"/>
                <w:sz w:val="24"/>
              </w:rPr>
              <w:t>在应用系统使用过程中，对一些因为数据库逻辑结构设计的缺陷导致的影响，对表结构、索引等数据逻辑结构做优化。</w:t>
            </w:r>
          </w:p>
          <w:p w14:paraId="43436C1F">
            <w:pPr>
              <w:pStyle w:val="5"/>
              <w:spacing w:before="30"/>
              <w:ind w:firstLine="472"/>
              <w:jc w:val="left"/>
            </w:pPr>
            <w:r>
              <w:rPr>
                <w:rFonts w:ascii="仿宋_GB2312" w:hAnsi="仿宋_GB2312" w:eastAsia="仿宋_GB2312" w:cs="仿宋_GB2312"/>
                <w:sz w:val="24"/>
              </w:rPr>
              <w:t>（3）优化应用系统功能</w:t>
            </w:r>
          </w:p>
          <w:p w14:paraId="70492816">
            <w:pPr>
              <w:pStyle w:val="5"/>
              <w:ind w:firstLine="488"/>
              <w:jc w:val="both"/>
            </w:pPr>
            <w:r>
              <w:rPr>
                <w:rFonts w:ascii="仿宋_GB2312" w:hAnsi="仿宋_GB2312" w:eastAsia="仿宋_GB2312" w:cs="仿宋_GB2312"/>
                <w:sz w:val="24"/>
              </w:rPr>
              <w:t>在应用系统使用过程中，对业务部门提出的一些系统功能的流程问题，功能精简和合并问题，功能划分和布局问题做调整和优化。</w:t>
            </w:r>
          </w:p>
          <w:p w14:paraId="1253696D">
            <w:pPr>
              <w:pStyle w:val="5"/>
              <w:spacing w:before="30"/>
              <w:ind w:firstLine="468"/>
              <w:jc w:val="left"/>
            </w:pPr>
            <w:r>
              <w:rPr>
                <w:rFonts w:ascii="仿宋_GB2312" w:hAnsi="仿宋_GB2312" w:eastAsia="仿宋_GB2312" w:cs="仿宋_GB2312"/>
                <w:sz w:val="24"/>
              </w:rPr>
              <w:t>（4）系统功能适配</w:t>
            </w:r>
          </w:p>
          <w:p w14:paraId="5CF644A8">
            <w:pPr>
              <w:pStyle w:val="5"/>
              <w:spacing w:before="30"/>
              <w:ind w:firstLine="488"/>
              <w:jc w:val="left"/>
            </w:pPr>
            <w:r>
              <w:rPr>
                <w:rFonts w:ascii="仿宋_GB2312" w:hAnsi="仿宋_GB2312" w:eastAsia="仿宋_GB2312" w:cs="仿宋_GB2312"/>
                <w:sz w:val="24"/>
              </w:rPr>
              <w:t>在平台系统使用过程中，对业务需求变化、新增后对相关系统功能进行适配。</w:t>
            </w:r>
          </w:p>
          <w:p w14:paraId="18C4181A">
            <w:pPr>
              <w:pStyle w:val="5"/>
              <w:spacing w:before="30"/>
              <w:ind w:firstLine="476"/>
              <w:jc w:val="left"/>
            </w:pPr>
            <w:r>
              <w:rPr>
                <w:rFonts w:ascii="仿宋_GB2312" w:hAnsi="仿宋_GB2312" w:eastAsia="仿宋_GB2312" w:cs="仿宋_GB2312"/>
                <w:sz w:val="24"/>
              </w:rPr>
              <w:t>9.应用系统代码维护</w:t>
            </w:r>
          </w:p>
          <w:p w14:paraId="29134E95">
            <w:pPr>
              <w:pStyle w:val="5"/>
              <w:spacing w:before="30"/>
              <w:ind w:firstLine="472"/>
              <w:jc w:val="left"/>
            </w:pPr>
            <w:r>
              <w:rPr>
                <w:rFonts w:ascii="仿宋_GB2312" w:hAnsi="仿宋_GB2312" w:eastAsia="仿宋_GB2312" w:cs="仿宋_GB2312"/>
                <w:sz w:val="24"/>
              </w:rPr>
              <w:t>（1）应用系统代码维护内容</w:t>
            </w:r>
          </w:p>
          <w:p w14:paraId="42A285D1">
            <w:pPr>
              <w:pStyle w:val="5"/>
              <w:spacing w:before="15"/>
              <w:ind w:firstLine="488"/>
              <w:jc w:val="left"/>
            </w:pPr>
            <w:r>
              <w:rPr>
                <w:rFonts w:ascii="仿宋_GB2312" w:hAnsi="仿宋_GB2312" w:eastAsia="仿宋_GB2312" w:cs="仿宋_GB2312"/>
                <w:sz w:val="24"/>
              </w:rPr>
              <w:t>本项目所维护的应用系统包括了对其代码进行维护，代码均需移交，代码维护根据维护性质的不同，分为以下几个方面：</w:t>
            </w:r>
          </w:p>
          <w:p w14:paraId="1891CFCB">
            <w:pPr>
              <w:pStyle w:val="5"/>
              <w:spacing w:before="15"/>
              <w:ind w:firstLine="472"/>
              <w:jc w:val="left"/>
            </w:pPr>
            <w:r>
              <w:rPr>
                <w:rFonts w:ascii="仿宋_GB2312" w:hAnsi="仿宋_GB2312" w:eastAsia="仿宋_GB2312" w:cs="仿宋_GB2312"/>
                <w:sz w:val="24"/>
              </w:rPr>
              <w:t>①缺陷修复维护</w:t>
            </w:r>
          </w:p>
          <w:p w14:paraId="68D1F837">
            <w:pPr>
              <w:pStyle w:val="5"/>
              <w:spacing w:before="30"/>
              <w:ind w:firstLine="456"/>
              <w:jc w:val="left"/>
            </w:pPr>
            <w:r>
              <w:rPr>
                <w:rFonts w:ascii="仿宋_GB2312" w:hAnsi="仿宋_GB2312" w:eastAsia="仿宋_GB2312" w:cs="仿宋_GB2312"/>
                <w:sz w:val="24"/>
              </w:rPr>
              <w:t>针对应用系统中的3级缺陷进行修复（3级缺陷：界面拼写错误或用户使用不方便等小问题或需要完善的问题，但不影响使用，一些建议性问题）。</w:t>
            </w:r>
          </w:p>
          <w:p w14:paraId="465F4005">
            <w:pPr>
              <w:pStyle w:val="5"/>
              <w:spacing w:before="30"/>
              <w:ind w:firstLine="472"/>
              <w:jc w:val="left"/>
            </w:pPr>
            <w:r>
              <w:rPr>
                <w:rFonts w:ascii="仿宋_GB2312" w:hAnsi="仿宋_GB2312" w:eastAsia="仿宋_GB2312" w:cs="仿宋_GB2312"/>
                <w:sz w:val="24"/>
              </w:rPr>
              <w:t>②适应性维护</w:t>
            </w:r>
          </w:p>
          <w:p w14:paraId="0DF1F6D7">
            <w:pPr>
              <w:pStyle w:val="5"/>
              <w:ind w:firstLine="488"/>
              <w:jc w:val="left"/>
            </w:pPr>
            <w:r>
              <w:rPr>
                <w:rFonts w:ascii="仿宋_GB2312" w:hAnsi="仿宋_GB2312" w:eastAsia="仿宋_GB2312" w:cs="仿宋_GB2312"/>
                <w:sz w:val="24"/>
              </w:rPr>
              <w:t>适应性维护是针对软件系统为适应外部环境的变化进行系统修改活动，例如：作为行业的应用系统，政策调整不可避免，当系统已不能通过政策参数的调整来适应政策调整要求的时候，进行应用系统的适应性维护。</w:t>
            </w:r>
          </w:p>
          <w:p w14:paraId="4F6F85CD">
            <w:pPr>
              <w:pStyle w:val="5"/>
              <w:ind w:firstLine="472"/>
              <w:jc w:val="left"/>
            </w:pPr>
            <w:r>
              <w:rPr>
                <w:rFonts w:ascii="仿宋_GB2312" w:hAnsi="仿宋_GB2312" w:eastAsia="仿宋_GB2312" w:cs="仿宋_GB2312"/>
                <w:sz w:val="24"/>
              </w:rPr>
              <w:t>③完善性维护</w:t>
            </w:r>
          </w:p>
          <w:p w14:paraId="4731945A">
            <w:pPr>
              <w:pStyle w:val="5"/>
              <w:spacing w:before="30"/>
              <w:ind w:right="105" w:firstLine="480"/>
              <w:jc w:val="left"/>
            </w:pPr>
            <w:r>
              <w:rPr>
                <w:rFonts w:ascii="仿宋_GB2312" w:hAnsi="仿宋_GB2312" w:eastAsia="仿宋_GB2312" w:cs="仿宋_GB2312"/>
                <w:sz w:val="24"/>
              </w:rPr>
              <w:t>在应用系统运行过程中，由于多种原因，需要增加应用系统功能或对已有的功能进行改善。为满足此类需求，对应用系统进行完善性维护。</w:t>
            </w:r>
          </w:p>
          <w:p w14:paraId="47F5F9BF">
            <w:pPr>
              <w:pStyle w:val="5"/>
              <w:spacing w:before="30"/>
              <w:ind w:firstLine="472"/>
              <w:jc w:val="left"/>
            </w:pPr>
            <w:r>
              <w:rPr>
                <w:rFonts w:ascii="仿宋_GB2312" w:hAnsi="仿宋_GB2312" w:eastAsia="仿宋_GB2312" w:cs="仿宋_GB2312"/>
                <w:sz w:val="24"/>
              </w:rPr>
              <w:t>（2）应用系统代码维护方案</w:t>
            </w:r>
          </w:p>
          <w:p w14:paraId="04197641">
            <w:pPr>
              <w:pStyle w:val="5"/>
              <w:spacing w:before="30"/>
              <w:ind w:firstLine="488"/>
              <w:jc w:val="left"/>
            </w:pPr>
            <w:r>
              <w:rPr>
                <w:rFonts w:ascii="仿宋_GB2312" w:hAnsi="仿宋_GB2312" w:eastAsia="仿宋_GB2312" w:cs="仿宋_GB2312"/>
                <w:sz w:val="24"/>
              </w:rPr>
              <w:t>为保证应用系统版本的一致性，以上针对源代码的修改维护，将应用系统的代码维护需求提交给供应商进行统一的完善后，再部署到相关服务器上。在代码维护过程中，为保证系统版本的一致性，采用配置管理的方式，对源代码进行管理。</w:t>
            </w:r>
          </w:p>
          <w:p w14:paraId="66703E5E">
            <w:pPr>
              <w:pStyle w:val="5"/>
              <w:spacing w:before="30"/>
              <w:ind w:firstLine="488"/>
              <w:jc w:val="left"/>
            </w:pPr>
            <w:r>
              <w:rPr>
                <w:rFonts w:ascii="仿宋_GB2312" w:hAnsi="仿宋_GB2312" w:eastAsia="仿宋_GB2312" w:cs="仿宋_GB2312"/>
                <w:sz w:val="24"/>
              </w:rPr>
              <w:t>在应用系统代码维护每一个阶段，都要组织对工作成果进行评审，确定配置基线，对基线的文档、报告、表格和数据等进行标识、控制、审查等，明确配置管理人员，转阶段的批准人等。</w:t>
            </w:r>
          </w:p>
          <w:p w14:paraId="6A8B848F">
            <w:pPr>
              <w:pStyle w:val="5"/>
              <w:spacing w:before="30"/>
              <w:ind w:firstLine="488"/>
              <w:jc w:val="left"/>
            </w:pPr>
            <w:r>
              <w:rPr>
                <w:rFonts w:ascii="仿宋_GB2312" w:hAnsi="仿宋_GB2312" w:eastAsia="仿宋_GB2312" w:cs="仿宋_GB2312"/>
                <w:sz w:val="24"/>
              </w:rPr>
              <w:t>在项目的软件配置管理活动中要实现以下目标：有计划地进行软件配置管理活动；定期进行配置审核，确保产品的完整性和一致性；对项目生命周期内的相关文档进行存档。</w:t>
            </w:r>
          </w:p>
          <w:p w14:paraId="67DBD45B">
            <w:pPr>
              <w:pStyle w:val="5"/>
              <w:spacing w:before="30"/>
              <w:ind w:right="30" w:firstLine="488"/>
              <w:jc w:val="left"/>
            </w:pPr>
            <w:r>
              <w:rPr>
                <w:rFonts w:ascii="仿宋_GB2312" w:hAnsi="仿宋_GB2312" w:eastAsia="仿宋_GB2312" w:cs="仿宋_GB2312"/>
                <w:sz w:val="24"/>
              </w:rPr>
              <w:t>在项目中的配置管理的管理对象主要包括项目的最终产品交付物以及里程碑交付物；软件开发所采用的第三方厂商提供的产品，如操作系统、数据库产品、中间件产品等。</w:t>
            </w:r>
          </w:p>
          <w:p w14:paraId="22F65209">
            <w:pPr>
              <w:pStyle w:val="5"/>
              <w:spacing w:before="15"/>
              <w:ind w:firstLine="472"/>
              <w:jc w:val="left"/>
            </w:pPr>
            <w:r>
              <w:rPr>
                <w:rFonts w:ascii="仿宋_GB2312" w:hAnsi="仿宋_GB2312" w:eastAsia="仿宋_GB2312" w:cs="仿宋_GB2312"/>
                <w:sz w:val="24"/>
              </w:rPr>
              <w:t>（二）应用数据运维</w:t>
            </w:r>
          </w:p>
          <w:p w14:paraId="0EAC1931">
            <w:pPr>
              <w:pStyle w:val="5"/>
              <w:spacing w:before="30"/>
              <w:ind w:left="135" w:firstLine="468"/>
              <w:jc w:val="left"/>
            </w:pPr>
            <w:r>
              <w:rPr>
                <w:rFonts w:ascii="仿宋_GB2312" w:hAnsi="仿宋_GB2312" w:eastAsia="仿宋_GB2312" w:cs="仿宋_GB2312"/>
                <w:sz w:val="24"/>
              </w:rPr>
              <w:t>1.数据库运维</w:t>
            </w:r>
          </w:p>
          <w:p w14:paraId="3115773D">
            <w:pPr>
              <w:pStyle w:val="5"/>
              <w:spacing w:before="30"/>
              <w:ind w:firstLine="488"/>
              <w:jc w:val="left"/>
            </w:pPr>
            <w:r>
              <w:rPr>
                <w:rFonts w:ascii="仿宋_GB2312" w:hAnsi="仿宋_GB2312" w:eastAsia="仿宋_GB2312" w:cs="仿宋_GB2312"/>
                <w:sz w:val="24"/>
              </w:rPr>
              <w:t>本项目数据库运维的工作主要包括：数据库补丁、数据库灾备、数据库应急恢复、定期巡检、故障分析等。同时，结合任务需求，需要对系统的数据资源清单、数据需求清单、数据共享清单中列明的数据进行日常维护。</w:t>
            </w:r>
          </w:p>
          <w:p w14:paraId="2CE62FEE">
            <w:pPr>
              <w:pStyle w:val="5"/>
              <w:spacing w:before="30"/>
              <w:ind w:firstLine="468"/>
              <w:jc w:val="left"/>
            </w:pPr>
            <w:r>
              <w:rPr>
                <w:rFonts w:ascii="仿宋_GB2312" w:hAnsi="仿宋_GB2312" w:eastAsia="仿宋_GB2312" w:cs="仿宋_GB2312"/>
                <w:sz w:val="24"/>
              </w:rPr>
              <w:t>（1）数据库补丁</w:t>
            </w:r>
          </w:p>
          <w:p w14:paraId="38D98ED2">
            <w:pPr>
              <w:pStyle w:val="5"/>
              <w:spacing w:before="30"/>
              <w:ind w:firstLine="492"/>
              <w:jc w:val="left"/>
            </w:pPr>
            <w:r>
              <w:rPr>
                <w:rFonts w:ascii="仿宋_GB2312" w:hAnsi="仿宋_GB2312" w:eastAsia="仿宋_GB2312" w:cs="仿宋_GB2312"/>
                <w:sz w:val="24"/>
              </w:rPr>
              <w:t>数据库补丁升级是指数据库在使用过程中，为预防或及时更正数据库本身由于漏洞造成的安全隐患，从而对数据库进行的补丁升级更正，升级完成后进行数据库测试工作，保障数据库正常运行。</w:t>
            </w:r>
          </w:p>
          <w:p w14:paraId="4929C0D0">
            <w:pPr>
              <w:pStyle w:val="5"/>
              <w:spacing w:before="30"/>
              <w:ind w:firstLine="468"/>
              <w:jc w:val="left"/>
            </w:pPr>
            <w:r>
              <w:rPr>
                <w:rFonts w:ascii="仿宋_GB2312" w:hAnsi="仿宋_GB2312" w:eastAsia="仿宋_GB2312" w:cs="仿宋_GB2312"/>
                <w:sz w:val="24"/>
              </w:rPr>
              <w:t>（2）数据库应急恢复</w:t>
            </w:r>
          </w:p>
          <w:p w14:paraId="1E376271">
            <w:pPr>
              <w:pStyle w:val="5"/>
              <w:spacing w:before="30"/>
              <w:ind w:firstLine="484"/>
              <w:jc w:val="left"/>
            </w:pPr>
            <w:r>
              <w:rPr>
                <w:rFonts w:ascii="仿宋_GB2312" w:hAnsi="仿宋_GB2312" w:eastAsia="仿宋_GB2312" w:cs="仿宋_GB2312"/>
                <w:sz w:val="24"/>
              </w:rPr>
              <w:t>应急数据恢复是指在系统使用过程中，由于服务器出现故障导致数据库服务无法正常使用，运维人员快速通过灾备中备份的数据库进行数据恢复，从而达到快速恢复应用并做到无数据丢失的结果。</w:t>
            </w:r>
          </w:p>
          <w:p w14:paraId="14EFADE2">
            <w:pPr>
              <w:pStyle w:val="5"/>
              <w:spacing w:before="15"/>
              <w:ind w:right="30" w:firstLine="468"/>
              <w:jc w:val="left"/>
            </w:pPr>
            <w:r>
              <w:rPr>
                <w:rFonts w:ascii="仿宋_GB2312" w:hAnsi="仿宋_GB2312" w:eastAsia="仿宋_GB2312" w:cs="仿宋_GB2312"/>
                <w:sz w:val="24"/>
              </w:rPr>
              <w:t>（3）数据库定期巡检</w:t>
            </w:r>
          </w:p>
          <w:p w14:paraId="1B83905F">
            <w:pPr>
              <w:pStyle w:val="5"/>
              <w:spacing w:before="30"/>
              <w:ind w:firstLine="472"/>
              <w:jc w:val="left"/>
            </w:pPr>
            <w:r>
              <w:rPr>
                <w:rFonts w:ascii="仿宋_GB2312" w:hAnsi="仿宋_GB2312" w:eastAsia="仿宋_GB2312" w:cs="仿宋_GB2312"/>
                <w:sz w:val="24"/>
              </w:rPr>
              <w:t>定期巡检的主要内容包括：</w:t>
            </w:r>
          </w:p>
          <w:p w14:paraId="7786B672">
            <w:pPr>
              <w:pStyle w:val="5"/>
              <w:spacing w:before="30"/>
              <w:ind w:firstLine="472"/>
              <w:jc w:val="left"/>
            </w:pPr>
            <w:r>
              <w:rPr>
                <w:rFonts w:ascii="仿宋_GB2312" w:hAnsi="仿宋_GB2312" w:eastAsia="仿宋_GB2312" w:cs="仿宋_GB2312"/>
                <w:sz w:val="24"/>
              </w:rPr>
              <w:t>检查数据库基本状况</w:t>
            </w:r>
          </w:p>
          <w:p w14:paraId="5D6E6993">
            <w:pPr>
              <w:pStyle w:val="5"/>
              <w:spacing w:before="30"/>
              <w:ind w:firstLine="472"/>
              <w:jc w:val="left"/>
            </w:pPr>
            <w:r>
              <w:rPr>
                <w:rFonts w:ascii="仿宋_GB2312" w:hAnsi="仿宋_GB2312" w:eastAsia="仿宋_GB2312" w:cs="仿宋_GB2312"/>
                <w:sz w:val="24"/>
              </w:rPr>
              <w:t>检查数据库相关资源的使用情况</w:t>
            </w:r>
          </w:p>
          <w:p w14:paraId="793E56B2">
            <w:pPr>
              <w:pStyle w:val="5"/>
              <w:spacing w:before="30"/>
              <w:ind w:firstLine="472"/>
              <w:jc w:val="left"/>
            </w:pPr>
            <w:r>
              <w:rPr>
                <w:rFonts w:ascii="仿宋_GB2312" w:hAnsi="仿宋_GB2312" w:eastAsia="仿宋_GB2312" w:cs="仿宋_GB2312"/>
                <w:sz w:val="24"/>
              </w:rPr>
              <w:t>检查数据库备份结果</w:t>
            </w:r>
          </w:p>
          <w:p w14:paraId="5668D4CB">
            <w:pPr>
              <w:pStyle w:val="5"/>
              <w:spacing w:before="30"/>
              <w:ind w:firstLine="468"/>
              <w:jc w:val="left"/>
            </w:pPr>
            <w:r>
              <w:rPr>
                <w:rFonts w:ascii="仿宋_GB2312" w:hAnsi="仿宋_GB2312" w:eastAsia="仿宋_GB2312" w:cs="仿宋_GB2312"/>
                <w:sz w:val="24"/>
              </w:rPr>
              <w:t>检查数据库性能</w:t>
            </w:r>
          </w:p>
          <w:p w14:paraId="6FDF281D">
            <w:pPr>
              <w:pStyle w:val="5"/>
              <w:spacing w:before="30"/>
              <w:ind w:firstLine="472"/>
              <w:jc w:val="left"/>
            </w:pPr>
            <w:r>
              <w:rPr>
                <w:rFonts w:ascii="仿宋_GB2312" w:hAnsi="仿宋_GB2312" w:eastAsia="仿宋_GB2312" w:cs="仿宋_GB2312"/>
                <w:sz w:val="24"/>
              </w:rPr>
              <w:t>检查数据库cpu、I/O、内存性能</w:t>
            </w:r>
          </w:p>
          <w:p w14:paraId="3F384E32">
            <w:pPr>
              <w:pStyle w:val="5"/>
              <w:spacing w:before="30"/>
              <w:ind w:firstLine="468"/>
              <w:jc w:val="left"/>
            </w:pPr>
            <w:r>
              <w:rPr>
                <w:rFonts w:ascii="仿宋_GB2312" w:hAnsi="仿宋_GB2312" w:eastAsia="仿宋_GB2312" w:cs="仿宋_GB2312"/>
                <w:sz w:val="24"/>
              </w:rPr>
              <w:t>检查数据库安全性</w:t>
            </w:r>
          </w:p>
          <w:p w14:paraId="3F76B26D">
            <w:pPr>
              <w:pStyle w:val="5"/>
              <w:spacing w:before="30"/>
              <w:ind w:firstLine="460"/>
              <w:jc w:val="left"/>
            </w:pPr>
            <w:r>
              <w:rPr>
                <w:rFonts w:ascii="仿宋_GB2312" w:hAnsi="仿宋_GB2312" w:eastAsia="仿宋_GB2312" w:cs="仿宋_GB2312"/>
                <w:sz w:val="24"/>
              </w:rPr>
              <w:t>其他检查</w:t>
            </w:r>
          </w:p>
          <w:p w14:paraId="407799E6">
            <w:pPr>
              <w:pStyle w:val="5"/>
              <w:ind w:firstLine="468"/>
              <w:jc w:val="left"/>
            </w:pPr>
            <w:r>
              <w:rPr>
                <w:rFonts w:ascii="仿宋_GB2312" w:hAnsi="仿宋_GB2312" w:eastAsia="仿宋_GB2312" w:cs="仿宋_GB2312"/>
                <w:sz w:val="24"/>
              </w:rPr>
              <w:t>（4）数据库故障分析</w:t>
            </w:r>
          </w:p>
          <w:p w14:paraId="58EEF05D">
            <w:pPr>
              <w:pStyle w:val="5"/>
              <w:ind w:firstLine="492"/>
              <w:jc w:val="left"/>
            </w:pPr>
            <w:r>
              <w:rPr>
                <w:rFonts w:ascii="仿宋_GB2312" w:hAnsi="仿宋_GB2312" w:eastAsia="仿宋_GB2312" w:cs="仿宋_GB2312"/>
                <w:sz w:val="24"/>
              </w:rPr>
              <w:t>故障是指在数据库发生故障不能正常运转时维护人员启动数据库应急恢复机制，恢复正常使用，并通过分析日志等途径从根本找到并解决故障。主要包括：</w:t>
            </w:r>
          </w:p>
          <w:p w14:paraId="5674E39E">
            <w:pPr>
              <w:pStyle w:val="5"/>
              <w:spacing w:before="30"/>
              <w:ind w:firstLine="492"/>
              <w:jc w:val="left"/>
            </w:pPr>
            <w:r>
              <w:rPr>
                <w:rFonts w:ascii="仿宋_GB2312" w:hAnsi="仿宋_GB2312" w:eastAsia="仿宋_GB2312" w:cs="仿宋_GB2312"/>
                <w:sz w:val="24"/>
              </w:rPr>
              <w:t>①事务内部的故障：事务内部故障可分为预期的和非预期的，其中大部分的故障都是非预期的。预期的事务内部故障是指可以通过事务程序本身发现的事务内部故障；非预期的事务内部故障是不能由事务程序处理的，如运算溢出故障、并发事务死锁故障、违反了某些完整性限制而导致的故障等。</w:t>
            </w:r>
          </w:p>
          <w:p w14:paraId="194D4BC5">
            <w:pPr>
              <w:pStyle w:val="5"/>
              <w:spacing w:before="30"/>
              <w:ind w:firstLine="492"/>
              <w:jc w:val="left"/>
            </w:pPr>
            <w:r>
              <w:rPr>
                <w:rFonts w:ascii="仿宋_GB2312" w:hAnsi="仿宋_GB2312" w:eastAsia="仿宋_GB2312" w:cs="仿宋_GB2312"/>
                <w:sz w:val="24"/>
              </w:rPr>
              <w:t>②系统故障：系统故障也称为软故障，是指数据库在运行过程中，由于硬件故障、数据库软件及操作系统的漏洞、突然停电等情况，导致系统停止运转，所有正在运行的事务以非正常方式终止，需要系统重新启动的一类故障。这类事务不破坏数据库，但是影响正在运行的所有事务。</w:t>
            </w:r>
          </w:p>
          <w:p w14:paraId="39E1E8C4">
            <w:pPr>
              <w:pStyle w:val="5"/>
              <w:spacing w:before="30"/>
              <w:ind w:firstLine="492"/>
              <w:jc w:val="both"/>
            </w:pPr>
            <w:r>
              <w:rPr>
                <w:rFonts w:ascii="仿宋_GB2312" w:hAnsi="仿宋_GB2312" w:eastAsia="仿宋_GB2312" w:cs="仿宋_GB2312"/>
                <w:sz w:val="24"/>
              </w:rPr>
              <w:t>③介质故障：介质故障也称为硬故障，主要指数据库在运行过程中，由于磁头碰撞、磁盘损坏、强磁干扰、天灾人祸等情况，使得数据库中的数据部分或全部丢失的一类故障。</w:t>
            </w:r>
          </w:p>
          <w:p w14:paraId="365D62C0">
            <w:pPr>
              <w:pStyle w:val="5"/>
              <w:spacing w:before="15"/>
              <w:ind w:firstLine="492"/>
              <w:jc w:val="both"/>
            </w:pPr>
            <w:r>
              <w:rPr>
                <w:rFonts w:ascii="仿宋_GB2312" w:hAnsi="仿宋_GB2312" w:eastAsia="仿宋_GB2312" w:cs="仿宋_GB2312"/>
                <w:sz w:val="24"/>
              </w:rPr>
              <w:t>④计算机病毒故障：计算机病毒故障是一种恶意的计算机程序，它可以像病毒一样繁殖和传播，在对计算机系统造成破坏的同时也可能对数据库系统造成破坏（破坏方式以数据库文件为主）。</w:t>
            </w:r>
          </w:p>
          <w:p w14:paraId="3FC446EA">
            <w:pPr>
              <w:pStyle w:val="5"/>
              <w:spacing w:before="15"/>
              <w:ind w:left="120" w:firstLine="472"/>
              <w:jc w:val="left"/>
            </w:pPr>
            <w:r>
              <w:rPr>
                <w:rFonts w:ascii="仿宋_GB2312" w:hAnsi="仿宋_GB2312" w:eastAsia="仿宋_GB2312" w:cs="仿宋_GB2312"/>
                <w:sz w:val="24"/>
              </w:rPr>
              <w:t>2.数据维护</w:t>
            </w:r>
          </w:p>
          <w:p w14:paraId="2945D508">
            <w:pPr>
              <w:pStyle w:val="5"/>
              <w:spacing w:before="30"/>
              <w:ind w:firstLine="492"/>
              <w:jc w:val="left"/>
            </w:pPr>
            <w:r>
              <w:rPr>
                <w:rFonts w:ascii="仿宋_GB2312" w:hAnsi="仿宋_GB2312" w:eastAsia="仿宋_GB2312" w:cs="仿宋_GB2312"/>
                <w:sz w:val="24"/>
              </w:rPr>
              <w:t>数据维护服务的工作主要包括：数据更新运维、异常数据日常运维、历史错误数据运维和数据安全管理。</w:t>
            </w:r>
          </w:p>
          <w:p w14:paraId="15529580">
            <w:pPr>
              <w:pStyle w:val="5"/>
              <w:spacing w:before="15"/>
              <w:ind w:firstLine="468"/>
              <w:jc w:val="left"/>
            </w:pPr>
            <w:r>
              <w:rPr>
                <w:rFonts w:ascii="仿宋_GB2312" w:hAnsi="仿宋_GB2312" w:eastAsia="仿宋_GB2312" w:cs="仿宋_GB2312"/>
                <w:sz w:val="24"/>
              </w:rPr>
              <w:t>（1）数据更新运维</w:t>
            </w:r>
          </w:p>
          <w:p w14:paraId="0BFEF8EB">
            <w:pPr>
              <w:pStyle w:val="5"/>
              <w:spacing w:before="30"/>
              <w:ind w:firstLine="464"/>
              <w:jc w:val="both"/>
            </w:pPr>
            <w:r>
              <w:rPr>
                <w:rFonts w:ascii="仿宋_GB2312" w:hAnsi="仿宋_GB2312" w:eastAsia="仿宋_GB2312" w:cs="仿宋_GB2312"/>
                <w:sz w:val="24"/>
              </w:rPr>
              <w:t>数据更新包括：数据初始化更新和数据增量更新。</w:t>
            </w:r>
          </w:p>
          <w:p w14:paraId="6B1FB6CD">
            <w:pPr>
              <w:pStyle w:val="5"/>
              <w:spacing w:before="30"/>
              <w:ind w:firstLine="480"/>
              <w:jc w:val="left"/>
            </w:pPr>
            <w:r>
              <w:rPr>
                <w:rFonts w:ascii="仿宋_GB2312" w:hAnsi="仿宋_GB2312" w:eastAsia="仿宋_GB2312" w:cs="仿宋_GB2312"/>
                <w:sz w:val="24"/>
              </w:rPr>
              <w:t>为了保证数据质量，需要lis制定数据质量检查指标，在数据运维过程中做好数据质量检查工作。</w:t>
            </w:r>
          </w:p>
          <w:p w14:paraId="44AC3BF7">
            <w:pPr>
              <w:pStyle w:val="5"/>
              <w:spacing w:before="30"/>
              <w:ind w:firstLine="472"/>
              <w:jc w:val="left"/>
            </w:pPr>
            <w:r>
              <w:rPr>
                <w:rFonts w:ascii="仿宋_GB2312" w:hAnsi="仿宋_GB2312" w:eastAsia="仿宋_GB2312" w:cs="仿宋_GB2312"/>
                <w:sz w:val="24"/>
              </w:rPr>
              <w:t>（2）异常数据日常运维</w:t>
            </w:r>
          </w:p>
          <w:p w14:paraId="6EDD9276">
            <w:pPr>
              <w:pStyle w:val="5"/>
              <w:spacing w:before="30"/>
              <w:ind w:firstLine="476"/>
              <w:jc w:val="left"/>
            </w:pPr>
            <w:r>
              <w:rPr>
                <w:rFonts w:ascii="仿宋_GB2312" w:hAnsi="仿宋_GB2312" w:eastAsia="仿宋_GB2312" w:cs="仿宋_GB2312"/>
                <w:sz w:val="24"/>
              </w:rPr>
              <w:t>①异常数据日常维护流程管理</w:t>
            </w:r>
          </w:p>
          <w:p w14:paraId="67644F61">
            <w:pPr>
              <w:pStyle w:val="5"/>
              <w:spacing w:before="30"/>
              <w:ind w:firstLine="492"/>
              <w:jc w:val="left"/>
            </w:pPr>
            <w:r>
              <w:rPr>
                <w:rFonts w:ascii="仿宋_GB2312" w:hAnsi="仿宋_GB2312" w:eastAsia="仿宋_GB2312" w:cs="仿宋_GB2312"/>
                <w:sz w:val="24"/>
              </w:rPr>
              <w:t>在数据运维过程中出现的异常数据，要及时反馈给提供数据的部门。对不同种类异常要分别给出处理机制，如冷僻字问题，在姓名、地址数据项中存在冷僻字，代表信息库必须能够存储、处理、识别，显示这些冷僻字，并要给出冷僻字处理机制。</w:t>
            </w:r>
          </w:p>
          <w:p w14:paraId="7A57BC37">
            <w:pPr>
              <w:pStyle w:val="5"/>
              <w:spacing w:before="30"/>
              <w:ind w:firstLine="476"/>
              <w:jc w:val="left"/>
            </w:pPr>
            <w:r>
              <w:rPr>
                <w:rFonts w:ascii="仿宋_GB2312" w:hAnsi="仿宋_GB2312" w:eastAsia="仿宋_GB2312" w:cs="仿宋_GB2312"/>
                <w:sz w:val="24"/>
              </w:rPr>
              <w:t>②异常数据日常维护报告</w:t>
            </w:r>
          </w:p>
          <w:p w14:paraId="45365A83">
            <w:pPr>
              <w:pStyle w:val="5"/>
              <w:spacing w:before="30"/>
              <w:ind w:firstLine="492"/>
              <w:jc w:val="left"/>
            </w:pPr>
            <w:r>
              <w:rPr>
                <w:rFonts w:ascii="仿宋_GB2312" w:hAnsi="仿宋_GB2312" w:eastAsia="仿宋_GB2312" w:cs="仿宋_GB2312"/>
                <w:sz w:val="24"/>
              </w:rPr>
              <w:t>定期发布异常数据日常维护报告，实现对异常数据日常维护工作的记录和跟踪。</w:t>
            </w:r>
          </w:p>
          <w:p w14:paraId="6E179054">
            <w:pPr>
              <w:pStyle w:val="5"/>
              <w:spacing w:before="30"/>
              <w:ind w:firstLine="472"/>
              <w:jc w:val="left"/>
            </w:pPr>
            <w:r>
              <w:rPr>
                <w:rFonts w:ascii="仿宋_GB2312" w:hAnsi="仿宋_GB2312" w:eastAsia="仿宋_GB2312" w:cs="仿宋_GB2312"/>
                <w:sz w:val="24"/>
              </w:rPr>
              <w:t>（3）历史错误数据运维</w:t>
            </w:r>
          </w:p>
          <w:p w14:paraId="1FD0F04D">
            <w:pPr>
              <w:pStyle w:val="5"/>
              <w:spacing w:before="15"/>
              <w:ind w:firstLine="492"/>
              <w:jc w:val="left"/>
            </w:pPr>
            <w:r>
              <w:rPr>
                <w:rFonts w:ascii="仿宋_GB2312" w:hAnsi="仿宋_GB2312" w:eastAsia="仿宋_GB2312" w:cs="仿宋_GB2312"/>
                <w:sz w:val="24"/>
              </w:rPr>
              <w:t>制定历史错误数据维护计划和维护流程，通过数据比对、数据校验、格式转换和数据清洗对历史错误数据进行维护，并定期发布历史错误数据维护报告，实现对历史错误数据的有效监控和管理。</w:t>
            </w:r>
          </w:p>
          <w:p w14:paraId="23786CAC">
            <w:pPr>
              <w:pStyle w:val="5"/>
              <w:spacing w:before="15"/>
              <w:ind w:firstLine="468"/>
              <w:jc w:val="left"/>
            </w:pPr>
            <w:r>
              <w:rPr>
                <w:rFonts w:ascii="仿宋_GB2312" w:hAnsi="仿宋_GB2312" w:eastAsia="仿宋_GB2312" w:cs="仿宋_GB2312"/>
                <w:sz w:val="24"/>
              </w:rPr>
              <w:t>（4）数据共享运维</w:t>
            </w:r>
          </w:p>
          <w:p w14:paraId="45256C1C">
            <w:pPr>
              <w:pStyle w:val="5"/>
              <w:spacing w:before="30"/>
              <w:ind w:firstLine="480"/>
              <w:jc w:val="left"/>
            </w:pPr>
            <w:r>
              <w:rPr>
                <w:rFonts w:ascii="仿宋_GB2312" w:hAnsi="仿宋_GB2312" w:eastAsia="仿宋_GB2312" w:cs="仿宋_GB2312"/>
                <w:sz w:val="24"/>
              </w:rPr>
              <w:t>根据数据共享资源目录，对共享数据进行维护，保证共享数据的及时性、准确性和有效性。</w:t>
            </w:r>
          </w:p>
          <w:p w14:paraId="1CDBBEFC">
            <w:pPr>
              <w:pStyle w:val="5"/>
              <w:spacing w:before="30"/>
              <w:ind w:firstLine="468"/>
              <w:jc w:val="left"/>
            </w:pPr>
            <w:r>
              <w:rPr>
                <w:rFonts w:ascii="仿宋_GB2312" w:hAnsi="仿宋_GB2312" w:eastAsia="仿宋_GB2312" w:cs="仿宋_GB2312"/>
                <w:sz w:val="24"/>
              </w:rPr>
              <w:t>（5）数据安全运维</w:t>
            </w:r>
          </w:p>
          <w:p w14:paraId="25944E22">
            <w:pPr>
              <w:pStyle w:val="5"/>
              <w:spacing w:before="30"/>
              <w:ind w:firstLine="472"/>
              <w:jc w:val="left"/>
            </w:pPr>
            <w:r>
              <w:rPr>
                <w:rFonts w:ascii="仿宋_GB2312" w:hAnsi="仿宋_GB2312" w:eastAsia="仿宋_GB2312" w:cs="仿宋_GB2312"/>
                <w:sz w:val="24"/>
              </w:rPr>
              <w:t>①数据访问控制</w:t>
            </w:r>
          </w:p>
          <w:p w14:paraId="67D40FCA">
            <w:pPr>
              <w:pStyle w:val="5"/>
              <w:spacing w:before="30"/>
              <w:ind w:firstLine="492"/>
              <w:jc w:val="left"/>
            </w:pPr>
            <w:r>
              <w:rPr>
                <w:rFonts w:ascii="仿宋_GB2312" w:hAnsi="仿宋_GB2312" w:eastAsia="仿宋_GB2312" w:cs="仿宋_GB2312"/>
                <w:sz w:val="24"/>
              </w:rPr>
              <w:t>制定数据访问控制策略、访问权限控制策略、非授权访问处理策略，防止未经授权的数据访问、修改、移动、删除、毁损等。</w:t>
            </w:r>
          </w:p>
          <w:p w14:paraId="1231C82B">
            <w:pPr>
              <w:pStyle w:val="5"/>
              <w:ind w:firstLine="492"/>
              <w:jc w:val="both"/>
            </w:pPr>
            <w:r>
              <w:rPr>
                <w:rFonts w:ascii="仿宋_GB2312" w:hAnsi="仿宋_GB2312" w:eastAsia="仿宋_GB2312" w:cs="仿宋_GB2312"/>
                <w:sz w:val="24"/>
              </w:rPr>
              <w:t>根据对审批后的数据库使用者进行用户管理和权限分配，认真细致地制定用户权限分配方案，对于不再使用的用户要及时清理。</w:t>
            </w:r>
          </w:p>
          <w:p w14:paraId="16F17E6D">
            <w:pPr>
              <w:pStyle w:val="5"/>
              <w:spacing w:before="30"/>
              <w:ind w:firstLine="476"/>
              <w:jc w:val="left"/>
            </w:pPr>
            <w:r>
              <w:rPr>
                <w:rFonts w:ascii="仿宋_GB2312" w:hAnsi="仿宋_GB2312" w:eastAsia="仿宋_GB2312" w:cs="仿宋_GB2312"/>
                <w:sz w:val="24"/>
              </w:rPr>
              <w:t>②数据备份和恢复</w:t>
            </w:r>
          </w:p>
          <w:p w14:paraId="1887E4C5">
            <w:pPr>
              <w:pStyle w:val="5"/>
              <w:spacing w:before="30"/>
              <w:ind w:firstLine="492"/>
              <w:jc w:val="left"/>
            </w:pPr>
            <w:r>
              <w:rPr>
                <w:rFonts w:ascii="仿宋_GB2312" w:hAnsi="仿宋_GB2312" w:eastAsia="仿宋_GB2312" w:cs="仿宋_GB2312"/>
                <w:sz w:val="24"/>
              </w:rPr>
              <w:t>提供数据备份和数据恢复服务，严格执行和控制数据的备份、恢复、转出、转入的权限。</w:t>
            </w:r>
          </w:p>
          <w:p w14:paraId="3D570739">
            <w:pPr>
              <w:pStyle w:val="5"/>
              <w:ind w:firstLine="472"/>
              <w:jc w:val="left"/>
            </w:pPr>
            <w:r>
              <w:rPr>
                <w:rFonts w:ascii="仿宋_GB2312" w:hAnsi="仿宋_GB2312" w:eastAsia="仿宋_GB2312" w:cs="仿宋_GB2312"/>
                <w:sz w:val="24"/>
              </w:rPr>
              <w:t>③数据介质管理</w:t>
            </w:r>
          </w:p>
          <w:p w14:paraId="2663E1A7">
            <w:pPr>
              <w:pStyle w:val="5"/>
              <w:ind w:firstLine="492"/>
              <w:jc w:val="left"/>
            </w:pPr>
            <w:r>
              <w:rPr>
                <w:rFonts w:ascii="仿宋_GB2312" w:hAnsi="仿宋_GB2312" w:eastAsia="仿宋_GB2312" w:cs="仿宋_GB2312"/>
                <w:sz w:val="24"/>
              </w:rPr>
              <w:t>制定数据介质管理、权限策略，制定数据介质泄露的处理策略，明确责任，保证数据的安全。</w:t>
            </w:r>
          </w:p>
          <w:p w14:paraId="232D2A69">
            <w:pPr>
              <w:pStyle w:val="5"/>
              <w:spacing w:before="30"/>
              <w:ind w:firstLine="472"/>
              <w:jc w:val="left"/>
            </w:pPr>
            <w:r>
              <w:rPr>
                <w:rFonts w:ascii="仿宋_GB2312" w:hAnsi="仿宋_GB2312" w:eastAsia="仿宋_GB2312" w:cs="仿宋_GB2312"/>
                <w:sz w:val="24"/>
              </w:rPr>
              <w:t>④数据存储管理</w:t>
            </w:r>
          </w:p>
          <w:p w14:paraId="35D0E74C">
            <w:pPr>
              <w:pStyle w:val="5"/>
              <w:spacing w:before="30"/>
              <w:ind w:firstLine="492"/>
              <w:jc w:val="left"/>
            </w:pPr>
            <w:r>
              <w:rPr>
                <w:rFonts w:ascii="仿宋_GB2312" w:hAnsi="仿宋_GB2312" w:eastAsia="仿宋_GB2312" w:cs="仿宋_GB2312"/>
                <w:sz w:val="24"/>
              </w:rPr>
              <w:t>制定数据存储策略，评估数据存储的安全性，保证数据存储的完整性、可靠性。</w:t>
            </w:r>
          </w:p>
          <w:p w14:paraId="2A3941D7">
            <w:pPr>
              <w:pStyle w:val="5"/>
              <w:spacing w:before="30"/>
              <w:ind w:firstLine="472"/>
              <w:jc w:val="left"/>
            </w:pPr>
            <w:r>
              <w:rPr>
                <w:rFonts w:ascii="仿宋_GB2312" w:hAnsi="仿宋_GB2312" w:eastAsia="仿宋_GB2312" w:cs="仿宋_GB2312"/>
                <w:sz w:val="24"/>
              </w:rPr>
              <w:t>⑤日志管理机制</w:t>
            </w:r>
          </w:p>
          <w:p w14:paraId="56FB2C48">
            <w:pPr>
              <w:pStyle w:val="5"/>
              <w:spacing w:before="30"/>
              <w:ind w:firstLine="492"/>
              <w:jc w:val="left"/>
            </w:pPr>
            <w:r>
              <w:rPr>
                <w:rFonts w:ascii="仿宋_GB2312" w:hAnsi="仿宋_GB2312" w:eastAsia="仿宋_GB2312" w:cs="仿宋_GB2312"/>
                <w:sz w:val="24"/>
              </w:rPr>
              <w:t>按照标准的流程进行日常数据库操作和维护，记载操作和维护管理日志并定期审计归档，数据库维护的记录能够跟踪、查找、监测，在数据库中建立数据操作的跟踪、审计功能。</w:t>
            </w:r>
          </w:p>
          <w:p w14:paraId="114B03E5">
            <w:pPr>
              <w:pStyle w:val="5"/>
              <w:spacing w:before="30"/>
              <w:ind w:firstLine="472"/>
              <w:jc w:val="left"/>
            </w:pPr>
            <w:r>
              <w:rPr>
                <w:rFonts w:ascii="仿宋_GB2312" w:hAnsi="仿宋_GB2312" w:eastAsia="仿宋_GB2312" w:cs="仿宋_GB2312"/>
                <w:sz w:val="24"/>
              </w:rPr>
              <w:t>3.数据源头治理</w:t>
            </w:r>
          </w:p>
          <w:p w14:paraId="33E7890C">
            <w:pPr>
              <w:pStyle w:val="5"/>
              <w:spacing w:before="30"/>
              <w:ind w:firstLine="468"/>
              <w:jc w:val="left"/>
            </w:pPr>
            <w:r>
              <w:rPr>
                <w:rFonts w:ascii="仿宋_GB2312" w:hAnsi="仿宋_GB2312" w:eastAsia="仿宋_GB2312" w:cs="仿宋_GB2312"/>
                <w:sz w:val="24"/>
              </w:rPr>
              <w:t>（1）数据清洗</w:t>
            </w:r>
          </w:p>
          <w:p w14:paraId="1187D739">
            <w:pPr>
              <w:pStyle w:val="5"/>
              <w:ind w:firstLine="492"/>
              <w:jc w:val="left"/>
            </w:pPr>
            <w:r>
              <w:rPr>
                <w:rFonts w:ascii="仿宋_GB2312" w:hAnsi="仿宋_GB2312" w:eastAsia="仿宋_GB2312" w:cs="仿宋_GB2312"/>
                <w:sz w:val="24"/>
              </w:rPr>
              <w:t>供应商运维团队负责制定数据清洗规则和流程，运用专业工具和算法识别并处理脏数据、重复数据等，确保清洗后的数据符合业务分析需求。</w:t>
            </w:r>
          </w:p>
          <w:p w14:paraId="3890E9DD">
            <w:pPr>
              <w:pStyle w:val="5"/>
              <w:spacing w:before="30"/>
              <w:ind w:firstLine="468"/>
              <w:jc w:val="left"/>
            </w:pPr>
            <w:r>
              <w:rPr>
                <w:rFonts w:ascii="仿宋_GB2312" w:hAnsi="仿宋_GB2312" w:eastAsia="仿宋_GB2312" w:cs="仿宋_GB2312"/>
                <w:sz w:val="24"/>
              </w:rPr>
              <w:t>（2）数据巡检</w:t>
            </w:r>
          </w:p>
          <w:p w14:paraId="3C3F13E5">
            <w:pPr>
              <w:pStyle w:val="5"/>
              <w:ind w:firstLine="492"/>
              <w:jc w:val="left"/>
            </w:pPr>
            <w:r>
              <w:rPr>
                <w:rFonts w:ascii="仿宋_GB2312" w:hAnsi="仿宋_GB2312" w:eastAsia="仿宋_GB2312" w:cs="仿宋_GB2312"/>
                <w:sz w:val="24"/>
              </w:rPr>
              <w:t>供应商运维团队定期进行数据库层面的巡检，监测数据存储状态、性能指标等；业务团队负责从业务角度检查数据的准确性、完整性，如发现异常及时反馈给运维团队。</w:t>
            </w:r>
          </w:p>
          <w:p w14:paraId="21241E46">
            <w:pPr>
              <w:pStyle w:val="5"/>
              <w:spacing w:before="30"/>
              <w:ind w:firstLine="472"/>
              <w:jc w:val="left"/>
            </w:pPr>
            <w:r>
              <w:rPr>
                <w:rFonts w:ascii="仿宋_GB2312" w:hAnsi="仿宋_GB2312" w:eastAsia="仿宋_GB2312" w:cs="仿宋_GB2312"/>
                <w:sz w:val="24"/>
              </w:rPr>
              <w:t>（3）数据质量评估优化</w:t>
            </w:r>
          </w:p>
          <w:p w14:paraId="2E837745">
            <w:pPr>
              <w:pStyle w:val="5"/>
              <w:ind w:firstLine="492"/>
              <w:jc w:val="left"/>
            </w:pPr>
            <w:r>
              <w:rPr>
                <w:rFonts w:ascii="仿宋_GB2312" w:hAnsi="仿宋_GB2312" w:eastAsia="仿宋_GB2312" w:cs="仿宋_GB2312"/>
                <w:sz w:val="24"/>
              </w:rPr>
              <w:t>建立多维度评估指标体系，包括准确性（数据与实际业务情况的符合程度）、完整性（数据记录和字段是否缺失）、一致性（不同数据源数据的统一程度）、及时性（数据更新的频率是否满足业务需求）。</w:t>
            </w:r>
          </w:p>
          <w:p w14:paraId="5B06E665">
            <w:pPr>
              <w:pStyle w:val="5"/>
              <w:ind w:firstLine="472"/>
              <w:jc w:val="left"/>
            </w:pPr>
            <w:r>
              <w:rPr>
                <w:rFonts w:ascii="仿宋_GB2312" w:hAnsi="仿宋_GB2312" w:eastAsia="仿宋_GB2312" w:cs="仿宋_GB2312"/>
                <w:sz w:val="24"/>
              </w:rPr>
              <w:t>（4）数据库备份策略优化</w:t>
            </w:r>
          </w:p>
          <w:p w14:paraId="073B90DA">
            <w:pPr>
              <w:pStyle w:val="5"/>
              <w:spacing w:before="30"/>
              <w:ind w:firstLine="492"/>
              <w:jc w:val="left"/>
            </w:pPr>
            <w:r>
              <w:rPr>
                <w:rFonts w:ascii="仿宋_GB2312" w:hAnsi="仿宋_GB2312" w:eastAsia="仿宋_GB2312" w:cs="仿宋_GB2312"/>
                <w:sz w:val="24"/>
              </w:rPr>
              <w:t>制定差异化备份策略，根据数据的重要性和业务对数据恢复时间的要求，将数据划分为不同级别，对关键业务数据采用全量备份与增量备份结合的方式，高频次备份；对一般性数据适当降低备份频率。</w:t>
            </w:r>
          </w:p>
          <w:p w14:paraId="06E7AFCE">
            <w:pPr>
              <w:pStyle w:val="5"/>
              <w:ind w:firstLine="476"/>
              <w:jc w:val="both"/>
            </w:pPr>
            <w:r>
              <w:rPr>
                <w:rFonts w:ascii="仿宋_GB2312" w:hAnsi="仿宋_GB2312" w:eastAsia="仿宋_GB2312" w:cs="仿宋_GB2312"/>
                <w:sz w:val="24"/>
              </w:rPr>
              <w:t>定期进行备份数据的恢复测试，确保备份数据的可用性，根据测试结果及时调整备份策略，同时完善备份数据的存储和管理，保障数据安全。</w:t>
            </w:r>
          </w:p>
          <w:p w14:paraId="5860E5EC">
            <w:pPr>
              <w:pStyle w:val="5"/>
              <w:ind w:firstLine="472"/>
              <w:jc w:val="left"/>
            </w:pPr>
            <w:r>
              <w:rPr>
                <w:rFonts w:ascii="仿宋_GB2312" w:hAnsi="仿宋_GB2312" w:eastAsia="仿宋_GB2312" w:cs="仿宋_GB2312"/>
                <w:sz w:val="24"/>
              </w:rPr>
              <w:t>（三）应用平台数据运营服务</w:t>
            </w:r>
          </w:p>
          <w:p w14:paraId="5B5E470B">
            <w:pPr>
              <w:pStyle w:val="5"/>
              <w:ind w:firstLine="472"/>
              <w:jc w:val="left"/>
            </w:pPr>
            <w:r>
              <w:rPr>
                <w:rFonts w:ascii="仿宋_GB2312" w:hAnsi="仿宋_GB2312" w:eastAsia="仿宋_GB2312" w:cs="仿宋_GB2312"/>
                <w:sz w:val="24"/>
              </w:rPr>
              <w:t>1.数据汇聚管理</w:t>
            </w:r>
          </w:p>
          <w:p w14:paraId="12B1066A">
            <w:pPr>
              <w:pStyle w:val="5"/>
              <w:ind w:firstLine="476"/>
              <w:jc w:val="both"/>
            </w:pPr>
            <w:r>
              <w:rPr>
                <w:rFonts w:ascii="仿宋_GB2312" w:hAnsi="仿宋_GB2312" w:eastAsia="仿宋_GB2312" w:cs="仿宋_GB2312"/>
                <w:sz w:val="24"/>
              </w:rPr>
              <w:t>（1）数据源管理：数据源识别，确定需要汇聚的数据来源（如数据库、API、文件、日志、IoT设备等）；数据源分类，结构化数据（数据库表）、半结构化数据（JSON/XML）、非结构化数据（文本、图片、视频）；数据源元数据管理，记录数据源的基本信息（如数据格式、更新频率、所有者等）。</w:t>
            </w:r>
          </w:p>
          <w:p w14:paraId="424DF5F7">
            <w:pPr>
              <w:pStyle w:val="5"/>
              <w:ind w:firstLine="476"/>
              <w:jc w:val="both"/>
            </w:pPr>
            <w:r>
              <w:rPr>
                <w:rFonts w:ascii="仿宋_GB2312" w:hAnsi="仿宋_GB2312" w:eastAsia="仿宋_GB2312" w:cs="仿宋_GB2312"/>
                <w:sz w:val="24"/>
              </w:rPr>
              <w:t>（2）数据采集与接入：批量采集（ETL/ELT），定时或周期性地抽取数据（如每日同步）；实时/流式采集（CDC/Kafka/Flink），实时捕获数据变化（如日志、交易数据）；API调用，通过REST、GraphQL等接口获取数据；文件导入：CSV、Excel、JSON等文件的数据加载。数据接入协议：支持JDBC、ODBC、HTTP、MQTT等不同协议的数据接入。</w:t>
            </w:r>
          </w:p>
          <w:p w14:paraId="7023E211">
            <w:pPr>
              <w:pStyle w:val="5"/>
              <w:ind w:right="15" w:firstLine="476"/>
              <w:jc w:val="both"/>
            </w:pPr>
            <w:r>
              <w:rPr>
                <w:rFonts w:ascii="仿宋_GB2312" w:hAnsi="仿宋_GB2312" w:eastAsia="仿宋_GB2312" w:cs="仿宋_GB2312"/>
                <w:sz w:val="24"/>
              </w:rPr>
              <w:t>（3）数据清洗与转换：数据清洗，去重（消除重复数据）、缺失值处理（填充或剔除）、异常值检测与修正、数据标准化（如日期格式、单位统一）等；数据转换，数据格式转换（JSON→Parquet、CSV→数据库表）、数据聚合（如按时间、地区汇总统计）、数据脱敏（如姓名、手机号加密）等。</w:t>
            </w:r>
          </w:p>
          <w:p w14:paraId="69675557">
            <w:pPr>
              <w:pStyle w:val="5"/>
              <w:ind w:firstLine="476"/>
              <w:jc w:val="both"/>
            </w:pPr>
            <w:r>
              <w:rPr>
                <w:rFonts w:ascii="仿宋_GB2312" w:hAnsi="仿宋_GB2312" w:eastAsia="仿宋_GB2312" w:cs="仿宋_GB2312"/>
                <w:sz w:val="24"/>
              </w:rPr>
              <w:t>（4）数据存储与管理：存储架构，数据湖（存储原始数据，如HDFS、S3）、数据仓库（结构化存储，如Snowflake、BigQuery）、数据湖仓一体化（如Delta Lake、Databricks）；数据分区与索引，优化查询性能（如按时间、业务分区）；数据版本管理，支持数据快照、历史回溯。</w:t>
            </w:r>
          </w:p>
          <w:p w14:paraId="65B291D0">
            <w:pPr>
              <w:pStyle w:val="5"/>
              <w:ind w:firstLine="476"/>
              <w:jc w:val="both"/>
            </w:pPr>
            <w:r>
              <w:rPr>
                <w:rFonts w:ascii="仿宋_GB2312" w:hAnsi="仿宋_GB2312" w:eastAsia="仿宋_GB2312" w:cs="仿宋_GB2312"/>
                <w:sz w:val="24"/>
              </w:rPr>
              <w:t>（5）数据集成与融合：数据关联，通过主键、外键关联不同来源的数据；数据融合，合并多源数据（如客户信息整合）；数据冲突解决，处理不同来源的数据不一致问题（如取最新值或业务规则优先）等。</w:t>
            </w:r>
          </w:p>
          <w:p w14:paraId="551057DC">
            <w:pPr>
              <w:pStyle w:val="5"/>
              <w:ind w:firstLine="472"/>
              <w:jc w:val="left"/>
            </w:pPr>
            <w:r>
              <w:rPr>
                <w:rFonts w:ascii="仿宋_GB2312" w:hAnsi="仿宋_GB2312" w:eastAsia="仿宋_GB2312" w:cs="仿宋_GB2312"/>
                <w:sz w:val="24"/>
              </w:rPr>
              <w:t>2.数据质量管理</w:t>
            </w:r>
          </w:p>
          <w:p w14:paraId="7FF291C3">
            <w:pPr>
              <w:pStyle w:val="5"/>
              <w:ind w:right="15" w:firstLine="476"/>
              <w:jc w:val="both"/>
            </w:pPr>
            <w:r>
              <w:rPr>
                <w:rFonts w:ascii="仿宋_GB2312" w:hAnsi="仿宋_GB2312" w:eastAsia="仿宋_GB2312" w:cs="仿宋_GB2312"/>
                <w:sz w:val="24"/>
              </w:rPr>
              <w:t>（1）数据准确性验证：通过规则校验、逻辑判断和人工复核确保数据真实反映客观事实，如数值范围检查、格式校验等，消除错误或异常值。</w:t>
            </w:r>
          </w:p>
          <w:p w14:paraId="4C021C86">
            <w:pPr>
              <w:pStyle w:val="5"/>
              <w:ind w:right="15" w:firstLine="476"/>
              <w:jc w:val="both"/>
            </w:pPr>
            <w:r>
              <w:rPr>
                <w:rFonts w:ascii="仿宋_GB2312" w:hAnsi="仿宋_GB2312" w:eastAsia="仿宋_GB2312" w:cs="仿宋_GB2312"/>
                <w:sz w:val="24"/>
              </w:rPr>
              <w:t>（2）数据完整性检查：确保数据无缺失，包括字段非空校验、必填项审查和关联数据完整性验证，避免因遗漏影响分析结果。</w:t>
            </w:r>
          </w:p>
          <w:p w14:paraId="35DA753D">
            <w:pPr>
              <w:pStyle w:val="5"/>
              <w:ind w:right="15" w:firstLine="476"/>
              <w:jc w:val="both"/>
            </w:pPr>
            <w:r>
              <w:rPr>
                <w:rFonts w:ascii="仿宋_GB2312" w:hAnsi="仿宋_GB2312" w:eastAsia="仿宋_GB2312" w:cs="仿宋_GB2312"/>
                <w:sz w:val="24"/>
              </w:rPr>
              <w:t>（3）数据一致性维护：保障数据在不同系统或场景中逻辑一致，如代码统一、时间格式标准化，并通过定期比对消除矛盾。</w:t>
            </w:r>
          </w:p>
          <w:p w14:paraId="7B072BB7">
            <w:pPr>
              <w:pStyle w:val="5"/>
              <w:ind w:right="15" w:firstLine="476"/>
              <w:jc w:val="both"/>
            </w:pPr>
            <w:r>
              <w:rPr>
                <w:rFonts w:ascii="仿宋_GB2312" w:hAnsi="仿宋_GB2312" w:eastAsia="仿宋_GB2312" w:cs="仿宋_GB2312"/>
                <w:sz w:val="24"/>
              </w:rPr>
              <w:t>（4）数据时效性管理：监控数据更新频率，设置有效期标签，及时清理过期数据，确保信息与实际业务状态同步。</w:t>
            </w:r>
          </w:p>
          <w:p w14:paraId="2BC8F3D1">
            <w:pPr>
              <w:pStyle w:val="5"/>
              <w:ind w:right="15" w:firstLine="476"/>
              <w:jc w:val="both"/>
            </w:pPr>
            <w:r>
              <w:rPr>
                <w:rFonts w:ascii="仿宋_GB2312" w:hAnsi="仿宋_GB2312" w:eastAsia="仿宋_GB2312" w:cs="仿宋_GB2312"/>
                <w:sz w:val="24"/>
              </w:rPr>
              <w:t>（5）数据唯一性控制：通过主键约束、去重规则和唯一索引避免重复记录，如身份证号等关键字段的唯一性校验。</w:t>
            </w:r>
          </w:p>
          <w:p w14:paraId="63475EAF">
            <w:pPr>
              <w:pStyle w:val="5"/>
              <w:ind w:firstLine="472"/>
              <w:jc w:val="left"/>
            </w:pPr>
            <w:r>
              <w:rPr>
                <w:rFonts w:ascii="仿宋_GB2312" w:hAnsi="仿宋_GB2312" w:eastAsia="仿宋_GB2312" w:cs="仿宋_GB2312"/>
                <w:sz w:val="24"/>
              </w:rPr>
              <w:t>3.数据架构管理</w:t>
            </w:r>
          </w:p>
          <w:p w14:paraId="0B5D8A73">
            <w:pPr>
              <w:pStyle w:val="5"/>
              <w:ind w:right="15" w:firstLine="476"/>
              <w:jc w:val="both"/>
            </w:pPr>
            <w:r>
              <w:rPr>
                <w:rFonts w:ascii="仿宋_GB2312" w:hAnsi="仿宋_GB2312" w:eastAsia="仿宋_GB2312" w:cs="仿宋_GB2312"/>
                <w:sz w:val="24"/>
              </w:rPr>
              <w:t>（1）数据模型设计：定义数据结构、关系及约束，包括概念模型（业务视角）、逻辑模型（规则定义）和物理模型（存储实现），确保数据组织合理。</w:t>
            </w:r>
          </w:p>
          <w:p w14:paraId="533DF9ED">
            <w:pPr>
              <w:pStyle w:val="5"/>
              <w:ind w:right="15" w:firstLine="476"/>
              <w:jc w:val="both"/>
            </w:pPr>
            <w:r>
              <w:rPr>
                <w:rFonts w:ascii="仿宋_GB2312" w:hAnsi="仿宋_GB2312" w:eastAsia="仿宋_GB2312" w:cs="仿宋_GB2312"/>
                <w:sz w:val="24"/>
              </w:rPr>
              <w:t>（2）数据存储架构：规划数据存储方式（如关系型/非关系型数据库、数据湖/仓）、分层策略（ODS/DWD/DWS）及扩展性设计，优化读写性能与成本。</w:t>
            </w:r>
          </w:p>
          <w:p w14:paraId="5E264379">
            <w:pPr>
              <w:pStyle w:val="5"/>
              <w:ind w:right="15" w:firstLine="476"/>
              <w:jc w:val="both"/>
            </w:pPr>
            <w:r>
              <w:rPr>
                <w:rFonts w:ascii="仿宋_GB2312" w:hAnsi="仿宋_GB2312" w:eastAsia="仿宋_GB2312" w:cs="仿宋_GB2312"/>
                <w:sz w:val="24"/>
              </w:rPr>
              <w:t>（3）数据流设计：明确数据从采集、加工到应用的流动路径，设计实时/批量传输机制（如ETL、消息队列），保障高效可靠的数据流转。</w:t>
            </w:r>
          </w:p>
          <w:p w14:paraId="45AE3B04">
            <w:pPr>
              <w:pStyle w:val="5"/>
              <w:ind w:right="15" w:firstLine="476"/>
              <w:jc w:val="both"/>
            </w:pPr>
            <w:r>
              <w:rPr>
                <w:rFonts w:ascii="仿宋_GB2312" w:hAnsi="仿宋_GB2312" w:eastAsia="仿宋_GB2312" w:cs="仿宋_GB2312"/>
                <w:sz w:val="24"/>
              </w:rPr>
              <w:t>（4）数据集成方案：制定跨系统数据融合策略，包括接口规范、清洗转换规则及统一调度工具，消除信息孤岛。</w:t>
            </w:r>
          </w:p>
          <w:p w14:paraId="0098C18C">
            <w:pPr>
              <w:pStyle w:val="5"/>
              <w:ind w:right="15" w:firstLine="476"/>
              <w:jc w:val="both"/>
            </w:pPr>
            <w:r>
              <w:rPr>
                <w:rFonts w:ascii="仿宋_GB2312" w:hAnsi="仿宋_GB2312" w:eastAsia="仿宋_GB2312" w:cs="仿宋_GB2312"/>
                <w:sz w:val="24"/>
              </w:rPr>
              <w:t>（5）主数据管理：统一核心业务实体的标准、编码及生命周期，确保关键数据权威一致。</w:t>
            </w:r>
          </w:p>
          <w:p w14:paraId="77BBAED0">
            <w:pPr>
              <w:pStyle w:val="5"/>
              <w:ind w:firstLine="472"/>
              <w:jc w:val="left"/>
            </w:pPr>
            <w:r>
              <w:rPr>
                <w:rFonts w:ascii="仿宋_GB2312" w:hAnsi="仿宋_GB2312" w:eastAsia="仿宋_GB2312" w:cs="仿宋_GB2312"/>
                <w:sz w:val="24"/>
              </w:rPr>
              <w:t>4.元数据管理</w:t>
            </w:r>
          </w:p>
          <w:p w14:paraId="12DE0C5B">
            <w:pPr>
              <w:pStyle w:val="5"/>
              <w:ind w:right="15" w:firstLine="476"/>
              <w:jc w:val="both"/>
            </w:pPr>
            <w:r>
              <w:rPr>
                <w:rFonts w:ascii="仿宋_GB2312" w:hAnsi="仿宋_GB2312" w:eastAsia="仿宋_GB2312" w:cs="仿宋_GB2312"/>
                <w:sz w:val="24"/>
              </w:rPr>
              <w:t>（1）业务元数据管理：定义业务术语、指标口径和数据含义，确保业务人员准确理解数据，如数据字典、业务规则说明等，支撑业务决策。</w:t>
            </w:r>
          </w:p>
          <w:p w14:paraId="7BC6168D">
            <w:pPr>
              <w:pStyle w:val="5"/>
              <w:ind w:right="15" w:firstLine="476"/>
              <w:jc w:val="both"/>
            </w:pPr>
            <w:r>
              <w:rPr>
                <w:rFonts w:ascii="仿宋_GB2312" w:hAnsi="仿宋_GB2312" w:eastAsia="仿宋_GB2312" w:cs="仿宋_GB2312"/>
                <w:sz w:val="24"/>
              </w:rPr>
              <w:t>（2）技术元数据管理：管理数据结构、字段类型、数据源等底层技术信息，包括表结构、ETL作业依赖关系，便于系统开发和维护。</w:t>
            </w:r>
          </w:p>
          <w:p w14:paraId="56907277">
            <w:pPr>
              <w:pStyle w:val="5"/>
              <w:ind w:right="15" w:firstLine="476"/>
              <w:jc w:val="both"/>
            </w:pPr>
            <w:r>
              <w:rPr>
                <w:rFonts w:ascii="仿宋_GB2312" w:hAnsi="仿宋_GB2312" w:eastAsia="仿宋_GB2312" w:cs="仿宋_GB2312"/>
                <w:sz w:val="24"/>
              </w:rPr>
              <w:t>（3）操作元数据管理：记录数据处理过程信息，如作业执行日志、数据更新时间、访问权限等，用于监控和审计数据操作行为。</w:t>
            </w:r>
          </w:p>
          <w:p w14:paraId="2DDBB285">
            <w:pPr>
              <w:pStyle w:val="5"/>
              <w:ind w:right="15" w:firstLine="476"/>
              <w:jc w:val="both"/>
            </w:pPr>
            <w:r>
              <w:rPr>
                <w:rFonts w:ascii="仿宋_GB2312" w:hAnsi="仿宋_GB2312" w:eastAsia="仿宋_GB2312" w:cs="仿宋_GB2312"/>
                <w:sz w:val="24"/>
              </w:rPr>
              <w:t>（4）元数据采集与维护：通过自动化工具采集元数据（如ETL任务），建立更新机制，确保元数据与实际数据一致。</w:t>
            </w:r>
          </w:p>
          <w:p w14:paraId="6ECD7178">
            <w:pPr>
              <w:pStyle w:val="5"/>
              <w:ind w:right="15" w:firstLine="476"/>
              <w:jc w:val="both"/>
            </w:pPr>
            <w:r>
              <w:rPr>
                <w:rFonts w:ascii="仿宋_GB2312" w:hAnsi="仿宋_GB2312" w:eastAsia="仿宋_GB2312" w:cs="仿宋_GB2312"/>
                <w:sz w:val="24"/>
              </w:rPr>
              <w:t>（5）元数据应用：支持数据血缘分析、影响评估、智能检索等场景，提升数据可追溯性和利用率，辅助数据治理与数据分析。</w:t>
            </w:r>
          </w:p>
          <w:p w14:paraId="09CABD43">
            <w:pPr>
              <w:pStyle w:val="5"/>
              <w:ind w:firstLine="472"/>
              <w:jc w:val="left"/>
            </w:pPr>
            <w:r>
              <w:rPr>
                <w:rFonts w:ascii="仿宋_GB2312" w:hAnsi="仿宋_GB2312" w:eastAsia="仿宋_GB2312" w:cs="仿宋_GB2312"/>
                <w:sz w:val="24"/>
              </w:rPr>
              <w:t>5.数据使用与共享</w:t>
            </w:r>
          </w:p>
          <w:p w14:paraId="2C06BEE0">
            <w:pPr>
              <w:pStyle w:val="5"/>
              <w:ind w:right="15" w:firstLine="476"/>
              <w:jc w:val="both"/>
            </w:pPr>
            <w:r>
              <w:rPr>
                <w:rFonts w:ascii="仿宋_GB2312" w:hAnsi="仿宋_GB2312" w:eastAsia="仿宋_GB2312" w:cs="仿宋_GB2312"/>
                <w:sz w:val="24"/>
              </w:rPr>
              <w:t>（1）数据API：提供标准化接口服务，支持灵活的数据调用与集成，包含鉴权、限流及日志监控，确保安全高效的数据交互。</w:t>
            </w:r>
          </w:p>
          <w:p w14:paraId="134CEA96">
            <w:pPr>
              <w:pStyle w:val="5"/>
              <w:ind w:right="15" w:firstLine="476"/>
              <w:jc w:val="both"/>
            </w:pPr>
            <w:r>
              <w:rPr>
                <w:rFonts w:ascii="仿宋_GB2312" w:hAnsi="仿宋_GB2312" w:eastAsia="仿宋_GB2312" w:cs="仿宋_GB2312"/>
                <w:sz w:val="24"/>
              </w:rPr>
              <w:t>（2）数据目录：集中管理数据资产信息，支持分类检索与元数据展示，帮助用户快速发现和理解可用数据资源。</w:t>
            </w:r>
          </w:p>
          <w:p w14:paraId="0BD61E6C">
            <w:pPr>
              <w:pStyle w:val="5"/>
              <w:ind w:right="15" w:firstLine="476"/>
              <w:jc w:val="both"/>
            </w:pPr>
            <w:r>
              <w:rPr>
                <w:rFonts w:ascii="仿宋_GB2312" w:hAnsi="仿宋_GB2312" w:eastAsia="仿宋_GB2312" w:cs="仿宋_GB2312"/>
                <w:sz w:val="24"/>
              </w:rPr>
              <w:t>（3）数据订阅：基于需求主动推送数据更新，支持定时或实时分发，确保用户及时获取最新数据，减少重复查询。</w:t>
            </w:r>
          </w:p>
          <w:p w14:paraId="05209BF6">
            <w:pPr>
              <w:pStyle w:val="5"/>
              <w:ind w:right="15" w:firstLine="476"/>
              <w:jc w:val="both"/>
            </w:pPr>
            <w:r>
              <w:rPr>
                <w:rFonts w:ascii="仿宋_GB2312" w:hAnsi="仿宋_GB2312" w:eastAsia="仿宋_GB2312" w:cs="仿宋_GB2312"/>
                <w:sz w:val="24"/>
              </w:rPr>
              <w:t>（4）数据归档：将低频使用数据迁移至低成本存储，保留完整可追溯性，平衡访问性能与存储成本。</w:t>
            </w:r>
          </w:p>
          <w:p w14:paraId="3B2D4679">
            <w:pPr>
              <w:pStyle w:val="5"/>
              <w:ind w:right="15" w:firstLine="476"/>
              <w:jc w:val="both"/>
            </w:pPr>
            <w:r>
              <w:rPr>
                <w:rFonts w:ascii="仿宋_GB2312" w:hAnsi="仿宋_GB2312" w:eastAsia="仿宋_GB2312" w:cs="仿宋_GB2312"/>
                <w:sz w:val="24"/>
              </w:rPr>
              <w:t>（5）数据销毁：按合规要求安全清除无效或过期数据，采用物理删除或加密擦除，避免隐私泄露与冗余累积。</w:t>
            </w:r>
          </w:p>
          <w:p w14:paraId="5EAFFEA9">
            <w:pPr>
              <w:pStyle w:val="5"/>
              <w:ind w:firstLine="472"/>
              <w:jc w:val="left"/>
            </w:pPr>
            <w:r>
              <w:rPr>
                <w:rFonts w:ascii="仿宋_GB2312" w:hAnsi="仿宋_GB2312" w:eastAsia="仿宋_GB2312" w:cs="仿宋_GB2312"/>
                <w:sz w:val="24"/>
              </w:rPr>
              <w:t>6.应用场景对接开发服务</w:t>
            </w:r>
          </w:p>
          <w:p w14:paraId="77379935">
            <w:pPr>
              <w:pStyle w:val="5"/>
              <w:ind w:firstLine="476"/>
              <w:jc w:val="both"/>
            </w:pPr>
            <w:r>
              <w:rPr>
                <w:rFonts w:ascii="仿宋_GB2312" w:hAnsi="仿宋_GB2312" w:eastAsia="仿宋_GB2312" w:cs="仿宋_GB2312"/>
                <w:sz w:val="24"/>
              </w:rPr>
              <w:t>（1）需求分析服务：收集采购人需求信息，确定影响采购人需求的关键因素，制定场景应用的优化方案将优化方案落实到具体的操作中，并对实施优化方案后的应用开发进行监控和评估，确保优化方案的有效性和实施效果。</w:t>
            </w:r>
          </w:p>
          <w:p w14:paraId="77DEBF45">
            <w:pPr>
              <w:pStyle w:val="5"/>
              <w:ind w:firstLine="476"/>
              <w:jc w:val="both"/>
            </w:pPr>
            <w:r>
              <w:rPr>
                <w:rFonts w:ascii="仿宋_GB2312" w:hAnsi="仿宋_GB2312" w:eastAsia="仿宋_GB2312" w:cs="仿宋_GB2312"/>
                <w:sz w:val="24"/>
              </w:rPr>
              <w:t>（2）场景挖掘设计：了解当前应用建设现状，对现有的应用场景进行分析，了解现有的业务流程、系统和技术，挖掘出一些潜在的应用场景。针对每个潜在的应用场景设计具体的实施方案，科学评估选择后实施，实施应用场景方案后，对方案的执行情况进行总结，根据总结反馈及时调整和优化方案，以满足不断变化的业务需求和技术环境。</w:t>
            </w:r>
          </w:p>
          <w:p w14:paraId="481B8004">
            <w:pPr>
              <w:pStyle w:val="5"/>
              <w:ind w:firstLine="476"/>
              <w:jc w:val="both"/>
            </w:pPr>
            <w:r>
              <w:rPr>
                <w:rFonts w:ascii="仿宋_GB2312" w:hAnsi="仿宋_GB2312" w:eastAsia="仿宋_GB2312" w:cs="仿宋_GB2312"/>
                <w:sz w:val="24"/>
              </w:rPr>
              <w:t>（3）应用与开发测试：根据场景应用实施方案，进行具体实施和开发，包括UI设计服务、应用开发服务和应用测试服务UI设计服务包括确定设计风格和主题、制作交互原型、设计用户界面、设计评审与优化、设计文档制作。</w:t>
            </w:r>
          </w:p>
          <w:p w14:paraId="39EB380A">
            <w:pPr>
              <w:pStyle w:val="5"/>
              <w:ind w:firstLine="476"/>
              <w:jc w:val="both"/>
            </w:pPr>
            <w:r>
              <w:rPr>
                <w:rFonts w:ascii="仿宋_GB2312" w:hAnsi="仿宋_GB2312" w:eastAsia="仿宋_GB2312" w:cs="仿宋_GB2312"/>
                <w:sz w:val="24"/>
              </w:rPr>
              <w:t>（4）价值挖掘：针对数据仓库内现有数据集合进行价值组合，依托新津特色应用对应升级服务，提升数据可用性包括确定数据业务价值、挖掘数据关联价值和定义数据治理价值标准。</w:t>
            </w:r>
          </w:p>
          <w:p w14:paraId="2DE3049A">
            <w:pPr>
              <w:pStyle w:val="5"/>
              <w:ind w:firstLine="472"/>
              <w:jc w:val="left"/>
            </w:pPr>
            <w:r>
              <w:rPr>
                <w:rFonts w:ascii="仿宋_GB2312" w:hAnsi="仿宋_GB2312" w:eastAsia="仿宋_GB2312" w:cs="仿宋_GB2312"/>
                <w:sz w:val="24"/>
              </w:rPr>
              <w:t>（四）基础支撑平台运维</w:t>
            </w:r>
          </w:p>
          <w:p w14:paraId="30448950">
            <w:pPr>
              <w:pStyle w:val="5"/>
              <w:ind w:firstLine="436"/>
              <w:jc w:val="left"/>
            </w:pPr>
            <w:r>
              <w:rPr>
                <w:rFonts w:ascii="仿宋_GB2312" w:hAnsi="仿宋_GB2312" w:eastAsia="仿宋_GB2312" w:cs="仿宋_GB2312"/>
                <w:sz w:val="24"/>
              </w:rPr>
              <w:t>1.日常运维服务</w:t>
            </w:r>
          </w:p>
          <w:p w14:paraId="5E5B7432">
            <w:pPr>
              <w:pStyle w:val="5"/>
              <w:ind w:firstLine="476"/>
              <w:jc w:val="both"/>
            </w:pPr>
            <w:r>
              <w:rPr>
                <w:rFonts w:ascii="仿宋_GB2312" w:hAnsi="仿宋_GB2312" w:eastAsia="仿宋_GB2312" w:cs="仿宋_GB2312"/>
                <w:sz w:val="24"/>
              </w:rPr>
              <w:t>日常运维服务是指对应用系统、运行环境和业务功能提供技术支持和维护服务，本项目日常运维服务内容包含：主要服务器及存储日常检测及处理、网络检测与处理、系统日常软件升级和系统安全日志维护。</w:t>
            </w:r>
          </w:p>
          <w:p w14:paraId="31B71316">
            <w:pPr>
              <w:pStyle w:val="5"/>
              <w:ind w:firstLine="476"/>
              <w:jc w:val="left"/>
            </w:pPr>
            <w:r>
              <w:rPr>
                <w:rFonts w:ascii="仿宋_GB2312" w:hAnsi="仿宋_GB2312" w:eastAsia="仿宋_GB2312" w:cs="仿宋_GB2312"/>
                <w:sz w:val="24"/>
              </w:rPr>
              <w:t>2.系统升级和优化</w:t>
            </w:r>
          </w:p>
          <w:p w14:paraId="4B158082">
            <w:pPr>
              <w:pStyle w:val="5"/>
              <w:ind w:firstLine="488"/>
              <w:jc w:val="both"/>
            </w:pPr>
            <w:r>
              <w:rPr>
                <w:rFonts w:ascii="仿宋_GB2312" w:hAnsi="仿宋_GB2312" w:eastAsia="仿宋_GB2312" w:cs="仿宋_GB2312"/>
                <w:sz w:val="24"/>
              </w:rPr>
              <w:t>系统升级和优化是指在保证系统稳定性、安全性和性能的基础上，进一步提高系统的功能性和可用性，满足用户需求，本项目系统升级和优化内容包含：版本采集、应急预案制定、升级方案评估、获取升级资源、升级实施、系统性能评估、优化方案制定、系统优化实施和优化性能评估。</w:t>
            </w:r>
          </w:p>
          <w:p w14:paraId="78C07DE6">
            <w:pPr>
              <w:pStyle w:val="5"/>
              <w:ind w:firstLine="476"/>
              <w:jc w:val="left"/>
            </w:pPr>
            <w:r>
              <w:rPr>
                <w:rFonts w:ascii="仿宋_GB2312" w:hAnsi="仿宋_GB2312" w:eastAsia="仿宋_GB2312" w:cs="仿宋_GB2312"/>
                <w:sz w:val="24"/>
              </w:rPr>
              <w:t>3.故障管理和应急处理</w:t>
            </w:r>
          </w:p>
          <w:p w14:paraId="65EC09E5">
            <w:pPr>
              <w:pStyle w:val="5"/>
              <w:ind w:firstLine="488"/>
              <w:jc w:val="both"/>
            </w:pPr>
            <w:r>
              <w:rPr>
                <w:rFonts w:ascii="仿宋_GB2312" w:hAnsi="仿宋_GB2312" w:eastAsia="仿宋_GB2312" w:cs="仿宋_GB2312"/>
                <w:sz w:val="24"/>
              </w:rPr>
              <w:t>故障管理和应用指出是对设备和系统故障进行诊断、定位、处理和跟踪的一系列管理活动，并针对意外情况进行处理。本项目故障管理和应急处理内容包含：故障报告、特殊节假日会议保障和应急处置。</w:t>
            </w:r>
          </w:p>
          <w:p w14:paraId="5203021B">
            <w:pPr>
              <w:pStyle w:val="5"/>
              <w:ind w:firstLine="476"/>
              <w:jc w:val="left"/>
            </w:pPr>
            <w:r>
              <w:rPr>
                <w:rFonts w:ascii="仿宋_GB2312" w:hAnsi="仿宋_GB2312" w:eastAsia="仿宋_GB2312" w:cs="仿宋_GB2312"/>
                <w:sz w:val="24"/>
              </w:rPr>
              <w:t>4.性能优化计划</w:t>
            </w:r>
          </w:p>
          <w:p w14:paraId="6DCA6D01">
            <w:pPr>
              <w:pStyle w:val="5"/>
              <w:ind w:firstLine="468"/>
              <w:jc w:val="left"/>
            </w:pPr>
            <w:r>
              <w:rPr>
                <w:rFonts w:ascii="仿宋_GB2312" w:hAnsi="仿宋_GB2312" w:eastAsia="仿宋_GB2312" w:cs="仿宋_GB2312"/>
                <w:sz w:val="24"/>
              </w:rPr>
              <w:t>（1）计划目标</w:t>
            </w:r>
          </w:p>
          <w:p w14:paraId="628986D0">
            <w:pPr>
              <w:pStyle w:val="5"/>
              <w:ind w:firstLine="488"/>
              <w:jc w:val="left"/>
            </w:pPr>
            <w:r>
              <w:rPr>
                <w:rFonts w:ascii="仿宋_GB2312" w:hAnsi="仿宋_GB2312" w:eastAsia="仿宋_GB2312" w:cs="仿宋_GB2312"/>
                <w:sz w:val="24"/>
              </w:rPr>
              <w:t>通过定期对服务器和存储设备的性能指标进行评估，及时发现性能瓶颈，实施针对性优化措施，确保基础支撑平台持续稳定、高效运行。</w:t>
            </w:r>
          </w:p>
          <w:p w14:paraId="42A9CA2E">
            <w:pPr>
              <w:pStyle w:val="5"/>
              <w:ind w:firstLine="468"/>
              <w:jc w:val="left"/>
            </w:pPr>
            <w:r>
              <w:rPr>
                <w:rFonts w:ascii="仿宋_GB2312" w:hAnsi="仿宋_GB2312" w:eastAsia="仿宋_GB2312" w:cs="仿宋_GB2312"/>
                <w:sz w:val="24"/>
              </w:rPr>
              <w:t>（2）评估周期</w:t>
            </w:r>
          </w:p>
          <w:p w14:paraId="29A74422">
            <w:pPr>
              <w:pStyle w:val="5"/>
              <w:ind w:firstLine="472"/>
              <w:jc w:val="left"/>
            </w:pPr>
            <w:r>
              <w:rPr>
                <w:rFonts w:ascii="仿宋_GB2312" w:hAnsi="仿宋_GB2312" w:eastAsia="仿宋_GB2312" w:cs="仿宋_GB2312"/>
                <w:sz w:val="24"/>
              </w:rPr>
              <w:t>每季度最后一个月进行性能评估与优化工作。</w:t>
            </w:r>
          </w:p>
          <w:p w14:paraId="754DACCC">
            <w:pPr>
              <w:pStyle w:val="5"/>
              <w:ind w:firstLine="468"/>
              <w:jc w:val="left"/>
            </w:pPr>
            <w:r>
              <w:rPr>
                <w:rFonts w:ascii="仿宋_GB2312" w:hAnsi="仿宋_GB2312" w:eastAsia="仿宋_GB2312" w:cs="仿宋_GB2312"/>
                <w:sz w:val="24"/>
              </w:rPr>
              <w:t>（3）性能评估指标</w:t>
            </w:r>
          </w:p>
          <w:p w14:paraId="05DC7B1E">
            <w:pPr>
              <w:pStyle w:val="5"/>
              <w:ind w:firstLine="468"/>
              <w:jc w:val="left"/>
            </w:pPr>
            <w:r>
              <w:rPr>
                <w:rFonts w:ascii="仿宋_GB2312" w:hAnsi="仿宋_GB2312" w:eastAsia="仿宋_GB2312" w:cs="仿宋_GB2312"/>
                <w:sz w:val="24"/>
              </w:rPr>
              <w:t>服务器性能指标</w:t>
            </w:r>
          </w:p>
          <w:p w14:paraId="42A621A8">
            <w:pPr>
              <w:pStyle w:val="5"/>
              <w:ind w:firstLine="468"/>
              <w:jc w:val="left"/>
            </w:pPr>
            <w:r>
              <w:rPr>
                <w:rFonts w:ascii="仿宋_GB2312" w:hAnsi="仿宋_GB2312" w:eastAsia="仿宋_GB2312" w:cs="仿宋_GB2312"/>
                <w:sz w:val="24"/>
              </w:rPr>
              <w:t>CPU使用率：监控CPU在不同负载下的使用率，判断是否存在CPU资源不足或过度闲置情况。</w:t>
            </w:r>
          </w:p>
          <w:p w14:paraId="7607347E">
            <w:pPr>
              <w:pStyle w:val="5"/>
              <w:ind w:firstLine="484"/>
              <w:jc w:val="left"/>
            </w:pPr>
            <w:r>
              <w:rPr>
                <w:rFonts w:ascii="仿宋_GB2312" w:hAnsi="仿宋_GB2312" w:eastAsia="仿宋_GB2312" w:cs="仿宋_GB2312"/>
                <w:sz w:val="24"/>
              </w:rPr>
              <w:t>内存使用率：查看内存的使用量和剩余量，评估内存是否足够支持当前业务运行。</w:t>
            </w:r>
          </w:p>
          <w:p w14:paraId="3AC0CE97">
            <w:pPr>
              <w:pStyle w:val="5"/>
              <w:ind w:firstLine="456"/>
              <w:jc w:val="left"/>
            </w:pPr>
            <w:r>
              <w:rPr>
                <w:rFonts w:ascii="仿宋_GB2312" w:hAnsi="仿宋_GB2312" w:eastAsia="仿宋_GB2312" w:cs="仿宋_GB2312"/>
                <w:sz w:val="24"/>
              </w:rPr>
              <w:t>磁盘I/O：测量磁盘的读写速度、读写次数等，了解磁盘性能对系统的影响。</w:t>
            </w:r>
          </w:p>
          <w:p w14:paraId="2EB0A0F1">
            <w:pPr>
              <w:pStyle w:val="5"/>
              <w:ind w:firstLine="468"/>
              <w:jc w:val="left"/>
            </w:pPr>
            <w:r>
              <w:rPr>
                <w:rFonts w:ascii="仿宋_GB2312" w:hAnsi="仿宋_GB2312" w:eastAsia="仿宋_GB2312" w:cs="仿宋_GB2312"/>
                <w:sz w:val="24"/>
              </w:rPr>
              <w:t>存储设备性能指标</w:t>
            </w:r>
          </w:p>
          <w:p w14:paraId="36E63B69">
            <w:pPr>
              <w:pStyle w:val="5"/>
              <w:ind w:firstLine="488"/>
              <w:jc w:val="left"/>
            </w:pPr>
            <w:r>
              <w:rPr>
                <w:rFonts w:ascii="仿宋_GB2312" w:hAnsi="仿宋_GB2312" w:eastAsia="仿宋_GB2312" w:cs="仿宋_GB2312"/>
                <w:sz w:val="24"/>
              </w:rPr>
              <w:t>存储利用率：分析存储设备的已用空间和可用空间，防止存储容量不足。</w:t>
            </w:r>
          </w:p>
          <w:p w14:paraId="7942AD33">
            <w:pPr>
              <w:pStyle w:val="5"/>
              <w:ind w:firstLine="464"/>
              <w:jc w:val="left"/>
            </w:pPr>
            <w:r>
              <w:rPr>
                <w:rFonts w:ascii="仿宋_GB2312" w:hAnsi="仿宋_GB2312" w:eastAsia="仿宋_GB2312" w:cs="仿宋_GB2312"/>
                <w:sz w:val="24"/>
              </w:rPr>
              <w:t>I/O响应时间：衡量存储设备对I/O请求的响应快慢，判断存储性能是否正常。</w:t>
            </w:r>
          </w:p>
          <w:p w14:paraId="6AB46F27">
            <w:pPr>
              <w:pStyle w:val="5"/>
              <w:ind w:firstLine="488"/>
              <w:jc w:val="left"/>
            </w:pPr>
            <w:r>
              <w:rPr>
                <w:rFonts w:ascii="仿宋_GB2312" w:hAnsi="仿宋_GB2312" w:eastAsia="仿宋_GB2312" w:cs="仿宋_GB2312"/>
                <w:sz w:val="24"/>
              </w:rPr>
              <w:t>数据传输速率：检查存储设备与服务器之间的数据传输速度，确保数据读写高效。</w:t>
            </w:r>
          </w:p>
          <w:p w14:paraId="29D6B0FD">
            <w:pPr>
              <w:pStyle w:val="5"/>
              <w:ind w:firstLine="468"/>
              <w:jc w:val="left"/>
            </w:pPr>
            <w:r>
              <w:rPr>
                <w:rFonts w:ascii="仿宋_GB2312" w:hAnsi="仿宋_GB2312" w:eastAsia="仿宋_GB2312" w:cs="仿宋_GB2312"/>
                <w:sz w:val="24"/>
              </w:rPr>
              <w:t>（4）性能评估流程</w:t>
            </w:r>
          </w:p>
          <w:p w14:paraId="69B0CE21">
            <w:pPr>
              <w:pStyle w:val="5"/>
              <w:ind w:firstLine="452"/>
              <w:jc w:val="left"/>
            </w:pPr>
            <w:r>
              <w:rPr>
                <w:rFonts w:ascii="仿宋_GB2312" w:hAnsi="仿宋_GB2312" w:eastAsia="仿宋_GB2312" w:cs="仿宋_GB2312"/>
                <w:sz w:val="24"/>
              </w:rPr>
              <w:t>数据收集：利用专业的运维监控工具，如Zabbix、Nagios等，收集服务器和存储设备过去一个季度的性能数据。</w:t>
            </w:r>
          </w:p>
          <w:p w14:paraId="47576F06">
            <w:pPr>
              <w:pStyle w:val="5"/>
              <w:ind w:firstLine="488"/>
              <w:jc w:val="left"/>
            </w:pPr>
            <w:r>
              <w:rPr>
                <w:rFonts w:ascii="仿宋_GB2312" w:hAnsi="仿宋_GB2312" w:eastAsia="仿宋_GB2312" w:cs="仿宋_GB2312"/>
                <w:sz w:val="24"/>
              </w:rPr>
              <w:t>数据分析：对收集到的数据进行整理和分析，对比历史数据和行业标准，找出性能指标的异常波动和潜在问题。</w:t>
            </w:r>
          </w:p>
          <w:p w14:paraId="3CC54864">
            <w:pPr>
              <w:pStyle w:val="5"/>
              <w:ind w:firstLine="484"/>
              <w:jc w:val="left"/>
            </w:pPr>
            <w:r>
              <w:rPr>
                <w:rFonts w:ascii="仿宋_GB2312" w:hAnsi="仿宋_GB2312" w:eastAsia="仿宋_GB2312" w:cs="仿宋_GB2312"/>
                <w:sz w:val="24"/>
              </w:rPr>
              <w:t>问题定位：根据数据分析结果，确定性能瓶颈所在，如服务器硬件老化、存储配置不合理等。</w:t>
            </w:r>
          </w:p>
          <w:p w14:paraId="17349885">
            <w:pPr>
              <w:pStyle w:val="5"/>
              <w:ind w:firstLine="468"/>
              <w:jc w:val="left"/>
            </w:pPr>
            <w:r>
              <w:rPr>
                <w:rFonts w:ascii="仿宋_GB2312" w:hAnsi="仿宋_GB2312" w:eastAsia="仿宋_GB2312" w:cs="仿宋_GB2312"/>
                <w:sz w:val="24"/>
              </w:rPr>
              <w:t>（5）优化措施</w:t>
            </w:r>
          </w:p>
          <w:p w14:paraId="38B3A8FF">
            <w:pPr>
              <w:pStyle w:val="5"/>
              <w:ind w:firstLine="480"/>
              <w:jc w:val="left"/>
            </w:pPr>
            <w:r>
              <w:rPr>
                <w:rFonts w:ascii="仿宋_GB2312" w:hAnsi="仿宋_GB2312" w:eastAsia="仿宋_GB2312" w:cs="仿宋_GB2312"/>
                <w:sz w:val="24"/>
              </w:rPr>
              <w:t>服务器优化：对于CPU使用率过高的服务器，可进行进程优化，关闭不必要的服务；内存不足时，向政务云申请增加内存；磁盘I/O性能低时，可向政务云申请换为SSD硬盘。</w:t>
            </w:r>
          </w:p>
          <w:p w14:paraId="054313EB">
            <w:pPr>
              <w:pStyle w:val="5"/>
              <w:ind w:firstLine="488"/>
              <w:jc w:val="left"/>
            </w:pPr>
            <w:r>
              <w:rPr>
                <w:rFonts w:ascii="仿宋_GB2312" w:hAnsi="仿宋_GB2312" w:eastAsia="仿宋_GB2312" w:cs="仿宋_GB2312"/>
                <w:sz w:val="24"/>
              </w:rPr>
              <w:t>存储设备优化：针对存储利用率过高的情况，清理过期数据或申请存储扩展；I/O响应时间长时，向政务云申请换为SSD硬盘。</w:t>
            </w:r>
          </w:p>
          <w:p w14:paraId="32DA58AA">
            <w:pPr>
              <w:pStyle w:val="5"/>
              <w:ind w:firstLine="468"/>
              <w:jc w:val="left"/>
            </w:pPr>
            <w:r>
              <w:rPr>
                <w:rFonts w:ascii="仿宋_GB2312" w:hAnsi="仿宋_GB2312" w:eastAsia="仿宋_GB2312" w:cs="仿宋_GB2312"/>
                <w:sz w:val="24"/>
              </w:rPr>
              <w:t>（6）效果验证</w:t>
            </w:r>
          </w:p>
          <w:p w14:paraId="217DBBB7">
            <w:pPr>
              <w:pStyle w:val="5"/>
              <w:ind w:firstLine="488"/>
              <w:jc w:val="left"/>
            </w:pPr>
            <w:r>
              <w:rPr>
                <w:rFonts w:ascii="仿宋_GB2312" w:hAnsi="仿宋_GB2312" w:eastAsia="仿宋_GB2312" w:cs="仿宋_GB2312"/>
                <w:sz w:val="24"/>
              </w:rPr>
              <w:t>优化完成后，持续监控服务器和存储设备的性能指标，对比优化前后的数据，验证优化措施是否有效，确保平台性能得到显著提升。</w:t>
            </w:r>
          </w:p>
          <w:p w14:paraId="4489395B">
            <w:pPr>
              <w:pStyle w:val="5"/>
              <w:ind w:firstLine="468"/>
              <w:jc w:val="left"/>
            </w:pPr>
            <w:r>
              <w:rPr>
                <w:rFonts w:ascii="仿宋_GB2312" w:hAnsi="仿宋_GB2312" w:eastAsia="仿宋_GB2312" w:cs="仿宋_GB2312"/>
                <w:sz w:val="24"/>
              </w:rPr>
              <w:t>（五）安全运维</w:t>
            </w:r>
          </w:p>
          <w:p w14:paraId="7DB47350">
            <w:pPr>
              <w:pStyle w:val="5"/>
              <w:ind w:firstLine="484"/>
              <w:jc w:val="left"/>
            </w:pPr>
            <w:r>
              <w:rPr>
                <w:rFonts w:ascii="仿宋_GB2312" w:hAnsi="仿宋_GB2312" w:eastAsia="仿宋_GB2312" w:cs="仿宋_GB2312"/>
                <w:sz w:val="24"/>
              </w:rPr>
              <w:t>主要内容：对成都市政务云提供的虚拟防火墙、VPN、堡垒机等进行策略配置、登录口令的定期修改，以及配合公安、网信、保密等部门通报问题等及时配置相应安全策略、修复系统漏洞。</w:t>
            </w:r>
          </w:p>
          <w:p w14:paraId="6F0D51E5">
            <w:pPr>
              <w:pStyle w:val="5"/>
              <w:ind w:firstLine="484"/>
              <w:jc w:val="left"/>
            </w:pPr>
            <w:r>
              <w:rPr>
                <w:rFonts w:ascii="仿宋_GB2312" w:hAnsi="仿宋_GB2312" w:eastAsia="仿宋_GB2312" w:cs="仿宋_GB2312"/>
                <w:sz w:val="24"/>
              </w:rPr>
              <w:t>同时，采购人每年统一采购网络安全等级保护测评服务和商用密码应用安全性评估服务，对采购人重要政务信息系统的安全性进行测评。因此，本次运维项目包含配合网络安全等级保护测评服务和商用密码应用安全性评估服务的供应商开展相关的工作。</w:t>
            </w:r>
          </w:p>
          <w:p w14:paraId="6944469E">
            <w:pPr>
              <w:pStyle w:val="5"/>
              <w:ind w:firstLine="468"/>
              <w:jc w:val="left"/>
            </w:pPr>
            <w:r>
              <w:rPr>
                <w:rFonts w:ascii="仿宋_GB2312" w:hAnsi="仿宋_GB2312" w:eastAsia="仿宋_GB2312" w:cs="仿宋_GB2312"/>
                <w:sz w:val="24"/>
              </w:rPr>
              <w:t>1.运维安全管理</w:t>
            </w:r>
          </w:p>
          <w:p w14:paraId="5539B363">
            <w:pPr>
              <w:pStyle w:val="5"/>
              <w:ind w:firstLine="488"/>
              <w:jc w:val="both"/>
            </w:pPr>
            <w:r>
              <w:rPr>
                <w:rFonts w:ascii="仿宋_GB2312" w:hAnsi="仿宋_GB2312" w:eastAsia="仿宋_GB2312" w:cs="仿宋_GB2312"/>
                <w:sz w:val="24"/>
              </w:rPr>
              <w:t>根据成都市政务云要求，结合业务实际，对分配的安全资源进行运维，确保安全资源稳定、可用。根据市政务云云上安全责任划分机制，市局需要负责政务云上应用系统和数据的安全保障。目前，政务云基础网络和云平台已满足信息安全等级保护第三级的基本要求。针对政务云管理方提出的安全要求及市局的个性化需求，供应商提供相应的支撑服务，主要包括：</w:t>
            </w:r>
          </w:p>
          <w:p w14:paraId="08192F7B">
            <w:pPr>
              <w:pStyle w:val="5"/>
              <w:ind w:firstLine="460"/>
              <w:jc w:val="both"/>
            </w:pPr>
            <w:r>
              <w:rPr>
                <w:rFonts w:ascii="仿宋_GB2312" w:hAnsi="仿宋_GB2312" w:eastAsia="仿宋_GB2312" w:cs="仿宋_GB2312"/>
                <w:sz w:val="24"/>
              </w:rPr>
              <w:t>（1）账号配置。根据需要，禁用root、admin等相关有超级权限的账号或由专人进行管理，并定期更换登录口令。</w:t>
            </w:r>
          </w:p>
          <w:p w14:paraId="421107DC">
            <w:pPr>
              <w:pStyle w:val="5"/>
              <w:ind w:firstLine="464"/>
              <w:jc w:val="both"/>
            </w:pPr>
            <w:r>
              <w:rPr>
                <w:rFonts w:ascii="仿宋_GB2312" w:hAnsi="仿宋_GB2312" w:eastAsia="仿宋_GB2312" w:cs="仿宋_GB2312"/>
                <w:sz w:val="24"/>
              </w:rPr>
              <w:t>（2）数据库、版本备份及验证。数据库采取每日增量备份、每周全量备份的策略进行备份。每半年做一次数据库恢复验证。系统版本发布之前，做好老版本备份。</w:t>
            </w:r>
          </w:p>
          <w:p w14:paraId="2F719A26">
            <w:pPr>
              <w:pStyle w:val="5"/>
              <w:ind w:firstLine="464"/>
              <w:jc w:val="left"/>
            </w:pPr>
            <w:r>
              <w:rPr>
                <w:rFonts w:ascii="仿宋_GB2312" w:hAnsi="仿宋_GB2312" w:eastAsia="仿宋_GB2312" w:cs="仿宋_GB2312"/>
                <w:sz w:val="24"/>
              </w:rPr>
              <w:t>（3）关闭不必要的服务及端口。根据安全部门的安全提醒，及时关闭不需要的服务及相关端口。</w:t>
            </w:r>
          </w:p>
          <w:p w14:paraId="721C130A">
            <w:pPr>
              <w:pStyle w:val="5"/>
              <w:ind w:firstLine="456"/>
              <w:jc w:val="left"/>
            </w:pPr>
            <w:r>
              <w:rPr>
                <w:rFonts w:ascii="仿宋_GB2312" w:hAnsi="仿宋_GB2312" w:eastAsia="仿宋_GB2312" w:cs="仿宋_GB2312"/>
                <w:sz w:val="24"/>
              </w:rPr>
              <w:t>（4）相关密码定期更新。对服务器、数据库、VPN、堡垒机等密码采取分段授权、定期更新的方法，确保口令安全。</w:t>
            </w:r>
          </w:p>
          <w:p w14:paraId="09BF6B37">
            <w:pPr>
              <w:pStyle w:val="5"/>
              <w:ind w:right="105" w:firstLine="464"/>
              <w:jc w:val="left"/>
            </w:pPr>
            <w:r>
              <w:rPr>
                <w:rFonts w:ascii="仿宋_GB2312" w:hAnsi="仿宋_GB2312" w:eastAsia="仿宋_GB2312" w:cs="仿宋_GB2312"/>
                <w:sz w:val="24"/>
              </w:rPr>
              <w:t>（5）漏洞修复。定期进行操作系统补丁更新和漏洞修复。</w:t>
            </w:r>
          </w:p>
          <w:p w14:paraId="08B808B6">
            <w:pPr>
              <w:pStyle w:val="5"/>
              <w:ind w:firstLine="464"/>
              <w:jc w:val="left"/>
            </w:pPr>
            <w:r>
              <w:rPr>
                <w:rFonts w:ascii="仿宋_GB2312" w:hAnsi="仿宋_GB2312" w:eastAsia="仿宋_GB2312" w:cs="仿宋_GB2312"/>
                <w:sz w:val="24"/>
              </w:rPr>
              <w:t>（6）插件、中间件版本更新。根据安全部门对相关插件的安全监测，及时升级Tomcat、Nginx、Redis、VUE、JS等系统框架的相关中间件及插件。</w:t>
            </w:r>
          </w:p>
          <w:p w14:paraId="6723F22F">
            <w:pPr>
              <w:pStyle w:val="5"/>
              <w:ind w:firstLine="464"/>
              <w:jc w:val="left"/>
            </w:pPr>
            <w:r>
              <w:rPr>
                <w:rFonts w:ascii="仿宋_GB2312" w:hAnsi="仿宋_GB2312" w:eastAsia="仿宋_GB2312" w:cs="仿宋_GB2312"/>
                <w:sz w:val="24"/>
              </w:rPr>
              <w:t>（7）安全监控。建立全天候的安全监控机制，实时监控系统的运行状态（CPU、内存、存储）等，对政务云上业务应用系统的告警日志收集和处理；收集业务系统和政务云的日常风险评估数据，以及云环境中的安全服务日志和事件数据，通过评估网络安全现状和外部威胁，以便提前做好网络安全防范工作。</w:t>
            </w:r>
          </w:p>
          <w:p w14:paraId="0A5E481E">
            <w:pPr>
              <w:pStyle w:val="5"/>
              <w:ind w:firstLine="468"/>
              <w:jc w:val="left"/>
            </w:pPr>
            <w:r>
              <w:rPr>
                <w:rFonts w:ascii="仿宋_GB2312" w:hAnsi="仿宋_GB2312" w:eastAsia="仿宋_GB2312" w:cs="仿宋_GB2312"/>
                <w:sz w:val="24"/>
              </w:rPr>
              <w:t>（8）严格落实《中华人民共和国网络安全法》等法律法规及国家相关规范要求，各运维信息系统相关日志留存不少于12个月；针对数据落实全生命周期安全防护。</w:t>
            </w:r>
          </w:p>
          <w:p w14:paraId="42C692DB">
            <w:pPr>
              <w:pStyle w:val="5"/>
              <w:ind w:firstLine="505"/>
              <w:jc w:val="left"/>
            </w:pPr>
            <w:r>
              <w:rPr>
                <w:rFonts w:ascii="仿宋_GB2312" w:hAnsi="仿宋_GB2312" w:eastAsia="仿宋_GB2312" w:cs="仿宋_GB2312"/>
                <w:sz w:val="24"/>
              </w:rPr>
              <w:t>（六）成都市新津区公园城市数字底座各系统迁移</w:t>
            </w:r>
          </w:p>
          <w:p w14:paraId="14CB35F3">
            <w:pPr>
              <w:pStyle w:val="5"/>
              <w:ind w:firstLine="492"/>
              <w:jc w:val="left"/>
            </w:pPr>
            <w:r>
              <w:rPr>
                <w:rFonts w:ascii="仿宋_GB2312" w:hAnsi="仿宋_GB2312" w:eastAsia="仿宋_GB2312" w:cs="仿宋_GB2312"/>
                <w:sz w:val="24"/>
              </w:rPr>
              <w:t>供应商须承诺：成都市新津区公园城市数字底座各系统迁移应在第一服务年度内完成。</w:t>
            </w:r>
            <w:r>
              <w:rPr>
                <w:rFonts w:ascii="仿宋_GB2312" w:hAnsi="仿宋_GB2312" w:eastAsia="仿宋_GB2312" w:cs="仿宋_GB2312"/>
                <w:b/>
                <w:sz w:val="24"/>
              </w:rPr>
              <w:t>（注：供应商须单独提供承诺函并加盖电子章，格式自拟。）</w:t>
            </w:r>
          </w:p>
          <w:p w14:paraId="4B2ADAA9">
            <w:pPr>
              <w:pStyle w:val="5"/>
              <w:ind w:firstLine="492"/>
              <w:jc w:val="left"/>
            </w:pPr>
            <w:r>
              <w:rPr>
                <w:rFonts w:ascii="仿宋_GB2312" w:hAnsi="仿宋_GB2312" w:eastAsia="仿宋_GB2312" w:cs="仿宋_GB2312"/>
                <w:sz w:val="24"/>
              </w:rPr>
              <w:t>1.迁移规划与评估</w:t>
            </w:r>
          </w:p>
          <w:p w14:paraId="7C6AD897">
            <w:pPr>
              <w:pStyle w:val="5"/>
              <w:ind w:firstLine="492"/>
              <w:jc w:val="left"/>
            </w:pPr>
            <w:r>
              <w:rPr>
                <w:rFonts w:ascii="仿宋_GB2312" w:hAnsi="仿宋_GB2312" w:eastAsia="仿宋_GB2312" w:cs="仿宋_GB2312"/>
                <w:sz w:val="24"/>
              </w:rPr>
              <w:t>（1）业务需求分析：明确迁移目标（如降低成本、提升性能、增强安全性）。</w:t>
            </w:r>
          </w:p>
          <w:p w14:paraId="324DC008">
            <w:pPr>
              <w:pStyle w:val="5"/>
              <w:ind w:firstLine="492"/>
              <w:jc w:val="left"/>
            </w:pPr>
            <w:r>
              <w:rPr>
                <w:rFonts w:ascii="仿宋_GB2312" w:hAnsi="仿宋_GB2312" w:eastAsia="仿宋_GB2312" w:cs="仿宋_GB2312"/>
                <w:sz w:val="24"/>
              </w:rPr>
              <w:t>（2）系统现状评估：分析现有系统的架构、依赖关系、数据量、性能瓶颈等。</w:t>
            </w:r>
          </w:p>
          <w:p w14:paraId="412CA60E">
            <w:pPr>
              <w:pStyle w:val="5"/>
              <w:ind w:firstLine="492"/>
              <w:jc w:val="left"/>
            </w:pPr>
            <w:r>
              <w:rPr>
                <w:rFonts w:ascii="仿宋_GB2312" w:hAnsi="仿宋_GB2312" w:eastAsia="仿宋_GB2312" w:cs="仿宋_GB2312"/>
                <w:sz w:val="24"/>
              </w:rPr>
              <w:t>（3）迁移策略选择：根据评估情况选择整体迁移、分阶段迁移、并行运行等，降低风险。</w:t>
            </w:r>
          </w:p>
          <w:p w14:paraId="20E693A8">
            <w:pPr>
              <w:pStyle w:val="5"/>
              <w:ind w:firstLine="492"/>
              <w:jc w:val="left"/>
            </w:pPr>
            <w:r>
              <w:rPr>
                <w:rFonts w:ascii="仿宋_GB2312" w:hAnsi="仿宋_GB2312" w:eastAsia="仿宋_GB2312" w:cs="仿宋_GB2312"/>
                <w:sz w:val="24"/>
              </w:rPr>
              <w:t>（4）风险评估：识别潜在问题（如兼容性、数据丢失、性能下降）并制定应对方案。</w:t>
            </w:r>
          </w:p>
          <w:p w14:paraId="58DBA3EA">
            <w:pPr>
              <w:pStyle w:val="5"/>
              <w:ind w:firstLine="492"/>
              <w:jc w:val="left"/>
            </w:pPr>
            <w:r>
              <w:rPr>
                <w:rFonts w:ascii="仿宋_GB2312" w:hAnsi="仿宋_GB2312" w:eastAsia="仿宋_GB2312" w:cs="仿宋_GB2312"/>
                <w:sz w:val="24"/>
              </w:rPr>
              <w:t>2.目标环境搭建</w:t>
            </w:r>
          </w:p>
          <w:p w14:paraId="211A1653">
            <w:pPr>
              <w:pStyle w:val="5"/>
              <w:ind w:firstLine="492"/>
              <w:jc w:val="left"/>
            </w:pPr>
            <w:r>
              <w:rPr>
                <w:rFonts w:ascii="仿宋_GB2312" w:hAnsi="仿宋_GB2312" w:eastAsia="仿宋_GB2312" w:cs="仿宋_GB2312"/>
                <w:sz w:val="24"/>
              </w:rPr>
              <w:t>（1）云迁移：选择云服务商（新华三云、曙光云），配置VPC、安全组、存储等。</w:t>
            </w:r>
          </w:p>
          <w:p w14:paraId="77789728">
            <w:pPr>
              <w:pStyle w:val="5"/>
              <w:ind w:firstLine="492"/>
              <w:jc w:val="left"/>
            </w:pPr>
            <w:r>
              <w:rPr>
                <w:rFonts w:ascii="仿宋_GB2312" w:hAnsi="仿宋_GB2312" w:eastAsia="仿宋_GB2312" w:cs="仿宋_GB2312"/>
                <w:sz w:val="24"/>
              </w:rPr>
              <w:t>（2）架构适配：数据库选型（国产数据库）。</w:t>
            </w:r>
          </w:p>
          <w:p w14:paraId="1DC7C644">
            <w:pPr>
              <w:pStyle w:val="5"/>
              <w:ind w:firstLine="492"/>
              <w:jc w:val="left"/>
            </w:pPr>
            <w:r>
              <w:rPr>
                <w:rFonts w:ascii="仿宋_GB2312" w:hAnsi="仿宋_GB2312" w:eastAsia="仿宋_GB2312" w:cs="仿宋_GB2312"/>
                <w:sz w:val="24"/>
              </w:rPr>
              <w:t>（3）依赖管理：确保新环境支持所有依赖的中间件、第三方服务等。</w:t>
            </w:r>
          </w:p>
          <w:p w14:paraId="42989160">
            <w:pPr>
              <w:pStyle w:val="5"/>
              <w:ind w:firstLine="492"/>
              <w:jc w:val="left"/>
            </w:pPr>
            <w:r>
              <w:rPr>
                <w:rFonts w:ascii="仿宋_GB2312" w:hAnsi="仿宋_GB2312" w:eastAsia="仿宋_GB2312" w:cs="仿宋_GB2312"/>
                <w:sz w:val="24"/>
              </w:rPr>
              <w:t>3.数据迁移</w:t>
            </w:r>
          </w:p>
          <w:p w14:paraId="0BBD0B4B">
            <w:pPr>
              <w:pStyle w:val="5"/>
              <w:ind w:firstLine="492"/>
              <w:jc w:val="left"/>
            </w:pPr>
            <w:r>
              <w:rPr>
                <w:rFonts w:ascii="仿宋_GB2312" w:hAnsi="仿宋_GB2312" w:eastAsia="仿宋_GB2312" w:cs="仿宋_GB2312"/>
                <w:sz w:val="24"/>
              </w:rPr>
              <w:t>（1）数据评估：数据量、数据类型（结构化/非结构化）、敏感数据（如PII）。数据一致性检查（如主外键关系）。</w:t>
            </w:r>
          </w:p>
          <w:p w14:paraId="57EF4306">
            <w:pPr>
              <w:pStyle w:val="5"/>
              <w:ind w:firstLine="492"/>
              <w:jc w:val="left"/>
            </w:pPr>
            <w:r>
              <w:rPr>
                <w:rFonts w:ascii="仿宋_GB2312" w:hAnsi="仿宋_GB2312" w:eastAsia="仿宋_GB2312" w:cs="仿宋_GB2312"/>
                <w:sz w:val="24"/>
              </w:rPr>
              <w:t>（2）迁移方案：ETL/ELT工具、数据库原生工具、实时同步。</w:t>
            </w:r>
          </w:p>
          <w:p w14:paraId="3EB4D3A8">
            <w:pPr>
              <w:pStyle w:val="5"/>
              <w:ind w:firstLine="492"/>
              <w:jc w:val="left"/>
            </w:pPr>
            <w:r>
              <w:rPr>
                <w:rFonts w:ascii="仿宋_GB2312" w:hAnsi="仿宋_GB2312" w:eastAsia="仿宋_GB2312" w:cs="仿宋_GB2312"/>
                <w:sz w:val="24"/>
              </w:rPr>
              <w:t>（3）数据验证：抽样比对新旧数据。校验数据完整性、一致性。</w:t>
            </w:r>
          </w:p>
          <w:p w14:paraId="4A8626D8">
            <w:pPr>
              <w:pStyle w:val="5"/>
              <w:ind w:firstLine="492"/>
              <w:jc w:val="left"/>
            </w:pPr>
            <w:r>
              <w:rPr>
                <w:rFonts w:ascii="仿宋_GB2312" w:hAnsi="仿宋_GB2312" w:eastAsia="仿宋_GB2312" w:cs="仿宋_GB2312"/>
                <w:sz w:val="24"/>
              </w:rPr>
              <w:t>4.应用迁移</w:t>
            </w:r>
          </w:p>
          <w:p w14:paraId="1B87351B">
            <w:pPr>
              <w:pStyle w:val="5"/>
              <w:ind w:firstLine="492"/>
              <w:jc w:val="left"/>
            </w:pPr>
            <w:r>
              <w:rPr>
                <w:rFonts w:ascii="仿宋_GB2312" w:hAnsi="仿宋_GB2312" w:eastAsia="仿宋_GB2312" w:cs="仿宋_GB2312"/>
                <w:sz w:val="24"/>
              </w:rPr>
              <w:t>（1）代码与配置迁移：重新部署应用，调整配置文件。</w:t>
            </w:r>
          </w:p>
          <w:p w14:paraId="232A9F64">
            <w:pPr>
              <w:pStyle w:val="5"/>
              <w:ind w:firstLine="492"/>
              <w:jc w:val="left"/>
            </w:pPr>
            <w:r>
              <w:rPr>
                <w:rFonts w:ascii="仿宋_GB2312" w:hAnsi="仿宋_GB2312" w:eastAsia="仿宋_GB2312" w:cs="仿宋_GB2312"/>
                <w:sz w:val="24"/>
              </w:rPr>
              <w:t>（2）兼容性适配：操作系统、运行环境（国产信创适配），第三方库/API兼容性检查。</w:t>
            </w:r>
          </w:p>
          <w:p w14:paraId="680710F5">
            <w:pPr>
              <w:pStyle w:val="5"/>
              <w:ind w:firstLine="492"/>
              <w:jc w:val="both"/>
            </w:pPr>
            <w:r>
              <w:rPr>
                <w:rFonts w:ascii="仿宋_GB2312" w:hAnsi="仿宋_GB2312" w:eastAsia="仿宋_GB2312" w:cs="仿宋_GB2312"/>
                <w:sz w:val="24"/>
              </w:rPr>
              <w:t>（3）功能测试：单元测试、集成测试、端到端测试，回归测试（确保原有功能不受影响）。</w:t>
            </w:r>
          </w:p>
          <w:p w14:paraId="14160A7C">
            <w:pPr>
              <w:pStyle w:val="5"/>
              <w:ind w:firstLine="492"/>
              <w:jc w:val="left"/>
            </w:pPr>
            <w:r>
              <w:rPr>
                <w:rFonts w:ascii="仿宋_GB2312" w:hAnsi="仿宋_GB2312" w:eastAsia="仿宋_GB2312" w:cs="仿宋_GB2312"/>
                <w:sz w:val="24"/>
              </w:rPr>
              <w:t>5.用户与权限迁移</w:t>
            </w:r>
          </w:p>
          <w:p w14:paraId="1DE02C0C">
            <w:pPr>
              <w:pStyle w:val="5"/>
              <w:ind w:firstLine="492"/>
              <w:jc w:val="left"/>
            </w:pPr>
            <w:r>
              <w:rPr>
                <w:rFonts w:ascii="仿宋_GB2312" w:hAnsi="仿宋_GB2312" w:eastAsia="仿宋_GB2312" w:cs="仿宋_GB2312"/>
                <w:sz w:val="24"/>
              </w:rPr>
              <w:t>（1）身份认证迁移：以蓉政通作为统一身份认证。</w:t>
            </w:r>
          </w:p>
          <w:p w14:paraId="3581EA50">
            <w:pPr>
              <w:pStyle w:val="5"/>
              <w:ind w:firstLine="492"/>
              <w:jc w:val="left"/>
            </w:pPr>
            <w:r>
              <w:rPr>
                <w:rFonts w:ascii="仿宋_GB2312" w:hAnsi="仿宋_GB2312" w:eastAsia="仿宋_GB2312" w:cs="仿宋_GB2312"/>
                <w:sz w:val="24"/>
              </w:rPr>
              <w:t>（2）权限模型调整：RBAC（基于角色的访问控制）迁移，数据权限（如行级/列级安全）适配。</w:t>
            </w:r>
          </w:p>
          <w:p w14:paraId="6A858541">
            <w:pPr>
              <w:pStyle w:val="5"/>
              <w:ind w:firstLine="492"/>
              <w:jc w:val="left"/>
            </w:pPr>
            <w:r>
              <w:rPr>
                <w:rFonts w:ascii="仿宋_GB2312" w:hAnsi="仿宋_GB2312" w:eastAsia="仿宋_GB2312" w:cs="仿宋_GB2312"/>
                <w:sz w:val="24"/>
              </w:rPr>
              <w:t>6.网络与安全迁移</w:t>
            </w:r>
          </w:p>
          <w:p w14:paraId="38CB475A">
            <w:pPr>
              <w:pStyle w:val="5"/>
              <w:ind w:firstLine="492"/>
              <w:jc w:val="left"/>
            </w:pPr>
            <w:r>
              <w:rPr>
                <w:rFonts w:ascii="仿宋_GB2312" w:hAnsi="仿宋_GB2312" w:eastAsia="仿宋_GB2312" w:cs="仿宋_GB2312"/>
                <w:sz w:val="24"/>
              </w:rPr>
              <w:t>（1）网络架构调整：VPN/专线配置，DNS切换。</w:t>
            </w:r>
          </w:p>
          <w:p w14:paraId="7112C37C">
            <w:pPr>
              <w:pStyle w:val="5"/>
              <w:ind w:firstLine="492"/>
              <w:jc w:val="left"/>
            </w:pPr>
            <w:r>
              <w:rPr>
                <w:rFonts w:ascii="仿宋_GB2312" w:hAnsi="仿宋_GB2312" w:eastAsia="仿宋_GB2312" w:cs="仿宋_GB2312"/>
                <w:sz w:val="24"/>
              </w:rPr>
              <w:t>（2）安全策略迁移：防火墙规则、安全组、WAF策略同步。加密方式升级。</w:t>
            </w:r>
          </w:p>
          <w:p w14:paraId="635C7BEC">
            <w:pPr>
              <w:pStyle w:val="5"/>
              <w:ind w:firstLine="492"/>
              <w:jc w:val="left"/>
            </w:pPr>
            <w:r>
              <w:rPr>
                <w:rFonts w:ascii="仿宋_GB2312" w:hAnsi="仿宋_GB2312" w:eastAsia="仿宋_GB2312" w:cs="仿宋_GB2312"/>
                <w:sz w:val="24"/>
              </w:rPr>
              <w:t>7.测试与验证</w:t>
            </w:r>
          </w:p>
          <w:p w14:paraId="543B0729">
            <w:pPr>
              <w:pStyle w:val="5"/>
              <w:ind w:firstLine="492"/>
              <w:jc w:val="left"/>
            </w:pPr>
            <w:r>
              <w:rPr>
                <w:rFonts w:ascii="仿宋_GB2312" w:hAnsi="仿宋_GB2312" w:eastAsia="仿宋_GB2312" w:cs="仿宋_GB2312"/>
                <w:sz w:val="24"/>
              </w:rPr>
              <w:t>（1）性能测试：负载测试（模拟高并发），延迟、吞吐量优化。</w:t>
            </w:r>
          </w:p>
          <w:p w14:paraId="46DB66A7">
            <w:pPr>
              <w:pStyle w:val="5"/>
              <w:ind w:firstLine="492"/>
              <w:jc w:val="left"/>
            </w:pPr>
            <w:r>
              <w:rPr>
                <w:rFonts w:ascii="仿宋_GB2312" w:hAnsi="仿宋_GB2312" w:eastAsia="仿宋_GB2312" w:cs="仿宋_GB2312"/>
                <w:sz w:val="24"/>
              </w:rPr>
              <w:t>（2）灾难恢复测试：备份恢复验证，故障切换测试。</w:t>
            </w:r>
          </w:p>
          <w:p w14:paraId="1B1D98C5">
            <w:pPr>
              <w:pStyle w:val="5"/>
              <w:ind w:firstLine="492"/>
              <w:jc w:val="left"/>
            </w:pPr>
            <w:r>
              <w:rPr>
                <w:rFonts w:ascii="仿宋_GB2312" w:hAnsi="仿宋_GB2312" w:eastAsia="仿宋_GB2312" w:cs="仿宋_GB2312"/>
                <w:sz w:val="24"/>
              </w:rPr>
              <w:t>（3）用户验收测试：关键业务用户验证系统功能。</w:t>
            </w:r>
          </w:p>
          <w:p w14:paraId="5C53D1F2">
            <w:pPr>
              <w:pStyle w:val="5"/>
              <w:ind w:firstLine="492"/>
              <w:jc w:val="left"/>
            </w:pPr>
            <w:r>
              <w:rPr>
                <w:rFonts w:ascii="仿宋_GB2312" w:hAnsi="仿宋_GB2312" w:eastAsia="仿宋_GB2312" w:cs="仿宋_GB2312"/>
                <w:sz w:val="24"/>
              </w:rPr>
              <w:t>8.切换与回滚计划</w:t>
            </w:r>
          </w:p>
          <w:p w14:paraId="74A5E6C0">
            <w:pPr>
              <w:pStyle w:val="5"/>
              <w:ind w:firstLine="492"/>
              <w:jc w:val="left"/>
            </w:pPr>
            <w:r>
              <w:rPr>
                <w:rFonts w:ascii="仿宋_GB2312" w:hAnsi="仿宋_GB2312" w:eastAsia="仿宋_GB2312" w:cs="仿宋_GB2312"/>
                <w:sz w:val="24"/>
              </w:rPr>
              <w:t>（1）切换策略：停机窗口安排（如夜间切换），数据同步最终一致性保障。</w:t>
            </w:r>
          </w:p>
          <w:p w14:paraId="288844BF">
            <w:pPr>
              <w:pStyle w:val="5"/>
              <w:ind w:firstLine="492"/>
              <w:jc w:val="left"/>
            </w:pPr>
            <w:r>
              <w:rPr>
                <w:rFonts w:ascii="仿宋_GB2312" w:hAnsi="仿宋_GB2312" w:eastAsia="仿宋_GB2312" w:cs="仿宋_GB2312"/>
                <w:sz w:val="24"/>
              </w:rPr>
              <w:t>（2）回滚方案：定义回滚触发条件（如数据不一致、性能不达标），保留旧系统备份，确保快速回退。</w:t>
            </w:r>
          </w:p>
        </w:tc>
      </w:tr>
      <w:tr w14:paraId="7782AB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39F314">
            <w:pPr>
              <w:pStyle w:val="5"/>
              <w:jc w:val="center"/>
            </w:pPr>
            <w:r>
              <w:rPr>
                <w:rFonts w:ascii="仿宋_GB2312" w:hAnsi="仿宋_GB2312" w:eastAsia="仿宋_GB2312" w:cs="仿宋_GB2312"/>
              </w:rPr>
              <w:t>3</w:t>
            </w:r>
          </w:p>
        </w:tc>
        <w:tc>
          <w:tcPr>
            <w:tcW w:w="581" w:type="dxa"/>
          </w:tcPr>
          <w:p w14:paraId="5B3BA689">
            <w:pPr>
              <w:pStyle w:val="5"/>
              <w:jc w:val="center"/>
            </w:pPr>
            <w:r>
              <w:rPr>
                <w:rFonts w:ascii="仿宋_GB2312" w:hAnsi="仿宋_GB2312" w:eastAsia="仿宋_GB2312" w:cs="仿宋_GB2312"/>
              </w:rPr>
              <w:t>★</w:t>
            </w:r>
          </w:p>
        </w:tc>
        <w:tc>
          <w:tcPr>
            <w:tcW w:w="1495" w:type="dxa"/>
          </w:tcPr>
          <w:p w14:paraId="651958F9">
            <w:pPr>
              <w:pStyle w:val="5"/>
              <w:jc w:val="left"/>
            </w:pPr>
            <w:r>
              <w:rPr>
                <w:rFonts w:ascii="仿宋_GB2312" w:hAnsi="仿宋_GB2312" w:eastAsia="仿宋_GB2312" w:cs="仿宋_GB2312"/>
              </w:rPr>
              <w:t>基础支撑及系统对接</w:t>
            </w:r>
          </w:p>
        </w:tc>
        <w:tc>
          <w:tcPr>
            <w:tcW w:w="5814" w:type="dxa"/>
          </w:tcPr>
          <w:p w14:paraId="0F2756F1">
            <w:pPr>
              <w:pStyle w:val="5"/>
              <w:ind w:firstLine="492"/>
              <w:jc w:val="left"/>
            </w:pPr>
            <w:r>
              <w:rPr>
                <w:rFonts w:ascii="仿宋_GB2312" w:hAnsi="仿宋_GB2312" w:eastAsia="仿宋_GB2312" w:cs="仿宋_GB2312"/>
                <w:sz w:val="24"/>
              </w:rPr>
              <w:t>本项目涉及的14个系统中，城市物联感知平台、一网统管等7个系统产生的数据全部汇聚到数据中台，实现数据的统一管理。同时，数据对外共享由数据中台统一提供。</w:t>
            </w:r>
          </w:p>
          <w:p w14:paraId="17182C45">
            <w:pPr>
              <w:pStyle w:val="5"/>
              <w:ind w:firstLine="492"/>
              <w:jc w:val="left"/>
            </w:pPr>
            <w:r>
              <w:rPr>
                <w:rFonts w:ascii="仿宋_GB2312" w:hAnsi="仿宋_GB2312" w:eastAsia="仿宋_GB2312" w:cs="仿宋_GB2312"/>
                <w:sz w:val="24"/>
              </w:rPr>
              <w:t>（一）数据资源清单</w:t>
            </w:r>
          </w:p>
          <w:p w14:paraId="13154E6C">
            <w:pPr>
              <w:pStyle w:val="5"/>
              <w:ind w:firstLine="492"/>
              <w:jc w:val="left"/>
            </w:pPr>
            <w:r>
              <w:rPr>
                <w:rFonts w:ascii="仿宋_GB2312" w:hAnsi="仿宋_GB2312" w:eastAsia="仿宋_GB2312" w:cs="仿宋_GB2312"/>
                <w:sz w:val="24"/>
              </w:rPr>
              <w:t>本项目涉及的14个系统数据资源，待成交供应商确定后另行提供。</w:t>
            </w:r>
          </w:p>
          <w:p w14:paraId="781C3643">
            <w:pPr>
              <w:pStyle w:val="5"/>
              <w:ind w:firstLine="492"/>
              <w:jc w:val="left"/>
            </w:pPr>
            <w:r>
              <w:rPr>
                <w:rFonts w:ascii="仿宋_GB2312" w:hAnsi="仿宋_GB2312" w:eastAsia="仿宋_GB2312" w:cs="仿宋_GB2312"/>
                <w:sz w:val="24"/>
              </w:rPr>
              <w:t>（二）数据资源需求清单</w:t>
            </w:r>
          </w:p>
          <w:p w14:paraId="2358FCD1">
            <w:pPr>
              <w:pStyle w:val="5"/>
              <w:ind w:firstLine="492"/>
              <w:jc w:val="left"/>
            </w:pPr>
            <w:r>
              <w:rPr>
                <w:rFonts w:ascii="仿宋_GB2312" w:hAnsi="仿宋_GB2312" w:eastAsia="仿宋_GB2312" w:cs="仿宋_GB2312"/>
                <w:sz w:val="24"/>
              </w:rPr>
              <w:t>本运维项目涉及的14个系统中，物联网视频平台、数据中台、统一应用门户、一网统管等8个系统的数据资源需求主要涉及新津区区级各单位，具体数据需求清单，待成交供应商确定后另行提供。成交供应商需做好相关对接运维工作。</w:t>
            </w:r>
          </w:p>
          <w:p w14:paraId="286FA1AC">
            <w:pPr>
              <w:pStyle w:val="5"/>
              <w:ind w:firstLine="492"/>
              <w:jc w:val="left"/>
            </w:pPr>
            <w:r>
              <w:rPr>
                <w:rFonts w:ascii="仿宋_GB2312" w:hAnsi="仿宋_GB2312" w:eastAsia="仿宋_GB2312" w:cs="仿宋_GB2312"/>
                <w:sz w:val="24"/>
              </w:rPr>
              <w:t>（三）数据资源共享清单</w:t>
            </w:r>
          </w:p>
          <w:p w14:paraId="5FB5BEA4">
            <w:pPr>
              <w:pStyle w:val="5"/>
              <w:ind w:firstLine="492"/>
              <w:jc w:val="left"/>
            </w:pPr>
            <w:r>
              <w:rPr>
                <w:rFonts w:ascii="仿宋_GB2312" w:hAnsi="仿宋_GB2312" w:eastAsia="仿宋_GB2312" w:cs="仿宋_GB2312"/>
                <w:sz w:val="24"/>
              </w:rPr>
              <w:t>为保证数据的统一管理和对外共享数据的一致性，本项目涉及的14个系统中，城市物联感知平台、一网统管等7个系统的数据均汇聚到数据中台，经治理后统一对外提供共享。相关共享清单，待成交供应商确定后另行提供。</w:t>
            </w:r>
          </w:p>
          <w:p w14:paraId="47CACDB1">
            <w:pPr>
              <w:pStyle w:val="5"/>
              <w:ind w:firstLine="492"/>
              <w:jc w:val="left"/>
            </w:pPr>
            <w:r>
              <w:rPr>
                <w:rFonts w:ascii="仿宋_GB2312" w:hAnsi="仿宋_GB2312" w:eastAsia="仿宋_GB2312" w:cs="仿宋_GB2312"/>
                <w:sz w:val="24"/>
              </w:rPr>
              <w:t>（四）数据灾备</w:t>
            </w:r>
          </w:p>
          <w:p w14:paraId="07803B3B">
            <w:pPr>
              <w:pStyle w:val="5"/>
              <w:ind w:firstLine="492"/>
              <w:jc w:val="left"/>
            </w:pPr>
            <w:r>
              <w:rPr>
                <w:rFonts w:ascii="仿宋_GB2312" w:hAnsi="仿宋_GB2312" w:eastAsia="仿宋_GB2312" w:cs="仿宋_GB2312"/>
                <w:sz w:val="24"/>
              </w:rPr>
              <w:t>通过成都市政务数据灾备服务平台实现本地系统备份和数据灾备中心异地数据备份，以满足保障信息系统和业务数据的完整性以及备份恢复。系统和数据备份工作的实施由运维服务供应商实施。</w:t>
            </w:r>
          </w:p>
          <w:p w14:paraId="6D667B16">
            <w:pPr>
              <w:pStyle w:val="5"/>
              <w:ind w:firstLine="492"/>
              <w:jc w:val="left"/>
            </w:pPr>
            <w:r>
              <w:rPr>
                <w:rFonts w:ascii="仿宋_GB2312" w:hAnsi="仿宋_GB2312" w:eastAsia="仿宋_GB2312" w:cs="仿宋_GB2312"/>
                <w:sz w:val="24"/>
              </w:rPr>
              <w:t>1.备份的原则</w:t>
            </w:r>
          </w:p>
          <w:p w14:paraId="025839E7">
            <w:pPr>
              <w:pStyle w:val="5"/>
              <w:ind w:firstLine="492"/>
              <w:jc w:val="left"/>
            </w:pPr>
            <w:r>
              <w:rPr>
                <w:rFonts w:ascii="仿宋_GB2312" w:hAnsi="仿宋_GB2312" w:eastAsia="仿宋_GB2312" w:cs="仿宋_GB2312"/>
                <w:sz w:val="24"/>
              </w:rPr>
              <w:t>对数据进行备份是为了保证数据的一致性和完整性，消除系统使用者和操作者的后顾之忧。不同的应用环境要求不同的解决方案来适应，一般来说，一个完善的备份策略，应满足以下原则：</w:t>
            </w:r>
          </w:p>
          <w:p w14:paraId="2B6C87E1">
            <w:pPr>
              <w:pStyle w:val="5"/>
              <w:ind w:firstLine="492"/>
              <w:jc w:val="left"/>
            </w:pPr>
            <w:r>
              <w:rPr>
                <w:rFonts w:ascii="仿宋_GB2312" w:hAnsi="仿宋_GB2312" w:eastAsia="仿宋_GB2312" w:cs="仿宋_GB2312"/>
                <w:sz w:val="24"/>
              </w:rPr>
              <w:t>实时性</w:t>
            </w:r>
          </w:p>
          <w:p w14:paraId="3DF72272">
            <w:pPr>
              <w:pStyle w:val="5"/>
              <w:ind w:firstLine="492"/>
              <w:jc w:val="left"/>
            </w:pPr>
            <w:r>
              <w:rPr>
                <w:rFonts w:ascii="仿宋_GB2312" w:hAnsi="仿宋_GB2312" w:eastAsia="仿宋_GB2312" w:cs="仿宋_GB2312"/>
                <w:sz w:val="24"/>
              </w:rPr>
              <w:t>业务数据备份的时候，数据库可能仍然处于打开的状态。那么在进行备份的时候，要采取措施，实时地进行事务跟踪、查看数据库状态，以保证正确地备份系统中的所有数据。</w:t>
            </w:r>
          </w:p>
          <w:p w14:paraId="10FAAD14">
            <w:pPr>
              <w:pStyle w:val="5"/>
              <w:ind w:firstLine="492"/>
              <w:jc w:val="left"/>
            </w:pPr>
            <w:r>
              <w:rPr>
                <w:rFonts w:ascii="仿宋_GB2312" w:hAnsi="仿宋_GB2312" w:eastAsia="仿宋_GB2312" w:cs="仿宋_GB2312"/>
                <w:sz w:val="24"/>
              </w:rPr>
              <w:t>高性能</w:t>
            </w:r>
          </w:p>
          <w:p w14:paraId="5A3E81B8">
            <w:pPr>
              <w:pStyle w:val="5"/>
              <w:ind w:firstLine="492"/>
              <w:jc w:val="left"/>
            </w:pPr>
            <w:r>
              <w:rPr>
                <w:rFonts w:ascii="仿宋_GB2312" w:hAnsi="仿宋_GB2312" w:eastAsia="仿宋_GB2312" w:cs="仿宋_GB2312"/>
                <w:sz w:val="24"/>
              </w:rPr>
              <w:t>随着业务的不断发展，数据越来越多，更新越来越快，在休息时间来不及备份如此多的内容，在工作时间备份又会影响系统性能。这就要求在设计备份方案时，应尽量考虑提高数据备份的速度，提高数据备份的性能。</w:t>
            </w:r>
          </w:p>
          <w:p w14:paraId="6CF86AE4">
            <w:pPr>
              <w:pStyle w:val="5"/>
              <w:ind w:firstLine="492"/>
              <w:jc w:val="left"/>
            </w:pPr>
            <w:r>
              <w:rPr>
                <w:rFonts w:ascii="仿宋_GB2312" w:hAnsi="仿宋_GB2312" w:eastAsia="仿宋_GB2312" w:cs="仿宋_GB2312"/>
                <w:sz w:val="24"/>
              </w:rPr>
              <w:t>易管理</w:t>
            </w:r>
          </w:p>
          <w:p w14:paraId="21C2BB2D">
            <w:pPr>
              <w:pStyle w:val="5"/>
              <w:ind w:firstLine="492"/>
              <w:jc w:val="left"/>
            </w:pPr>
            <w:r>
              <w:rPr>
                <w:rFonts w:ascii="仿宋_GB2312" w:hAnsi="仿宋_GB2312" w:eastAsia="仿宋_GB2312" w:cs="仿宋_GB2312"/>
                <w:sz w:val="24"/>
              </w:rPr>
              <w:t>数据备份应用于不同领域，系统管理员的专业技能也处于不同的层次。这就要求一个好的备份方案操作应简单直观，以便缩短操作人员的学习时间，减轻操作人员的工作压力，使备份工作得以轻松地设置和完成。</w:t>
            </w:r>
          </w:p>
          <w:p w14:paraId="66083373">
            <w:pPr>
              <w:pStyle w:val="5"/>
              <w:ind w:firstLine="492"/>
              <w:jc w:val="left"/>
            </w:pPr>
            <w:r>
              <w:rPr>
                <w:rFonts w:ascii="仿宋_GB2312" w:hAnsi="仿宋_GB2312" w:eastAsia="仿宋_GB2312" w:cs="仿宋_GB2312"/>
                <w:sz w:val="24"/>
              </w:rPr>
              <w:t>2.数据库备份方式分析</w:t>
            </w:r>
          </w:p>
          <w:p w14:paraId="6A89D996">
            <w:pPr>
              <w:pStyle w:val="5"/>
              <w:ind w:firstLine="492"/>
              <w:jc w:val="left"/>
            </w:pPr>
            <w:r>
              <w:rPr>
                <w:rFonts w:ascii="仿宋_GB2312" w:hAnsi="仿宋_GB2312" w:eastAsia="仿宋_GB2312" w:cs="仿宋_GB2312"/>
                <w:sz w:val="24"/>
              </w:rPr>
              <w:t>按照备份数据库的大小数据库备份有四种类型，分别应用于不同的场合，下面进行简要介绍。</w:t>
            </w:r>
          </w:p>
          <w:p w14:paraId="2AFCC6B9">
            <w:pPr>
              <w:pStyle w:val="5"/>
              <w:ind w:firstLine="492"/>
              <w:jc w:val="left"/>
            </w:pPr>
            <w:r>
              <w:rPr>
                <w:rFonts w:ascii="仿宋_GB2312" w:hAnsi="仿宋_GB2312" w:eastAsia="仿宋_GB2312" w:cs="仿宋_GB2312"/>
                <w:sz w:val="24"/>
              </w:rPr>
              <w:t>（1）完全备份</w:t>
            </w:r>
          </w:p>
          <w:p w14:paraId="0081943F">
            <w:pPr>
              <w:pStyle w:val="5"/>
              <w:ind w:firstLine="492"/>
              <w:jc w:val="left"/>
            </w:pPr>
            <w:r>
              <w:rPr>
                <w:rFonts w:ascii="仿宋_GB2312" w:hAnsi="仿宋_GB2312" w:eastAsia="仿宋_GB2312" w:cs="仿宋_GB2312"/>
                <w:sz w:val="24"/>
              </w:rPr>
              <w:t>这是大多数人常用的方式，它可以备份整个数据库，包含用户表、系统表、索引、视图和存储过程等所有数据库对象。但它需要花费更多的时间和空间，所以，一般推荐一周做一次完全备份。</w:t>
            </w:r>
          </w:p>
          <w:p w14:paraId="656C7747">
            <w:pPr>
              <w:pStyle w:val="5"/>
              <w:ind w:firstLine="492"/>
              <w:jc w:val="left"/>
            </w:pPr>
            <w:r>
              <w:rPr>
                <w:rFonts w:ascii="仿宋_GB2312" w:hAnsi="仿宋_GB2312" w:eastAsia="仿宋_GB2312" w:cs="仿宋_GB2312"/>
                <w:sz w:val="24"/>
              </w:rPr>
              <w:t>（2）事务日志备份</w:t>
            </w:r>
          </w:p>
          <w:p w14:paraId="278B26B5">
            <w:pPr>
              <w:pStyle w:val="5"/>
              <w:ind w:firstLine="492"/>
              <w:jc w:val="left"/>
            </w:pPr>
            <w:r>
              <w:rPr>
                <w:rFonts w:ascii="仿宋_GB2312" w:hAnsi="仿宋_GB2312" w:eastAsia="仿宋_GB2312" w:cs="仿宋_GB2312"/>
                <w:sz w:val="24"/>
              </w:rPr>
              <w:t>事务日志是一个单独的文件，它记录数据库的改变，备份的时候只需要复制自上次备份以来对数据库所做的改变，所以只需要很少的时间。为了使数据库具有鲁棒性，推荐每小时甚至更频繁的备份事务日志。</w:t>
            </w:r>
          </w:p>
          <w:p w14:paraId="41D63CE8">
            <w:pPr>
              <w:pStyle w:val="5"/>
              <w:ind w:firstLine="492"/>
              <w:jc w:val="left"/>
            </w:pPr>
            <w:r>
              <w:rPr>
                <w:rFonts w:ascii="仿宋_GB2312" w:hAnsi="仿宋_GB2312" w:eastAsia="仿宋_GB2312" w:cs="仿宋_GB2312"/>
                <w:sz w:val="24"/>
              </w:rPr>
              <w:t>（3）差异备份</w:t>
            </w:r>
          </w:p>
          <w:p w14:paraId="63B7D544">
            <w:pPr>
              <w:pStyle w:val="5"/>
              <w:ind w:firstLine="492"/>
              <w:jc w:val="left"/>
            </w:pPr>
            <w:r>
              <w:rPr>
                <w:rFonts w:ascii="仿宋_GB2312" w:hAnsi="仿宋_GB2312" w:eastAsia="仿宋_GB2312" w:cs="仿宋_GB2312"/>
                <w:sz w:val="24"/>
              </w:rPr>
              <w:t>也叫增量备份。它是只备份数据库一部分的另一种方法，它不使用事务日志，相反，它使用整个数据库的一种新映像。它比最初的完全备份小，因为它只包含自上次完全备份以来所改变的数据库。它的优点是存储和恢复速度快。推荐每天做一次差异备份。</w:t>
            </w:r>
          </w:p>
          <w:p w14:paraId="64AABCE0">
            <w:pPr>
              <w:pStyle w:val="5"/>
              <w:ind w:firstLine="492"/>
              <w:jc w:val="left"/>
            </w:pPr>
            <w:r>
              <w:rPr>
                <w:rFonts w:ascii="仿宋_GB2312" w:hAnsi="仿宋_GB2312" w:eastAsia="仿宋_GB2312" w:cs="仿宋_GB2312"/>
                <w:sz w:val="24"/>
              </w:rPr>
              <w:t>（4）文件备份</w:t>
            </w:r>
          </w:p>
          <w:p w14:paraId="4C1CB36C">
            <w:pPr>
              <w:pStyle w:val="5"/>
              <w:ind w:firstLine="492"/>
              <w:jc w:val="left"/>
            </w:pPr>
            <w:r>
              <w:rPr>
                <w:rFonts w:ascii="仿宋_GB2312" w:hAnsi="仿宋_GB2312" w:eastAsia="仿宋_GB2312" w:cs="仿宋_GB2312"/>
                <w:sz w:val="24"/>
              </w:rPr>
              <w:t>数据库可以由硬盘上的许多文件构成。如果这个数据库非常大，并且一个晚上也不能将它备份完，那么可以使用文件备份每晚备份数据库的一部分。由于一般情况下数据库不会大到必须使用多个文件存储，所以这种备份不是很常用。</w:t>
            </w:r>
          </w:p>
          <w:p w14:paraId="30711F9A">
            <w:pPr>
              <w:pStyle w:val="5"/>
              <w:ind w:firstLine="492"/>
              <w:jc w:val="left"/>
            </w:pPr>
            <w:r>
              <w:rPr>
                <w:rFonts w:ascii="仿宋_GB2312" w:hAnsi="仿宋_GB2312" w:eastAsia="仿宋_GB2312" w:cs="仿宋_GB2312"/>
                <w:sz w:val="24"/>
              </w:rPr>
              <w:t>按照数据库的状态可分为三种：</w:t>
            </w:r>
          </w:p>
          <w:p w14:paraId="24AD2376">
            <w:pPr>
              <w:pStyle w:val="5"/>
              <w:ind w:firstLine="492"/>
              <w:jc w:val="left"/>
            </w:pPr>
            <w:r>
              <w:rPr>
                <w:rFonts w:ascii="仿宋_GB2312" w:hAnsi="仿宋_GB2312" w:eastAsia="仿宋_GB2312" w:cs="仿宋_GB2312"/>
                <w:sz w:val="24"/>
              </w:rPr>
              <w:t>冷备份，此时数据库处于关闭状态，能够较好地保证数据库的完整性。</w:t>
            </w:r>
          </w:p>
          <w:p w14:paraId="0E1EE8BC">
            <w:pPr>
              <w:pStyle w:val="5"/>
              <w:ind w:firstLine="492"/>
              <w:jc w:val="left"/>
            </w:pPr>
            <w:r>
              <w:rPr>
                <w:rFonts w:ascii="仿宋_GB2312" w:hAnsi="仿宋_GB2312" w:eastAsia="仿宋_GB2312" w:cs="仿宋_GB2312"/>
                <w:sz w:val="24"/>
              </w:rPr>
              <w:t>热备份，数据库正处于运行状态，这种方法依赖于数据库的日志文件进行备份。</w:t>
            </w:r>
          </w:p>
          <w:p w14:paraId="16B1E64D">
            <w:pPr>
              <w:pStyle w:val="5"/>
              <w:ind w:firstLine="492"/>
              <w:jc w:val="left"/>
            </w:pPr>
            <w:r>
              <w:rPr>
                <w:rFonts w:ascii="仿宋_GB2312" w:hAnsi="仿宋_GB2312" w:eastAsia="仿宋_GB2312" w:cs="仿宋_GB2312"/>
                <w:sz w:val="24"/>
              </w:rPr>
              <w:t>逻辑备份，使用软件从数据库中提取数据并将结果写到一个文件上。</w:t>
            </w:r>
          </w:p>
          <w:p w14:paraId="4D46A44C">
            <w:pPr>
              <w:pStyle w:val="5"/>
              <w:ind w:firstLine="492"/>
              <w:jc w:val="left"/>
            </w:pPr>
            <w:r>
              <w:rPr>
                <w:rFonts w:ascii="仿宋_GB2312" w:hAnsi="仿宋_GB2312" w:eastAsia="仿宋_GB2312" w:cs="仿宋_GB2312"/>
                <w:sz w:val="24"/>
              </w:rPr>
              <w:t>3.数据备份策略建议</w:t>
            </w:r>
          </w:p>
          <w:p w14:paraId="6CB5E86B">
            <w:pPr>
              <w:pStyle w:val="5"/>
              <w:ind w:firstLine="492"/>
              <w:jc w:val="left"/>
            </w:pPr>
            <w:r>
              <w:rPr>
                <w:rFonts w:ascii="仿宋_GB2312" w:hAnsi="仿宋_GB2312" w:eastAsia="仿宋_GB2312" w:cs="仿宋_GB2312"/>
                <w:sz w:val="24"/>
              </w:rPr>
              <w:t>（1）确定备份对象</w:t>
            </w:r>
          </w:p>
          <w:p w14:paraId="7E99A430">
            <w:pPr>
              <w:pStyle w:val="5"/>
              <w:ind w:firstLine="492"/>
              <w:jc w:val="left"/>
            </w:pPr>
            <w:r>
              <w:rPr>
                <w:rFonts w:ascii="仿宋_GB2312" w:hAnsi="仿宋_GB2312" w:eastAsia="仿宋_GB2312" w:cs="仿宋_GB2312"/>
                <w:sz w:val="24"/>
              </w:rPr>
              <w:t>明确需要备份的数据对象，本项目涉及包括数据库、文件服务器等。</w:t>
            </w:r>
          </w:p>
          <w:p w14:paraId="41C1E539">
            <w:pPr>
              <w:pStyle w:val="5"/>
              <w:ind w:firstLine="492"/>
              <w:jc w:val="left"/>
            </w:pPr>
            <w:r>
              <w:rPr>
                <w:rFonts w:ascii="仿宋_GB2312" w:hAnsi="仿宋_GB2312" w:eastAsia="仿宋_GB2312" w:cs="仿宋_GB2312"/>
                <w:sz w:val="24"/>
              </w:rPr>
              <w:t>（2）备份类型</w:t>
            </w:r>
          </w:p>
          <w:p w14:paraId="5DB84061">
            <w:pPr>
              <w:pStyle w:val="5"/>
              <w:ind w:firstLine="492"/>
              <w:jc w:val="left"/>
            </w:pPr>
            <w:r>
              <w:rPr>
                <w:rFonts w:ascii="仿宋_GB2312" w:hAnsi="仿宋_GB2312" w:eastAsia="仿宋_GB2312" w:cs="仿宋_GB2312"/>
                <w:sz w:val="24"/>
              </w:rPr>
              <w:t>完全备份：备份整个数据集。适用于数据量不大，或者数据变化不频繁的场景。</w:t>
            </w:r>
          </w:p>
          <w:p w14:paraId="0F488407">
            <w:pPr>
              <w:pStyle w:val="5"/>
              <w:ind w:firstLine="492"/>
              <w:jc w:val="left"/>
            </w:pPr>
            <w:r>
              <w:rPr>
                <w:rFonts w:ascii="仿宋_GB2312" w:hAnsi="仿宋_GB2312" w:eastAsia="仿宋_GB2312" w:cs="仿宋_GB2312"/>
                <w:sz w:val="24"/>
              </w:rPr>
              <w:t>增量备份：只备份自上次备份以来发生变化的数据。可以节省存储空间和时间，但恢复数据可能需要多个备份文件。</w:t>
            </w:r>
          </w:p>
          <w:p w14:paraId="0323B614">
            <w:pPr>
              <w:pStyle w:val="5"/>
              <w:ind w:firstLine="492"/>
              <w:jc w:val="left"/>
            </w:pPr>
            <w:r>
              <w:rPr>
                <w:rFonts w:ascii="仿宋_GB2312" w:hAnsi="仿宋_GB2312" w:eastAsia="仿宋_GB2312" w:cs="仿宋_GB2312"/>
                <w:sz w:val="24"/>
              </w:rPr>
              <w:t>差异备份：备份自上次完全备份以来发生变化的数据。在恢复数据时只需要一个完全备份和一个差异备份。</w:t>
            </w:r>
          </w:p>
          <w:p w14:paraId="72924E54">
            <w:pPr>
              <w:pStyle w:val="5"/>
              <w:ind w:firstLine="492"/>
              <w:jc w:val="left"/>
            </w:pPr>
            <w:r>
              <w:rPr>
                <w:rFonts w:ascii="仿宋_GB2312" w:hAnsi="仿宋_GB2312" w:eastAsia="仿宋_GB2312" w:cs="仿宋_GB2312"/>
                <w:sz w:val="24"/>
              </w:rPr>
              <w:t>（3）设定备份频率</w:t>
            </w:r>
          </w:p>
          <w:p w14:paraId="5B58FC6E">
            <w:pPr>
              <w:pStyle w:val="5"/>
              <w:ind w:firstLine="492"/>
              <w:jc w:val="left"/>
            </w:pPr>
            <w:r>
              <w:rPr>
                <w:rFonts w:ascii="仿宋_GB2312" w:hAnsi="仿宋_GB2312" w:eastAsia="仿宋_GB2312" w:cs="仿宋_GB2312"/>
                <w:sz w:val="24"/>
              </w:rPr>
              <w:t>根据数据的重要性和变化率，设定合适的备份频率。例如，关键业务数据可能需要每天备份，而一些非关键数据可能每周或每月备份一次。</w:t>
            </w:r>
          </w:p>
          <w:p w14:paraId="24743831">
            <w:pPr>
              <w:pStyle w:val="5"/>
              <w:ind w:firstLine="492"/>
              <w:jc w:val="left"/>
            </w:pPr>
            <w:r>
              <w:rPr>
                <w:rFonts w:ascii="仿宋_GB2312" w:hAnsi="仿宋_GB2312" w:eastAsia="仿宋_GB2312" w:cs="仿宋_GB2312"/>
                <w:sz w:val="24"/>
              </w:rPr>
              <w:t>（4）选择备份存储介质</w:t>
            </w:r>
          </w:p>
          <w:p w14:paraId="590755BE">
            <w:pPr>
              <w:pStyle w:val="5"/>
              <w:ind w:firstLine="492"/>
              <w:jc w:val="left"/>
            </w:pPr>
            <w:r>
              <w:rPr>
                <w:rFonts w:ascii="仿宋_GB2312" w:hAnsi="仿宋_GB2312" w:eastAsia="仿宋_GB2312" w:cs="仿宋_GB2312"/>
                <w:sz w:val="24"/>
              </w:rPr>
              <w:t>本地存储：如硬盘、磁带等。</w:t>
            </w:r>
          </w:p>
          <w:p w14:paraId="2C9A5283">
            <w:pPr>
              <w:pStyle w:val="5"/>
              <w:ind w:firstLine="492"/>
              <w:jc w:val="left"/>
            </w:pPr>
            <w:r>
              <w:rPr>
                <w:rFonts w:ascii="仿宋_GB2312" w:hAnsi="仿宋_GB2312" w:eastAsia="仿宋_GB2312" w:cs="仿宋_GB2312"/>
                <w:sz w:val="24"/>
              </w:rPr>
              <w:t>远程存储：如云存储、离线存储等。</w:t>
            </w:r>
          </w:p>
          <w:p w14:paraId="65D4DE02">
            <w:pPr>
              <w:pStyle w:val="5"/>
              <w:ind w:firstLine="492"/>
              <w:jc w:val="left"/>
            </w:pPr>
            <w:r>
              <w:rPr>
                <w:rFonts w:ascii="仿宋_GB2312" w:hAnsi="仿宋_GB2312" w:eastAsia="仿宋_GB2312" w:cs="仿宋_GB2312"/>
                <w:sz w:val="24"/>
              </w:rPr>
              <w:t>混合存储：结合本地和远程存储，以实现数据的安全性和可访问性。</w:t>
            </w:r>
          </w:p>
          <w:p w14:paraId="24F72B96">
            <w:pPr>
              <w:pStyle w:val="5"/>
              <w:ind w:firstLine="492"/>
              <w:jc w:val="left"/>
            </w:pPr>
            <w:r>
              <w:rPr>
                <w:rFonts w:ascii="仿宋_GB2312" w:hAnsi="仿宋_GB2312" w:eastAsia="仿宋_GB2312" w:cs="仿宋_GB2312"/>
                <w:sz w:val="24"/>
              </w:rPr>
              <w:t>（5）制定备份保留策略</w:t>
            </w:r>
          </w:p>
          <w:p w14:paraId="13441C90">
            <w:pPr>
              <w:pStyle w:val="5"/>
              <w:ind w:firstLine="492"/>
              <w:jc w:val="left"/>
            </w:pPr>
            <w:r>
              <w:rPr>
                <w:rFonts w:ascii="仿宋_GB2312" w:hAnsi="仿宋_GB2312" w:eastAsia="仿宋_GB2312" w:cs="仿宋_GB2312"/>
                <w:sz w:val="24"/>
              </w:rPr>
              <w:t>确定备份数据的保留期限，并根据需要定期清理旧的备份数据，以释放存储空间。</w:t>
            </w:r>
          </w:p>
          <w:p w14:paraId="045B1C77">
            <w:pPr>
              <w:pStyle w:val="5"/>
              <w:ind w:firstLine="492"/>
              <w:jc w:val="left"/>
            </w:pPr>
            <w:r>
              <w:rPr>
                <w:rFonts w:ascii="仿宋_GB2312" w:hAnsi="仿宋_GB2312" w:eastAsia="仿宋_GB2312" w:cs="仿宋_GB2312"/>
                <w:sz w:val="24"/>
              </w:rPr>
              <w:t>（6）自动化备份流程</w:t>
            </w:r>
          </w:p>
          <w:p w14:paraId="450374DB">
            <w:pPr>
              <w:pStyle w:val="5"/>
              <w:ind w:firstLine="492"/>
              <w:jc w:val="left"/>
            </w:pPr>
            <w:r>
              <w:rPr>
                <w:rFonts w:ascii="仿宋_GB2312" w:hAnsi="仿宋_GB2312" w:eastAsia="仿宋_GB2312" w:cs="仿宋_GB2312"/>
                <w:sz w:val="24"/>
              </w:rPr>
              <w:t>使用自动化备份工具，可以定期自动执行备份任务，减少人为错误和干预。</w:t>
            </w:r>
          </w:p>
          <w:p w14:paraId="4003C732">
            <w:pPr>
              <w:pStyle w:val="5"/>
              <w:ind w:firstLine="492"/>
              <w:jc w:val="left"/>
            </w:pPr>
            <w:r>
              <w:rPr>
                <w:rFonts w:ascii="仿宋_GB2312" w:hAnsi="仿宋_GB2312" w:eastAsia="仿宋_GB2312" w:cs="仿宋_GB2312"/>
                <w:sz w:val="24"/>
              </w:rPr>
              <w:t>（7）监控和日志记录</w:t>
            </w:r>
          </w:p>
          <w:p w14:paraId="7697EA6E">
            <w:pPr>
              <w:pStyle w:val="5"/>
              <w:ind w:firstLine="492"/>
              <w:jc w:val="left"/>
            </w:pPr>
            <w:r>
              <w:rPr>
                <w:rFonts w:ascii="仿宋_GB2312" w:hAnsi="仿宋_GB2312" w:eastAsia="仿宋_GB2312" w:cs="仿宋_GB2312"/>
                <w:sz w:val="24"/>
              </w:rPr>
              <w:t>对备份过程进行监控，并记录备份日志，以便在出现问题时能够迅速定位和解决问题。</w:t>
            </w:r>
          </w:p>
          <w:p w14:paraId="51A0BF3B">
            <w:pPr>
              <w:pStyle w:val="5"/>
              <w:ind w:firstLine="492"/>
              <w:jc w:val="left"/>
            </w:pPr>
            <w:r>
              <w:rPr>
                <w:rFonts w:ascii="仿宋_GB2312" w:hAnsi="仿宋_GB2312" w:eastAsia="仿宋_GB2312" w:cs="仿宋_GB2312"/>
                <w:sz w:val="24"/>
              </w:rPr>
              <w:t>（8）恢复测试</w:t>
            </w:r>
          </w:p>
          <w:p w14:paraId="58FCA701">
            <w:pPr>
              <w:pStyle w:val="5"/>
              <w:ind w:firstLine="492"/>
              <w:jc w:val="left"/>
            </w:pPr>
            <w:r>
              <w:rPr>
                <w:rFonts w:ascii="仿宋_GB2312" w:hAnsi="仿宋_GB2312" w:eastAsia="仿宋_GB2312" w:cs="仿宋_GB2312"/>
                <w:sz w:val="24"/>
              </w:rPr>
              <w:t>定期进行恢复测试，以验证备份数据的有效性，并检查备份策略是否能够满足恢复需求。</w:t>
            </w:r>
          </w:p>
          <w:p w14:paraId="0049EB34">
            <w:pPr>
              <w:pStyle w:val="5"/>
              <w:ind w:firstLine="492"/>
              <w:jc w:val="left"/>
            </w:pPr>
            <w:r>
              <w:rPr>
                <w:rFonts w:ascii="仿宋_GB2312" w:hAnsi="仿宋_GB2312" w:eastAsia="仿宋_GB2312" w:cs="仿宋_GB2312"/>
                <w:sz w:val="24"/>
              </w:rPr>
              <w:t>（9）备份安全</w:t>
            </w:r>
          </w:p>
          <w:p w14:paraId="6ED6C1F0">
            <w:pPr>
              <w:pStyle w:val="5"/>
              <w:ind w:firstLine="492"/>
              <w:jc w:val="left"/>
            </w:pPr>
            <w:r>
              <w:rPr>
                <w:rFonts w:ascii="仿宋_GB2312" w:hAnsi="仿宋_GB2312" w:eastAsia="仿宋_GB2312" w:cs="仿宋_GB2312"/>
                <w:sz w:val="24"/>
              </w:rPr>
              <w:t>确保备份数据的安全性，包括加密、访问控制等。同时，也要确保备份数据不受恶意攻击或损坏。</w:t>
            </w:r>
          </w:p>
          <w:p w14:paraId="49BD38D6">
            <w:pPr>
              <w:pStyle w:val="5"/>
              <w:ind w:firstLine="492"/>
              <w:jc w:val="left"/>
            </w:pPr>
            <w:r>
              <w:rPr>
                <w:rFonts w:ascii="仿宋_GB2312" w:hAnsi="仿宋_GB2312" w:eastAsia="仿宋_GB2312" w:cs="仿宋_GB2312"/>
                <w:sz w:val="24"/>
              </w:rPr>
              <w:t>（10）定期审查和更新备份策略</w:t>
            </w:r>
          </w:p>
          <w:p w14:paraId="6B978C05">
            <w:pPr>
              <w:pStyle w:val="5"/>
              <w:ind w:firstLine="492"/>
              <w:jc w:val="left"/>
            </w:pPr>
            <w:r>
              <w:rPr>
                <w:rFonts w:ascii="仿宋_GB2312" w:hAnsi="仿宋_GB2312" w:eastAsia="仿宋_GB2312" w:cs="仿宋_GB2312"/>
                <w:sz w:val="24"/>
              </w:rPr>
              <w:t>随着业务的发展和数据的变化，定期审查和更新备份策略是必要的。确保备份策略与企业的业务需求保持一致，并适应新的挑战和变化。</w:t>
            </w:r>
          </w:p>
          <w:p w14:paraId="2F14A239">
            <w:pPr>
              <w:pStyle w:val="5"/>
              <w:ind w:firstLine="492"/>
              <w:jc w:val="left"/>
            </w:pPr>
            <w:r>
              <w:rPr>
                <w:rFonts w:ascii="仿宋_GB2312" w:hAnsi="仿宋_GB2312" w:eastAsia="仿宋_GB2312" w:cs="仿宋_GB2312"/>
                <w:sz w:val="24"/>
              </w:rPr>
              <w:t>4.数据恢复策略</w:t>
            </w:r>
          </w:p>
          <w:p w14:paraId="4FCA6AF6">
            <w:pPr>
              <w:pStyle w:val="5"/>
              <w:ind w:firstLine="492"/>
              <w:jc w:val="left"/>
            </w:pPr>
            <w:r>
              <w:rPr>
                <w:rFonts w:ascii="仿宋_GB2312" w:hAnsi="仿宋_GB2312" w:eastAsia="仿宋_GB2312" w:cs="仿宋_GB2312"/>
                <w:sz w:val="24"/>
              </w:rPr>
              <w:t>本数据恢复策略旨在确保企业在面临数据丢失或损坏时，能够迅速、有效地恢复数据，保障业务的连续性和稳定性。策略将明确恢复目标、流程、方法、资源分配及安全措施，为数据恢复提供明确指导。</w:t>
            </w:r>
          </w:p>
          <w:p w14:paraId="13991810">
            <w:pPr>
              <w:pStyle w:val="5"/>
              <w:ind w:firstLine="492"/>
              <w:jc w:val="left"/>
            </w:pPr>
            <w:r>
              <w:rPr>
                <w:rFonts w:ascii="仿宋_GB2312" w:hAnsi="仿宋_GB2312" w:eastAsia="仿宋_GB2312" w:cs="仿宋_GB2312"/>
                <w:sz w:val="24"/>
              </w:rPr>
              <w:t>（1）恢复目标</w:t>
            </w:r>
          </w:p>
          <w:p w14:paraId="4BB77A32">
            <w:pPr>
              <w:pStyle w:val="5"/>
              <w:ind w:firstLine="492"/>
              <w:jc w:val="left"/>
            </w:pPr>
            <w:r>
              <w:rPr>
                <w:rFonts w:ascii="仿宋_GB2312" w:hAnsi="仿宋_GB2312" w:eastAsia="仿宋_GB2312" w:cs="仿宋_GB2312"/>
                <w:sz w:val="24"/>
              </w:rPr>
              <w:t>快速恢复关键业务数据，确保业务连续性。</w:t>
            </w:r>
          </w:p>
          <w:p w14:paraId="434C5F34">
            <w:pPr>
              <w:pStyle w:val="5"/>
              <w:ind w:firstLine="492"/>
              <w:jc w:val="left"/>
            </w:pPr>
            <w:r>
              <w:rPr>
                <w:rFonts w:ascii="仿宋_GB2312" w:hAnsi="仿宋_GB2312" w:eastAsia="仿宋_GB2312" w:cs="仿宋_GB2312"/>
                <w:sz w:val="24"/>
              </w:rPr>
              <w:t>最大限度地减少数据丢失和恢复时间。</w:t>
            </w:r>
          </w:p>
          <w:p w14:paraId="2F53255C">
            <w:pPr>
              <w:pStyle w:val="5"/>
              <w:ind w:firstLine="492"/>
              <w:jc w:val="left"/>
            </w:pPr>
            <w:r>
              <w:rPr>
                <w:rFonts w:ascii="仿宋_GB2312" w:hAnsi="仿宋_GB2312" w:eastAsia="仿宋_GB2312" w:cs="仿宋_GB2312"/>
                <w:sz w:val="24"/>
              </w:rPr>
              <w:t>保障数据恢复过程中的安全性和隐私性。</w:t>
            </w:r>
          </w:p>
          <w:p w14:paraId="562FF92D">
            <w:pPr>
              <w:pStyle w:val="5"/>
              <w:ind w:firstLine="492"/>
              <w:jc w:val="left"/>
            </w:pPr>
            <w:r>
              <w:rPr>
                <w:rFonts w:ascii="仿宋_GB2312" w:hAnsi="仿宋_GB2312" w:eastAsia="仿宋_GB2312" w:cs="仿宋_GB2312"/>
                <w:sz w:val="24"/>
              </w:rPr>
              <w:t>（2）恢复流程</w:t>
            </w:r>
          </w:p>
          <w:p w14:paraId="0B1A6CF7">
            <w:pPr>
              <w:pStyle w:val="5"/>
              <w:ind w:firstLine="492"/>
              <w:jc w:val="left"/>
            </w:pPr>
            <w:r>
              <w:rPr>
                <w:rFonts w:ascii="仿宋_GB2312" w:hAnsi="仿宋_GB2312" w:eastAsia="仿宋_GB2312" w:cs="仿宋_GB2312"/>
                <w:sz w:val="24"/>
              </w:rPr>
              <w:t>初步评估：评估数据丢失或损坏的严重程度，确定恢复优先级。</w:t>
            </w:r>
          </w:p>
          <w:p w14:paraId="12CD4B06">
            <w:pPr>
              <w:pStyle w:val="5"/>
              <w:ind w:firstLine="492"/>
              <w:jc w:val="left"/>
            </w:pPr>
            <w:r>
              <w:rPr>
                <w:rFonts w:ascii="仿宋_GB2312" w:hAnsi="仿宋_GB2312" w:eastAsia="仿宋_GB2312" w:cs="仿宋_GB2312"/>
                <w:sz w:val="24"/>
              </w:rPr>
              <w:t>备份验证：验证备份数据的有效性和完整性，确保备份数据可用于恢复。</w:t>
            </w:r>
          </w:p>
          <w:p w14:paraId="76E57244">
            <w:pPr>
              <w:pStyle w:val="5"/>
              <w:ind w:firstLine="492"/>
              <w:jc w:val="left"/>
            </w:pPr>
            <w:r>
              <w:rPr>
                <w:rFonts w:ascii="仿宋_GB2312" w:hAnsi="仿宋_GB2312" w:eastAsia="仿宋_GB2312" w:cs="仿宋_GB2312"/>
                <w:sz w:val="24"/>
              </w:rPr>
              <w:t>选择恢复方法：根据数据丢失原因和备份类型，选择适当的恢复方法。</w:t>
            </w:r>
          </w:p>
          <w:p w14:paraId="57C9AED4">
            <w:pPr>
              <w:pStyle w:val="5"/>
              <w:ind w:firstLine="492"/>
              <w:jc w:val="left"/>
            </w:pPr>
            <w:r>
              <w:rPr>
                <w:rFonts w:ascii="仿宋_GB2312" w:hAnsi="仿宋_GB2312" w:eastAsia="仿宋_GB2312" w:cs="仿宋_GB2312"/>
                <w:sz w:val="24"/>
              </w:rPr>
              <w:t>数据恢复：执行数据恢复操作，包括从备份中恢复数据、使用数据恢复工具等。</w:t>
            </w:r>
          </w:p>
          <w:p w14:paraId="56682065">
            <w:pPr>
              <w:pStyle w:val="5"/>
              <w:ind w:firstLine="492"/>
              <w:jc w:val="left"/>
            </w:pPr>
            <w:r>
              <w:rPr>
                <w:rFonts w:ascii="仿宋_GB2312" w:hAnsi="仿宋_GB2312" w:eastAsia="仿宋_GB2312" w:cs="仿宋_GB2312"/>
                <w:sz w:val="24"/>
              </w:rPr>
              <w:t>验证恢复结果：验证恢复后的数据准确性和完整性，确保数据可用于业务运营。</w:t>
            </w:r>
          </w:p>
          <w:p w14:paraId="5E1429F3">
            <w:pPr>
              <w:pStyle w:val="5"/>
              <w:ind w:firstLine="492"/>
              <w:jc w:val="left"/>
            </w:pPr>
            <w:r>
              <w:rPr>
                <w:rFonts w:ascii="仿宋_GB2312" w:hAnsi="仿宋_GB2312" w:eastAsia="仿宋_GB2312" w:cs="仿宋_GB2312"/>
                <w:sz w:val="24"/>
              </w:rPr>
              <w:t>记录恢复过程：详细记录恢复过程，包括使用的工具、步骤、遇到的问题和解决方案等。</w:t>
            </w:r>
          </w:p>
          <w:p w14:paraId="7E1B50A6">
            <w:pPr>
              <w:pStyle w:val="5"/>
              <w:ind w:firstLine="492"/>
              <w:jc w:val="left"/>
            </w:pPr>
            <w:r>
              <w:rPr>
                <w:rFonts w:ascii="仿宋_GB2312" w:hAnsi="仿宋_GB2312" w:eastAsia="仿宋_GB2312" w:cs="仿宋_GB2312"/>
                <w:sz w:val="24"/>
              </w:rPr>
              <w:t>（3）资源分配</w:t>
            </w:r>
          </w:p>
          <w:p w14:paraId="3035FCD7">
            <w:pPr>
              <w:pStyle w:val="5"/>
              <w:ind w:firstLine="492"/>
              <w:jc w:val="left"/>
            </w:pPr>
            <w:r>
              <w:rPr>
                <w:rFonts w:ascii="仿宋_GB2312" w:hAnsi="仿宋_GB2312" w:eastAsia="仿宋_GB2312" w:cs="仿宋_GB2312"/>
                <w:sz w:val="24"/>
              </w:rPr>
              <w:t>人员：指定专门的数据恢复团队，负责执行恢复操作。</w:t>
            </w:r>
          </w:p>
          <w:p w14:paraId="05384EFB">
            <w:pPr>
              <w:pStyle w:val="5"/>
              <w:ind w:firstLine="492"/>
              <w:jc w:val="left"/>
            </w:pPr>
            <w:r>
              <w:rPr>
                <w:rFonts w:ascii="仿宋_GB2312" w:hAnsi="仿宋_GB2312" w:eastAsia="仿宋_GB2312" w:cs="仿宋_GB2312"/>
                <w:sz w:val="24"/>
              </w:rPr>
              <w:t>时间：为数据恢复分配足够的时间，确保恢复过程不受时间限制。</w:t>
            </w:r>
          </w:p>
          <w:p w14:paraId="4290C219">
            <w:pPr>
              <w:pStyle w:val="5"/>
              <w:ind w:firstLine="492"/>
              <w:jc w:val="left"/>
            </w:pPr>
            <w:r>
              <w:rPr>
                <w:rFonts w:ascii="仿宋_GB2312" w:hAnsi="仿宋_GB2312" w:eastAsia="仿宋_GB2312" w:cs="仿宋_GB2312"/>
                <w:sz w:val="24"/>
              </w:rPr>
              <w:t>技术工具：提供必要的技术工具和软件，以支持数据恢复操作。</w:t>
            </w:r>
          </w:p>
          <w:p w14:paraId="3A0D2B7B">
            <w:pPr>
              <w:pStyle w:val="5"/>
              <w:ind w:firstLine="492"/>
              <w:jc w:val="left"/>
            </w:pPr>
            <w:r>
              <w:rPr>
                <w:rFonts w:ascii="仿宋_GB2312" w:hAnsi="仿宋_GB2312" w:eastAsia="仿宋_GB2312" w:cs="仿宋_GB2312"/>
                <w:sz w:val="24"/>
              </w:rPr>
              <w:t>（4）安全措施</w:t>
            </w:r>
          </w:p>
          <w:p w14:paraId="133D4C8D">
            <w:pPr>
              <w:pStyle w:val="5"/>
              <w:ind w:firstLine="492"/>
              <w:jc w:val="left"/>
            </w:pPr>
            <w:r>
              <w:rPr>
                <w:rFonts w:ascii="仿宋_GB2312" w:hAnsi="仿宋_GB2312" w:eastAsia="仿宋_GB2312" w:cs="仿宋_GB2312"/>
                <w:sz w:val="24"/>
              </w:rPr>
              <w:t>加密：对备份数据和恢复过程中的数据进行加密，防止数据泄露。</w:t>
            </w:r>
          </w:p>
          <w:p w14:paraId="57872C1E">
            <w:pPr>
              <w:pStyle w:val="5"/>
              <w:ind w:firstLine="492"/>
              <w:jc w:val="left"/>
            </w:pPr>
            <w:r>
              <w:rPr>
                <w:rFonts w:ascii="仿宋_GB2312" w:hAnsi="仿宋_GB2312" w:eastAsia="仿宋_GB2312" w:cs="仿宋_GB2312"/>
                <w:sz w:val="24"/>
              </w:rPr>
              <w:t>访问控制：限制数据恢复团队的访问权限，确保只有授权人员能够执行恢复操作。</w:t>
            </w:r>
          </w:p>
          <w:p w14:paraId="057CEA8C">
            <w:pPr>
              <w:pStyle w:val="5"/>
              <w:ind w:firstLine="492"/>
              <w:jc w:val="left"/>
            </w:pPr>
            <w:r>
              <w:rPr>
                <w:rFonts w:ascii="仿宋_GB2312" w:hAnsi="仿宋_GB2312" w:eastAsia="仿宋_GB2312" w:cs="仿宋_GB2312"/>
                <w:sz w:val="24"/>
              </w:rPr>
              <w:t>监控和日志记录：监控数据恢复过程，记录相关日志，以便在出现问题时迅速定位和解决问题。</w:t>
            </w:r>
          </w:p>
          <w:p w14:paraId="36DFE84C">
            <w:pPr>
              <w:pStyle w:val="5"/>
              <w:ind w:firstLine="492"/>
              <w:jc w:val="left"/>
            </w:pPr>
            <w:r>
              <w:rPr>
                <w:rFonts w:ascii="仿宋_GB2312" w:hAnsi="仿宋_GB2312" w:eastAsia="仿宋_GB2312" w:cs="仿宋_GB2312"/>
                <w:sz w:val="24"/>
              </w:rPr>
              <w:t>（5）持续更新和测试</w:t>
            </w:r>
          </w:p>
          <w:p w14:paraId="476F52E6">
            <w:pPr>
              <w:pStyle w:val="5"/>
              <w:ind w:firstLine="492"/>
              <w:jc w:val="left"/>
            </w:pPr>
            <w:r>
              <w:rPr>
                <w:rFonts w:ascii="仿宋_GB2312" w:hAnsi="仿宋_GB2312" w:eastAsia="仿宋_GB2312" w:cs="仿宋_GB2312"/>
                <w:sz w:val="24"/>
              </w:rPr>
              <w:t>更新策略：随着业务的发展和技术的变化，定期更新数据恢复策略，确保其与业务需求保持一致。</w:t>
            </w:r>
          </w:p>
          <w:p w14:paraId="00EAC5F6">
            <w:pPr>
              <w:pStyle w:val="5"/>
              <w:ind w:firstLine="492"/>
              <w:jc w:val="left"/>
            </w:pPr>
            <w:r>
              <w:rPr>
                <w:rFonts w:ascii="仿宋_GB2312" w:hAnsi="仿宋_GB2312" w:eastAsia="仿宋_GB2312" w:cs="仿宋_GB2312"/>
                <w:sz w:val="24"/>
              </w:rPr>
              <w:t>测试恢复计划：定期测试数据恢复计划，验证其可行性和有效性。通过模拟数据丢失的情况，发现恢复计划中存在的问题和不足，并及时进行改进。</w:t>
            </w:r>
          </w:p>
          <w:p w14:paraId="2136F343">
            <w:pPr>
              <w:pStyle w:val="5"/>
              <w:ind w:firstLine="492"/>
              <w:jc w:val="left"/>
            </w:pPr>
            <w:r>
              <w:rPr>
                <w:rFonts w:ascii="仿宋_GB2312" w:hAnsi="仿宋_GB2312" w:eastAsia="仿宋_GB2312" w:cs="仿宋_GB2312"/>
                <w:sz w:val="24"/>
              </w:rPr>
              <w:t>（五）身份认证</w:t>
            </w:r>
          </w:p>
          <w:p w14:paraId="1C8FBC38">
            <w:pPr>
              <w:pStyle w:val="5"/>
              <w:ind w:firstLine="492"/>
              <w:jc w:val="left"/>
            </w:pPr>
            <w:r>
              <w:rPr>
                <w:rFonts w:ascii="仿宋_GB2312" w:hAnsi="仿宋_GB2312" w:eastAsia="仿宋_GB2312" w:cs="仿宋_GB2312"/>
                <w:sz w:val="24"/>
              </w:rPr>
              <w:t>本项目运维的统一应用门户，需与成都市蓉政通平台集成，实现单点登录（统一身份认证），其余系统与应用中台实现统一身份认证。</w:t>
            </w:r>
          </w:p>
          <w:p w14:paraId="477DE757">
            <w:pPr>
              <w:pStyle w:val="5"/>
              <w:ind w:firstLine="492"/>
              <w:jc w:val="left"/>
            </w:pPr>
            <w:r>
              <w:rPr>
                <w:rFonts w:ascii="仿宋_GB2312" w:hAnsi="仿宋_GB2312" w:eastAsia="仿宋_GB2312" w:cs="仿宋_GB2312"/>
                <w:sz w:val="24"/>
              </w:rPr>
              <w:t>（六）政务应用平台对接</w:t>
            </w:r>
          </w:p>
          <w:p w14:paraId="6E3A82C3">
            <w:pPr>
              <w:pStyle w:val="5"/>
              <w:ind w:firstLine="492"/>
              <w:jc w:val="left"/>
            </w:pPr>
            <w:r>
              <w:rPr>
                <w:rFonts w:ascii="仿宋_GB2312" w:hAnsi="仿宋_GB2312" w:eastAsia="仿宋_GB2312" w:cs="仿宋_GB2312"/>
                <w:sz w:val="24"/>
              </w:rPr>
              <w:t>1.成都市事件中枢</w:t>
            </w:r>
          </w:p>
          <w:p w14:paraId="36ABB032">
            <w:pPr>
              <w:pStyle w:val="5"/>
              <w:ind w:firstLine="492"/>
              <w:jc w:val="left"/>
            </w:pPr>
            <w:r>
              <w:rPr>
                <w:rFonts w:ascii="仿宋_GB2312" w:hAnsi="仿宋_GB2312" w:eastAsia="仿宋_GB2312" w:cs="仿宋_GB2312"/>
                <w:sz w:val="24"/>
              </w:rPr>
              <w:t>负责开展一网统管平台与成都市事件枢纽的需求对接、日常运维工作，并根据需求完成其他与成都市事件枢纽的对接工作。</w:t>
            </w:r>
          </w:p>
          <w:p w14:paraId="26108AEE">
            <w:pPr>
              <w:pStyle w:val="5"/>
              <w:ind w:firstLine="492"/>
              <w:jc w:val="left"/>
            </w:pPr>
            <w:r>
              <w:rPr>
                <w:rFonts w:ascii="仿宋_GB2312" w:hAnsi="仿宋_GB2312" w:eastAsia="仿宋_GB2312" w:cs="仿宋_GB2312"/>
                <w:sz w:val="24"/>
              </w:rPr>
              <w:t>2.成都市物联感知平台</w:t>
            </w:r>
          </w:p>
          <w:p w14:paraId="60D73DEA">
            <w:pPr>
              <w:pStyle w:val="5"/>
              <w:ind w:firstLine="492"/>
              <w:jc w:val="left"/>
            </w:pPr>
            <w:r>
              <w:rPr>
                <w:rFonts w:ascii="仿宋_GB2312" w:hAnsi="仿宋_GB2312" w:eastAsia="仿宋_GB2312" w:cs="仿宋_GB2312"/>
                <w:sz w:val="24"/>
              </w:rPr>
              <w:t>负责开展城市物联感知平台与成都市物联感知中心的系统对接、设备数据推送及运维等日常工作；根据需求汇聚新增物联感知设备，并对物联感知设备产生的运行数据进行清洗、归类以汇入数据中台形成数据资产。</w:t>
            </w:r>
          </w:p>
          <w:p w14:paraId="0BFB8071">
            <w:pPr>
              <w:pStyle w:val="5"/>
              <w:ind w:firstLine="492"/>
              <w:jc w:val="left"/>
            </w:pPr>
            <w:r>
              <w:rPr>
                <w:rFonts w:ascii="仿宋_GB2312" w:hAnsi="仿宋_GB2312" w:eastAsia="仿宋_GB2312" w:cs="仿宋_GB2312"/>
                <w:sz w:val="24"/>
              </w:rPr>
              <w:t>3.各类业务系统</w:t>
            </w:r>
          </w:p>
          <w:p w14:paraId="5FD73BD8">
            <w:pPr>
              <w:pStyle w:val="5"/>
              <w:ind w:firstLine="492"/>
              <w:jc w:val="left"/>
            </w:pPr>
            <w:r>
              <w:rPr>
                <w:rFonts w:ascii="仿宋_GB2312" w:hAnsi="仿宋_GB2312" w:eastAsia="仿宋_GB2312" w:cs="仿宋_GB2312"/>
                <w:sz w:val="24"/>
              </w:rPr>
              <w:t>各类业务系统（大屏）若要纳入可视化展现层管理，需积极配合对接工作，确保正常运行；各类业务系统（事件）若要纳入一网统管平台流传，需积极配合对接工作，确保正常运行。</w:t>
            </w:r>
          </w:p>
        </w:tc>
      </w:tr>
      <w:tr w14:paraId="5984F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ABAAE1">
            <w:pPr>
              <w:pStyle w:val="5"/>
              <w:jc w:val="center"/>
            </w:pPr>
            <w:r>
              <w:rPr>
                <w:rFonts w:ascii="仿宋_GB2312" w:hAnsi="仿宋_GB2312" w:eastAsia="仿宋_GB2312" w:cs="仿宋_GB2312"/>
              </w:rPr>
              <w:t>4</w:t>
            </w:r>
          </w:p>
        </w:tc>
        <w:tc>
          <w:tcPr>
            <w:tcW w:w="581" w:type="dxa"/>
          </w:tcPr>
          <w:p w14:paraId="60400BF4">
            <w:pPr>
              <w:pStyle w:val="5"/>
              <w:jc w:val="center"/>
            </w:pPr>
            <w:r>
              <w:rPr>
                <w:rFonts w:ascii="仿宋_GB2312" w:hAnsi="仿宋_GB2312" w:eastAsia="仿宋_GB2312" w:cs="仿宋_GB2312"/>
              </w:rPr>
              <w:t>★</w:t>
            </w:r>
          </w:p>
        </w:tc>
        <w:tc>
          <w:tcPr>
            <w:tcW w:w="1495" w:type="dxa"/>
          </w:tcPr>
          <w:p w14:paraId="3702E1A4">
            <w:pPr>
              <w:pStyle w:val="5"/>
              <w:jc w:val="left"/>
            </w:pPr>
            <w:r>
              <w:rPr>
                <w:rFonts w:ascii="仿宋_GB2312" w:hAnsi="仿宋_GB2312" w:eastAsia="仿宋_GB2312" w:cs="仿宋_GB2312"/>
              </w:rPr>
              <w:t>运维分级响应时间</w:t>
            </w:r>
          </w:p>
        </w:tc>
        <w:tc>
          <w:tcPr>
            <w:tcW w:w="5814" w:type="dxa"/>
          </w:tcPr>
          <w:p w14:paraId="706CDE56">
            <w:pPr>
              <w:pStyle w:val="5"/>
              <w:ind w:firstLine="492"/>
              <w:jc w:val="left"/>
            </w:pPr>
            <w:r>
              <w:rPr>
                <w:rFonts w:ascii="仿宋_GB2312" w:hAnsi="仿宋_GB2312" w:eastAsia="仿宋_GB2312" w:cs="仿宋_GB2312"/>
                <w:sz w:val="24"/>
              </w:rPr>
              <w:t>对问题报告类、硬件故障类、网络问题类等系统问题事件按照轻重缓急的不同、影响力的不同进行事件分级处理，可分为重大事件、严重事件、重要事件、一般事件、轻微事件和提示事件。</w:t>
            </w:r>
          </w:p>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55"/>
              <w:gridCol w:w="4638"/>
            </w:tblGrid>
            <w:tr w14:paraId="45F40C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159B80C">
                  <w:pPr>
                    <w:pStyle w:val="5"/>
                    <w:spacing w:before="60"/>
                    <w:ind w:left="135"/>
                    <w:jc w:val="center"/>
                  </w:pPr>
                  <w:r>
                    <w:rPr>
                      <w:rFonts w:ascii="仿宋_GB2312" w:hAnsi="仿宋_GB2312" w:eastAsia="仿宋_GB2312" w:cs="仿宋_GB2312"/>
                      <w:b/>
                      <w:sz w:val="24"/>
                    </w:rPr>
                    <w:t>事件等级</w:t>
                  </w:r>
                </w:p>
              </w:tc>
              <w:tc>
                <w:tcPr>
                  <w:tcW w:w="469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107C6D5">
                  <w:pPr>
                    <w:pStyle w:val="5"/>
                    <w:spacing w:before="60"/>
                    <w:jc w:val="center"/>
                  </w:pPr>
                  <w:r>
                    <w:rPr>
                      <w:rFonts w:ascii="仿宋_GB2312" w:hAnsi="仿宋_GB2312" w:eastAsia="仿宋_GB2312" w:cs="仿宋_GB2312"/>
                      <w:b/>
                      <w:sz w:val="24"/>
                    </w:rPr>
                    <w:t>事件等级定义及响应时间</w:t>
                  </w:r>
                </w:p>
              </w:tc>
            </w:tr>
            <w:tr w14:paraId="69D556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AD91DD">
                  <w:pPr>
                    <w:pStyle w:val="5"/>
                    <w:ind w:left="135"/>
                    <w:jc w:val="center"/>
                  </w:pPr>
                  <w:r>
                    <w:rPr>
                      <w:rFonts w:ascii="仿宋_GB2312" w:hAnsi="仿宋_GB2312" w:eastAsia="仿宋_GB2312" w:cs="仿宋_GB2312"/>
                      <w:sz w:val="24"/>
                    </w:rPr>
                    <w:t>重大事件</w:t>
                  </w:r>
                </w:p>
                <w:p w14:paraId="4501599F">
                  <w:pPr>
                    <w:pStyle w:val="5"/>
                    <w:ind w:left="315" w:right="150"/>
                    <w:jc w:val="center"/>
                  </w:pPr>
                  <w:r>
                    <w:rPr>
                      <w:rFonts w:ascii="仿宋_GB2312" w:hAnsi="仿宋_GB2312" w:eastAsia="仿宋_GB2312" w:cs="仿宋_GB2312"/>
                      <w:sz w:val="24"/>
                    </w:rPr>
                    <w:t>（5级事件）</w:t>
                  </w:r>
                </w:p>
              </w:tc>
              <w:tc>
                <w:tcPr>
                  <w:tcW w:w="46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34FF03">
                  <w:pPr>
                    <w:pStyle w:val="5"/>
                    <w:ind w:left="60" w:right="90" w:firstLine="11"/>
                    <w:jc w:val="both"/>
                  </w:pPr>
                  <w:r>
                    <w:rPr>
                      <w:rFonts w:ascii="仿宋_GB2312" w:hAnsi="仿宋_GB2312" w:eastAsia="仿宋_GB2312" w:cs="仿宋_GB2312"/>
                      <w:sz w:val="24"/>
                    </w:rPr>
                    <w:t>能够导致特别严重影响或破坏的事件，关键系统遭受特别重大的系统损失，造成系统大面积瘫痪，丧失业务处理能力，影响到项目信息系统的所有用户；需立即调动所有的资源在2小时内解决问题。</w:t>
                  </w:r>
                </w:p>
              </w:tc>
            </w:tr>
            <w:tr w14:paraId="4226B0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AE2BD6">
                  <w:pPr>
                    <w:pStyle w:val="5"/>
                    <w:ind w:left="135"/>
                    <w:jc w:val="center"/>
                  </w:pPr>
                  <w:r>
                    <w:rPr>
                      <w:rFonts w:ascii="仿宋_GB2312" w:hAnsi="仿宋_GB2312" w:eastAsia="仿宋_GB2312" w:cs="仿宋_GB2312"/>
                      <w:sz w:val="24"/>
                    </w:rPr>
                    <w:t>严重事件</w:t>
                  </w:r>
                </w:p>
                <w:p w14:paraId="7D2CD78E">
                  <w:pPr>
                    <w:pStyle w:val="5"/>
                    <w:ind w:left="315" w:right="150"/>
                    <w:jc w:val="center"/>
                  </w:pPr>
                  <w:r>
                    <w:rPr>
                      <w:rFonts w:ascii="仿宋_GB2312" w:hAnsi="仿宋_GB2312" w:eastAsia="仿宋_GB2312" w:cs="仿宋_GB2312"/>
                      <w:sz w:val="24"/>
                    </w:rPr>
                    <w:t>（4级事件）</w:t>
                  </w:r>
                </w:p>
              </w:tc>
              <w:tc>
                <w:tcPr>
                  <w:tcW w:w="46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5878E0">
                  <w:pPr>
                    <w:pStyle w:val="5"/>
                    <w:ind w:left="60" w:right="75" w:firstLine="8"/>
                    <w:jc w:val="both"/>
                  </w:pPr>
                  <w:r>
                    <w:rPr>
                      <w:rFonts w:ascii="仿宋_GB2312" w:hAnsi="仿宋_GB2312" w:eastAsia="仿宋_GB2312" w:cs="仿宋_GB2312"/>
                      <w:sz w:val="24"/>
                    </w:rPr>
                    <w:t>能够造成严重影响或破坏的事件，关键系统遭受重大的系统损失，造成系统长时间中断，业务处理能力受到极大影响，影响到绝大部分用户；需在短时间内调动所有的资源在8小时内解决问题。</w:t>
                  </w:r>
                </w:p>
              </w:tc>
            </w:tr>
            <w:tr w14:paraId="4C843C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011331E">
                  <w:pPr>
                    <w:pStyle w:val="5"/>
                    <w:ind w:left="135"/>
                    <w:jc w:val="center"/>
                  </w:pPr>
                  <w:r>
                    <w:rPr>
                      <w:rFonts w:ascii="仿宋_GB2312" w:hAnsi="仿宋_GB2312" w:eastAsia="仿宋_GB2312" w:cs="仿宋_GB2312"/>
                      <w:sz w:val="24"/>
                    </w:rPr>
                    <w:t>重要事件</w:t>
                  </w:r>
                </w:p>
                <w:p w14:paraId="453EBCB3">
                  <w:pPr>
                    <w:pStyle w:val="5"/>
                    <w:ind w:left="315" w:right="150"/>
                    <w:jc w:val="center"/>
                  </w:pPr>
                  <w:r>
                    <w:rPr>
                      <w:rFonts w:ascii="仿宋_GB2312" w:hAnsi="仿宋_GB2312" w:eastAsia="仿宋_GB2312" w:cs="仿宋_GB2312"/>
                      <w:sz w:val="24"/>
                    </w:rPr>
                    <w:t>（3级事件）</w:t>
                  </w:r>
                </w:p>
              </w:tc>
              <w:tc>
                <w:tcPr>
                  <w:tcW w:w="46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5EE590">
                  <w:pPr>
                    <w:pStyle w:val="5"/>
                    <w:ind w:left="60" w:right="90" w:firstLine="10"/>
                    <w:jc w:val="both"/>
                  </w:pPr>
                  <w:r>
                    <w:rPr>
                      <w:rFonts w:ascii="仿宋_GB2312" w:hAnsi="仿宋_GB2312" w:eastAsia="仿宋_GB2312" w:cs="仿宋_GB2312"/>
                      <w:sz w:val="24"/>
                    </w:rPr>
                    <w:t>能够导致较严重影响或破坏的事件，关键系统遭受较大的系统损失，造成系统中断，明显影响系统效率，业务处理能力受到影响，影响到半数的用户；需立即调动必要的资源在24小时内解决问题。</w:t>
                  </w:r>
                </w:p>
              </w:tc>
            </w:tr>
            <w:tr w14:paraId="02749C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5440B1">
                  <w:pPr>
                    <w:pStyle w:val="5"/>
                    <w:ind w:left="135"/>
                    <w:jc w:val="center"/>
                  </w:pPr>
                  <w:r>
                    <w:rPr>
                      <w:rFonts w:ascii="仿宋_GB2312" w:hAnsi="仿宋_GB2312" w:eastAsia="仿宋_GB2312" w:cs="仿宋_GB2312"/>
                      <w:sz w:val="24"/>
                    </w:rPr>
                    <w:t>一般事件</w:t>
                  </w:r>
                </w:p>
                <w:p w14:paraId="6D909180">
                  <w:pPr>
                    <w:pStyle w:val="5"/>
                    <w:ind w:left="315" w:right="150"/>
                    <w:jc w:val="center"/>
                  </w:pPr>
                  <w:r>
                    <w:rPr>
                      <w:rFonts w:ascii="仿宋_GB2312" w:hAnsi="仿宋_GB2312" w:eastAsia="仿宋_GB2312" w:cs="仿宋_GB2312"/>
                      <w:sz w:val="24"/>
                    </w:rPr>
                    <w:t>（2级事件）</w:t>
                  </w:r>
                </w:p>
              </w:tc>
              <w:tc>
                <w:tcPr>
                  <w:tcW w:w="46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EC0200">
                  <w:pPr>
                    <w:pStyle w:val="5"/>
                    <w:ind w:left="60" w:right="60" w:firstLine="7"/>
                    <w:jc w:val="both"/>
                  </w:pPr>
                  <w:r>
                    <w:rPr>
                      <w:rFonts w:ascii="仿宋_GB2312" w:hAnsi="仿宋_GB2312" w:eastAsia="仿宋_GB2312" w:cs="仿宋_GB2312"/>
                      <w:sz w:val="24"/>
                    </w:rPr>
                    <w:t>能够导致较小影响或破坏的事件，关键系统遭受较小的系统损失，造成系统短暂中断，影响系统效率，业务处理能力有点影响，影响到小部分用户；需调动必要的资源在2个工作日内解决问题。</w:t>
                  </w:r>
                </w:p>
              </w:tc>
            </w:tr>
            <w:tr w14:paraId="608390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BDFFCF">
                  <w:pPr>
                    <w:pStyle w:val="5"/>
                    <w:ind w:left="135"/>
                    <w:jc w:val="center"/>
                  </w:pPr>
                  <w:r>
                    <w:rPr>
                      <w:rFonts w:ascii="仿宋_GB2312" w:hAnsi="仿宋_GB2312" w:eastAsia="仿宋_GB2312" w:cs="仿宋_GB2312"/>
                      <w:sz w:val="24"/>
                    </w:rPr>
                    <w:t>轻微事件</w:t>
                  </w:r>
                </w:p>
                <w:p w14:paraId="6AE4247F">
                  <w:pPr>
                    <w:pStyle w:val="5"/>
                    <w:ind w:left="315" w:right="150"/>
                    <w:jc w:val="center"/>
                  </w:pPr>
                  <w:r>
                    <w:rPr>
                      <w:rFonts w:ascii="仿宋_GB2312" w:hAnsi="仿宋_GB2312" w:eastAsia="仿宋_GB2312" w:cs="仿宋_GB2312"/>
                      <w:sz w:val="24"/>
                    </w:rPr>
                    <w:t>（1级事件）</w:t>
                  </w:r>
                </w:p>
              </w:tc>
              <w:tc>
                <w:tcPr>
                  <w:tcW w:w="46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40AE36">
                  <w:pPr>
                    <w:pStyle w:val="5"/>
                    <w:ind w:left="60" w:right="75" w:firstLine="23"/>
                    <w:jc w:val="both"/>
                  </w:pPr>
                  <w:r>
                    <w:rPr>
                      <w:rFonts w:ascii="仿宋_GB2312" w:hAnsi="仿宋_GB2312" w:eastAsia="仿宋_GB2312" w:cs="仿宋_GB2312"/>
                      <w:sz w:val="24"/>
                    </w:rPr>
                    <w:t>由于某些数据异常引起的事件，降低了个别用户的体验，降低了业务处理效率，影响到个别用户；需在规定时间内完成恢复工作。</w:t>
                  </w:r>
                </w:p>
              </w:tc>
            </w:tr>
            <w:tr w14:paraId="21CAF5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1ADF09">
                  <w:pPr>
                    <w:pStyle w:val="5"/>
                    <w:ind w:left="135"/>
                    <w:jc w:val="center"/>
                  </w:pPr>
                  <w:r>
                    <w:rPr>
                      <w:rFonts w:ascii="仿宋_GB2312" w:hAnsi="仿宋_GB2312" w:eastAsia="仿宋_GB2312" w:cs="仿宋_GB2312"/>
                      <w:sz w:val="24"/>
                    </w:rPr>
                    <w:t>提示事件</w:t>
                  </w:r>
                </w:p>
                <w:p w14:paraId="19073162">
                  <w:pPr>
                    <w:pStyle w:val="5"/>
                    <w:ind w:left="315" w:right="150"/>
                    <w:jc w:val="center"/>
                  </w:pPr>
                  <w:r>
                    <w:rPr>
                      <w:rFonts w:ascii="仿宋_GB2312" w:hAnsi="仿宋_GB2312" w:eastAsia="仿宋_GB2312" w:cs="仿宋_GB2312"/>
                      <w:sz w:val="24"/>
                    </w:rPr>
                    <w:t>（0级事件）</w:t>
                  </w:r>
                </w:p>
              </w:tc>
              <w:tc>
                <w:tcPr>
                  <w:tcW w:w="46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C9AD38">
                  <w:pPr>
                    <w:pStyle w:val="5"/>
                    <w:ind w:left="60" w:right="135"/>
                    <w:jc w:val="both"/>
                  </w:pPr>
                  <w:r>
                    <w:rPr>
                      <w:rFonts w:ascii="仿宋_GB2312" w:hAnsi="仿宋_GB2312" w:eastAsia="仿宋_GB2312" w:cs="仿宋_GB2312"/>
                      <w:sz w:val="24"/>
                    </w:rPr>
                    <w:t>提示性事件，对系统和业务的影响暂时未知的事件。</w:t>
                  </w:r>
                </w:p>
              </w:tc>
            </w:tr>
          </w:tbl>
          <w:p w14:paraId="13016180"/>
        </w:tc>
      </w:tr>
      <w:tr w14:paraId="467B7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3664C0">
            <w:pPr>
              <w:pStyle w:val="5"/>
              <w:jc w:val="center"/>
            </w:pPr>
            <w:r>
              <w:rPr>
                <w:rFonts w:ascii="仿宋_GB2312" w:hAnsi="仿宋_GB2312" w:eastAsia="仿宋_GB2312" w:cs="仿宋_GB2312"/>
              </w:rPr>
              <w:t>5</w:t>
            </w:r>
          </w:p>
        </w:tc>
        <w:tc>
          <w:tcPr>
            <w:tcW w:w="581" w:type="dxa"/>
          </w:tcPr>
          <w:p w14:paraId="14C3E731">
            <w:pPr>
              <w:pStyle w:val="5"/>
              <w:jc w:val="center"/>
            </w:pPr>
            <w:r>
              <w:rPr>
                <w:rFonts w:ascii="仿宋_GB2312" w:hAnsi="仿宋_GB2312" w:eastAsia="仿宋_GB2312" w:cs="仿宋_GB2312"/>
              </w:rPr>
              <w:t>★</w:t>
            </w:r>
          </w:p>
        </w:tc>
        <w:tc>
          <w:tcPr>
            <w:tcW w:w="1495" w:type="dxa"/>
          </w:tcPr>
          <w:p w14:paraId="73E8A4BD">
            <w:pPr>
              <w:pStyle w:val="5"/>
              <w:jc w:val="left"/>
            </w:pPr>
            <w:r>
              <w:rPr>
                <w:rFonts w:ascii="仿宋_GB2312" w:hAnsi="仿宋_GB2312" w:eastAsia="仿宋_GB2312" w:cs="仿宋_GB2312"/>
              </w:rPr>
              <w:t>服务要求</w:t>
            </w:r>
          </w:p>
        </w:tc>
        <w:tc>
          <w:tcPr>
            <w:tcW w:w="5814" w:type="dxa"/>
          </w:tcPr>
          <w:p w14:paraId="47F68335">
            <w:pPr>
              <w:pStyle w:val="5"/>
              <w:jc w:val="both"/>
            </w:pPr>
            <w:r>
              <w:rPr>
                <w:rFonts w:ascii="仿宋_GB2312" w:hAnsi="仿宋_GB2312" w:eastAsia="仿宋_GB2312" w:cs="仿宋_GB2312"/>
                <w:b/>
                <w:sz w:val="24"/>
              </w:rPr>
              <w:t>（1）服务考核</w:t>
            </w:r>
          </w:p>
          <w:p w14:paraId="348CD377">
            <w:pPr>
              <w:pStyle w:val="5"/>
              <w:ind w:right="90" w:firstLine="488"/>
              <w:jc w:val="both"/>
            </w:pPr>
            <w:r>
              <w:rPr>
                <w:rFonts w:ascii="仿宋_GB2312" w:hAnsi="仿宋_GB2312" w:eastAsia="仿宋_GB2312" w:cs="仿宋_GB2312"/>
                <w:sz w:val="24"/>
              </w:rPr>
              <w:t>本项目包含系统运维、系统迁移等，涉及功能开发、数据采集、传输、处理、使用、更新、维护等众多工作内容，为保证各项工作顺利开展，提升系统运行效率和质量，需做好相关考核工作，为系统高效运行提供制度性保障，考核结果作为项目经费计算的依据。</w:t>
            </w:r>
          </w:p>
          <w:p w14:paraId="59F412CD">
            <w:pPr>
              <w:pStyle w:val="5"/>
              <w:spacing w:before="45"/>
              <w:ind w:right="105" w:firstLine="488"/>
              <w:jc w:val="left"/>
            </w:pPr>
            <w:r>
              <w:rPr>
                <w:rFonts w:ascii="仿宋_GB2312" w:hAnsi="仿宋_GB2312" w:eastAsia="仿宋_GB2312" w:cs="仿宋_GB2312"/>
                <w:sz w:val="24"/>
              </w:rPr>
              <w:t>总得分由服务基本分、服务奖励分和服务处罚分三部分组成。计分公式为：服务总得分（记为T）=服务基本分+服务奖励分-服务处罚分。</w:t>
            </w:r>
          </w:p>
          <w:p w14:paraId="53B7B412">
            <w:pPr>
              <w:pStyle w:val="5"/>
              <w:spacing w:before="45"/>
              <w:ind w:right="105" w:firstLine="488"/>
              <w:jc w:val="left"/>
            </w:pPr>
            <w:r>
              <w:rPr>
                <w:rFonts w:ascii="仿宋_GB2312" w:hAnsi="仿宋_GB2312" w:eastAsia="仿宋_GB2312" w:cs="仿宋_GB2312"/>
                <w:sz w:val="24"/>
              </w:rPr>
              <w:t>季度综合总得分不小于90分为合格。若未达到90分，每少1分扣款比例为年度合同金额的0.5%。连续两个季度考核得分低于90分时，采购人有权利终止合同。</w:t>
            </w:r>
          </w:p>
          <w:p w14:paraId="7C1EB398">
            <w:pPr>
              <w:pStyle w:val="5"/>
              <w:spacing w:before="45"/>
              <w:ind w:right="105" w:firstLine="488"/>
              <w:jc w:val="left"/>
            </w:pPr>
            <w:r>
              <w:rPr>
                <w:rFonts w:ascii="仿宋_GB2312" w:hAnsi="仿宋_GB2312" w:eastAsia="仿宋_GB2312" w:cs="仿宋_GB2312"/>
                <w:sz w:val="24"/>
              </w:rPr>
              <w:t>年度运维结束后，年度考核合格、并经采购人组织的履约验收合格后，续签下一年度运维合同。①年度考核：年度综合总得分为四个季度综合总得分平均值，不小于90分为合格。若未达到90分，每少1分扣款比例为年度合同金额的1%，同时不续签合同。②履约验收：采购人可根据实际情况，组织第三方机构，如专家评委会对运维服务工作进行履约验收。</w:t>
            </w:r>
          </w:p>
          <w:p w14:paraId="4D8887E5">
            <w:pPr>
              <w:pStyle w:val="5"/>
              <w:spacing w:before="15"/>
              <w:ind w:left="600"/>
              <w:jc w:val="left"/>
            </w:pPr>
            <w:r>
              <w:rPr>
                <w:rFonts w:ascii="仿宋_GB2312" w:hAnsi="仿宋_GB2312" w:eastAsia="仿宋_GB2312" w:cs="仿宋_GB2312"/>
                <w:sz w:val="24"/>
              </w:rPr>
              <w:t>1.运维服务考核</w:t>
            </w:r>
          </w:p>
          <w:p w14:paraId="5C4ECD71">
            <w:pPr>
              <w:pStyle w:val="5"/>
              <w:spacing w:before="30"/>
              <w:ind w:left="600"/>
              <w:jc w:val="left"/>
            </w:pPr>
            <w:r>
              <w:rPr>
                <w:rFonts w:ascii="仿宋_GB2312" w:hAnsi="仿宋_GB2312" w:eastAsia="仿宋_GB2312" w:cs="仿宋_GB2312"/>
                <w:sz w:val="24"/>
              </w:rPr>
              <w:t>1.1考核程序</w:t>
            </w:r>
          </w:p>
          <w:p w14:paraId="29B074D6">
            <w:pPr>
              <w:pStyle w:val="5"/>
              <w:spacing w:before="30"/>
              <w:ind w:right="105" w:firstLine="488"/>
              <w:jc w:val="left"/>
            </w:pPr>
            <w:r>
              <w:rPr>
                <w:rFonts w:ascii="仿宋_GB2312" w:hAnsi="仿宋_GB2312" w:eastAsia="仿宋_GB2312" w:cs="仿宋_GB2312"/>
                <w:sz w:val="24"/>
              </w:rPr>
              <w:t>采用按季度考核、季度结算的方式进行，具体考核程序如下：</w:t>
            </w:r>
          </w:p>
          <w:p w14:paraId="223002D0">
            <w:pPr>
              <w:pStyle w:val="5"/>
              <w:spacing w:before="30"/>
              <w:ind w:right="105" w:firstLine="468"/>
              <w:jc w:val="left"/>
            </w:pPr>
            <w:r>
              <w:rPr>
                <w:rFonts w:ascii="仿宋_GB2312" w:hAnsi="仿宋_GB2312" w:eastAsia="仿宋_GB2312" w:cs="仿宋_GB2312"/>
                <w:sz w:val="24"/>
              </w:rPr>
              <w:t>（1）服务合同签订并生效之日起，每月末，成交供应商对运维服务情况进行自查，形成自查报告，在次月10个工作日前报采购人。</w:t>
            </w:r>
          </w:p>
          <w:p w14:paraId="05CD69A8">
            <w:pPr>
              <w:pStyle w:val="5"/>
              <w:spacing w:before="30"/>
              <w:ind w:right="105" w:firstLine="468"/>
              <w:jc w:val="left"/>
            </w:pPr>
            <w:r>
              <w:rPr>
                <w:rFonts w:ascii="仿宋_GB2312" w:hAnsi="仿宋_GB2312" w:eastAsia="仿宋_GB2312" w:cs="仿宋_GB2312"/>
                <w:sz w:val="24"/>
              </w:rPr>
              <w:t>（2）采购人根据每月自查报告和相关运维资料，并结合自身对运维服务工作的掌握情况，依据运维考核评分标准得出季度的考核分数。</w:t>
            </w:r>
          </w:p>
          <w:p w14:paraId="1E271D56">
            <w:pPr>
              <w:pStyle w:val="5"/>
              <w:spacing w:before="30"/>
              <w:ind w:right="105" w:firstLine="468"/>
              <w:jc w:val="left"/>
            </w:pPr>
            <w:r>
              <w:rPr>
                <w:rFonts w:ascii="仿宋_GB2312" w:hAnsi="仿宋_GB2312" w:eastAsia="仿宋_GB2312" w:cs="仿宋_GB2312"/>
                <w:sz w:val="24"/>
              </w:rPr>
              <w:t>（3）采购人根据考核结果对运维经费进行结算。</w:t>
            </w:r>
          </w:p>
          <w:p w14:paraId="6B03FC19">
            <w:pPr>
              <w:pStyle w:val="5"/>
              <w:ind w:left="180" w:right="90" w:firstLine="464"/>
              <w:jc w:val="both"/>
            </w:pPr>
            <w:r>
              <w:rPr>
                <w:rFonts w:ascii="仿宋_GB2312" w:hAnsi="仿宋_GB2312" w:eastAsia="仿宋_GB2312" w:cs="仿宋_GB2312"/>
                <w:sz w:val="24"/>
              </w:rPr>
              <w:t>1.2考核内容</w:t>
            </w:r>
          </w:p>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84"/>
              <w:gridCol w:w="813"/>
              <w:gridCol w:w="2925"/>
              <w:gridCol w:w="971"/>
            </w:tblGrid>
            <w:tr w14:paraId="06E034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56A6BAA">
                  <w:pPr>
                    <w:pStyle w:val="5"/>
                    <w:jc w:val="center"/>
                  </w:pPr>
                  <w:r>
                    <w:rPr>
                      <w:rFonts w:ascii="仿宋_GB2312" w:hAnsi="仿宋_GB2312" w:eastAsia="仿宋_GB2312" w:cs="仿宋_GB2312"/>
                      <w:b/>
                      <w:sz w:val="21"/>
                    </w:rPr>
                    <w:t>服务类别</w:t>
                  </w:r>
                </w:p>
              </w:tc>
              <w:tc>
                <w:tcPr>
                  <w:tcW w:w="8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EC367C9">
                  <w:pPr>
                    <w:pStyle w:val="5"/>
                    <w:jc w:val="center"/>
                  </w:pPr>
                  <w:r>
                    <w:rPr>
                      <w:rFonts w:ascii="仿宋_GB2312" w:hAnsi="仿宋_GB2312" w:eastAsia="仿宋_GB2312" w:cs="仿宋_GB2312"/>
                      <w:b/>
                      <w:sz w:val="21"/>
                    </w:rPr>
                    <w:t>服务项目</w:t>
                  </w:r>
                </w:p>
              </w:tc>
              <w:tc>
                <w:tcPr>
                  <w:tcW w:w="29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90CF59E">
                  <w:pPr>
                    <w:pStyle w:val="5"/>
                    <w:jc w:val="center"/>
                  </w:pPr>
                  <w:r>
                    <w:rPr>
                      <w:rFonts w:ascii="仿宋_GB2312" w:hAnsi="仿宋_GB2312" w:eastAsia="仿宋_GB2312" w:cs="仿宋_GB2312"/>
                      <w:b/>
                      <w:sz w:val="21"/>
                    </w:rPr>
                    <w:t>服务内容</w:t>
                  </w:r>
                </w:p>
              </w:tc>
              <w:tc>
                <w:tcPr>
                  <w:tcW w:w="97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AB8F644">
                  <w:pPr>
                    <w:pStyle w:val="5"/>
                    <w:jc w:val="center"/>
                  </w:pPr>
                  <w:r>
                    <w:rPr>
                      <w:rFonts w:ascii="仿宋_GB2312" w:hAnsi="仿宋_GB2312" w:eastAsia="仿宋_GB2312" w:cs="仿宋_GB2312"/>
                      <w:b/>
                      <w:sz w:val="21"/>
                    </w:rPr>
                    <w:t>指标</w:t>
                  </w:r>
                </w:p>
              </w:tc>
            </w:tr>
            <w:tr w14:paraId="0A9BFA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4"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2D26525F">
                  <w:pPr>
                    <w:pStyle w:val="5"/>
                    <w:ind w:right="105"/>
                    <w:jc w:val="center"/>
                  </w:pPr>
                  <w:r>
                    <w:rPr>
                      <w:rFonts w:ascii="仿宋_GB2312" w:hAnsi="仿宋_GB2312" w:eastAsia="仿宋_GB2312" w:cs="仿宋_GB2312"/>
                      <w:sz w:val="21"/>
                    </w:rPr>
                    <w:t>应用系统运维</w:t>
                  </w:r>
                </w:p>
              </w:tc>
              <w:tc>
                <w:tcPr>
                  <w:tcW w:w="8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1D3931">
                  <w:pPr>
                    <w:pStyle w:val="5"/>
                    <w:ind w:right="105"/>
                    <w:jc w:val="center"/>
                  </w:pPr>
                  <w:r>
                    <w:rPr>
                      <w:rFonts w:ascii="仿宋_GB2312" w:hAnsi="仿宋_GB2312" w:eastAsia="仿宋_GB2312" w:cs="仿宋_GB2312"/>
                      <w:sz w:val="21"/>
                    </w:rPr>
                    <w:t>应用功能升级</w:t>
                  </w:r>
                </w:p>
              </w:tc>
              <w:tc>
                <w:tcPr>
                  <w:tcW w:w="2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D2ABAF">
                  <w:pPr>
                    <w:pStyle w:val="5"/>
                    <w:ind w:left="105" w:right="120"/>
                    <w:jc w:val="left"/>
                  </w:pPr>
                  <w:r>
                    <w:rPr>
                      <w:rFonts w:ascii="仿宋_GB2312" w:hAnsi="仿宋_GB2312" w:eastAsia="仿宋_GB2312" w:cs="仿宋_GB2312"/>
                      <w:sz w:val="21"/>
                    </w:rPr>
                    <w:t>完成更正性、适应性升级、完善性和预防性升级。</w:t>
                  </w:r>
                </w:p>
              </w:tc>
              <w:tc>
                <w:tcPr>
                  <w:tcW w:w="9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D8BCEC">
                  <w:pPr>
                    <w:pStyle w:val="5"/>
                    <w:jc w:val="center"/>
                  </w:pPr>
                  <w:r>
                    <w:rPr>
                      <w:rFonts w:ascii="仿宋_GB2312" w:hAnsi="仿宋_GB2312" w:eastAsia="仿宋_GB2312" w:cs="仿宋_GB2312"/>
                      <w:sz w:val="21"/>
                    </w:rPr>
                    <w:t>有效性</w:t>
                  </w:r>
                </w:p>
              </w:tc>
            </w:tr>
            <w:tr w14:paraId="095DC2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4" w:type="dxa"/>
                  <w:vMerge w:val="continue"/>
                  <w:tcBorders>
                    <w:top w:val="nil"/>
                    <w:left w:val="single" w:color="000000" w:sz="4" w:space="0"/>
                    <w:bottom w:val="nil"/>
                    <w:right w:val="single" w:color="000000" w:sz="4" w:space="0"/>
                  </w:tcBorders>
                </w:tcPr>
                <w:p w14:paraId="090DFA7A"/>
              </w:tc>
              <w:tc>
                <w:tcPr>
                  <w:tcW w:w="8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4CEB0F">
                  <w:pPr>
                    <w:pStyle w:val="5"/>
                    <w:ind w:right="105"/>
                    <w:jc w:val="center"/>
                  </w:pPr>
                  <w:r>
                    <w:rPr>
                      <w:rFonts w:ascii="仿宋_GB2312" w:hAnsi="仿宋_GB2312" w:eastAsia="仿宋_GB2312" w:cs="仿宋_GB2312"/>
                      <w:sz w:val="21"/>
                    </w:rPr>
                    <w:t>应用系统优化</w:t>
                  </w:r>
                </w:p>
              </w:tc>
              <w:tc>
                <w:tcPr>
                  <w:tcW w:w="2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0CF1AC">
                  <w:pPr>
                    <w:pStyle w:val="5"/>
                    <w:ind w:left="105" w:right="120"/>
                    <w:jc w:val="left"/>
                  </w:pPr>
                  <w:r>
                    <w:rPr>
                      <w:rFonts w:ascii="仿宋_GB2312" w:hAnsi="仿宋_GB2312" w:eastAsia="仿宋_GB2312" w:cs="仿宋_GB2312"/>
                      <w:sz w:val="21"/>
                    </w:rPr>
                    <w:t>应用系统优化分析及制定优化策略；优化数据逻辑结构和应用系统功能。</w:t>
                  </w:r>
                </w:p>
              </w:tc>
              <w:tc>
                <w:tcPr>
                  <w:tcW w:w="9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7A3D10">
                  <w:pPr>
                    <w:pStyle w:val="5"/>
                    <w:jc w:val="center"/>
                  </w:pPr>
                  <w:r>
                    <w:rPr>
                      <w:rFonts w:ascii="仿宋_GB2312" w:hAnsi="仿宋_GB2312" w:eastAsia="仿宋_GB2312" w:cs="仿宋_GB2312"/>
                      <w:sz w:val="21"/>
                    </w:rPr>
                    <w:t>有效性</w:t>
                  </w:r>
                </w:p>
              </w:tc>
            </w:tr>
            <w:tr w14:paraId="095D52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4" w:type="dxa"/>
                  <w:vMerge w:val="continue"/>
                  <w:tcBorders>
                    <w:top w:val="nil"/>
                    <w:left w:val="single" w:color="000000" w:sz="4" w:space="0"/>
                    <w:bottom w:val="nil"/>
                    <w:right w:val="single" w:color="000000" w:sz="4" w:space="0"/>
                  </w:tcBorders>
                </w:tcPr>
                <w:p w14:paraId="1926A08B"/>
              </w:tc>
              <w:tc>
                <w:tcPr>
                  <w:tcW w:w="8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5B5459">
                  <w:pPr>
                    <w:pStyle w:val="5"/>
                    <w:ind w:right="105"/>
                    <w:jc w:val="center"/>
                  </w:pPr>
                  <w:r>
                    <w:rPr>
                      <w:rFonts w:ascii="仿宋_GB2312" w:hAnsi="仿宋_GB2312" w:eastAsia="仿宋_GB2312" w:cs="仿宋_GB2312"/>
                      <w:sz w:val="21"/>
                    </w:rPr>
                    <w:t>应用应急服务</w:t>
                  </w:r>
                </w:p>
              </w:tc>
              <w:tc>
                <w:tcPr>
                  <w:tcW w:w="2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F2FEB7">
                  <w:pPr>
                    <w:pStyle w:val="5"/>
                    <w:ind w:left="105" w:right="120"/>
                    <w:jc w:val="left"/>
                  </w:pPr>
                  <w:r>
                    <w:rPr>
                      <w:rFonts w:ascii="仿宋_GB2312" w:hAnsi="仿宋_GB2312" w:eastAsia="仿宋_GB2312" w:cs="仿宋_GB2312"/>
                      <w:sz w:val="21"/>
                    </w:rPr>
                    <w:t>是否提前发现风险问题，及时响应突发性的特殊应用需求。</w:t>
                  </w:r>
                </w:p>
              </w:tc>
              <w:tc>
                <w:tcPr>
                  <w:tcW w:w="9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A42405">
                  <w:pPr>
                    <w:pStyle w:val="5"/>
                    <w:jc w:val="center"/>
                  </w:pPr>
                  <w:r>
                    <w:rPr>
                      <w:rFonts w:ascii="仿宋_GB2312" w:hAnsi="仿宋_GB2312" w:eastAsia="仿宋_GB2312" w:cs="仿宋_GB2312"/>
                      <w:sz w:val="21"/>
                    </w:rPr>
                    <w:t>及时性、满意度</w:t>
                  </w:r>
                </w:p>
              </w:tc>
            </w:tr>
            <w:tr w14:paraId="786F46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4" w:type="dxa"/>
                  <w:vMerge w:val="continue"/>
                  <w:tcBorders>
                    <w:top w:val="nil"/>
                    <w:left w:val="single" w:color="000000" w:sz="4" w:space="0"/>
                    <w:bottom w:val="nil"/>
                    <w:right w:val="single" w:color="000000" w:sz="4" w:space="0"/>
                  </w:tcBorders>
                </w:tcPr>
                <w:p w14:paraId="179A9350"/>
              </w:tc>
              <w:tc>
                <w:tcPr>
                  <w:tcW w:w="8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93E9C7">
                  <w:pPr>
                    <w:pStyle w:val="5"/>
                    <w:ind w:left="60" w:right="105"/>
                    <w:jc w:val="center"/>
                  </w:pPr>
                  <w:r>
                    <w:rPr>
                      <w:rFonts w:ascii="仿宋_GB2312" w:hAnsi="仿宋_GB2312" w:eastAsia="仿宋_GB2312" w:cs="仿宋_GB2312"/>
                      <w:sz w:val="21"/>
                    </w:rPr>
                    <w:t>事故分析和安全服务</w:t>
                  </w:r>
                </w:p>
              </w:tc>
              <w:tc>
                <w:tcPr>
                  <w:tcW w:w="2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77BDB9">
                  <w:pPr>
                    <w:pStyle w:val="5"/>
                    <w:ind w:left="105" w:right="120"/>
                    <w:jc w:val="left"/>
                  </w:pPr>
                  <w:r>
                    <w:rPr>
                      <w:rFonts w:ascii="仿宋_GB2312" w:hAnsi="仿宋_GB2312" w:eastAsia="仿宋_GB2312" w:cs="仿宋_GB2312"/>
                      <w:sz w:val="21"/>
                    </w:rPr>
                    <w:t>及时提供事故原因和处理办法，配合采购人消除事故影响。制定落实信息安全管理制度、措施，完成国家信息安全主管部门的系统安全测评、备案等工作，制定并完成信息安全事件应急预案演练。</w:t>
                  </w:r>
                </w:p>
              </w:tc>
              <w:tc>
                <w:tcPr>
                  <w:tcW w:w="9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428FDAB">
                  <w:pPr>
                    <w:pStyle w:val="5"/>
                    <w:jc w:val="center"/>
                  </w:pPr>
                  <w:r>
                    <w:rPr>
                      <w:rFonts w:ascii="仿宋_GB2312" w:hAnsi="仿宋_GB2312" w:eastAsia="仿宋_GB2312" w:cs="仿宋_GB2312"/>
                      <w:sz w:val="21"/>
                    </w:rPr>
                    <w:t>及时性、有效性、事故次数</w:t>
                  </w:r>
                </w:p>
              </w:tc>
            </w:tr>
            <w:tr w14:paraId="081D5A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4"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3AE47F">
                  <w:pPr>
                    <w:pStyle w:val="5"/>
                    <w:ind w:left="75" w:right="135"/>
                    <w:jc w:val="center"/>
                  </w:pPr>
                  <w:r>
                    <w:rPr>
                      <w:rFonts w:ascii="仿宋_GB2312" w:hAnsi="仿宋_GB2312" w:eastAsia="仿宋_GB2312" w:cs="仿宋_GB2312"/>
                      <w:sz w:val="21"/>
                    </w:rPr>
                    <w:t>数据库运维、应用平台数据运营服务</w:t>
                  </w:r>
                </w:p>
              </w:tc>
              <w:tc>
                <w:tcPr>
                  <w:tcW w:w="814"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8400D3">
                  <w:pPr>
                    <w:pStyle w:val="5"/>
                    <w:ind w:right="180"/>
                    <w:jc w:val="center"/>
                  </w:pPr>
                  <w:r>
                    <w:rPr>
                      <w:rFonts w:ascii="仿宋_GB2312" w:hAnsi="仿宋_GB2312" w:eastAsia="仿宋_GB2312" w:cs="仿宋_GB2312"/>
                      <w:sz w:val="21"/>
                    </w:rPr>
                    <w:t>服务能力</w:t>
                  </w:r>
                </w:p>
              </w:tc>
              <w:tc>
                <w:tcPr>
                  <w:tcW w:w="2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5DA897">
                  <w:pPr>
                    <w:pStyle w:val="5"/>
                    <w:ind w:left="105" w:right="180"/>
                    <w:jc w:val="left"/>
                  </w:pPr>
                  <w:r>
                    <w:rPr>
                      <w:rFonts w:ascii="仿宋_GB2312" w:hAnsi="仿宋_GB2312" w:eastAsia="仿宋_GB2312" w:cs="仿宋_GB2312"/>
                      <w:sz w:val="21"/>
                    </w:rPr>
                    <w:t>按任务确认单时限要求完成服务内容。</w:t>
                  </w:r>
                </w:p>
              </w:tc>
              <w:tc>
                <w:tcPr>
                  <w:tcW w:w="9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5DDEF4">
                  <w:pPr>
                    <w:pStyle w:val="5"/>
                    <w:jc w:val="center"/>
                  </w:pPr>
                  <w:r>
                    <w:rPr>
                      <w:rFonts w:ascii="仿宋_GB2312" w:hAnsi="仿宋_GB2312" w:eastAsia="仿宋_GB2312" w:cs="仿宋_GB2312"/>
                      <w:sz w:val="21"/>
                    </w:rPr>
                    <w:t>及时性、准确性</w:t>
                  </w:r>
                </w:p>
              </w:tc>
            </w:tr>
            <w:tr w14:paraId="5FDDC3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4" w:type="dxa"/>
                  <w:vMerge w:val="continue"/>
                  <w:tcBorders>
                    <w:top w:val="nil"/>
                    <w:left w:val="single" w:color="000000" w:sz="4" w:space="0"/>
                    <w:bottom w:val="single" w:color="000000" w:sz="4" w:space="0"/>
                    <w:right w:val="single" w:color="000000" w:sz="4" w:space="0"/>
                  </w:tcBorders>
                </w:tcPr>
                <w:p w14:paraId="1B419F14"/>
              </w:tc>
              <w:tc>
                <w:tcPr>
                  <w:tcW w:w="814" w:type="dxa"/>
                  <w:vMerge w:val="continue"/>
                  <w:tcBorders>
                    <w:top w:val="nil"/>
                    <w:left w:val="single" w:color="000000" w:sz="4" w:space="0"/>
                    <w:bottom w:val="single" w:color="000000" w:sz="4" w:space="0"/>
                    <w:right w:val="single" w:color="000000" w:sz="4" w:space="0"/>
                  </w:tcBorders>
                </w:tcPr>
                <w:p w14:paraId="15BE716F"/>
              </w:tc>
              <w:tc>
                <w:tcPr>
                  <w:tcW w:w="2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1689D4">
                  <w:pPr>
                    <w:pStyle w:val="5"/>
                    <w:ind w:left="105" w:right="120"/>
                    <w:jc w:val="left"/>
                  </w:pPr>
                  <w:r>
                    <w:rPr>
                      <w:rFonts w:ascii="仿宋_GB2312" w:hAnsi="仿宋_GB2312" w:eastAsia="仿宋_GB2312" w:cs="仿宋_GB2312"/>
                      <w:sz w:val="21"/>
                    </w:rPr>
                    <w:t>供需对接：成交供应商应按确认服务需求清单完成需求供需对接。</w:t>
                  </w:r>
                </w:p>
              </w:tc>
              <w:tc>
                <w:tcPr>
                  <w:tcW w:w="9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3D1721">
                  <w:pPr>
                    <w:pStyle w:val="5"/>
                    <w:jc w:val="center"/>
                  </w:pPr>
                  <w:r>
                    <w:rPr>
                      <w:rFonts w:ascii="仿宋_GB2312" w:hAnsi="仿宋_GB2312" w:eastAsia="仿宋_GB2312" w:cs="仿宋_GB2312"/>
                      <w:sz w:val="21"/>
                    </w:rPr>
                    <w:t>及时性、准确性</w:t>
                  </w:r>
                </w:p>
              </w:tc>
            </w:tr>
            <w:tr w14:paraId="78B722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4" w:type="dxa"/>
                  <w:vMerge w:val="continue"/>
                  <w:tcBorders>
                    <w:top w:val="nil"/>
                    <w:left w:val="single" w:color="000000" w:sz="4" w:space="0"/>
                    <w:bottom w:val="single" w:color="000000" w:sz="4" w:space="0"/>
                    <w:right w:val="single" w:color="000000" w:sz="4" w:space="0"/>
                  </w:tcBorders>
                </w:tcPr>
                <w:p w14:paraId="5A5DCBDF"/>
              </w:tc>
              <w:tc>
                <w:tcPr>
                  <w:tcW w:w="814"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2A6A47">
                  <w:pPr>
                    <w:pStyle w:val="5"/>
                    <w:ind w:left="90" w:right="120"/>
                    <w:jc w:val="center"/>
                  </w:pPr>
                  <w:r>
                    <w:rPr>
                      <w:rFonts w:ascii="仿宋_GB2312" w:hAnsi="仿宋_GB2312" w:eastAsia="仿宋_GB2312" w:cs="仿宋_GB2312"/>
                      <w:sz w:val="21"/>
                    </w:rPr>
                    <w:t>数据更新机制维护</w:t>
                  </w:r>
                </w:p>
              </w:tc>
              <w:tc>
                <w:tcPr>
                  <w:tcW w:w="2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AB2D06">
                  <w:pPr>
                    <w:pStyle w:val="5"/>
                    <w:ind w:left="105" w:right="120"/>
                    <w:jc w:val="left"/>
                  </w:pPr>
                  <w:r>
                    <w:rPr>
                      <w:rFonts w:ascii="仿宋_GB2312" w:hAnsi="仿宋_GB2312" w:eastAsia="仿宋_GB2312" w:cs="仿宋_GB2312"/>
                      <w:sz w:val="21"/>
                    </w:rPr>
                    <w:t>完成月度数据运维报告（含数据更新量、采集质量、数据运维质量、数据发布质量等）；</w:t>
                  </w:r>
                </w:p>
                <w:p w14:paraId="78DBAE8B">
                  <w:pPr>
                    <w:pStyle w:val="5"/>
                    <w:ind w:left="105" w:right="120"/>
                    <w:jc w:val="left"/>
                  </w:pPr>
                  <w:r>
                    <w:rPr>
                      <w:rFonts w:ascii="仿宋_GB2312" w:hAnsi="仿宋_GB2312" w:eastAsia="仿宋_GB2312" w:cs="仿宋_GB2312"/>
                      <w:sz w:val="21"/>
                    </w:rPr>
                    <w:t>及时反馈各数据提供部门的数据质量情况，指导其改进和提高数据质量。</w:t>
                  </w:r>
                </w:p>
              </w:tc>
              <w:tc>
                <w:tcPr>
                  <w:tcW w:w="9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98B32D">
                  <w:pPr>
                    <w:pStyle w:val="5"/>
                    <w:ind w:right="105"/>
                    <w:jc w:val="center"/>
                  </w:pPr>
                  <w:r>
                    <w:rPr>
                      <w:rFonts w:ascii="仿宋_GB2312" w:hAnsi="仿宋_GB2312" w:eastAsia="仿宋_GB2312" w:cs="仿宋_GB2312"/>
                      <w:sz w:val="21"/>
                    </w:rPr>
                    <w:t>更新量、及时性</w:t>
                  </w:r>
                </w:p>
              </w:tc>
            </w:tr>
            <w:tr w14:paraId="31DCF8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4" w:type="dxa"/>
                  <w:vMerge w:val="continue"/>
                  <w:tcBorders>
                    <w:top w:val="nil"/>
                    <w:left w:val="single" w:color="000000" w:sz="4" w:space="0"/>
                    <w:bottom w:val="single" w:color="000000" w:sz="4" w:space="0"/>
                    <w:right w:val="single" w:color="000000" w:sz="4" w:space="0"/>
                  </w:tcBorders>
                </w:tcPr>
                <w:p w14:paraId="4E074AF0"/>
              </w:tc>
              <w:tc>
                <w:tcPr>
                  <w:tcW w:w="814" w:type="dxa"/>
                  <w:vMerge w:val="continue"/>
                  <w:tcBorders>
                    <w:top w:val="nil"/>
                    <w:left w:val="single" w:color="000000" w:sz="4" w:space="0"/>
                    <w:bottom w:val="single" w:color="000000" w:sz="4" w:space="0"/>
                    <w:right w:val="single" w:color="000000" w:sz="4" w:space="0"/>
                  </w:tcBorders>
                </w:tcPr>
                <w:p w14:paraId="2FD44955"/>
              </w:tc>
              <w:tc>
                <w:tcPr>
                  <w:tcW w:w="2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845AB5">
                  <w:pPr>
                    <w:pStyle w:val="5"/>
                    <w:ind w:left="105" w:right="120"/>
                    <w:jc w:val="both"/>
                  </w:pPr>
                  <w:r>
                    <w:rPr>
                      <w:rFonts w:ascii="仿宋_GB2312" w:hAnsi="仿宋_GB2312" w:eastAsia="仿宋_GB2312" w:cs="仿宋_GB2312"/>
                      <w:sz w:val="21"/>
                    </w:rPr>
                    <w:t>数据更新量：数据内容及数据更新情况。</w:t>
                  </w:r>
                </w:p>
              </w:tc>
              <w:tc>
                <w:tcPr>
                  <w:tcW w:w="9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A0CA22">
                  <w:pPr>
                    <w:pStyle w:val="5"/>
                    <w:ind w:left="105" w:right="120"/>
                    <w:jc w:val="center"/>
                  </w:pPr>
                  <w:r>
                    <w:rPr>
                      <w:rFonts w:ascii="仿宋_GB2312" w:hAnsi="仿宋_GB2312" w:eastAsia="仿宋_GB2312" w:cs="仿宋_GB2312"/>
                      <w:sz w:val="21"/>
                    </w:rPr>
                    <w:t>入库率、修正量</w:t>
                  </w:r>
                </w:p>
              </w:tc>
            </w:tr>
            <w:tr w14:paraId="4024C4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4" w:type="dxa"/>
                  <w:vMerge w:val="continue"/>
                  <w:tcBorders>
                    <w:top w:val="nil"/>
                    <w:left w:val="single" w:color="000000" w:sz="4" w:space="0"/>
                    <w:bottom w:val="single" w:color="000000" w:sz="4" w:space="0"/>
                    <w:right w:val="single" w:color="000000" w:sz="4" w:space="0"/>
                  </w:tcBorders>
                </w:tcPr>
                <w:p w14:paraId="6718BB4D"/>
              </w:tc>
              <w:tc>
                <w:tcPr>
                  <w:tcW w:w="814" w:type="dxa"/>
                  <w:vMerge w:val="continue"/>
                  <w:tcBorders>
                    <w:top w:val="nil"/>
                    <w:left w:val="single" w:color="000000" w:sz="4" w:space="0"/>
                    <w:bottom w:val="single" w:color="000000" w:sz="4" w:space="0"/>
                    <w:right w:val="single" w:color="000000" w:sz="4" w:space="0"/>
                  </w:tcBorders>
                </w:tcPr>
                <w:p w14:paraId="343DDCE9"/>
              </w:tc>
              <w:tc>
                <w:tcPr>
                  <w:tcW w:w="2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C025DE">
                  <w:pPr>
                    <w:pStyle w:val="5"/>
                    <w:ind w:left="105" w:right="120"/>
                    <w:jc w:val="left"/>
                  </w:pPr>
                  <w:r>
                    <w:rPr>
                      <w:rFonts w:ascii="仿宋_GB2312" w:hAnsi="仿宋_GB2312" w:eastAsia="仿宋_GB2312" w:cs="仿宋_GB2312"/>
                      <w:sz w:val="21"/>
                    </w:rPr>
                    <w:t>采集质量：采集各单位数据后，应在48小时内完成数据入库。</w:t>
                  </w:r>
                </w:p>
              </w:tc>
              <w:tc>
                <w:tcPr>
                  <w:tcW w:w="9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6D4170">
                  <w:pPr>
                    <w:pStyle w:val="5"/>
                    <w:ind w:left="105" w:right="120"/>
                    <w:jc w:val="center"/>
                  </w:pPr>
                  <w:r>
                    <w:rPr>
                      <w:rFonts w:ascii="仿宋_GB2312" w:hAnsi="仿宋_GB2312" w:eastAsia="仿宋_GB2312" w:cs="仿宋_GB2312"/>
                      <w:sz w:val="21"/>
                    </w:rPr>
                    <w:t>入库率</w:t>
                  </w:r>
                </w:p>
              </w:tc>
            </w:tr>
            <w:tr w14:paraId="707CF3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4" w:type="dxa"/>
                  <w:vMerge w:val="continue"/>
                  <w:tcBorders>
                    <w:top w:val="nil"/>
                    <w:left w:val="single" w:color="000000" w:sz="4" w:space="0"/>
                    <w:bottom w:val="single" w:color="000000" w:sz="4" w:space="0"/>
                    <w:right w:val="single" w:color="000000" w:sz="4" w:space="0"/>
                  </w:tcBorders>
                </w:tcPr>
                <w:p w14:paraId="7EB35523"/>
              </w:tc>
              <w:tc>
                <w:tcPr>
                  <w:tcW w:w="814" w:type="dxa"/>
                  <w:vMerge w:val="continue"/>
                  <w:tcBorders>
                    <w:top w:val="nil"/>
                    <w:left w:val="single" w:color="000000" w:sz="4" w:space="0"/>
                    <w:bottom w:val="single" w:color="000000" w:sz="4" w:space="0"/>
                    <w:right w:val="single" w:color="000000" w:sz="4" w:space="0"/>
                  </w:tcBorders>
                </w:tcPr>
                <w:p w14:paraId="3C693A12"/>
              </w:tc>
              <w:tc>
                <w:tcPr>
                  <w:tcW w:w="2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E4C280">
                  <w:pPr>
                    <w:pStyle w:val="5"/>
                    <w:ind w:left="105" w:right="120"/>
                    <w:jc w:val="left"/>
                  </w:pPr>
                  <w:r>
                    <w:rPr>
                      <w:rFonts w:ascii="仿宋_GB2312" w:hAnsi="仿宋_GB2312" w:eastAsia="仿宋_GB2312" w:cs="仿宋_GB2312"/>
                      <w:sz w:val="21"/>
                    </w:rPr>
                    <w:t>比对质量：对数据比对及时性、数据比对完成率、数据比对入库率。</w:t>
                  </w:r>
                </w:p>
              </w:tc>
              <w:tc>
                <w:tcPr>
                  <w:tcW w:w="9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C66B31">
                  <w:pPr>
                    <w:pStyle w:val="5"/>
                    <w:ind w:right="60"/>
                    <w:jc w:val="center"/>
                  </w:pPr>
                  <w:r>
                    <w:rPr>
                      <w:rFonts w:ascii="仿宋_GB2312" w:hAnsi="仿宋_GB2312" w:eastAsia="仿宋_GB2312" w:cs="仿宋_GB2312"/>
                      <w:sz w:val="21"/>
                    </w:rPr>
                    <w:t>数据的一致性和完整性</w:t>
                  </w:r>
                </w:p>
              </w:tc>
            </w:tr>
            <w:tr w14:paraId="1105C1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4" w:type="dxa"/>
                  <w:vMerge w:val="continue"/>
                  <w:tcBorders>
                    <w:top w:val="nil"/>
                    <w:left w:val="single" w:color="000000" w:sz="4" w:space="0"/>
                    <w:bottom w:val="single" w:color="000000" w:sz="4" w:space="0"/>
                    <w:right w:val="single" w:color="000000" w:sz="4" w:space="0"/>
                  </w:tcBorders>
                </w:tcPr>
                <w:p w14:paraId="0F9BED75"/>
              </w:tc>
              <w:tc>
                <w:tcPr>
                  <w:tcW w:w="814" w:type="dxa"/>
                  <w:vMerge w:val="continue"/>
                  <w:tcBorders>
                    <w:top w:val="nil"/>
                    <w:left w:val="single" w:color="000000" w:sz="4" w:space="0"/>
                    <w:bottom w:val="single" w:color="000000" w:sz="4" w:space="0"/>
                    <w:right w:val="single" w:color="000000" w:sz="4" w:space="0"/>
                  </w:tcBorders>
                </w:tcPr>
                <w:p w14:paraId="072EA753"/>
              </w:tc>
              <w:tc>
                <w:tcPr>
                  <w:tcW w:w="2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36A95C">
                  <w:pPr>
                    <w:pStyle w:val="5"/>
                    <w:ind w:left="105" w:right="120"/>
                    <w:jc w:val="both"/>
                  </w:pPr>
                  <w:r>
                    <w:rPr>
                      <w:rFonts w:ascii="仿宋_GB2312" w:hAnsi="仿宋_GB2312" w:eastAsia="仿宋_GB2312" w:cs="仿宋_GB2312"/>
                      <w:sz w:val="21"/>
                    </w:rPr>
                    <w:t>数据质量：保证基础库数据一致性和完整性。</w:t>
                  </w:r>
                </w:p>
              </w:tc>
              <w:tc>
                <w:tcPr>
                  <w:tcW w:w="9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73C93D">
                  <w:pPr>
                    <w:pStyle w:val="5"/>
                    <w:ind w:left="105" w:right="120"/>
                    <w:jc w:val="center"/>
                  </w:pPr>
                  <w:r>
                    <w:rPr>
                      <w:rFonts w:ascii="仿宋_GB2312" w:hAnsi="仿宋_GB2312" w:eastAsia="仿宋_GB2312" w:cs="仿宋_GB2312"/>
                      <w:sz w:val="21"/>
                    </w:rPr>
                    <w:t>准确率</w:t>
                  </w:r>
                </w:p>
              </w:tc>
            </w:tr>
            <w:tr w14:paraId="297E2C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4" w:type="dxa"/>
                  <w:vMerge w:val="continue"/>
                  <w:tcBorders>
                    <w:top w:val="nil"/>
                    <w:left w:val="single" w:color="000000" w:sz="4" w:space="0"/>
                    <w:bottom w:val="single" w:color="000000" w:sz="4" w:space="0"/>
                    <w:right w:val="single" w:color="000000" w:sz="4" w:space="0"/>
                  </w:tcBorders>
                </w:tcPr>
                <w:p w14:paraId="564F9A66"/>
              </w:tc>
              <w:tc>
                <w:tcPr>
                  <w:tcW w:w="814" w:type="dxa"/>
                  <w:vMerge w:val="continue"/>
                  <w:tcBorders>
                    <w:top w:val="nil"/>
                    <w:left w:val="single" w:color="000000" w:sz="4" w:space="0"/>
                    <w:bottom w:val="single" w:color="000000" w:sz="4" w:space="0"/>
                    <w:right w:val="single" w:color="000000" w:sz="4" w:space="0"/>
                  </w:tcBorders>
                </w:tcPr>
                <w:p w14:paraId="41DFF2E9"/>
              </w:tc>
              <w:tc>
                <w:tcPr>
                  <w:tcW w:w="2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BBF8B8">
                  <w:pPr>
                    <w:pStyle w:val="5"/>
                    <w:ind w:left="105" w:right="120"/>
                    <w:jc w:val="left"/>
                  </w:pPr>
                  <w:r>
                    <w:rPr>
                      <w:rFonts w:ascii="仿宋_GB2312" w:hAnsi="仿宋_GB2312" w:eastAsia="仿宋_GB2312" w:cs="仿宋_GB2312"/>
                      <w:sz w:val="21"/>
                    </w:rPr>
                    <w:t>数据融合：对汇聚至数据中台数据进行融合治理，满足供需要求。</w:t>
                  </w:r>
                </w:p>
              </w:tc>
              <w:tc>
                <w:tcPr>
                  <w:tcW w:w="9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7684BC">
                  <w:pPr>
                    <w:pStyle w:val="5"/>
                    <w:ind w:left="105" w:right="120"/>
                    <w:jc w:val="center"/>
                  </w:pPr>
                  <w:r>
                    <w:rPr>
                      <w:rFonts w:ascii="仿宋_GB2312" w:hAnsi="仿宋_GB2312" w:eastAsia="仿宋_GB2312" w:cs="仿宋_GB2312"/>
                      <w:sz w:val="21"/>
                    </w:rPr>
                    <w:t>数据的一致性和完整性</w:t>
                  </w:r>
                </w:p>
              </w:tc>
            </w:tr>
            <w:tr w14:paraId="3D6969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4" w:type="dxa"/>
                  <w:vMerge w:val="continue"/>
                  <w:tcBorders>
                    <w:top w:val="nil"/>
                    <w:left w:val="single" w:color="000000" w:sz="4" w:space="0"/>
                    <w:bottom w:val="single" w:color="000000" w:sz="4" w:space="0"/>
                    <w:right w:val="single" w:color="000000" w:sz="4" w:space="0"/>
                  </w:tcBorders>
                </w:tcPr>
                <w:p w14:paraId="3B5BB16D"/>
              </w:tc>
              <w:tc>
                <w:tcPr>
                  <w:tcW w:w="8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75C873">
                  <w:pPr>
                    <w:pStyle w:val="5"/>
                    <w:ind w:right="90"/>
                    <w:jc w:val="center"/>
                  </w:pPr>
                  <w:r>
                    <w:rPr>
                      <w:rFonts w:ascii="仿宋_GB2312" w:hAnsi="仿宋_GB2312" w:eastAsia="仿宋_GB2312" w:cs="仿宋_GB2312"/>
                      <w:sz w:val="20"/>
                    </w:rPr>
                    <w:t>异常数据日常维护</w:t>
                  </w:r>
                </w:p>
              </w:tc>
              <w:tc>
                <w:tcPr>
                  <w:tcW w:w="2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EE3BBE">
                  <w:pPr>
                    <w:pStyle w:val="5"/>
                    <w:ind w:left="105" w:right="120"/>
                    <w:jc w:val="left"/>
                  </w:pPr>
                  <w:r>
                    <w:rPr>
                      <w:rFonts w:ascii="仿宋_GB2312" w:hAnsi="仿宋_GB2312" w:eastAsia="仿宋_GB2312" w:cs="仿宋_GB2312"/>
                      <w:sz w:val="21"/>
                    </w:rPr>
                    <w:t>及时对异常数据分类处理，发布异常数据日常维护报告，制订异常数据日常维护管理流程。对数据校验后异常数据反馈率、部门比对异常数据反馈率。</w:t>
                  </w:r>
                </w:p>
              </w:tc>
              <w:tc>
                <w:tcPr>
                  <w:tcW w:w="9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4BC953D">
                  <w:pPr>
                    <w:pStyle w:val="5"/>
                    <w:ind w:left="105" w:right="120"/>
                    <w:jc w:val="center"/>
                  </w:pPr>
                  <w:r>
                    <w:rPr>
                      <w:rFonts w:ascii="仿宋_GB2312" w:hAnsi="仿宋_GB2312" w:eastAsia="仿宋_GB2312" w:cs="仿宋_GB2312"/>
                      <w:sz w:val="21"/>
                    </w:rPr>
                    <w:t>异常数据处理的及时性</w:t>
                  </w:r>
                </w:p>
              </w:tc>
            </w:tr>
            <w:tr w14:paraId="0F8D86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4" w:type="dxa"/>
                  <w:vMerge w:val="continue"/>
                  <w:tcBorders>
                    <w:top w:val="nil"/>
                    <w:left w:val="single" w:color="000000" w:sz="4" w:space="0"/>
                    <w:bottom w:val="single" w:color="000000" w:sz="4" w:space="0"/>
                    <w:right w:val="single" w:color="000000" w:sz="4" w:space="0"/>
                  </w:tcBorders>
                </w:tcPr>
                <w:p w14:paraId="2F79A667"/>
              </w:tc>
              <w:tc>
                <w:tcPr>
                  <w:tcW w:w="8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A7D366">
                  <w:pPr>
                    <w:pStyle w:val="5"/>
                    <w:ind w:right="90"/>
                    <w:jc w:val="center"/>
                  </w:pPr>
                  <w:r>
                    <w:rPr>
                      <w:rFonts w:ascii="仿宋_GB2312" w:hAnsi="仿宋_GB2312" w:eastAsia="仿宋_GB2312" w:cs="仿宋_GB2312"/>
                      <w:sz w:val="20"/>
                    </w:rPr>
                    <w:t>历史错误数据维护</w:t>
                  </w:r>
                </w:p>
              </w:tc>
              <w:tc>
                <w:tcPr>
                  <w:tcW w:w="2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8A0C20">
                  <w:pPr>
                    <w:pStyle w:val="5"/>
                    <w:ind w:left="105" w:right="120"/>
                    <w:jc w:val="left"/>
                  </w:pPr>
                  <w:r>
                    <w:rPr>
                      <w:rFonts w:ascii="仿宋_GB2312" w:hAnsi="仿宋_GB2312" w:eastAsia="仿宋_GB2312" w:cs="仿宋_GB2312"/>
                      <w:sz w:val="21"/>
                    </w:rPr>
                    <w:t>基础库历史错误数据维护计划管理；历史错误数据维护；发布历史错误数据维护报告。</w:t>
                  </w:r>
                </w:p>
              </w:tc>
              <w:tc>
                <w:tcPr>
                  <w:tcW w:w="9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73FA17">
                  <w:pPr>
                    <w:pStyle w:val="5"/>
                    <w:ind w:left="105" w:right="120"/>
                    <w:jc w:val="center"/>
                  </w:pPr>
                  <w:r>
                    <w:rPr>
                      <w:rFonts w:ascii="仿宋_GB2312" w:hAnsi="仿宋_GB2312" w:eastAsia="仿宋_GB2312" w:cs="仿宋_GB2312"/>
                      <w:sz w:val="21"/>
                    </w:rPr>
                    <w:t>修正率</w:t>
                  </w:r>
                </w:p>
              </w:tc>
            </w:tr>
            <w:tr w14:paraId="182D14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4" w:type="dxa"/>
                  <w:vMerge w:val="continue"/>
                  <w:tcBorders>
                    <w:top w:val="nil"/>
                    <w:left w:val="single" w:color="000000" w:sz="4" w:space="0"/>
                    <w:bottom w:val="single" w:color="000000" w:sz="4" w:space="0"/>
                    <w:right w:val="single" w:color="000000" w:sz="4" w:space="0"/>
                  </w:tcBorders>
                </w:tcPr>
                <w:p w14:paraId="7D980DF1"/>
              </w:tc>
              <w:tc>
                <w:tcPr>
                  <w:tcW w:w="814"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61A9D5">
                  <w:pPr>
                    <w:pStyle w:val="5"/>
                    <w:ind w:left="90" w:right="60"/>
                    <w:jc w:val="center"/>
                  </w:pPr>
                  <w:r>
                    <w:rPr>
                      <w:rFonts w:ascii="仿宋_GB2312" w:hAnsi="仿宋_GB2312" w:eastAsia="仿宋_GB2312" w:cs="仿宋_GB2312"/>
                      <w:sz w:val="20"/>
                    </w:rPr>
                    <w:t>数据管理</w:t>
                  </w:r>
                </w:p>
              </w:tc>
              <w:tc>
                <w:tcPr>
                  <w:tcW w:w="2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7ABBCC">
                  <w:pPr>
                    <w:pStyle w:val="5"/>
                    <w:ind w:left="105" w:right="120"/>
                    <w:jc w:val="left"/>
                  </w:pPr>
                  <w:r>
                    <w:rPr>
                      <w:rFonts w:ascii="仿宋_GB2312" w:hAnsi="仿宋_GB2312" w:eastAsia="仿宋_GB2312" w:cs="仿宋_GB2312"/>
                      <w:sz w:val="21"/>
                    </w:rPr>
                    <w:t>管理系统运行情况，按需及时提供统计信息和报送相关信息。</w:t>
                  </w:r>
                </w:p>
              </w:tc>
              <w:tc>
                <w:tcPr>
                  <w:tcW w:w="9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01E18C">
                  <w:pPr>
                    <w:pStyle w:val="5"/>
                    <w:ind w:left="105" w:right="120"/>
                    <w:jc w:val="center"/>
                  </w:pPr>
                  <w:r>
                    <w:rPr>
                      <w:rFonts w:ascii="仿宋_GB2312" w:hAnsi="仿宋_GB2312" w:eastAsia="仿宋_GB2312" w:cs="仿宋_GB2312"/>
                      <w:sz w:val="21"/>
                    </w:rPr>
                    <w:t>及时性、质量</w:t>
                  </w:r>
                </w:p>
              </w:tc>
            </w:tr>
            <w:tr w14:paraId="2B6313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4" w:type="dxa"/>
                  <w:vMerge w:val="continue"/>
                  <w:tcBorders>
                    <w:top w:val="nil"/>
                    <w:left w:val="single" w:color="000000" w:sz="4" w:space="0"/>
                    <w:bottom w:val="single" w:color="000000" w:sz="4" w:space="0"/>
                    <w:right w:val="single" w:color="000000" w:sz="4" w:space="0"/>
                  </w:tcBorders>
                </w:tcPr>
                <w:p w14:paraId="73575CE9"/>
              </w:tc>
              <w:tc>
                <w:tcPr>
                  <w:tcW w:w="814" w:type="dxa"/>
                  <w:vMerge w:val="continue"/>
                  <w:tcBorders>
                    <w:top w:val="nil"/>
                    <w:left w:val="single" w:color="000000" w:sz="4" w:space="0"/>
                    <w:bottom w:val="single" w:color="000000" w:sz="4" w:space="0"/>
                    <w:right w:val="single" w:color="000000" w:sz="4" w:space="0"/>
                  </w:tcBorders>
                </w:tcPr>
                <w:p w14:paraId="1B4FF7D8"/>
              </w:tc>
              <w:tc>
                <w:tcPr>
                  <w:tcW w:w="2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359DB9">
                  <w:pPr>
                    <w:pStyle w:val="5"/>
                    <w:ind w:left="105" w:right="120"/>
                    <w:jc w:val="left"/>
                  </w:pPr>
                  <w:r>
                    <w:rPr>
                      <w:rFonts w:ascii="仿宋_GB2312" w:hAnsi="仿宋_GB2312" w:eastAsia="仿宋_GB2312" w:cs="仿宋_GB2312"/>
                      <w:sz w:val="21"/>
                    </w:rPr>
                    <w:t>对数据的传输、存储、加工、维护等环节的管理规范提出修订和完善。</w:t>
                  </w:r>
                </w:p>
              </w:tc>
              <w:tc>
                <w:tcPr>
                  <w:tcW w:w="9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121C40">
                  <w:pPr>
                    <w:pStyle w:val="5"/>
                    <w:ind w:left="105" w:right="120"/>
                    <w:jc w:val="center"/>
                  </w:pPr>
                  <w:r>
                    <w:rPr>
                      <w:rFonts w:ascii="仿宋_GB2312" w:hAnsi="仿宋_GB2312" w:eastAsia="仿宋_GB2312" w:cs="仿宋_GB2312"/>
                      <w:sz w:val="21"/>
                    </w:rPr>
                    <w:t>有效性、可操作性</w:t>
                  </w:r>
                </w:p>
              </w:tc>
            </w:tr>
            <w:tr w14:paraId="3429DF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4" w:type="dxa"/>
                  <w:vMerge w:val="continue"/>
                  <w:tcBorders>
                    <w:top w:val="nil"/>
                    <w:left w:val="single" w:color="000000" w:sz="4" w:space="0"/>
                    <w:bottom w:val="single" w:color="000000" w:sz="4" w:space="0"/>
                    <w:right w:val="single" w:color="000000" w:sz="4" w:space="0"/>
                  </w:tcBorders>
                </w:tcPr>
                <w:p w14:paraId="6215FE29"/>
              </w:tc>
              <w:tc>
                <w:tcPr>
                  <w:tcW w:w="814" w:type="dxa"/>
                  <w:vMerge w:val="continue"/>
                  <w:tcBorders>
                    <w:top w:val="nil"/>
                    <w:left w:val="single" w:color="000000" w:sz="4" w:space="0"/>
                    <w:bottom w:val="single" w:color="000000" w:sz="4" w:space="0"/>
                    <w:right w:val="single" w:color="000000" w:sz="4" w:space="0"/>
                  </w:tcBorders>
                </w:tcPr>
                <w:p w14:paraId="57B16387"/>
              </w:tc>
              <w:tc>
                <w:tcPr>
                  <w:tcW w:w="2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F12C20">
                  <w:pPr>
                    <w:pStyle w:val="5"/>
                    <w:ind w:left="105" w:right="120"/>
                    <w:jc w:val="left"/>
                  </w:pPr>
                  <w:r>
                    <w:rPr>
                      <w:rFonts w:ascii="仿宋_GB2312" w:hAnsi="仿宋_GB2312" w:eastAsia="仿宋_GB2312" w:cs="仿宋_GB2312"/>
                      <w:sz w:val="21"/>
                    </w:rPr>
                    <w:t>管理系统数据传输、存储、应用、安全保障等环节的日常管理指导和监督。</w:t>
                  </w:r>
                </w:p>
              </w:tc>
              <w:tc>
                <w:tcPr>
                  <w:tcW w:w="9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B0C4B1">
                  <w:pPr>
                    <w:pStyle w:val="5"/>
                    <w:ind w:left="105" w:right="120"/>
                    <w:jc w:val="center"/>
                  </w:pPr>
                  <w:r>
                    <w:rPr>
                      <w:rFonts w:ascii="仿宋_GB2312" w:hAnsi="仿宋_GB2312" w:eastAsia="仿宋_GB2312" w:cs="仿宋_GB2312"/>
                      <w:sz w:val="21"/>
                    </w:rPr>
                    <w:t>有效性</w:t>
                  </w:r>
                </w:p>
              </w:tc>
            </w:tr>
            <w:tr w14:paraId="36D05D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4"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9F4778">
                  <w:pPr>
                    <w:pStyle w:val="5"/>
                    <w:ind w:left="90" w:right="120"/>
                    <w:jc w:val="center"/>
                  </w:pPr>
                  <w:r>
                    <w:rPr>
                      <w:rFonts w:ascii="仿宋_GB2312" w:hAnsi="仿宋_GB2312" w:eastAsia="仿宋_GB2312" w:cs="仿宋_GB2312"/>
                      <w:sz w:val="21"/>
                    </w:rPr>
                    <w:t>基础平台</w:t>
                  </w:r>
                </w:p>
                <w:p w14:paraId="461BE558">
                  <w:pPr>
                    <w:pStyle w:val="5"/>
                    <w:ind w:left="90" w:right="120"/>
                    <w:jc w:val="center"/>
                  </w:pPr>
                  <w:r>
                    <w:rPr>
                      <w:rFonts w:ascii="仿宋_GB2312" w:hAnsi="仿宋_GB2312" w:eastAsia="仿宋_GB2312" w:cs="仿宋_GB2312"/>
                      <w:sz w:val="21"/>
                    </w:rPr>
                    <w:t>运维</w:t>
                  </w:r>
                </w:p>
              </w:tc>
              <w:tc>
                <w:tcPr>
                  <w:tcW w:w="814"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0ADF32">
                  <w:pPr>
                    <w:pStyle w:val="5"/>
                    <w:ind w:right="45"/>
                    <w:jc w:val="center"/>
                  </w:pPr>
                  <w:r>
                    <w:rPr>
                      <w:rFonts w:ascii="仿宋_GB2312" w:hAnsi="仿宋_GB2312" w:eastAsia="仿宋_GB2312" w:cs="仿宋_GB2312"/>
                      <w:sz w:val="21"/>
                    </w:rPr>
                    <w:t>日常运维服务</w:t>
                  </w:r>
                </w:p>
              </w:tc>
              <w:tc>
                <w:tcPr>
                  <w:tcW w:w="2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90676D">
                  <w:pPr>
                    <w:pStyle w:val="5"/>
                    <w:ind w:left="90" w:right="120"/>
                    <w:jc w:val="both"/>
                  </w:pPr>
                  <w:r>
                    <w:rPr>
                      <w:rFonts w:ascii="仿宋_GB2312" w:hAnsi="仿宋_GB2312" w:eastAsia="仿宋_GB2312" w:cs="仿宋_GB2312"/>
                      <w:sz w:val="21"/>
                    </w:rPr>
                    <w:t>基础设施平台日常运行和维护服务。</w:t>
                  </w:r>
                </w:p>
              </w:tc>
              <w:tc>
                <w:tcPr>
                  <w:tcW w:w="9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762C5C">
                  <w:pPr>
                    <w:pStyle w:val="5"/>
                    <w:ind w:left="90" w:right="60"/>
                    <w:jc w:val="center"/>
                  </w:pPr>
                  <w:r>
                    <w:rPr>
                      <w:rFonts w:ascii="仿宋_GB2312" w:hAnsi="仿宋_GB2312" w:eastAsia="仿宋_GB2312" w:cs="仿宋_GB2312"/>
                      <w:sz w:val="21"/>
                    </w:rPr>
                    <w:t>事故次数</w:t>
                  </w:r>
                </w:p>
              </w:tc>
            </w:tr>
            <w:tr w14:paraId="7A9C8E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4" w:type="dxa"/>
                  <w:vMerge w:val="continue"/>
                  <w:tcBorders>
                    <w:top w:val="nil"/>
                    <w:left w:val="single" w:color="000000" w:sz="4" w:space="0"/>
                    <w:bottom w:val="single" w:color="000000" w:sz="4" w:space="0"/>
                    <w:right w:val="single" w:color="000000" w:sz="4" w:space="0"/>
                  </w:tcBorders>
                </w:tcPr>
                <w:p w14:paraId="3EEF6C32"/>
              </w:tc>
              <w:tc>
                <w:tcPr>
                  <w:tcW w:w="814" w:type="dxa"/>
                  <w:vMerge w:val="continue"/>
                  <w:tcBorders>
                    <w:top w:val="nil"/>
                    <w:left w:val="single" w:color="000000" w:sz="4" w:space="0"/>
                    <w:bottom w:val="single" w:color="000000" w:sz="4" w:space="0"/>
                    <w:right w:val="single" w:color="000000" w:sz="4" w:space="0"/>
                  </w:tcBorders>
                </w:tcPr>
                <w:p w14:paraId="5D7F45A4"/>
              </w:tc>
              <w:tc>
                <w:tcPr>
                  <w:tcW w:w="2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F6E9DC">
                  <w:pPr>
                    <w:pStyle w:val="5"/>
                    <w:ind w:left="90" w:right="120"/>
                    <w:jc w:val="both"/>
                  </w:pPr>
                  <w:r>
                    <w:rPr>
                      <w:rFonts w:ascii="仿宋_GB2312" w:hAnsi="仿宋_GB2312" w:eastAsia="仿宋_GB2312" w:cs="仿宋_GB2312"/>
                      <w:sz w:val="21"/>
                    </w:rPr>
                    <w:t>网络日常运行和维护服务。</w:t>
                  </w:r>
                </w:p>
              </w:tc>
              <w:tc>
                <w:tcPr>
                  <w:tcW w:w="9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709594">
                  <w:pPr>
                    <w:pStyle w:val="5"/>
                    <w:ind w:left="90" w:right="60"/>
                    <w:jc w:val="center"/>
                  </w:pPr>
                  <w:r>
                    <w:rPr>
                      <w:rFonts w:ascii="仿宋_GB2312" w:hAnsi="仿宋_GB2312" w:eastAsia="仿宋_GB2312" w:cs="仿宋_GB2312"/>
                      <w:sz w:val="21"/>
                    </w:rPr>
                    <w:t>事故次数</w:t>
                  </w:r>
                </w:p>
              </w:tc>
            </w:tr>
            <w:tr w14:paraId="4D9307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4" w:type="dxa"/>
                  <w:vMerge w:val="continue"/>
                  <w:tcBorders>
                    <w:top w:val="nil"/>
                    <w:left w:val="single" w:color="000000" w:sz="4" w:space="0"/>
                    <w:bottom w:val="single" w:color="000000" w:sz="4" w:space="0"/>
                    <w:right w:val="single" w:color="000000" w:sz="4" w:space="0"/>
                  </w:tcBorders>
                </w:tcPr>
                <w:p w14:paraId="23E8D1F4"/>
              </w:tc>
              <w:tc>
                <w:tcPr>
                  <w:tcW w:w="814" w:type="dxa"/>
                  <w:vMerge w:val="continue"/>
                  <w:tcBorders>
                    <w:top w:val="nil"/>
                    <w:left w:val="single" w:color="000000" w:sz="4" w:space="0"/>
                    <w:bottom w:val="single" w:color="000000" w:sz="4" w:space="0"/>
                    <w:right w:val="single" w:color="000000" w:sz="4" w:space="0"/>
                  </w:tcBorders>
                </w:tcPr>
                <w:p w14:paraId="32D11065"/>
              </w:tc>
              <w:tc>
                <w:tcPr>
                  <w:tcW w:w="2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405AC9">
                  <w:pPr>
                    <w:pStyle w:val="5"/>
                    <w:ind w:left="90" w:right="120"/>
                    <w:jc w:val="both"/>
                  </w:pPr>
                  <w:r>
                    <w:rPr>
                      <w:rFonts w:ascii="仿宋_GB2312" w:hAnsi="仿宋_GB2312" w:eastAsia="仿宋_GB2312" w:cs="仿宋_GB2312"/>
                      <w:sz w:val="21"/>
                    </w:rPr>
                    <w:t>系统软件日常运行和维护服务。</w:t>
                  </w:r>
                </w:p>
              </w:tc>
              <w:tc>
                <w:tcPr>
                  <w:tcW w:w="9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9F93EF">
                  <w:pPr>
                    <w:pStyle w:val="5"/>
                    <w:ind w:left="90" w:right="60"/>
                    <w:jc w:val="center"/>
                  </w:pPr>
                  <w:r>
                    <w:rPr>
                      <w:rFonts w:ascii="仿宋_GB2312" w:hAnsi="仿宋_GB2312" w:eastAsia="仿宋_GB2312" w:cs="仿宋_GB2312"/>
                      <w:sz w:val="21"/>
                    </w:rPr>
                    <w:t>事故次数</w:t>
                  </w:r>
                </w:p>
              </w:tc>
            </w:tr>
            <w:tr w14:paraId="726437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4" w:type="dxa"/>
                  <w:vMerge w:val="continue"/>
                  <w:tcBorders>
                    <w:top w:val="nil"/>
                    <w:left w:val="single" w:color="000000" w:sz="4" w:space="0"/>
                    <w:bottom w:val="single" w:color="000000" w:sz="4" w:space="0"/>
                    <w:right w:val="single" w:color="000000" w:sz="4" w:space="0"/>
                  </w:tcBorders>
                </w:tcPr>
                <w:p w14:paraId="45AFA921"/>
              </w:tc>
              <w:tc>
                <w:tcPr>
                  <w:tcW w:w="814" w:type="dxa"/>
                  <w:vMerge w:val="continue"/>
                  <w:tcBorders>
                    <w:top w:val="nil"/>
                    <w:left w:val="single" w:color="000000" w:sz="4" w:space="0"/>
                    <w:bottom w:val="single" w:color="000000" w:sz="4" w:space="0"/>
                    <w:right w:val="single" w:color="000000" w:sz="4" w:space="0"/>
                  </w:tcBorders>
                </w:tcPr>
                <w:p w14:paraId="67A3646A"/>
              </w:tc>
              <w:tc>
                <w:tcPr>
                  <w:tcW w:w="2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9D5C9C">
                  <w:pPr>
                    <w:pStyle w:val="5"/>
                    <w:ind w:left="90" w:right="120"/>
                    <w:jc w:val="both"/>
                  </w:pPr>
                  <w:r>
                    <w:rPr>
                      <w:rFonts w:ascii="仿宋_GB2312" w:hAnsi="仿宋_GB2312" w:eastAsia="仿宋_GB2312" w:cs="仿宋_GB2312"/>
                      <w:sz w:val="21"/>
                    </w:rPr>
                    <w:t>系统安全日常运行和维护服务。</w:t>
                  </w:r>
                </w:p>
              </w:tc>
              <w:tc>
                <w:tcPr>
                  <w:tcW w:w="9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361562">
                  <w:pPr>
                    <w:pStyle w:val="5"/>
                    <w:ind w:left="90" w:right="60"/>
                    <w:jc w:val="center"/>
                  </w:pPr>
                  <w:r>
                    <w:rPr>
                      <w:rFonts w:ascii="仿宋_GB2312" w:hAnsi="仿宋_GB2312" w:eastAsia="仿宋_GB2312" w:cs="仿宋_GB2312"/>
                      <w:sz w:val="21"/>
                    </w:rPr>
                    <w:t>事故次数</w:t>
                  </w:r>
                </w:p>
              </w:tc>
            </w:tr>
            <w:tr w14:paraId="713DDF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4" w:type="dxa"/>
                  <w:vMerge w:val="continue"/>
                  <w:tcBorders>
                    <w:top w:val="nil"/>
                    <w:left w:val="single" w:color="000000" w:sz="4" w:space="0"/>
                    <w:bottom w:val="single" w:color="000000" w:sz="4" w:space="0"/>
                    <w:right w:val="single" w:color="000000" w:sz="4" w:space="0"/>
                  </w:tcBorders>
                </w:tcPr>
                <w:p w14:paraId="23BF55E2"/>
              </w:tc>
              <w:tc>
                <w:tcPr>
                  <w:tcW w:w="8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5E0A13">
                  <w:pPr>
                    <w:pStyle w:val="5"/>
                    <w:ind w:right="60"/>
                    <w:jc w:val="center"/>
                  </w:pPr>
                  <w:r>
                    <w:rPr>
                      <w:rFonts w:ascii="仿宋_GB2312" w:hAnsi="仿宋_GB2312" w:eastAsia="仿宋_GB2312" w:cs="仿宋_GB2312"/>
                      <w:sz w:val="21"/>
                    </w:rPr>
                    <w:t>故障处理和应急处理服务</w:t>
                  </w:r>
                </w:p>
              </w:tc>
              <w:tc>
                <w:tcPr>
                  <w:tcW w:w="2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C53C64">
                  <w:pPr>
                    <w:pStyle w:val="5"/>
                    <w:ind w:left="90" w:right="120"/>
                    <w:jc w:val="both"/>
                  </w:pPr>
                  <w:r>
                    <w:rPr>
                      <w:rFonts w:ascii="仿宋_GB2312" w:hAnsi="仿宋_GB2312" w:eastAsia="仿宋_GB2312" w:cs="仿宋_GB2312"/>
                      <w:sz w:val="21"/>
                    </w:rPr>
                    <w:t>及时处理故障，处理完毕后24小时内提交故障分析报告；</w:t>
                  </w:r>
                </w:p>
                <w:p w14:paraId="317E2B45">
                  <w:pPr>
                    <w:pStyle w:val="5"/>
                    <w:ind w:left="90" w:right="120"/>
                    <w:jc w:val="both"/>
                  </w:pPr>
                  <w:r>
                    <w:rPr>
                      <w:rFonts w:ascii="仿宋_GB2312" w:hAnsi="仿宋_GB2312" w:eastAsia="仿宋_GB2312" w:cs="仿宋_GB2312"/>
                      <w:sz w:val="21"/>
                    </w:rPr>
                    <w:t>制订故障处理流程管理规范和应急预案；</w:t>
                  </w:r>
                </w:p>
                <w:p w14:paraId="11E7016B">
                  <w:pPr>
                    <w:pStyle w:val="5"/>
                    <w:ind w:left="90" w:right="120"/>
                    <w:jc w:val="both"/>
                  </w:pPr>
                  <w:r>
                    <w:rPr>
                      <w:rFonts w:ascii="仿宋_GB2312" w:hAnsi="仿宋_GB2312" w:eastAsia="仿宋_GB2312" w:cs="仿宋_GB2312"/>
                      <w:sz w:val="21"/>
                    </w:rPr>
                    <w:t>故障处理应急预案演练及报告，开展应急演练。</w:t>
                  </w:r>
                </w:p>
              </w:tc>
              <w:tc>
                <w:tcPr>
                  <w:tcW w:w="9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5AF0A40">
                  <w:pPr>
                    <w:pStyle w:val="5"/>
                    <w:ind w:left="90" w:right="60"/>
                    <w:jc w:val="center"/>
                  </w:pPr>
                  <w:r>
                    <w:rPr>
                      <w:rFonts w:ascii="仿宋_GB2312" w:hAnsi="仿宋_GB2312" w:eastAsia="仿宋_GB2312" w:cs="仿宋_GB2312"/>
                      <w:sz w:val="21"/>
                    </w:rPr>
                    <w:t>及时性、有效性</w:t>
                  </w:r>
                </w:p>
              </w:tc>
            </w:tr>
            <w:tr w14:paraId="3B3532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4"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A5530D">
                  <w:pPr>
                    <w:pStyle w:val="5"/>
                    <w:jc w:val="center"/>
                  </w:pPr>
                  <w:r>
                    <w:rPr>
                      <w:rFonts w:ascii="仿宋_GB2312" w:hAnsi="仿宋_GB2312" w:eastAsia="仿宋_GB2312" w:cs="仿宋_GB2312"/>
                      <w:color w:val="000000"/>
                      <w:sz w:val="20"/>
                    </w:rPr>
                    <w:t>系统迁移</w:t>
                  </w:r>
                </w:p>
              </w:tc>
              <w:tc>
                <w:tcPr>
                  <w:tcW w:w="814"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8E5352">
                  <w:pPr>
                    <w:pStyle w:val="5"/>
                    <w:ind w:left="90" w:right="120"/>
                    <w:jc w:val="center"/>
                  </w:pPr>
                  <w:r>
                    <w:rPr>
                      <w:rFonts w:ascii="仿宋_GB2312" w:hAnsi="仿宋_GB2312" w:eastAsia="仿宋_GB2312" w:cs="仿宋_GB2312"/>
                      <w:sz w:val="21"/>
                    </w:rPr>
                    <w:t>数据管理</w:t>
                  </w:r>
                </w:p>
              </w:tc>
              <w:tc>
                <w:tcPr>
                  <w:tcW w:w="2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579F97">
                  <w:pPr>
                    <w:pStyle w:val="5"/>
                    <w:ind w:left="90" w:right="120"/>
                    <w:jc w:val="both"/>
                  </w:pPr>
                  <w:r>
                    <w:rPr>
                      <w:rFonts w:ascii="仿宋_GB2312" w:hAnsi="仿宋_GB2312" w:eastAsia="仿宋_GB2312" w:cs="仿宋_GB2312"/>
                      <w:sz w:val="21"/>
                    </w:rPr>
                    <w:t>数据完整性：确保源系统数据100%迁移至目标系统，无遗漏或丢失。</w:t>
                  </w:r>
                </w:p>
              </w:tc>
              <w:tc>
                <w:tcPr>
                  <w:tcW w:w="9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0E419C9">
                  <w:pPr>
                    <w:pStyle w:val="5"/>
                    <w:ind w:left="90" w:right="120"/>
                    <w:jc w:val="center"/>
                  </w:pPr>
                  <w:r>
                    <w:rPr>
                      <w:rFonts w:ascii="仿宋_GB2312" w:hAnsi="仿宋_GB2312" w:eastAsia="仿宋_GB2312" w:cs="仿宋_GB2312"/>
                      <w:sz w:val="21"/>
                    </w:rPr>
                    <w:t>完整性</w:t>
                  </w:r>
                </w:p>
              </w:tc>
            </w:tr>
            <w:tr w14:paraId="756585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4" w:type="dxa"/>
                  <w:vMerge w:val="continue"/>
                  <w:tcBorders>
                    <w:top w:val="nil"/>
                    <w:left w:val="single" w:color="000000" w:sz="4" w:space="0"/>
                    <w:bottom w:val="single" w:color="000000" w:sz="4" w:space="0"/>
                    <w:right w:val="single" w:color="000000" w:sz="4" w:space="0"/>
                  </w:tcBorders>
                </w:tcPr>
                <w:p w14:paraId="4149E986"/>
              </w:tc>
              <w:tc>
                <w:tcPr>
                  <w:tcW w:w="814" w:type="dxa"/>
                  <w:vMerge w:val="continue"/>
                  <w:tcBorders>
                    <w:top w:val="nil"/>
                    <w:left w:val="single" w:color="000000" w:sz="4" w:space="0"/>
                    <w:bottom w:val="single" w:color="000000" w:sz="4" w:space="0"/>
                    <w:right w:val="single" w:color="000000" w:sz="4" w:space="0"/>
                  </w:tcBorders>
                </w:tcPr>
                <w:p w14:paraId="7A91880C"/>
              </w:tc>
              <w:tc>
                <w:tcPr>
                  <w:tcW w:w="2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E6C43F">
                  <w:pPr>
                    <w:pStyle w:val="5"/>
                    <w:ind w:left="90" w:right="120"/>
                    <w:jc w:val="both"/>
                  </w:pPr>
                  <w:r>
                    <w:rPr>
                      <w:rFonts w:ascii="仿宋_GB2312" w:hAnsi="仿宋_GB2312" w:eastAsia="仿宋_GB2312" w:cs="仿宋_GB2312"/>
                      <w:sz w:val="21"/>
                    </w:rPr>
                    <w:t>数据准确性：迁移后数据应与源系统一致，无错误、乱码或格式异常。</w:t>
                  </w:r>
                </w:p>
              </w:tc>
              <w:tc>
                <w:tcPr>
                  <w:tcW w:w="9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36BAF4">
                  <w:pPr>
                    <w:pStyle w:val="5"/>
                    <w:ind w:left="90" w:right="120"/>
                    <w:jc w:val="center"/>
                  </w:pPr>
                  <w:r>
                    <w:rPr>
                      <w:rFonts w:ascii="仿宋_GB2312" w:hAnsi="仿宋_GB2312" w:eastAsia="仿宋_GB2312" w:cs="仿宋_GB2312"/>
                      <w:sz w:val="21"/>
                    </w:rPr>
                    <w:t>准确性</w:t>
                  </w:r>
                </w:p>
              </w:tc>
            </w:tr>
            <w:tr w14:paraId="661F86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4" w:type="dxa"/>
                  <w:vMerge w:val="continue"/>
                  <w:tcBorders>
                    <w:top w:val="nil"/>
                    <w:left w:val="single" w:color="000000" w:sz="4" w:space="0"/>
                    <w:bottom w:val="single" w:color="000000" w:sz="4" w:space="0"/>
                    <w:right w:val="single" w:color="000000" w:sz="4" w:space="0"/>
                  </w:tcBorders>
                </w:tcPr>
                <w:p w14:paraId="60F035F5"/>
              </w:tc>
              <w:tc>
                <w:tcPr>
                  <w:tcW w:w="814" w:type="dxa"/>
                  <w:vMerge w:val="continue"/>
                  <w:tcBorders>
                    <w:top w:val="nil"/>
                    <w:left w:val="single" w:color="000000" w:sz="4" w:space="0"/>
                    <w:bottom w:val="single" w:color="000000" w:sz="4" w:space="0"/>
                    <w:right w:val="single" w:color="000000" w:sz="4" w:space="0"/>
                  </w:tcBorders>
                </w:tcPr>
                <w:p w14:paraId="69F3276E"/>
              </w:tc>
              <w:tc>
                <w:tcPr>
                  <w:tcW w:w="2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27AC77">
                  <w:pPr>
                    <w:pStyle w:val="5"/>
                    <w:ind w:left="90" w:right="120"/>
                    <w:jc w:val="both"/>
                  </w:pPr>
                  <w:r>
                    <w:rPr>
                      <w:rFonts w:ascii="仿宋_GB2312" w:hAnsi="仿宋_GB2312" w:eastAsia="仿宋_GB2312" w:cs="仿宋_GB2312"/>
                      <w:sz w:val="21"/>
                    </w:rPr>
                    <w:t>数据一致性：迁移后需进行数据比对验证，确保关键数据一致。</w:t>
                  </w:r>
                </w:p>
              </w:tc>
              <w:tc>
                <w:tcPr>
                  <w:tcW w:w="9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19D7BB">
                  <w:pPr>
                    <w:pStyle w:val="5"/>
                    <w:ind w:left="90" w:right="120"/>
                    <w:jc w:val="center"/>
                  </w:pPr>
                  <w:r>
                    <w:rPr>
                      <w:rFonts w:ascii="仿宋_GB2312" w:hAnsi="仿宋_GB2312" w:eastAsia="仿宋_GB2312" w:cs="仿宋_GB2312"/>
                      <w:sz w:val="21"/>
                    </w:rPr>
                    <w:t>一致性</w:t>
                  </w:r>
                </w:p>
              </w:tc>
            </w:tr>
            <w:tr w14:paraId="3A3896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4" w:type="dxa"/>
                  <w:vMerge w:val="continue"/>
                  <w:tcBorders>
                    <w:top w:val="nil"/>
                    <w:left w:val="single" w:color="000000" w:sz="4" w:space="0"/>
                    <w:bottom w:val="single" w:color="000000" w:sz="4" w:space="0"/>
                    <w:right w:val="single" w:color="000000" w:sz="4" w:space="0"/>
                  </w:tcBorders>
                </w:tcPr>
                <w:p w14:paraId="3142DF59"/>
              </w:tc>
              <w:tc>
                <w:tcPr>
                  <w:tcW w:w="814"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3C194B3">
                  <w:pPr>
                    <w:pStyle w:val="5"/>
                    <w:ind w:left="90" w:right="120"/>
                    <w:jc w:val="center"/>
                  </w:pPr>
                  <w:r>
                    <w:rPr>
                      <w:rFonts w:ascii="仿宋_GB2312" w:hAnsi="仿宋_GB2312" w:eastAsia="仿宋_GB2312" w:cs="仿宋_GB2312"/>
                      <w:sz w:val="21"/>
                    </w:rPr>
                    <w:t>业务管理</w:t>
                  </w:r>
                </w:p>
              </w:tc>
              <w:tc>
                <w:tcPr>
                  <w:tcW w:w="2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673FC4">
                  <w:pPr>
                    <w:pStyle w:val="5"/>
                    <w:ind w:left="90" w:right="120"/>
                    <w:jc w:val="both"/>
                  </w:pPr>
                  <w:r>
                    <w:rPr>
                      <w:rFonts w:ascii="仿宋_GB2312" w:hAnsi="仿宋_GB2312" w:eastAsia="仿宋_GB2312" w:cs="仿宋_GB2312"/>
                      <w:sz w:val="21"/>
                    </w:rPr>
                    <w:t>业务连续性：迁移期间不影响正常业务运行，系统切换后功能正常。</w:t>
                  </w:r>
                </w:p>
              </w:tc>
              <w:tc>
                <w:tcPr>
                  <w:tcW w:w="9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6815241">
                  <w:pPr>
                    <w:pStyle w:val="5"/>
                    <w:ind w:left="90" w:right="120"/>
                    <w:jc w:val="center"/>
                  </w:pPr>
                  <w:r>
                    <w:rPr>
                      <w:rFonts w:ascii="仿宋_GB2312" w:hAnsi="仿宋_GB2312" w:eastAsia="仿宋_GB2312" w:cs="仿宋_GB2312"/>
                      <w:sz w:val="21"/>
                    </w:rPr>
                    <w:t>连续性</w:t>
                  </w:r>
                </w:p>
              </w:tc>
            </w:tr>
            <w:tr w14:paraId="5C3AAB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4" w:type="dxa"/>
                  <w:vMerge w:val="continue"/>
                  <w:tcBorders>
                    <w:top w:val="nil"/>
                    <w:left w:val="single" w:color="000000" w:sz="4" w:space="0"/>
                    <w:bottom w:val="single" w:color="000000" w:sz="4" w:space="0"/>
                    <w:right w:val="single" w:color="000000" w:sz="4" w:space="0"/>
                  </w:tcBorders>
                </w:tcPr>
                <w:p w14:paraId="7A46DB50"/>
              </w:tc>
              <w:tc>
                <w:tcPr>
                  <w:tcW w:w="814" w:type="dxa"/>
                  <w:vMerge w:val="continue"/>
                  <w:tcBorders>
                    <w:top w:val="nil"/>
                    <w:left w:val="single" w:color="000000" w:sz="4" w:space="0"/>
                    <w:bottom w:val="single" w:color="000000" w:sz="4" w:space="0"/>
                    <w:right w:val="single" w:color="000000" w:sz="4" w:space="0"/>
                  </w:tcBorders>
                </w:tcPr>
                <w:p w14:paraId="68FD7F28"/>
              </w:tc>
              <w:tc>
                <w:tcPr>
                  <w:tcW w:w="2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8EDD40">
                  <w:pPr>
                    <w:pStyle w:val="5"/>
                    <w:ind w:left="90" w:right="120"/>
                    <w:jc w:val="both"/>
                  </w:pPr>
                  <w:r>
                    <w:rPr>
                      <w:rFonts w:ascii="仿宋_GB2312" w:hAnsi="仿宋_GB2312" w:eastAsia="仿宋_GB2312" w:cs="仿宋_GB2312"/>
                      <w:sz w:val="21"/>
                    </w:rPr>
                    <w:t>异常处理与反馈：对迁移过程中发现的异常情况需及时处理并记录。</w:t>
                  </w:r>
                </w:p>
              </w:tc>
              <w:tc>
                <w:tcPr>
                  <w:tcW w:w="9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0315CB">
                  <w:pPr>
                    <w:pStyle w:val="5"/>
                    <w:ind w:left="90" w:right="120"/>
                    <w:jc w:val="center"/>
                  </w:pPr>
                  <w:r>
                    <w:rPr>
                      <w:rFonts w:ascii="仿宋_GB2312" w:hAnsi="仿宋_GB2312" w:eastAsia="仿宋_GB2312" w:cs="仿宋_GB2312"/>
                      <w:sz w:val="21"/>
                    </w:rPr>
                    <w:t>有效性</w:t>
                  </w:r>
                </w:p>
              </w:tc>
            </w:tr>
            <w:tr w14:paraId="07C6FA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4" w:type="dxa"/>
                  <w:vMerge w:val="continue"/>
                  <w:tcBorders>
                    <w:top w:val="nil"/>
                    <w:left w:val="single" w:color="000000" w:sz="4" w:space="0"/>
                    <w:bottom w:val="single" w:color="000000" w:sz="4" w:space="0"/>
                    <w:right w:val="single" w:color="000000" w:sz="4" w:space="0"/>
                  </w:tcBorders>
                </w:tcPr>
                <w:p w14:paraId="7AE6FFAE"/>
              </w:tc>
              <w:tc>
                <w:tcPr>
                  <w:tcW w:w="814" w:type="dxa"/>
                  <w:vMerge w:val="continue"/>
                  <w:tcBorders>
                    <w:top w:val="nil"/>
                    <w:left w:val="single" w:color="000000" w:sz="4" w:space="0"/>
                    <w:bottom w:val="single" w:color="000000" w:sz="4" w:space="0"/>
                    <w:right w:val="single" w:color="000000" w:sz="4" w:space="0"/>
                  </w:tcBorders>
                </w:tcPr>
                <w:p w14:paraId="1D4FA48D"/>
              </w:tc>
              <w:tc>
                <w:tcPr>
                  <w:tcW w:w="2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69F7F0">
                  <w:pPr>
                    <w:pStyle w:val="5"/>
                    <w:ind w:left="90" w:right="120"/>
                    <w:jc w:val="both"/>
                  </w:pPr>
                  <w:r>
                    <w:rPr>
                      <w:rFonts w:ascii="仿宋_GB2312" w:hAnsi="仿宋_GB2312" w:eastAsia="仿宋_GB2312" w:cs="仿宋_GB2312"/>
                      <w:sz w:val="21"/>
                    </w:rPr>
                    <w:t>回退预案执行：如迁移失败，需按预案回退并确保数据恢复。</w:t>
                  </w:r>
                </w:p>
              </w:tc>
              <w:tc>
                <w:tcPr>
                  <w:tcW w:w="9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22C505">
                  <w:pPr>
                    <w:pStyle w:val="5"/>
                    <w:ind w:left="90" w:right="120"/>
                    <w:jc w:val="center"/>
                  </w:pPr>
                  <w:r>
                    <w:rPr>
                      <w:rFonts w:ascii="仿宋_GB2312" w:hAnsi="仿宋_GB2312" w:eastAsia="仿宋_GB2312" w:cs="仿宋_GB2312"/>
                      <w:sz w:val="21"/>
                    </w:rPr>
                    <w:t>可操作性</w:t>
                  </w:r>
                </w:p>
              </w:tc>
            </w:tr>
            <w:tr w14:paraId="51B255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4"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5CCA73">
                  <w:pPr>
                    <w:pStyle w:val="5"/>
                    <w:jc w:val="center"/>
                  </w:pPr>
                  <w:r>
                    <w:rPr>
                      <w:rFonts w:ascii="仿宋_GB2312" w:hAnsi="仿宋_GB2312" w:eastAsia="仿宋_GB2312" w:cs="仿宋_GB2312"/>
                      <w:color w:val="000000"/>
                      <w:sz w:val="20"/>
                    </w:rPr>
                    <w:t>其他</w:t>
                  </w:r>
                </w:p>
              </w:tc>
              <w:tc>
                <w:tcPr>
                  <w:tcW w:w="814"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7C4E69">
                  <w:pPr>
                    <w:pStyle w:val="5"/>
                    <w:spacing w:before="45"/>
                    <w:ind w:left="90" w:right="90"/>
                    <w:jc w:val="center"/>
                  </w:pPr>
                  <w:r>
                    <w:rPr>
                      <w:rFonts w:ascii="仿宋_GB2312" w:hAnsi="仿宋_GB2312" w:eastAsia="仿宋_GB2312" w:cs="仿宋_GB2312"/>
                      <w:sz w:val="20"/>
                    </w:rPr>
                    <w:t>应用推广</w:t>
                  </w:r>
                </w:p>
                <w:p w14:paraId="6E74A83A">
                  <w:pPr>
                    <w:pStyle w:val="5"/>
                    <w:ind w:left="90" w:right="120"/>
                    <w:jc w:val="center"/>
                  </w:pPr>
                </w:p>
              </w:tc>
              <w:tc>
                <w:tcPr>
                  <w:tcW w:w="2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57C728F">
                  <w:pPr>
                    <w:pStyle w:val="5"/>
                    <w:jc w:val="left"/>
                  </w:pPr>
                  <w:r>
                    <w:rPr>
                      <w:rFonts w:ascii="仿宋_GB2312" w:hAnsi="仿宋_GB2312" w:eastAsia="仿宋_GB2312" w:cs="仿宋_GB2312"/>
                      <w:sz w:val="21"/>
                    </w:rPr>
                    <w:t>收集、解决、反馈、整理系统运行中的数据和技术问题及解决办法，形成问题知识库（含问题及解答100个及以上），推广知识库的运用。</w:t>
                  </w:r>
                </w:p>
              </w:tc>
              <w:tc>
                <w:tcPr>
                  <w:tcW w:w="9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E42CC5">
                  <w:pPr>
                    <w:pStyle w:val="5"/>
                    <w:ind w:left="90" w:right="120"/>
                    <w:jc w:val="center"/>
                  </w:pPr>
                  <w:r>
                    <w:rPr>
                      <w:rFonts w:ascii="仿宋_GB2312" w:hAnsi="仿宋_GB2312" w:eastAsia="仿宋_GB2312" w:cs="仿宋_GB2312"/>
                      <w:sz w:val="21"/>
                    </w:rPr>
                    <w:t>数量、质量</w:t>
                  </w:r>
                </w:p>
              </w:tc>
            </w:tr>
            <w:tr w14:paraId="3D14F7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4" w:type="dxa"/>
                  <w:vMerge w:val="continue"/>
                  <w:tcBorders>
                    <w:top w:val="nil"/>
                    <w:left w:val="single" w:color="000000" w:sz="4" w:space="0"/>
                    <w:bottom w:val="single" w:color="000000" w:sz="4" w:space="0"/>
                    <w:right w:val="single" w:color="000000" w:sz="4" w:space="0"/>
                  </w:tcBorders>
                </w:tcPr>
                <w:p w14:paraId="4719AB5C"/>
              </w:tc>
              <w:tc>
                <w:tcPr>
                  <w:tcW w:w="814" w:type="dxa"/>
                  <w:vMerge w:val="continue"/>
                  <w:tcBorders>
                    <w:top w:val="nil"/>
                    <w:left w:val="single" w:color="000000" w:sz="4" w:space="0"/>
                    <w:bottom w:val="single" w:color="000000" w:sz="4" w:space="0"/>
                    <w:right w:val="single" w:color="000000" w:sz="4" w:space="0"/>
                  </w:tcBorders>
                </w:tcPr>
                <w:p w14:paraId="675EC775"/>
              </w:tc>
              <w:tc>
                <w:tcPr>
                  <w:tcW w:w="2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37ECF2">
                  <w:pPr>
                    <w:pStyle w:val="5"/>
                    <w:ind w:left="90" w:right="60"/>
                    <w:jc w:val="left"/>
                  </w:pPr>
                  <w:r>
                    <w:rPr>
                      <w:rFonts w:ascii="仿宋_GB2312" w:hAnsi="仿宋_GB2312" w:eastAsia="仿宋_GB2312" w:cs="仿宋_GB2312"/>
                      <w:sz w:val="21"/>
                    </w:rPr>
                    <w:t>协助采购人指导各单位进行数据采集环境准备、数据整理、初始化以及系统运行测试等技术工作。</w:t>
                  </w:r>
                </w:p>
              </w:tc>
              <w:tc>
                <w:tcPr>
                  <w:tcW w:w="9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33E543">
                  <w:pPr>
                    <w:pStyle w:val="5"/>
                    <w:ind w:left="90" w:right="120"/>
                    <w:jc w:val="center"/>
                  </w:pPr>
                  <w:r>
                    <w:rPr>
                      <w:rFonts w:ascii="仿宋_GB2312" w:hAnsi="仿宋_GB2312" w:eastAsia="仿宋_GB2312" w:cs="仿宋_GB2312"/>
                      <w:sz w:val="21"/>
                    </w:rPr>
                    <w:t>有效性、满意度</w:t>
                  </w:r>
                </w:p>
              </w:tc>
            </w:tr>
            <w:tr w14:paraId="242260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4" w:type="dxa"/>
                  <w:vMerge w:val="continue"/>
                  <w:tcBorders>
                    <w:top w:val="nil"/>
                    <w:left w:val="single" w:color="000000" w:sz="4" w:space="0"/>
                    <w:bottom w:val="single" w:color="000000" w:sz="4" w:space="0"/>
                    <w:right w:val="single" w:color="000000" w:sz="4" w:space="0"/>
                  </w:tcBorders>
                </w:tcPr>
                <w:p w14:paraId="236BCDFB"/>
              </w:tc>
              <w:tc>
                <w:tcPr>
                  <w:tcW w:w="8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080BDD">
                  <w:pPr>
                    <w:pStyle w:val="5"/>
                    <w:spacing w:before="60"/>
                    <w:jc w:val="center"/>
                  </w:pPr>
                  <w:r>
                    <w:rPr>
                      <w:rFonts w:ascii="仿宋_GB2312" w:hAnsi="仿宋_GB2312" w:eastAsia="仿宋_GB2312" w:cs="仿宋_GB2312"/>
                      <w:sz w:val="20"/>
                    </w:rPr>
                    <w:t>培训工作</w:t>
                  </w:r>
                </w:p>
              </w:tc>
              <w:tc>
                <w:tcPr>
                  <w:tcW w:w="2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7B218A">
                  <w:pPr>
                    <w:pStyle w:val="5"/>
                    <w:ind w:left="90" w:right="60"/>
                    <w:jc w:val="both"/>
                  </w:pPr>
                  <w:r>
                    <w:rPr>
                      <w:rFonts w:ascii="仿宋_GB2312" w:hAnsi="仿宋_GB2312" w:eastAsia="仿宋_GB2312" w:cs="仿宋_GB2312"/>
                      <w:sz w:val="21"/>
                    </w:rPr>
                    <w:t>管理系统的标准培训、技术培训、操作培训。</w:t>
                  </w:r>
                </w:p>
              </w:tc>
              <w:tc>
                <w:tcPr>
                  <w:tcW w:w="9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271625">
                  <w:pPr>
                    <w:pStyle w:val="5"/>
                    <w:ind w:left="90" w:right="60"/>
                    <w:jc w:val="center"/>
                  </w:pPr>
                  <w:r>
                    <w:rPr>
                      <w:rFonts w:ascii="仿宋_GB2312" w:hAnsi="仿宋_GB2312" w:eastAsia="仿宋_GB2312" w:cs="仿宋_GB2312"/>
                      <w:sz w:val="21"/>
                    </w:rPr>
                    <w:t>培训效果</w:t>
                  </w:r>
                </w:p>
              </w:tc>
            </w:tr>
            <w:tr w14:paraId="65F0C4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4" w:type="dxa"/>
                  <w:vMerge w:val="continue"/>
                  <w:tcBorders>
                    <w:top w:val="nil"/>
                    <w:left w:val="single" w:color="000000" w:sz="4" w:space="0"/>
                    <w:bottom w:val="single" w:color="000000" w:sz="4" w:space="0"/>
                    <w:right w:val="single" w:color="000000" w:sz="4" w:space="0"/>
                  </w:tcBorders>
                </w:tcPr>
                <w:p w14:paraId="49D416B6"/>
              </w:tc>
              <w:tc>
                <w:tcPr>
                  <w:tcW w:w="814"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2DD67A">
                  <w:pPr>
                    <w:pStyle w:val="5"/>
                    <w:spacing w:before="60"/>
                    <w:jc w:val="center"/>
                  </w:pPr>
                  <w:r>
                    <w:rPr>
                      <w:rFonts w:ascii="仿宋_GB2312" w:hAnsi="仿宋_GB2312" w:eastAsia="仿宋_GB2312" w:cs="仿宋_GB2312"/>
                      <w:sz w:val="20"/>
                    </w:rPr>
                    <w:t>考核工作</w:t>
                  </w:r>
                </w:p>
              </w:tc>
              <w:tc>
                <w:tcPr>
                  <w:tcW w:w="2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DF5C5D">
                  <w:pPr>
                    <w:pStyle w:val="5"/>
                    <w:ind w:left="90" w:right="120"/>
                    <w:jc w:val="both"/>
                  </w:pPr>
                  <w:r>
                    <w:rPr>
                      <w:rFonts w:ascii="仿宋_GB2312" w:hAnsi="仿宋_GB2312" w:eastAsia="仿宋_GB2312" w:cs="仿宋_GB2312"/>
                      <w:sz w:val="21"/>
                    </w:rPr>
                    <w:t>协助采购人制定管理系统的相关考核标准和办法。</w:t>
                  </w:r>
                </w:p>
              </w:tc>
              <w:tc>
                <w:tcPr>
                  <w:tcW w:w="9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9D23B0">
                  <w:pPr>
                    <w:pStyle w:val="5"/>
                    <w:ind w:left="90" w:right="60"/>
                    <w:jc w:val="center"/>
                  </w:pPr>
                  <w:r>
                    <w:rPr>
                      <w:rFonts w:ascii="仿宋_GB2312" w:hAnsi="仿宋_GB2312" w:eastAsia="仿宋_GB2312" w:cs="仿宋_GB2312"/>
                      <w:sz w:val="21"/>
                    </w:rPr>
                    <w:t>可操作性、有效性</w:t>
                  </w:r>
                </w:p>
              </w:tc>
            </w:tr>
            <w:tr w14:paraId="51EB78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4" w:type="dxa"/>
                  <w:vMerge w:val="continue"/>
                  <w:tcBorders>
                    <w:top w:val="nil"/>
                    <w:left w:val="single" w:color="000000" w:sz="4" w:space="0"/>
                    <w:bottom w:val="single" w:color="000000" w:sz="4" w:space="0"/>
                    <w:right w:val="single" w:color="000000" w:sz="4" w:space="0"/>
                  </w:tcBorders>
                </w:tcPr>
                <w:p w14:paraId="0969A51C"/>
              </w:tc>
              <w:tc>
                <w:tcPr>
                  <w:tcW w:w="814" w:type="dxa"/>
                  <w:vMerge w:val="continue"/>
                  <w:tcBorders>
                    <w:top w:val="nil"/>
                    <w:left w:val="single" w:color="000000" w:sz="4" w:space="0"/>
                    <w:bottom w:val="single" w:color="000000" w:sz="4" w:space="0"/>
                    <w:right w:val="single" w:color="000000" w:sz="4" w:space="0"/>
                  </w:tcBorders>
                </w:tcPr>
                <w:p w14:paraId="57BBA706"/>
              </w:tc>
              <w:tc>
                <w:tcPr>
                  <w:tcW w:w="2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E70A16">
                  <w:pPr>
                    <w:pStyle w:val="5"/>
                    <w:ind w:left="90" w:right="120"/>
                    <w:jc w:val="left"/>
                  </w:pPr>
                  <w:r>
                    <w:rPr>
                      <w:rFonts w:ascii="仿宋_GB2312" w:hAnsi="仿宋_GB2312" w:eastAsia="仿宋_GB2312" w:cs="仿宋_GB2312"/>
                      <w:sz w:val="21"/>
                    </w:rPr>
                    <w:t>协助采购人对全市系统的日常管理工作进行考核，应用服务调用访问的规范执行情况等。</w:t>
                  </w:r>
                </w:p>
              </w:tc>
              <w:tc>
                <w:tcPr>
                  <w:tcW w:w="9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4A7D34">
                  <w:pPr>
                    <w:pStyle w:val="5"/>
                    <w:ind w:left="90" w:right="120"/>
                    <w:jc w:val="center"/>
                  </w:pPr>
                  <w:r>
                    <w:rPr>
                      <w:rFonts w:ascii="仿宋_GB2312" w:hAnsi="仿宋_GB2312" w:eastAsia="仿宋_GB2312" w:cs="仿宋_GB2312"/>
                      <w:sz w:val="21"/>
                    </w:rPr>
                    <w:t>有效性</w:t>
                  </w:r>
                </w:p>
              </w:tc>
            </w:tr>
            <w:tr w14:paraId="46706B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4" w:type="dxa"/>
                  <w:vMerge w:val="continue"/>
                  <w:tcBorders>
                    <w:top w:val="nil"/>
                    <w:left w:val="single" w:color="000000" w:sz="4" w:space="0"/>
                    <w:bottom w:val="single" w:color="000000" w:sz="4" w:space="0"/>
                    <w:right w:val="single" w:color="000000" w:sz="4" w:space="0"/>
                  </w:tcBorders>
                </w:tcPr>
                <w:p w14:paraId="7327BD74"/>
              </w:tc>
              <w:tc>
                <w:tcPr>
                  <w:tcW w:w="814" w:type="dxa"/>
                  <w:vMerge w:val="continue"/>
                  <w:tcBorders>
                    <w:top w:val="nil"/>
                    <w:left w:val="single" w:color="000000" w:sz="4" w:space="0"/>
                    <w:bottom w:val="single" w:color="000000" w:sz="4" w:space="0"/>
                    <w:right w:val="single" w:color="000000" w:sz="4" w:space="0"/>
                  </w:tcBorders>
                </w:tcPr>
                <w:p w14:paraId="60FDD437"/>
              </w:tc>
              <w:tc>
                <w:tcPr>
                  <w:tcW w:w="2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608F80">
                  <w:pPr>
                    <w:pStyle w:val="5"/>
                    <w:ind w:left="90" w:right="120"/>
                    <w:jc w:val="both"/>
                  </w:pPr>
                  <w:r>
                    <w:rPr>
                      <w:rFonts w:ascii="仿宋_GB2312" w:hAnsi="仿宋_GB2312" w:eastAsia="仿宋_GB2312" w:cs="仿宋_GB2312"/>
                      <w:sz w:val="21"/>
                    </w:rPr>
                    <w:t>协助采购人组织推广交流工作中好的经验和做法。</w:t>
                  </w:r>
                </w:p>
              </w:tc>
              <w:tc>
                <w:tcPr>
                  <w:tcW w:w="9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C7EA52">
                  <w:pPr>
                    <w:pStyle w:val="5"/>
                    <w:ind w:left="90" w:right="120"/>
                    <w:jc w:val="center"/>
                  </w:pPr>
                  <w:r>
                    <w:rPr>
                      <w:rFonts w:ascii="仿宋_GB2312" w:hAnsi="仿宋_GB2312" w:eastAsia="仿宋_GB2312" w:cs="仿宋_GB2312"/>
                      <w:sz w:val="21"/>
                    </w:rPr>
                    <w:t>有效性</w:t>
                  </w:r>
                </w:p>
              </w:tc>
            </w:tr>
          </w:tbl>
          <w:p w14:paraId="66CF8D1E">
            <w:pPr>
              <w:pStyle w:val="5"/>
              <w:spacing w:before="45"/>
              <w:ind w:firstLine="464"/>
              <w:jc w:val="left"/>
            </w:pPr>
            <w:r>
              <w:rPr>
                <w:rFonts w:ascii="仿宋_GB2312" w:hAnsi="仿宋_GB2312" w:eastAsia="仿宋_GB2312" w:cs="仿宋_GB2312"/>
                <w:sz w:val="24"/>
              </w:rPr>
              <w:t>1.3考核办法</w:t>
            </w:r>
          </w:p>
          <w:p w14:paraId="51A3CBFA">
            <w:pPr>
              <w:pStyle w:val="5"/>
              <w:spacing w:before="30"/>
              <w:ind w:right="105" w:firstLine="488"/>
              <w:jc w:val="left"/>
            </w:pPr>
            <w:r>
              <w:rPr>
                <w:rFonts w:ascii="仿宋_GB2312" w:hAnsi="仿宋_GB2312" w:eastAsia="仿宋_GB2312" w:cs="仿宋_GB2312"/>
                <w:sz w:val="24"/>
              </w:rPr>
              <w:t>每季度采购人对成交供应商就本项目提供的服务内容和质量进行考核，每季度的季度服务费与服务考核结果挂钩。在服务季度结束后30日内，采购人对供应商就本季度的服务事项进行考核。</w:t>
            </w:r>
          </w:p>
          <w:p w14:paraId="128B9D1D">
            <w:pPr>
              <w:pStyle w:val="5"/>
              <w:ind w:firstLine="468"/>
              <w:jc w:val="left"/>
            </w:pPr>
            <w:r>
              <w:rPr>
                <w:rFonts w:ascii="仿宋_GB2312" w:hAnsi="仿宋_GB2312" w:eastAsia="仿宋_GB2312" w:cs="仿宋_GB2312"/>
                <w:sz w:val="24"/>
              </w:rPr>
              <w:t>具体考核办法如下：</w:t>
            </w:r>
          </w:p>
          <w:p w14:paraId="335F575A">
            <w:pPr>
              <w:pStyle w:val="5"/>
              <w:ind w:firstLine="456"/>
              <w:jc w:val="left"/>
            </w:pPr>
            <w:r>
              <w:rPr>
                <w:rFonts w:ascii="仿宋_GB2312" w:hAnsi="仿宋_GB2312" w:eastAsia="仿宋_GB2312" w:cs="仿宋_GB2312"/>
                <w:sz w:val="24"/>
              </w:rPr>
              <w:t>1.服务基本分100分。</w:t>
            </w:r>
          </w:p>
          <w:p w14:paraId="516FEC97">
            <w:pPr>
              <w:pStyle w:val="5"/>
              <w:ind w:right="165" w:firstLine="472"/>
              <w:jc w:val="left"/>
            </w:pPr>
            <w:r>
              <w:rPr>
                <w:rFonts w:ascii="仿宋_GB2312" w:hAnsi="仿宋_GB2312" w:eastAsia="仿宋_GB2312" w:cs="仿宋_GB2312"/>
                <w:sz w:val="24"/>
              </w:rPr>
              <w:t>2.服务奖励分得分办法：（奖励办法1）-3）项得分，当年未使用的分值，则可延续到以后维护年度使用，至本合同维护期结束终止。）</w:t>
            </w:r>
          </w:p>
          <w:p w14:paraId="7CCE7E63">
            <w:pPr>
              <w:pStyle w:val="5"/>
              <w:ind w:right="105" w:firstLine="465"/>
              <w:jc w:val="left"/>
            </w:pPr>
            <w:r>
              <w:rPr>
                <w:rFonts w:ascii="仿宋_GB2312" w:hAnsi="仿宋_GB2312" w:eastAsia="仿宋_GB2312" w:cs="仿宋_GB2312"/>
                <w:sz w:val="24"/>
              </w:rPr>
              <w:t>1）相关工作获得国家级及相关官方国际组织奖励，加6分；</w:t>
            </w:r>
          </w:p>
          <w:p w14:paraId="233F9057">
            <w:pPr>
              <w:pStyle w:val="5"/>
              <w:ind w:right="105" w:firstLine="464"/>
              <w:jc w:val="left"/>
            </w:pPr>
            <w:r>
              <w:rPr>
                <w:rFonts w:ascii="仿宋_GB2312" w:hAnsi="仿宋_GB2312" w:eastAsia="仿宋_GB2312" w:cs="仿宋_GB2312"/>
                <w:sz w:val="24"/>
              </w:rPr>
              <w:t>2）相关工作获得国家部委奖励加5分，省级奖励加4分，市级加3分；</w:t>
            </w:r>
          </w:p>
          <w:p w14:paraId="385CF123">
            <w:pPr>
              <w:pStyle w:val="5"/>
              <w:ind w:right="105" w:firstLine="464"/>
              <w:jc w:val="left"/>
            </w:pPr>
            <w:r>
              <w:rPr>
                <w:rFonts w:ascii="仿宋_GB2312" w:hAnsi="仿宋_GB2312" w:eastAsia="仿宋_GB2312" w:cs="仿宋_GB2312"/>
                <w:sz w:val="24"/>
              </w:rPr>
              <w:t>3）相关技术管理及规范内容成为省标准加4分、市标准加3分；</w:t>
            </w:r>
          </w:p>
          <w:p w14:paraId="28C27C30">
            <w:pPr>
              <w:pStyle w:val="5"/>
              <w:ind w:firstLine="468"/>
              <w:jc w:val="left"/>
            </w:pPr>
            <w:r>
              <w:rPr>
                <w:rFonts w:ascii="仿宋_GB2312" w:hAnsi="仿宋_GB2312" w:eastAsia="仿宋_GB2312" w:cs="仿宋_GB2312"/>
                <w:sz w:val="24"/>
              </w:rPr>
              <w:t>4）相关工作在国家级大型会议上经验交流，每次加2分；</w:t>
            </w:r>
          </w:p>
          <w:p w14:paraId="6B427B3A">
            <w:pPr>
              <w:pStyle w:val="5"/>
              <w:ind w:firstLine="468"/>
              <w:jc w:val="left"/>
            </w:pPr>
            <w:r>
              <w:rPr>
                <w:rFonts w:ascii="仿宋_GB2312" w:hAnsi="仿宋_GB2312" w:eastAsia="仿宋_GB2312" w:cs="仿宋_GB2312"/>
                <w:sz w:val="24"/>
              </w:rPr>
              <w:t>5）相关工作获得省级部门奖励，加2分；</w:t>
            </w:r>
          </w:p>
          <w:p w14:paraId="204BF9D6">
            <w:pPr>
              <w:pStyle w:val="5"/>
              <w:ind w:right="120" w:firstLine="468"/>
              <w:jc w:val="left"/>
            </w:pPr>
            <w:r>
              <w:rPr>
                <w:rFonts w:ascii="仿宋_GB2312" w:hAnsi="仿宋_GB2312" w:eastAsia="仿宋_GB2312" w:cs="仿宋_GB2312"/>
                <w:sz w:val="24"/>
              </w:rPr>
              <w:t>6）相关工作获得在职市级以上领导肯定性批示，加2分；</w:t>
            </w:r>
          </w:p>
          <w:p w14:paraId="569A9A19">
            <w:pPr>
              <w:pStyle w:val="5"/>
              <w:ind w:right="105" w:firstLine="468"/>
              <w:jc w:val="left"/>
            </w:pPr>
            <w:r>
              <w:rPr>
                <w:rFonts w:ascii="仿宋_GB2312" w:hAnsi="仿宋_GB2312" w:eastAsia="仿宋_GB2312" w:cs="仿宋_GB2312"/>
                <w:sz w:val="24"/>
              </w:rPr>
              <w:t>7）相关工作成功申报国家部委基金课题，每项加3分；</w:t>
            </w:r>
          </w:p>
          <w:p w14:paraId="15CD3011">
            <w:pPr>
              <w:pStyle w:val="5"/>
              <w:ind w:right="105" w:firstLine="512"/>
              <w:jc w:val="left"/>
            </w:pPr>
            <w:r>
              <w:rPr>
                <w:rFonts w:ascii="仿宋_GB2312" w:hAnsi="仿宋_GB2312" w:eastAsia="仿宋_GB2312" w:cs="仿宋_GB2312"/>
                <w:sz w:val="24"/>
              </w:rPr>
              <w:t>8）完成系统一次以上重大变更且经采购人与供应商双方认可，加2分。</w:t>
            </w:r>
          </w:p>
          <w:p w14:paraId="0C0A0FB0">
            <w:pPr>
              <w:pStyle w:val="5"/>
              <w:ind w:firstLine="472"/>
              <w:jc w:val="both"/>
            </w:pPr>
            <w:r>
              <w:rPr>
                <w:rFonts w:ascii="仿宋_GB2312" w:hAnsi="仿宋_GB2312" w:eastAsia="仿宋_GB2312" w:cs="仿宋_GB2312"/>
                <w:sz w:val="24"/>
              </w:rPr>
              <w:t>3.考核扣分办法</w:t>
            </w:r>
          </w:p>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42"/>
              <w:gridCol w:w="928"/>
              <w:gridCol w:w="4018"/>
            </w:tblGrid>
            <w:tr w14:paraId="1B894A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74C77C0">
                  <w:pPr>
                    <w:pStyle w:val="5"/>
                    <w:jc w:val="center"/>
                  </w:pPr>
                  <w:r>
                    <w:rPr>
                      <w:rFonts w:ascii="仿宋_GB2312" w:hAnsi="仿宋_GB2312" w:eastAsia="仿宋_GB2312" w:cs="仿宋_GB2312"/>
                      <w:b/>
                      <w:sz w:val="21"/>
                    </w:rPr>
                    <w:t>考核类别</w:t>
                  </w:r>
                </w:p>
              </w:tc>
              <w:tc>
                <w:tcPr>
                  <w:tcW w:w="9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0678546">
                  <w:pPr>
                    <w:pStyle w:val="5"/>
                    <w:jc w:val="center"/>
                  </w:pPr>
                  <w:r>
                    <w:rPr>
                      <w:rFonts w:ascii="仿宋_GB2312" w:hAnsi="仿宋_GB2312" w:eastAsia="仿宋_GB2312" w:cs="仿宋_GB2312"/>
                      <w:b/>
                      <w:sz w:val="21"/>
                    </w:rPr>
                    <w:t>考核项目</w:t>
                  </w:r>
                </w:p>
              </w:tc>
              <w:tc>
                <w:tcPr>
                  <w:tcW w:w="401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40F3A14">
                  <w:pPr>
                    <w:pStyle w:val="5"/>
                    <w:jc w:val="center"/>
                  </w:pPr>
                  <w:r>
                    <w:rPr>
                      <w:rFonts w:ascii="仿宋_GB2312" w:hAnsi="仿宋_GB2312" w:eastAsia="仿宋_GB2312" w:cs="仿宋_GB2312"/>
                      <w:b/>
                      <w:sz w:val="21"/>
                    </w:rPr>
                    <w:t>扣分办法</w:t>
                  </w:r>
                </w:p>
              </w:tc>
            </w:tr>
            <w:tr w14:paraId="4A8CEE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D2DB9E">
                  <w:pPr>
                    <w:pStyle w:val="5"/>
                    <w:jc w:val="center"/>
                  </w:pPr>
                  <w:r>
                    <w:rPr>
                      <w:rFonts w:ascii="仿宋_GB2312" w:hAnsi="仿宋_GB2312" w:eastAsia="仿宋_GB2312" w:cs="仿宋_GB2312"/>
                      <w:sz w:val="21"/>
                    </w:rPr>
                    <w:t>应用系统</w:t>
                  </w:r>
                </w:p>
                <w:p w14:paraId="51C1C39E">
                  <w:pPr>
                    <w:pStyle w:val="5"/>
                    <w:jc w:val="center"/>
                  </w:pPr>
                  <w:r>
                    <w:rPr>
                      <w:rFonts w:ascii="仿宋_GB2312" w:hAnsi="仿宋_GB2312" w:eastAsia="仿宋_GB2312" w:cs="仿宋_GB2312"/>
                      <w:sz w:val="21"/>
                    </w:rPr>
                    <w:t>运维</w:t>
                  </w:r>
                </w:p>
              </w:tc>
              <w:tc>
                <w:tcPr>
                  <w:tcW w:w="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9E7228">
                  <w:pPr>
                    <w:pStyle w:val="5"/>
                    <w:jc w:val="center"/>
                  </w:pPr>
                  <w:r>
                    <w:rPr>
                      <w:rFonts w:ascii="仿宋_GB2312" w:hAnsi="仿宋_GB2312" w:eastAsia="仿宋_GB2312" w:cs="仿宋_GB2312"/>
                      <w:sz w:val="21"/>
                    </w:rPr>
                    <w:t>应用功能升级</w:t>
                  </w:r>
                </w:p>
              </w:tc>
              <w:tc>
                <w:tcPr>
                  <w:tcW w:w="40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608695">
                  <w:pPr>
                    <w:pStyle w:val="5"/>
                    <w:jc w:val="left"/>
                  </w:pPr>
                  <w:r>
                    <w:rPr>
                      <w:rFonts w:ascii="仿宋_GB2312" w:hAnsi="仿宋_GB2312" w:eastAsia="仿宋_GB2312" w:cs="仿宋_GB2312"/>
                      <w:sz w:val="21"/>
                    </w:rPr>
                    <w:t>未及时完成更正性、适应性升级、完善性和预防性升级。每次扣0.5分。</w:t>
                  </w:r>
                </w:p>
              </w:tc>
            </w:tr>
            <w:tr w14:paraId="54A80A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vMerge w:val="continue"/>
                  <w:tcBorders>
                    <w:top w:val="nil"/>
                    <w:left w:val="single" w:color="000000" w:sz="4" w:space="0"/>
                    <w:bottom w:val="single" w:color="000000" w:sz="4" w:space="0"/>
                    <w:right w:val="single" w:color="000000" w:sz="4" w:space="0"/>
                  </w:tcBorders>
                </w:tcPr>
                <w:p w14:paraId="2E6EBAFC"/>
              </w:tc>
              <w:tc>
                <w:tcPr>
                  <w:tcW w:w="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DA0261">
                  <w:pPr>
                    <w:pStyle w:val="5"/>
                    <w:jc w:val="center"/>
                  </w:pPr>
                  <w:r>
                    <w:rPr>
                      <w:rFonts w:ascii="仿宋_GB2312" w:hAnsi="仿宋_GB2312" w:eastAsia="仿宋_GB2312" w:cs="仿宋_GB2312"/>
                      <w:sz w:val="21"/>
                    </w:rPr>
                    <w:t>应用系统优化</w:t>
                  </w:r>
                </w:p>
              </w:tc>
              <w:tc>
                <w:tcPr>
                  <w:tcW w:w="40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20F23C">
                  <w:pPr>
                    <w:pStyle w:val="5"/>
                    <w:jc w:val="left"/>
                  </w:pPr>
                  <w:r>
                    <w:rPr>
                      <w:rFonts w:ascii="仿宋_GB2312" w:hAnsi="仿宋_GB2312" w:eastAsia="仿宋_GB2312" w:cs="仿宋_GB2312"/>
                      <w:sz w:val="21"/>
                    </w:rPr>
                    <w:t>未有效满足应用系统优化需求，每次扣0.5分。</w:t>
                  </w:r>
                </w:p>
              </w:tc>
            </w:tr>
            <w:tr w14:paraId="4E6BEF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vMerge w:val="continue"/>
                  <w:tcBorders>
                    <w:top w:val="nil"/>
                    <w:left w:val="single" w:color="000000" w:sz="4" w:space="0"/>
                    <w:bottom w:val="single" w:color="000000" w:sz="4" w:space="0"/>
                    <w:right w:val="single" w:color="000000" w:sz="4" w:space="0"/>
                  </w:tcBorders>
                </w:tcPr>
                <w:p w14:paraId="642861D9"/>
              </w:tc>
              <w:tc>
                <w:tcPr>
                  <w:tcW w:w="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02B279">
                  <w:pPr>
                    <w:pStyle w:val="5"/>
                    <w:jc w:val="center"/>
                  </w:pPr>
                  <w:r>
                    <w:rPr>
                      <w:rFonts w:ascii="仿宋_GB2312" w:hAnsi="仿宋_GB2312" w:eastAsia="仿宋_GB2312" w:cs="仿宋_GB2312"/>
                      <w:sz w:val="21"/>
                    </w:rPr>
                    <w:t>应用应急服务</w:t>
                  </w:r>
                </w:p>
              </w:tc>
              <w:tc>
                <w:tcPr>
                  <w:tcW w:w="40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45038C">
                  <w:pPr>
                    <w:pStyle w:val="5"/>
                    <w:jc w:val="left"/>
                  </w:pPr>
                  <w:r>
                    <w:rPr>
                      <w:rFonts w:ascii="仿宋_GB2312" w:hAnsi="仿宋_GB2312" w:eastAsia="仿宋_GB2312" w:cs="仿宋_GB2312"/>
                      <w:sz w:val="21"/>
                    </w:rPr>
                    <w:t>采购人收集发现运维问题，但供应商未提前发现此问题，每次扣0.5分；在承诺的响应时限内，未及时响应突发性的特殊应用需求，每次扣1分。</w:t>
                  </w:r>
                </w:p>
              </w:tc>
            </w:tr>
            <w:tr w14:paraId="781E84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vMerge w:val="continue"/>
                  <w:tcBorders>
                    <w:top w:val="nil"/>
                    <w:left w:val="single" w:color="000000" w:sz="4" w:space="0"/>
                    <w:bottom w:val="single" w:color="000000" w:sz="4" w:space="0"/>
                    <w:right w:val="single" w:color="000000" w:sz="4" w:space="0"/>
                  </w:tcBorders>
                </w:tcPr>
                <w:p w14:paraId="69D4D7A1"/>
              </w:tc>
              <w:tc>
                <w:tcPr>
                  <w:tcW w:w="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F8767C">
                  <w:pPr>
                    <w:pStyle w:val="5"/>
                    <w:jc w:val="center"/>
                  </w:pPr>
                  <w:r>
                    <w:rPr>
                      <w:rFonts w:ascii="仿宋_GB2312" w:hAnsi="仿宋_GB2312" w:eastAsia="仿宋_GB2312" w:cs="仿宋_GB2312"/>
                      <w:sz w:val="21"/>
                    </w:rPr>
                    <w:t>事故分析和安全</w:t>
                  </w:r>
                </w:p>
              </w:tc>
              <w:tc>
                <w:tcPr>
                  <w:tcW w:w="40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4738ED5">
                  <w:pPr>
                    <w:pStyle w:val="5"/>
                    <w:jc w:val="left"/>
                  </w:pPr>
                  <w:r>
                    <w:rPr>
                      <w:rFonts w:ascii="仿宋_GB2312" w:hAnsi="仿宋_GB2312" w:eastAsia="仿宋_GB2312" w:cs="仿宋_GB2312"/>
                      <w:sz w:val="21"/>
                    </w:rPr>
                    <w:t>发生重大事件、严重事件、重要事件、一般事件、轻微事件，每次分别扣10分、5分、3分、1分、0.5分；发生事故分析处理不及时，未能有效配合采购人消除事故影响，每次扣1.5分。未制定落实信息安全管理制度、措施、信息安全事件应急预案；未完成安全测评、备案等工作，扣1分。</w:t>
                  </w:r>
                </w:p>
              </w:tc>
            </w:tr>
            <w:tr w14:paraId="6A0526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D12BDF">
                  <w:pPr>
                    <w:pStyle w:val="5"/>
                    <w:jc w:val="center"/>
                  </w:pPr>
                  <w:r>
                    <w:rPr>
                      <w:rFonts w:ascii="仿宋_GB2312" w:hAnsi="仿宋_GB2312" w:eastAsia="仿宋_GB2312" w:cs="仿宋_GB2312"/>
                      <w:sz w:val="21"/>
                    </w:rPr>
                    <w:t>数据库运维、应用平台数据运营服务</w:t>
                  </w:r>
                </w:p>
              </w:tc>
              <w:tc>
                <w:tcPr>
                  <w:tcW w:w="928"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581562">
                  <w:pPr>
                    <w:pStyle w:val="5"/>
                    <w:jc w:val="center"/>
                  </w:pPr>
                  <w:r>
                    <w:rPr>
                      <w:rFonts w:ascii="仿宋_GB2312" w:hAnsi="仿宋_GB2312" w:eastAsia="仿宋_GB2312" w:cs="仿宋_GB2312"/>
                      <w:sz w:val="21"/>
                    </w:rPr>
                    <w:t>服务能力</w:t>
                  </w:r>
                </w:p>
              </w:tc>
              <w:tc>
                <w:tcPr>
                  <w:tcW w:w="40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40EC6C">
                  <w:pPr>
                    <w:pStyle w:val="5"/>
                    <w:ind w:left="105" w:right="180"/>
                    <w:jc w:val="left"/>
                  </w:pPr>
                  <w:r>
                    <w:rPr>
                      <w:rFonts w:ascii="仿宋_GB2312" w:hAnsi="仿宋_GB2312" w:eastAsia="仿宋_GB2312" w:cs="仿宋_GB2312"/>
                      <w:sz w:val="21"/>
                    </w:rPr>
                    <w:t>供应商未在规定时限内完成服务内容，每次扣0.1分。</w:t>
                  </w:r>
                </w:p>
              </w:tc>
            </w:tr>
            <w:tr w14:paraId="583E74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vMerge w:val="continue"/>
                  <w:tcBorders>
                    <w:top w:val="nil"/>
                    <w:left w:val="single" w:color="000000" w:sz="4" w:space="0"/>
                    <w:bottom w:val="single" w:color="000000" w:sz="4" w:space="0"/>
                    <w:right w:val="single" w:color="000000" w:sz="4" w:space="0"/>
                  </w:tcBorders>
                </w:tcPr>
                <w:p w14:paraId="68C43453"/>
              </w:tc>
              <w:tc>
                <w:tcPr>
                  <w:tcW w:w="928" w:type="dxa"/>
                  <w:vMerge w:val="continue"/>
                  <w:tcBorders>
                    <w:top w:val="nil"/>
                    <w:left w:val="single" w:color="000000" w:sz="4" w:space="0"/>
                    <w:bottom w:val="single" w:color="000000" w:sz="4" w:space="0"/>
                    <w:right w:val="single" w:color="000000" w:sz="4" w:space="0"/>
                  </w:tcBorders>
                </w:tcPr>
                <w:p w14:paraId="78BE9D5E"/>
              </w:tc>
              <w:tc>
                <w:tcPr>
                  <w:tcW w:w="40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0748CE">
                  <w:pPr>
                    <w:pStyle w:val="5"/>
                    <w:ind w:left="105" w:right="120"/>
                    <w:jc w:val="left"/>
                  </w:pPr>
                  <w:r>
                    <w:rPr>
                      <w:rFonts w:ascii="仿宋_GB2312" w:hAnsi="仿宋_GB2312" w:eastAsia="仿宋_GB2312" w:cs="仿宋_GB2312"/>
                      <w:sz w:val="21"/>
                    </w:rPr>
                    <w:t>供应商未准确掌握需求内容，每次扣0.1分；供应商未满足业务需求，每次扣0.5分。</w:t>
                  </w:r>
                </w:p>
              </w:tc>
            </w:tr>
            <w:tr w14:paraId="7AA8EA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vMerge w:val="continue"/>
                  <w:tcBorders>
                    <w:top w:val="nil"/>
                    <w:left w:val="single" w:color="000000" w:sz="4" w:space="0"/>
                    <w:bottom w:val="single" w:color="000000" w:sz="4" w:space="0"/>
                    <w:right w:val="single" w:color="000000" w:sz="4" w:space="0"/>
                  </w:tcBorders>
                </w:tcPr>
                <w:p w14:paraId="706C6D18"/>
              </w:tc>
              <w:tc>
                <w:tcPr>
                  <w:tcW w:w="928"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FAC2A0">
                  <w:pPr>
                    <w:pStyle w:val="5"/>
                    <w:jc w:val="center"/>
                  </w:pPr>
                  <w:r>
                    <w:rPr>
                      <w:rFonts w:ascii="仿宋_GB2312" w:hAnsi="仿宋_GB2312" w:eastAsia="仿宋_GB2312" w:cs="仿宋_GB2312"/>
                      <w:sz w:val="21"/>
                    </w:rPr>
                    <w:t>数据更新</w:t>
                  </w:r>
                </w:p>
                <w:p w14:paraId="020EC95E">
                  <w:pPr>
                    <w:pStyle w:val="5"/>
                    <w:jc w:val="center"/>
                  </w:pPr>
                  <w:r>
                    <w:rPr>
                      <w:rFonts w:ascii="仿宋_GB2312" w:hAnsi="仿宋_GB2312" w:eastAsia="仿宋_GB2312" w:cs="仿宋_GB2312"/>
                      <w:sz w:val="21"/>
                    </w:rPr>
                    <w:t>机制维护</w:t>
                  </w:r>
                </w:p>
              </w:tc>
              <w:tc>
                <w:tcPr>
                  <w:tcW w:w="40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128974">
                  <w:pPr>
                    <w:pStyle w:val="5"/>
                    <w:jc w:val="left"/>
                  </w:pPr>
                  <w:r>
                    <w:rPr>
                      <w:rFonts w:ascii="仿宋_GB2312" w:hAnsi="仿宋_GB2312" w:eastAsia="仿宋_GB2312" w:cs="仿宋_GB2312"/>
                      <w:sz w:val="21"/>
                    </w:rPr>
                    <w:t>因供应商原因，未完成月度数据运维报告，扣0.5分。</w:t>
                  </w:r>
                </w:p>
                <w:p w14:paraId="1619FA08">
                  <w:pPr>
                    <w:pStyle w:val="5"/>
                    <w:jc w:val="left"/>
                  </w:pPr>
                  <w:r>
                    <w:rPr>
                      <w:rFonts w:ascii="仿宋_GB2312" w:hAnsi="仿宋_GB2312" w:eastAsia="仿宋_GB2312" w:cs="仿宋_GB2312"/>
                      <w:sz w:val="21"/>
                    </w:rPr>
                    <w:t>因供应商原因，未及时反馈各数据提供部门的数据质量情况，指导其改进和提高数据质量，每次扣0.1分。</w:t>
                  </w:r>
                </w:p>
              </w:tc>
            </w:tr>
            <w:tr w14:paraId="0CE38F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vMerge w:val="continue"/>
                  <w:tcBorders>
                    <w:top w:val="nil"/>
                    <w:left w:val="single" w:color="000000" w:sz="4" w:space="0"/>
                    <w:bottom w:val="single" w:color="000000" w:sz="4" w:space="0"/>
                    <w:right w:val="single" w:color="000000" w:sz="4" w:space="0"/>
                  </w:tcBorders>
                </w:tcPr>
                <w:p w14:paraId="40CB6CDF"/>
              </w:tc>
              <w:tc>
                <w:tcPr>
                  <w:tcW w:w="928" w:type="dxa"/>
                  <w:vMerge w:val="continue"/>
                  <w:tcBorders>
                    <w:top w:val="nil"/>
                    <w:left w:val="single" w:color="000000" w:sz="4" w:space="0"/>
                    <w:bottom w:val="single" w:color="000000" w:sz="4" w:space="0"/>
                    <w:right w:val="single" w:color="000000" w:sz="4" w:space="0"/>
                  </w:tcBorders>
                </w:tcPr>
                <w:p w14:paraId="6BC6986F"/>
              </w:tc>
              <w:tc>
                <w:tcPr>
                  <w:tcW w:w="40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F641E0">
                  <w:pPr>
                    <w:pStyle w:val="5"/>
                    <w:jc w:val="left"/>
                  </w:pPr>
                  <w:r>
                    <w:rPr>
                      <w:rFonts w:ascii="仿宋_GB2312" w:hAnsi="仿宋_GB2312" w:eastAsia="仿宋_GB2312" w:cs="仿宋_GB2312"/>
                      <w:sz w:val="21"/>
                    </w:rPr>
                    <w:t>采集质量：采集业务数据后，应在48小时内完成数据入库。</w:t>
                  </w:r>
                </w:p>
                <w:p w14:paraId="756D46C7">
                  <w:pPr>
                    <w:pStyle w:val="5"/>
                    <w:jc w:val="left"/>
                  </w:pPr>
                  <w:r>
                    <w:rPr>
                      <w:rFonts w:ascii="仿宋_GB2312" w:hAnsi="仿宋_GB2312" w:eastAsia="仿宋_GB2312" w:cs="仿宋_GB2312"/>
                      <w:sz w:val="21"/>
                    </w:rPr>
                    <w:t>因供应商原因，采集数据入库率未达到100%，每次扣0.1分。</w:t>
                  </w:r>
                </w:p>
                <w:p w14:paraId="32D02FF1">
                  <w:pPr>
                    <w:pStyle w:val="5"/>
                    <w:jc w:val="left"/>
                  </w:pPr>
                  <w:r>
                    <w:rPr>
                      <w:rFonts w:ascii="仿宋_GB2312" w:hAnsi="仿宋_GB2312" w:eastAsia="仿宋_GB2312" w:cs="仿宋_GB2312"/>
                      <w:sz w:val="21"/>
                    </w:rPr>
                    <w:t>数据更新量：数据内容及数据更新及时入库。</w:t>
                  </w:r>
                </w:p>
                <w:p w14:paraId="323E71D7">
                  <w:pPr>
                    <w:pStyle w:val="5"/>
                    <w:jc w:val="left"/>
                  </w:pPr>
                  <w:r>
                    <w:rPr>
                      <w:rFonts w:ascii="仿宋_GB2312" w:hAnsi="仿宋_GB2312" w:eastAsia="仿宋_GB2312" w:cs="仿宋_GB2312"/>
                      <w:sz w:val="21"/>
                    </w:rPr>
                    <w:t>因供应商原因，数据入库率未达到100%，每次扣0.1分。</w:t>
                  </w:r>
                </w:p>
              </w:tc>
            </w:tr>
            <w:tr w14:paraId="136681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vMerge w:val="continue"/>
                  <w:tcBorders>
                    <w:top w:val="nil"/>
                    <w:left w:val="single" w:color="000000" w:sz="4" w:space="0"/>
                    <w:bottom w:val="single" w:color="000000" w:sz="4" w:space="0"/>
                    <w:right w:val="single" w:color="000000" w:sz="4" w:space="0"/>
                  </w:tcBorders>
                </w:tcPr>
                <w:p w14:paraId="54B34840"/>
              </w:tc>
              <w:tc>
                <w:tcPr>
                  <w:tcW w:w="928" w:type="dxa"/>
                  <w:vMerge w:val="continue"/>
                  <w:tcBorders>
                    <w:top w:val="nil"/>
                    <w:left w:val="single" w:color="000000" w:sz="4" w:space="0"/>
                    <w:bottom w:val="single" w:color="000000" w:sz="4" w:space="0"/>
                    <w:right w:val="single" w:color="000000" w:sz="4" w:space="0"/>
                  </w:tcBorders>
                </w:tcPr>
                <w:p w14:paraId="0BA858FB"/>
              </w:tc>
              <w:tc>
                <w:tcPr>
                  <w:tcW w:w="40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48D85F">
                  <w:pPr>
                    <w:pStyle w:val="5"/>
                    <w:jc w:val="left"/>
                  </w:pPr>
                  <w:r>
                    <w:rPr>
                      <w:rFonts w:ascii="仿宋_GB2312" w:hAnsi="仿宋_GB2312" w:eastAsia="仿宋_GB2312" w:cs="仿宋_GB2312"/>
                      <w:sz w:val="21"/>
                    </w:rPr>
                    <w:t>比对质量：对数据比对及时性、数据比对完成率、数据比对入库率。</w:t>
                  </w:r>
                </w:p>
                <w:p w14:paraId="105FD82A">
                  <w:pPr>
                    <w:pStyle w:val="5"/>
                    <w:jc w:val="left"/>
                  </w:pPr>
                  <w:r>
                    <w:rPr>
                      <w:rFonts w:ascii="仿宋_GB2312" w:hAnsi="仿宋_GB2312" w:eastAsia="仿宋_GB2312" w:cs="仿宋_GB2312"/>
                      <w:sz w:val="21"/>
                    </w:rPr>
                    <w:t>数据比对完成率未达到100%，每次扣0.1分。</w:t>
                  </w:r>
                </w:p>
                <w:p w14:paraId="5A349C1C">
                  <w:pPr>
                    <w:pStyle w:val="5"/>
                    <w:jc w:val="left"/>
                  </w:pPr>
                  <w:r>
                    <w:rPr>
                      <w:rFonts w:ascii="仿宋_GB2312" w:hAnsi="仿宋_GB2312" w:eastAsia="仿宋_GB2312" w:cs="仿宋_GB2312"/>
                      <w:sz w:val="21"/>
                    </w:rPr>
                    <w:t>部门数据比对完成率未达到100%，每次扣0.1分。</w:t>
                  </w:r>
                </w:p>
              </w:tc>
            </w:tr>
            <w:tr w14:paraId="3B06DD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vMerge w:val="continue"/>
                  <w:tcBorders>
                    <w:top w:val="nil"/>
                    <w:left w:val="single" w:color="000000" w:sz="4" w:space="0"/>
                    <w:bottom w:val="single" w:color="000000" w:sz="4" w:space="0"/>
                    <w:right w:val="single" w:color="000000" w:sz="4" w:space="0"/>
                  </w:tcBorders>
                </w:tcPr>
                <w:p w14:paraId="37591726"/>
              </w:tc>
              <w:tc>
                <w:tcPr>
                  <w:tcW w:w="928" w:type="dxa"/>
                  <w:vMerge w:val="continue"/>
                  <w:tcBorders>
                    <w:top w:val="nil"/>
                    <w:left w:val="single" w:color="000000" w:sz="4" w:space="0"/>
                    <w:bottom w:val="single" w:color="000000" w:sz="4" w:space="0"/>
                    <w:right w:val="single" w:color="000000" w:sz="4" w:space="0"/>
                  </w:tcBorders>
                </w:tcPr>
                <w:p w14:paraId="293EAC36"/>
              </w:tc>
              <w:tc>
                <w:tcPr>
                  <w:tcW w:w="40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3320AB">
                  <w:pPr>
                    <w:pStyle w:val="5"/>
                    <w:jc w:val="left"/>
                  </w:pPr>
                  <w:r>
                    <w:rPr>
                      <w:rFonts w:ascii="仿宋_GB2312" w:hAnsi="仿宋_GB2312" w:eastAsia="仿宋_GB2312" w:cs="仿宋_GB2312"/>
                      <w:sz w:val="21"/>
                    </w:rPr>
                    <w:t>数据质量：保证基础库数据一致性和完整性。</w:t>
                  </w:r>
                </w:p>
                <w:p w14:paraId="00C92418">
                  <w:pPr>
                    <w:pStyle w:val="5"/>
                    <w:jc w:val="left"/>
                  </w:pPr>
                  <w:r>
                    <w:rPr>
                      <w:rFonts w:ascii="仿宋_GB2312" w:hAnsi="仿宋_GB2312" w:eastAsia="仿宋_GB2312" w:cs="仿宋_GB2312"/>
                      <w:sz w:val="21"/>
                    </w:rPr>
                    <w:t>数据准确率未达到100%，每次扣0.1分。</w:t>
                  </w:r>
                </w:p>
              </w:tc>
            </w:tr>
            <w:tr w14:paraId="3B6B9E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vMerge w:val="continue"/>
                  <w:tcBorders>
                    <w:top w:val="nil"/>
                    <w:left w:val="single" w:color="000000" w:sz="4" w:space="0"/>
                    <w:bottom w:val="single" w:color="000000" w:sz="4" w:space="0"/>
                    <w:right w:val="single" w:color="000000" w:sz="4" w:space="0"/>
                  </w:tcBorders>
                </w:tcPr>
                <w:p w14:paraId="49EDAD6B"/>
              </w:tc>
              <w:tc>
                <w:tcPr>
                  <w:tcW w:w="928" w:type="dxa"/>
                  <w:vMerge w:val="continue"/>
                  <w:tcBorders>
                    <w:top w:val="nil"/>
                    <w:left w:val="single" w:color="000000" w:sz="4" w:space="0"/>
                    <w:bottom w:val="single" w:color="000000" w:sz="4" w:space="0"/>
                    <w:right w:val="single" w:color="000000" w:sz="4" w:space="0"/>
                  </w:tcBorders>
                </w:tcPr>
                <w:p w14:paraId="481E83E0"/>
              </w:tc>
              <w:tc>
                <w:tcPr>
                  <w:tcW w:w="40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66DC73">
                  <w:pPr>
                    <w:pStyle w:val="5"/>
                    <w:jc w:val="left"/>
                  </w:pPr>
                  <w:r>
                    <w:rPr>
                      <w:rFonts w:ascii="仿宋_GB2312" w:hAnsi="仿宋_GB2312" w:eastAsia="仿宋_GB2312" w:cs="仿宋_GB2312"/>
                      <w:sz w:val="21"/>
                    </w:rPr>
                    <w:t>数据融合：对汇聚至数据中台数据未开展数据治理，每次扣0.1分。</w:t>
                  </w:r>
                </w:p>
              </w:tc>
            </w:tr>
            <w:tr w14:paraId="00D811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vMerge w:val="continue"/>
                  <w:tcBorders>
                    <w:top w:val="nil"/>
                    <w:left w:val="single" w:color="000000" w:sz="4" w:space="0"/>
                    <w:bottom w:val="single" w:color="000000" w:sz="4" w:space="0"/>
                    <w:right w:val="single" w:color="000000" w:sz="4" w:space="0"/>
                  </w:tcBorders>
                </w:tcPr>
                <w:p w14:paraId="20E4FB4C"/>
              </w:tc>
              <w:tc>
                <w:tcPr>
                  <w:tcW w:w="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D63C7B">
                  <w:pPr>
                    <w:pStyle w:val="5"/>
                    <w:jc w:val="center"/>
                  </w:pPr>
                  <w:r>
                    <w:rPr>
                      <w:rFonts w:ascii="仿宋_GB2312" w:hAnsi="仿宋_GB2312" w:eastAsia="仿宋_GB2312" w:cs="仿宋_GB2312"/>
                      <w:sz w:val="21"/>
                    </w:rPr>
                    <w:t>异常数据</w:t>
                  </w:r>
                </w:p>
                <w:p w14:paraId="17B55561">
                  <w:pPr>
                    <w:pStyle w:val="5"/>
                    <w:jc w:val="center"/>
                  </w:pPr>
                  <w:r>
                    <w:rPr>
                      <w:rFonts w:ascii="仿宋_GB2312" w:hAnsi="仿宋_GB2312" w:eastAsia="仿宋_GB2312" w:cs="仿宋_GB2312"/>
                      <w:sz w:val="21"/>
                    </w:rPr>
                    <w:t>日常维护</w:t>
                  </w:r>
                </w:p>
              </w:tc>
              <w:tc>
                <w:tcPr>
                  <w:tcW w:w="40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47567D">
                  <w:pPr>
                    <w:pStyle w:val="5"/>
                    <w:jc w:val="left"/>
                  </w:pPr>
                  <w:r>
                    <w:rPr>
                      <w:rFonts w:ascii="仿宋_GB2312" w:hAnsi="仿宋_GB2312" w:eastAsia="仿宋_GB2312" w:cs="仿宋_GB2312"/>
                      <w:sz w:val="21"/>
                    </w:rPr>
                    <w:t>未及时对异常数据分类处理，发布异常数据日常维护报告，制订异常数据日常维护管理流程。对部门比对异常数据100%响应处理。</w:t>
                  </w:r>
                </w:p>
                <w:p w14:paraId="7B65958F">
                  <w:pPr>
                    <w:pStyle w:val="5"/>
                    <w:jc w:val="left"/>
                  </w:pPr>
                  <w:r>
                    <w:rPr>
                      <w:rFonts w:ascii="仿宋_GB2312" w:hAnsi="仿宋_GB2312" w:eastAsia="仿宋_GB2312" w:cs="仿宋_GB2312"/>
                      <w:sz w:val="21"/>
                    </w:rPr>
                    <w:t>部门比对异常数据反馈率未达到100%，每次扣0.1分。</w:t>
                  </w:r>
                </w:p>
              </w:tc>
            </w:tr>
            <w:tr w14:paraId="010BC1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vMerge w:val="continue"/>
                  <w:tcBorders>
                    <w:top w:val="nil"/>
                    <w:left w:val="single" w:color="000000" w:sz="4" w:space="0"/>
                    <w:bottom w:val="single" w:color="000000" w:sz="4" w:space="0"/>
                    <w:right w:val="single" w:color="000000" w:sz="4" w:space="0"/>
                  </w:tcBorders>
                </w:tcPr>
                <w:p w14:paraId="28C5174D"/>
              </w:tc>
              <w:tc>
                <w:tcPr>
                  <w:tcW w:w="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959194">
                  <w:pPr>
                    <w:pStyle w:val="5"/>
                    <w:jc w:val="center"/>
                  </w:pPr>
                  <w:r>
                    <w:rPr>
                      <w:rFonts w:ascii="仿宋_GB2312" w:hAnsi="仿宋_GB2312" w:eastAsia="仿宋_GB2312" w:cs="仿宋_GB2312"/>
                      <w:sz w:val="21"/>
                    </w:rPr>
                    <w:t>历史错误</w:t>
                  </w:r>
                </w:p>
                <w:p w14:paraId="5197347F">
                  <w:pPr>
                    <w:pStyle w:val="5"/>
                    <w:jc w:val="center"/>
                  </w:pPr>
                  <w:r>
                    <w:rPr>
                      <w:rFonts w:ascii="仿宋_GB2312" w:hAnsi="仿宋_GB2312" w:eastAsia="仿宋_GB2312" w:cs="仿宋_GB2312"/>
                      <w:sz w:val="21"/>
                    </w:rPr>
                    <w:t>数据维护</w:t>
                  </w:r>
                </w:p>
              </w:tc>
              <w:tc>
                <w:tcPr>
                  <w:tcW w:w="40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20ECDF">
                  <w:pPr>
                    <w:pStyle w:val="5"/>
                    <w:jc w:val="left"/>
                  </w:pPr>
                  <w:r>
                    <w:rPr>
                      <w:rFonts w:ascii="仿宋_GB2312" w:hAnsi="仿宋_GB2312" w:eastAsia="仿宋_GB2312" w:cs="仿宋_GB2312"/>
                      <w:sz w:val="21"/>
                    </w:rPr>
                    <w:t>未对基础库历史错误数据进行维护计划管理；未进行历史错误数据维护；发布历史错误数据维护报告。</w:t>
                  </w:r>
                </w:p>
                <w:p w14:paraId="459C2A36">
                  <w:pPr>
                    <w:pStyle w:val="5"/>
                    <w:jc w:val="left"/>
                  </w:pPr>
                  <w:r>
                    <w:rPr>
                      <w:rFonts w:ascii="仿宋_GB2312" w:hAnsi="仿宋_GB2312" w:eastAsia="仿宋_GB2312" w:cs="仿宋_GB2312"/>
                      <w:sz w:val="21"/>
                    </w:rPr>
                    <w:t>历史错误数据维护工作修正率未能达到要求，每次扣0.1分。</w:t>
                  </w:r>
                </w:p>
              </w:tc>
            </w:tr>
            <w:tr w14:paraId="312CA0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vMerge w:val="continue"/>
                  <w:tcBorders>
                    <w:top w:val="nil"/>
                    <w:left w:val="single" w:color="000000" w:sz="4" w:space="0"/>
                    <w:bottom w:val="single" w:color="000000" w:sz="4" w:space="0"/>
                    <w:right w:val="single" w:color="000000" w:sz="4" w:space="0"/>
                  </w:tcBorders>
                </w:tcPr>
                <w:p w14:paraId="5E173E4F"/>
              </w:tc>
              <w:tc>
                <w:tcPr>
                  <w:tcW w:w="928"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09965A">
                  <w:pPr>
                    <w:pStyle w:val="5"/>
                    <w:jc w:val="center"/>
                  </w:pPr>
                  <w:r>
                    <w:rPr>
                      <w:rFonts w:ascii="仿宋_GB2312" w:hAnsi="仿宋_GB2312" w:eastAsia="仿宋_GB2312" w:cs="仿宋_GB2312"/>
                      <w:sz w:val="21"/>
                    </w:rPr>
                    <w:t>数据管理</w:t>
                  </w:r>
                </w:p>
                <w:p w14:paraId="3D8D2D5F">
                  <w:pPr>
                    <w:pStyle w:val="5"/>
                    <w:jc w:val="center"/>
                  </w:pPr>
                </w:p>
              </w:tc>
              <w:tc>
                <w:tcPr>
                  <w:tcW w:w="40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8C5323">
                  <w:pPr>
                    <w:pStyle w:val="5"/>
                    <w:jc w:val="left"/>
                  </w:pPr>
                  <w:r>
                    <w:rPr>
                      <w:rFonts w:ascii="仿宋_GB2312" w:hAnsi="仿宋_GB2312" w:eastAsia="仿宋_GB2312" w:cs="仿宋_GB2312"/>
                      <w:sz w:val="21"/>
                    </w:rPr>
                    <w:t>管理系统运行情况，未按需及时并准确提供统计信息和报送相关信息，每次扣0.1分。</w:t>
                  </w:r>
                </w:p>
              </w:tc>
            </w:tr>
            <w:tr w14:paraId="05EA38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vMerge w:val="continue"/>
                  <w:tcBorders>
                    <w:top w:val="nil"/>
                    <w:left w:val="single" w:color="000000" w:sz="4" w:space="0"/>
                    <w:bottom w:val="single" w:color="000000" w:sz="4" w:space="0"/>
                    <w:right w:val="single" w:color="000000" w:sz="4" w:space="0"/>
                  </w:tcBorders>
                </w:tcPr>
                <w:p w14:paraId="07F3F5DB"/>
              </w:tc>
              <w:tc>
                <w:tcPr>
                  <w:tcW w:w="928" w:type="dxa"/>
                  <w:vMerge w:val="continue"/>
                  <w:tcBorders>
                    <w:top w:val="nil"/>
                    <w:left w:val="single" w:color="000000" w:sz="4" w:space="0"/>
                    <w:bottom w:val="single" w:color="000000" w:sz="4" w:space="0"/>
                    <w:right w:val="single" w:color="000000" w:sz="4" w:space="0"/>
                  </w:tcBorders>
                </w:tcPr>
                <w:p w14:paraId="3BF3EB5C"/>
              </w:tc>
              <w:tc>
                <w:tcPr>
                  <w:tcW w:w="40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F5CCC4">
                  <w:pPr>
                    <w:pStyle w:val="5"/>
                    <w:jc w:val="left"/>
                  </w:pPr>
                  <w:r>
                    <w:rPr>
                      <w:rFonts w:ascii="仿宋_GB2312" w:hAnsi="仿宋_GB2312" w:eastAsia="仿宋_GB2312" w:cs="仿宋_GB2312"/>
                      <w:sz w:val="21"/>
                    </w:rPr>
                    <w:t>未有效对数据的传输、存储、加工、维护等环节的管理规范及时提出修订和完善，每次扣0.1分。</w:t>
                  </w:r>
                </w:p>
              </w:tc>
            </w:tr>
            <w:tr w14:paraId="45D280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vMerge w:val="continue"/>
                  <w:tcBorders>
                    <w:top w:val="nil"/>
                    <w:left w:val="single" w:color="000000" w:sz="4" w:space="0"/>
                    <w:bottom w:val="single" w:color="000000" w:sz="4" w:space="0"/>
                    <w:right w:val="single" w:color="000000" w:sz="4" w:space="0"/>
                  </w:tcBorders>
                </w:tcPr>
                <w:p w14:paraId="733C130E"/>
              </w:tc>
              <w:tc>
                <w:tcPr>
                  <w:tcW w:w="928" w:type="dxa"/>
                  <w:vMerge w:val="continue"/>
                  <w:tcBorders>
                    <w:top w:val="nil"/>
                    <w:left w:val="single" w:color="000000" w:sz="4" w:space="0"/>
                    <w:bottom w:val="single" w:color="000000" w:sz="4" w:space="0"/>
                    <w:right w:val="single" w:color="000000" w:sz="4" w:space="0"/>
                  </w:tcBorders>
                </w:tcPr>
                <w:p w14:paraId="4CEC96E4"/>
              </w:tc>
              <w:tc>
                <w:tcPr>
                  <w:tcW w:w="40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383F13">
                  <w:pPr>
                    <w:pStyle w:val="5"/>
                    <w:jc w:val="left"/>
                  </w:pPr>
                  <w:r>
                    <w:rPr>
                      <w:rFonts w:ascii="仿宋_GB2312" w:hAnsi="仿宋_GB2312" w:eastAsia="仿宋_GB2312" w:cs="仿宋_GB2312"/>
                      <w:sz w:val="21"/>
                    </w:rPr>
                    <w:t>未有效管理系统数据传输、存储、应用、安全保障等环节的日常管理指导和监督，每次扣0.1分。</w:t>
                  </w:r>
                </w:p>
              </w:tc>
            </w:tr>
            <w:tr w14:paraId="5E8320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E555A3">
                  <w:pPr>
                    <w:pStyle w:val="5"/>
                    <w:jc w:val="center"/>
                  </w:pPr>
                  <w:r>
                    <w:rPr>
                      <w:rFonts w:ascii="仿宋_GB2312" w:hAnsi="仿宋_GB2312" w:eastAsia="仿宋_GB2312" w:cs="仿宋_GB2312"/>
                      <w:sz w:val="21"/>
                    </w:rPr>
                    <w:t>基础平台</w:t>
                  </w:r>
                </w:p>
                <w:p w14:paraId="5A0D56F0">
                  <w:pPr>
                    <w:pStyle w:val="5"/>
                    <w:jc w:val="center"/>
                  </w:pPr>
                  <w:r>
                    <w:rPr>
                      <w:rFonts w:ascii="仿宋_GB2312" w:hAnsi="仿宋_GB2312" w:eastAsia="仿宋_GB2312" w:cs="仿宋_GB2312"/>
                      <w:sz w:val="21"/>
                    </w:rPr>
                    <w:t>运维</w:t>
                  </w:r>
                </w:p>
                <w:p w14:paraId="3FDEEDD3">
                  <w:pPr>
                    <w:pStyle w:val="5"/>
                    <w:jc w:val="center"/>
                  </w:pPr>
                </w:p>
              </w:tc>
              <w:tc>
                <w:tcPr>
                  <w:tcW w:w="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4C3988">
                  <w:pPr>
                    <w:pStyle w:val="5"/>
                    <w:jc w:val="center"/>
                  </w:pPr>
                  <w:r>
                    <w:rPr>
                      <w:rFonts w:ascii="仿宋_GB2312" w:hAnsi="仿宋_GB2312" w:eastAsia="仿宋_GB2312" w:cs="仿宋_GB2312"/>
                      <w:sz w:val="21"/>
                    </w:rPr>
                    <w:t>基础平台运行</w:t>
                  </w:r>
                </w:p>
              </w:tc>
              <w:tc>
                <w:tcPr>
                  <w:tcW w:w="40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E5C7AC">
                  <w:pPr>
                    <w:pStyle w:val="5"/>
                    <w:jc w:val="left"/>
                  </w:pPr>
                  <w:r>
                    <w:rPr>
                      <w:rFonts w:ascii="仿宋_GB2312" w:hAnsi="仿宋_GB2312" w:eastAsia="仿宋_GB2312" w:cs="仿宋_GB2312"/>
                      <w:sz w:val="21"/>
                    </w:rPr>
                    <w:t>因供应商运维不当等原因，造成服务器故障，不能正常提供日常运维服务，每次扣1分。</w:t>
                  </w:r>
                </w:p>
                <w:p w14:paraId="71C6468F">
                  <w:pPr>
                    <w:pStyle w:val="5"/>
                    <w:jc w:val="left"/>
                  </w:pPr>
                  <w:r>
                    <w:rPr>
                      <w:rFonts w:ascii="仿宋_GB2312" w:hAnsi="仿宋_GB2312" w:eastAsia="仿宋_GB2312" w:cs="仿宋_GB2312"/>
                      <w:sz w:val="21"/>
                    </w:rPr>
                    <w:t>因供应商运维不当等原因，造成系统性能低下，不能正常提供日常运维服务，每次扣2分。</w:t>
                  </w:r>
                </w:p>
              </w:tc>
            </w:tr>
            <w:tr w14:paraId="0B2F8A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vMerge w:val="continue"/>
                  <w:tcBorders>
                    <w:top w:val="nil"/>
                    <w:left w:val="single" w:color="000000" w:sz="4" w:space="0"/>
                    <w:bottom w:val="single" w:color="000000" w:sz="4" w:space="0"/>
                    <w:right w:val="single" w:color="000000" w:sz="4" w:space="0"/>
                  </w:tcBorders>
                </w:tcPr>
                <w:p w14:paraId="195C5E2D"/>
              </w:tc>
              <w:tc>
                <w:tcPr>
                  <w:tcW w:w="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1017DA">
                  <w:pPr>
                    <w:pStyle w:val="5"/>
                    <w:jc w:val="center"/>
                  </w:pPr>
                  <w:r>
                    <w:rPr>
                      <w:rFonts w:ascii="仿宋_GB2312" w:hAnsi="仿宋_GB2312" w:eastAsia="仿宋_GB2312" w:cs="仿宋_GB2312"/>
                      <w:sz w:val="21"/>
                    </w:rPr>
                    <w:t>故障处理和应急处理服务</w:t>
                  </w:r>
                </w:p>
              </w:tc>
              <w:tc>
                <w:tcPr>
                  <w:tcW w:w="40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690064">
                  <w:pPr>
                    <w:pStyle w:val="5"/>
                    <w:jc w:val="both"/>
                  </w:pPr>
                  <w:r>
                    <w:rPr>
                      <w:rFonts w:ascii="仿宋_GB2312" w:hAnsi="仿宋_GB2312" w:eastAsia="仿宋_GB2312" w:cs="仿宋_GB2312"/>
                      <w:sz w:val="21"/>
                    </w:rPr>
                    <w:t>发生故障后，未及时处理故障，视情况每次扣1分。</w:t>
                  </w:r>
                </w:p>
                <w:p w14:paraId="21CEE962">
                  <w:pPr>
                    <w:pStyle w:val="5"/>
                    <w:jc w:val="both"/>
                  </w:pPr>
                  <w:r>
                    <w:rPr>
                      <w:rFonts w:ascii="仿宋_GB2312" w:hAnsi="仿宋_GB2312" w:eastAsia="仿宋_GB2312" w:cs="仿宋_GB2312"/>
                      <w:sz w:val="21"/>
                    </w:rPr>
                    <w:t>未制订故障处理流程管理规范和应急预案，扣1分。</w:t>
                  </w:r>
                </w:p>
                <w:p w14:paraId="3DB5F9F9">
                  <w:pPr>
                    <w:pStyle w:val="5"/>
                    <w:jc w:val="both"/>
                  </w:pPr>
                  <w:r>
                    <w:rPr>
                      <w:rFonts w:ascii="仿宋_GB2312" w:hAnsi="仿宋_GB2312" w:eastAsia="仿宋_GB2312" w:cs="仿宋_GB2312"/>
                      <w:sz w:val="21"/>
                    </w:rPr>
                    <w:t>未完成故障处理应急演练及报告，扣1分。</w:t>
                  </w:r>
                </w:p>
              </w:tc>
            </w:tr>
            <w:tr w14:paraId="7EDB81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CD468D">
                  <w:pPr>
                    <w:pStyle w:val="5"/>
                    <w:jc w:val="center"/>
                  </w:pPr>
                  <w:r>
                    <w:rPr>
                      <w:rFonts w:ascii="仿宋_GB2312" w:hAnsi="仿宋_GB2312" w:eastAsia="仿宋_GB2312" w:cs="仿宋_GB2312"/>
                      <w:sz w:val="20"/>
                    </w:rPr>
                    <w:t>系统迁移</w:t>
                  </w:r>
                </w:p>
              </w:tc>
              <w:tc>
                <w:tcPr>
                  <w:tcW w:w="928"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DA43BC">
                  <w:pPr>
                    <w:pStyle w:val="5"/>
                    <w:spacing w:before="60"/>
                    <w:jc w:val="center"/>
                  </w:pPr>
                  <w:r>
                    <w:rPr>
                      <w:rFonts w:ascii="仿宋_GB2312" w:hAnsi="仿宋_GB2312" w:eastAsia="仿宋_GB2312" w:cs="仿宋_GB2312"/>
                      <w:sz w:val="20"/>
                    </w:rPr>
                    <w:t>数据管理</w:t>
                  </w:r>
                </w:p>
              </w:tc>
              <w:tc>
                <w:tcPr>
                  <w:tcW w:w="40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4F4728">
                  <w:pPr>
                    <w:pStyle w:val="5"/>
                    <w:ind w:left="90" w:right="120"/>
                    <w:jc w:val="both"/>
                  </w:pPr>
                  <w:r>
                    <w:rPr>
                      <w:rFonts w:ascii="仿宋_GB2312" w:hAnsi="仿宋_GB2312" w:eastAsia="仿宋_GB2312" w:cs="仿宋_GB2312"/>
                      <w:sz w:val="21"/>
                    </w:rPr>
                    <w:t>源系统数据未100%迁移至目标系统，扣1分。</w:t>
                  </w:r>
                </w:p>
              </w:tc>
            </w:tr>
            <w:tr w14:paraId="29D1E2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vMerge w:val="continue"/>
                  <w:tcBorders>
                    <w:top w:val="nil"/>
                    <w:left w:val="single" w:color="000000" w:sz="4" w:space="0"/>
                    <w:bottom w:val="single" w:color="000000" w:sz="4" w:space="0"/>
                    <w:right w:val="single" w:color="000000" w:sz="4" w:space="0"/>
                  </w:tcBorders>
                </w:tcPr>
                <w:p w14:paraId="169E8DDC"/>
              </w:tc>
              <w:tc>
                <w:tcPr>
                  <w:tcW w:w="928" w:type="dxa"/>
                  <w:vMerge w:val="continue"/>
                  <w:tcBorders>
                    <w:top w:val="nil"/>
                    <w:left w:val="single" w:color="000000" w:sz="4" w:space="0"/>
                    <w:bottom w:val="single" w:color="000000" w:sz="4" w:space="0"/>
                    <w:right w:val="single" w:color="000000" w:sz="4" w:space="0"/>
                  </w:tcBorders>
                </w:tcPr>
                <w:p w14:paraId="1461AC15"/>
              </w:tc>
              <w:tc>
                <w:tcPr>
                  <w:tcW w:w="40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9FAE41">
                  <w:pPr>
                    <w:pStyle w:val="5"/>
                    <w:ind w:left="90" w:right="120"/>
                    <w:jc w:val="both"/>
                  </w:pPr>
                  <w:r>
                    <w:rPr>
                      <w:rFonts w:ascii="仿宋_GB2312" w:hAnsi="仿宋_GB2312" w:eastAsia="仿宋_GB2312" w:cs="仿宋_GB2312"/>
                      <w:sz w:val="21"/>
                    </w:rPr>
                    <w:t>迁移后数据与源系统不一致，扣1分。</w:t>
                  </w:r>
                </w:p>
              </w:tc>
            </w:tr>
            <w:tr w14:paraId="621552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vMerge w:val="continue"/>
                  <w:tcBorders>
                    <w:top w:val="nil"/>
                    <w:left w:val="single" w:color="000000" w:sz="4" w:space="0"/>
                    <w:bottom w:val="single" w:color="000000" w:sz="4" w:space="0"/>
                    <w:right w:val="single" w:color="000000" w:sz="4" w:space="0"/>
                  </w:tcBorders>
                </w:tcPr>
                <w:p w14:paraId="45F123DC"/>
              </w:tc>
              <w:tc>
                <w:tcPr>
                  <w:tcW w:w="928" w:type="dxa"/>
                  <w:vMerge w:val="continue"/>
                  <w:tcBorders>
                    <w:top w:val="nil"/>
                    <w:left w:val="single" w:color="000000" w:sz="4" w:space="0"/>
                    <w:bottom w:val="single" w:color="000000" w:sz="4" w:space="0"/>
                    <w:right w:val="single" w:color="000000" w:sz="4" w:space="0"/>
                  </w:tcBorders>
                </w:tcPr>
                <w:p w14:paraId="56DD8D64"/>
              </w:tc>
              <w:tc>
                <w:tcPr>
                  <w:tcW w:w="40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AD5370">
                  <w:pPr>
                    <w:pStyle w:val="5"/>
                    <w:ind w:left="90" w:right="120"/>
                    <w:jc w:val="both"/>
                  </w:pPr>
                  <w:r>
                    <w:rPr>
                      <w:rFonts w:ascii="仿宋_GB2312" w:hAnsi="仿宋_GB2312" w:eastAsia="仿宋_GB2312" w:cs="仿宋_GB2312"/>
                      <w:sz w:val="21"/>
                    </w:rPr>
                    <w:t>迁移后进行数据比对验证，关键数据不一致，扣1分。</w:t>
                  </w:r>
                </w:p>
              </w:tc>
            </w:tr>
            <w:tr w14:paraId="0407A9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vMerge w:val="continue"/>
                  <w:tcBorders>
                    <w:top w:val="nil"/>
                    <w:left w:val="single" w:color="000000" w:sz="4" w:space="0"/>
                    <w:bottom w:val="single" w:color="000000" w:sz="4" w:space="0"/>
                    <w:right w:val="single" w:color="000000" w:sz="4" w:space="0"/>
                  </w:tcBorders>
                </w:tcPr>
                <w:p w14:paraId="6B7C6436"/>
              </w:tc>
              <w:tc>
                <w:tcPr>
                  <w:tcW w:w="928"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C81CCA">
                  <w:pPr>
                    <w:pStyle w:val="5"/>
                    <w:spacing w:before="60"/>
                    <w:jc w:val="center"/>
                  </w:pPr>
                  <w:r>
                    <w:rPr>
                      <w:rFonts w:ascii="仿宋_GB2312" w:hAnsi="仿宋_GB2312" w:eastAsia="仿宋_GB2312" w:cs="仿宋_GB2312"/>
                      <w:sz w:val="20"/>
                    </w:rPr>
                    <w:t>业务管理</w:t>
                  </w:r>
                </w:p>
              </w:tc>
              <w:tc>
                <w:tcPr>
                  <w:tcW w:w="40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44204E">
                  <w:pPr>
                    <w:pStyle w:val="5"/>
                    <w:ind w:left="90" w:right="120"/>
                    <w:jc w:val="both"/>
                  </w:pPr>
                  <w:r>
                    <w:rPr>
                      <w:rFonts w:ascii="仿宋_GB2312" w:hAnsi="仿宋_GB2312" w:eastAsia="仿宋_GB2312" w:cs="仿宋_GB2312"/>
                      <w:sz w:val="21"/>
                    </w:rPr>
                    <w:t>迁移期间影响正常业务运行，系统切换后功能不正常，扣2分。</w:t>
                  </w:r>
                </w:p>
              </w:tc>
            </w:tr>
            <w:tr w14:paraId="4C212D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vMerge w:val="continue"/>
                  <w:tcBorders>
                    <w:top w:val="nil"/>
                    <w:left w:val="single" w:color="000000" w:sz="4" w:space="0"/>
                    <w:bottom w:val="single" w:color="000000" w:sz="4" w:space="0"/>
                    <w:right w:val="single" w:color="000000" w:sz="4" w:space="0"/>
                  </w:tcBorders>
                </w:tcPr>
                <w:p w14:paraId="64D155E8"/>
              </w:tc>
              <w:tc>
                <w:tcPr>
                  <w:tcW w:w="928" w:type="dxa"/>
                  <w:vMerge w:val="continue"/>
                  <w:tcBorders>
                    <w:top w:val="nil"/>
                    <w:left w:val="single" w:color="000000" w:sz="4" w:space="0"/>
                    <w:bottom w:val="single" w:color="000000" w:sz="4" w:space="0"/>
                    <w:right w:val="single" w:color="000000" w:sz="4" w:space="0"/>
                  </w:tcBorders>
                </w:tcPr>
                <w:p w14:paraId="33981E50"/>
              </w:tc>
              <w:tc>
                <w:tcPr>
                  <w:tcW w:w="40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2CEFFE">
                  <w:pPr>
                    <w:pStyle w:val="5"/>
                    <w:ind w:left="90" w:right="120"/>
                    <w:jc w:val="both"/>
                  </w:pPr>
                  <w:r>
                    <w:rPr>
                      <w:rFonts w:ascii="仿宋_GB2312" w:hAnsi="仿宋_GB2312" w:eastAsia="仿宋_GB2312" w:cs="仿宋_GB2312"/>
                      <w:sz w:val="21"/>
                    </w:rPr>
                    <w:t>对迁移过程中发现的异常情况未及时处理并记录，扣0.5。</w:t>
                  </w:r>
                </w:p>
              </w:tc>
            </w:tr>
            <w:tr w14:paraId="376BDA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vMerge w:val="continue"/>
                  <w:tcBorders>
                    <w:top w:val="nil"/>
                    <w:left w:val="single" w:color="000000" w:sz="4" w:space="0"/>
                    <w:bottom w:val="single" w:color="000000" w:sz="4" w:space="0"/>
                    <w:right w:val="single" w:color="000000" w:sz="4" w:space="0"/>
                  </w:tcBorders>
                </w:tcPr>
                <w:p w14:paraId="4587117C"/>
              </w:tc>
              <w:tc>
                <w:tcPr>
                  <w:tcW w:w="928" w:type="dxa"/>
                  <w:vMerge w:val="continue"/>
                  <w:tcBorders>
                    <w:top w:val="nil"/>
                    <w:left w:val="single" w:color="000000" w:sz="4" w:space="0"/>
                    <w:bottom w:val="single" w:color="000000" w:sz="4" w:space="0"/>
                    <w:right w:val="single" w:color="000000" w:sz="4" w:space="0"/>
                  </w:tcBorders>
                </w:tcPr>
                <w:p w14:paraId="39EA1A2B"/>
              </w:tc>
              <w:tc>
                <w:tcPr>
                  <w:tcW w:w="40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5D99E4">
                  <w:pPr>
                    <w:pStyle w:val="5"/>
                    <w:ind w:left="90" w:right="120"/>
                    <w:jc w:val="both"/>
                  </w:pPr>
                  <w:r>
                    <w:rPr>
                      <w:rFonts w:ascii="仿宋_GB2312" w:hAnsi="仿宋_GB2312" w:eastAsia="仿宋_GB2312" w:cs="仿宋_GB2312"/>
                      <w:sz w:val="21"/>
                    </w:rPr>
                    <w:t>回退预案执行：如迁移失败，未按预案回退并恢复数据，扣1分。</w:t>
                  </w:r>
                </w:p>
              </w:tc>
            </w:tr>
            <w:tr w14:paraId="00ACB9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1961DB">
                  <w:pPr>
                    <w:pStyle w:val="5"/>
                    <w:jc w:val="center"/>
                  </w:pPr>
                  <w:r>
                    <w:rPr>
                      <w:rFonts w:ascii="仿宋_GB2312" w:hAnsi="仿宋_GB2312" w:eastAsia="仿宋_GB2312" w:cs="仿宋_GB2312"/>
                      <w:sz w:val="21"/>
                    </w:rPr>
                    <w:t>其他</w:t>
                  </w:r>
                </w:p>
              </w:tc>
              <w:tc>
                <w:tcPr>
                  <w:tcW w:w="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B28B19">
                  <w:pPr>
                    <w:pStyle w:val="5"/>
                    <w:jc w:val="center"/>
                  </w:pPr>
                  <w:r>
                    <w:rPr>
                      <w:rFonts w:ascii="仿宋_GB2312" w:hAnsi="仿宋_GB2312" w:eastAsia="仿宋_GB2312" w:cs="仿宋_GB2312"/>
                      <w:sz w:val="21"/>
                    </w:rPr>
                    <w:t>应用推广</w:t>
                  </w:r>
                </w:p>
              </w:tc>
              <w:tc>
                <w:tcPr>
                  <w:tcW w:w="40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434170">
                  <w:pPr>
                    <w:pStyle w:val="5"/>
                    <w:jc w:val="left"/>
                  </w:pPr>
                  <w:r>
                    <w:rPr>
                      <w:rFonts w:ascii="仿宋_GB2312" w:hAnsi="仿宋_GB2312" w:eastAsia="仿宋_GB2312" w:cs="仿宋_GB2312"/>
                      <w:sz w:val="21"/>
                    </w:rPr>
                    <w:t>未有效收集、解决、反馈、整理系统运行中的数据和技术问题及解决办法，形成问题知识库（含问题及解答100个及以上），推广知识库的运用，扣1分。未有效协助采购人指导部门进行数据采集环境准备、数据整理、初始化以及系统运行测试等技术工作。扣1分。</w:t>
                  </w:r>
                </w:p>
              </w:tc>
            </w:tr>
            <w:tr w14:paraId="354F88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vMerge w:val="continue"/>
                  <w:tcBorders>
                    <w:top w:val="nil"/>
                    <w:left w:val="single" w:color="000000" w:sz="4" w:space="0"/>
                    <w:bottom w:val="single" w:color="000000" w:sz="4" w:space="0"/>
                    <w:right w:val="single" w:color="000000" w:sz="4" w:space="0"/>
                  </w:tcBorders>
                </w:tcPr>
                <w:p w14:paraId="596F981F"/>
              </w:tc>
              <w:tc>
                <w:tcPr>
                  <w:tcW w:w="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1598E7">
                  <w:pPr>
                    <w:pStyle w:val="5"/>
                    <w:jc w:val="center"/>
                  </w:pPr>
                  <w:r>
                    <w:rPr>
                      <w:rFonts w:ascii="仿宋_GB2312" w:hAnsi="仿宋_GB2312" w:eastAsia="仿宋_GB2312" w:cs="仿宋_GB2312"/>
                      <w:sz w:val="21"/>
                    </w:rPr>
                    <w:t>培训工作</w:t>
                  </w:r>
                </w:p>
              </w:tc>
              <w:tc>
                <w:tcPr>
                  <w:tcW w:w="40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1CDA61">
                  <w:pPr>
                    <w:pStyle w:val="5"/>
                    <w:jc w:val="left"/>
                  </w:pPr>
                  <w:r>
                    <w:rPr>
                      <w:rFonts w:ascii="仿宋_GB2312" w:hAnsi="仿宋_GB2312" w:eastAsia="仿宋_GB2312" w:cs="仿宋_GB2312"/>
                      <w:sz w:val="21"/>
                    </w:rPr>
                    <w:t>未完成采购人安排的标准培训、技术培训、操作培训等任务或质量不达要求，每次扣1分。</w:t>
                  </w:r>
                </w:p>
              </w:tc>
            </w:tr>
            <w:tr w14:paraId="5D0404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2" w:type="dxa"/>
                  <w:vMerge w:val="continue"/>
                  <w:tcBorders>
                    <w:top w:val="nil"/>
                    <w:left w:val="single" w:color="000000" w:sz="4" w:space="0"/>
                    <w:bottom w:val="single" w:color="000000" w:sz="4" w:space="0"/>
                    <w:right w:val="single" w:color="000000" w:sz="4" w:space="0"/>
                  </w:tcBorders>
                </w:tcPr>
                <w:p w14:paraId="7275C434"/>
              </w:tc>
              <w:tc>
                <w:tcPr>
                  <w:tcW w:w="92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7FBCAF">
                  <w:pPr>
                    <w:pStyle w:val="5"/>
                    <w:jc w:val="center"/>
                  </w:pPr>
                  <w:r>
                    <w:rPr>
                      <w:rFonts w:ascii="仿宋_GB2312" w:hAnsi="仿宋_GB2312" w:eastAsia="仿宋_GB2312" w:cs="仿宋_GB2312"/>
                      <w:sz w:val="21"/>
                    </w:rPr>
                    <w:t>考核工作</w:t>
                  </w:r>
                </w:p>
              </w:tc>
              <w:tc>
                <w:tcPr>
                  <w:tcW w:w="401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0382A2">
                  <w:pPr>
                    <w:pStyle w:val="5"/>
                    <w:jc w:val="left"/>
                  </w:pPr>
                  <w:r>
                    <w:rPr>
                      <w:rFonts w:ascii="仿宋_GB2312" w:hAnsi="仿宋_GB2312" w:eastAsia="仿宋_GB2312" w:cs="仿宋_GB2312"/>
                      <w:sz w:val="21"/>
                    </w:rPr>
                    <w:t>未有效协助采购人制定管理系统的相关考核标准和办法，扣1分。</w:t>
                  </w:r>
                </w:p>
                <w:p w14:paraId="0EDF0F16">
                  <w:pPr>
                    <w:pStyle w:val="5"/>
                    <w:jc w:val="left"/>
                  </w:pPr>
                  <w:r>
                    <w:rPr>
                      <w:rFonts w:ascii="仿宋_GB2312" w:hAnsi="仿宋_GB2312" w:eastAsia="仿宋_GB2312" w:cs="仿宋_GB2312"/>
                      <w:sz w:val="21"/>
                    </w:rPr>
                    <w:t>未有效协助采购人对系统的日常管理工作进行考核，应用服务调用访问的规范执行情况等，扣1分。</w:t>
                  </w:r>
                </w:p>
                <w:p w14:paraId="60926CEC">
                  <w:pPr>
                    <w:pStyle w:val="5"/>
                    <w:jc w:val="left"/>
                  </w:pPr>
                  <w:r>
                    <w:rPr>
                      <w:rFonts w:ascii="仿宋_GB2312" w:hAnsi="仿宋_GB2312" w:eastAsia="仿宋_GB2312" w:cs="仿宋_GB2312"/>
                      <w:sz w:val="21"/>
                    </w:rPr>
                    <w:t>未有效协助采购人组织推广交流工作中好的经验和做法，扣1分。</w:t>
                  </w:r>
                </w:p>
                <w:p w14:paraId="1535F11A">
                  <w:pPr>
                    <w:pStyle w:val="5"/>
                    <w:jc w:val="left"/>
                  </w:pPr>
                  <w:r>
                    <w:rPr>
                      <w:rFonts w:ascii="仿宋_GB2312" w:hAnsi="仿宋_GB2312" w:eastAsia="仿宋_GB2312" w:cs="仿宋_GB2312"/>
                      <w:sz w:val="21"/>
                    </w:rPr>
                    <w:t>供应商提交的运维服务文档不规范，扣0.5分。</w:t>
                  </w:r>
                </w:p>
              </w:tc>
            </w:tr>
          </w:tbl>
          <w:p w14:paraId="3D641BD4">
            <w:pPr>
              <w:pStyle w:val="5"/>
              <w:spacing w:before="210"/>
              <w:jc w:val="both"/>
              <w:outlineLvl w:val="2"/>
            </w:pPr>
            <w:r>
              <w:rPr>
                <w:rFonts w:ascii="仿宋_GB2312" w:hAnsi="仿宋_GB2312" w:eastAsia="仿宋_GB2312" w:cs="仿宋_GB2312"/>
                <w:b/>
                <w:sz w:val="24"/>
              </w:rPr>
              <w:t>（2）人员配置要求</w:t>
            </w:r>
          </w:p>
          <w:p w14:paraId="011BD15D">
            <w:pPr>
              <w:pStyle w:val="5"/>
              <w:ind w:firstLine="480"/>
              <w:jc w:val="left"/>
            </w:pPr>
            <w:r>
              <w:rPr>
                <w:rFonts w:ascii="仿宋_GB2312" w:hAnsi="仿宋_GB2312" w:eastAsia="仿宋_GB2312" w:cs="仿宋_GB2312"/>
                <w:sz w:val="24"/>
              </w:rPr>
              <w:t>①供应商应针对本项目建立运维团队，团队至少包含项目经理、技术负责人、系统维护工程师、应用数据维护工程师、数据分析算法模型人员等人员岗位。为保证及时有效完成运维服务工作，供应商委派的运维团队（数量：至少满足7人）须在采购人办公点驻场，驻场服务工作时间以采购人工作时间为准。</w:t>
            </w:r>
            <w:r>
              <w:rPr>
                <w:rFonts w:ascii="仿宋_GB2312" w:hAnsi="仿宋_GB2312" w:eastAsia="仿宋_GB2312" w:cs="仿宋_GB2312"/>
                <w:b/>
                <w:sz w:val="24"/>
              </w:rPr>
              <w:t>注：供应商须提供运维团队人员信息（提供身份证复印件、与本项目相关的工作经验阐述）并加盖电子章。</w:t>
            </w:r>
          </w:p>
          <w:p w14:paraId="7FEF64CA">
            <w:pPr>
              <w:pStyle w:val="5"/>
              <w:ind w:firstLine="480"/>
              <w:jc w:val="left"/>
            </w:pPr>
            <w:r>
              <w:rPr>
                <w:rFonts w:ascii="仿宋_GB2312" w:hAnsi="仿宋_GB2312" w:eastAsia="仿宋_GB2312" w:cs="仿宋_GB2312"/>
                <w:sz w:val="24"/>
              </w:rPr>
              <w:t>②供应商须承诺：成交后、签订合同前将拟投入本项目的运维人员通过背景调查的资料交由采购人审核，经采购人审核无误后才能完成合同签订以及参与运维工作。在服务期间，若调换运维人员，成交供应商须提前10个工作日将调换后的运维人员通过背景调查资料向采购人申请报备。</w:t>
            </w:r>
            <w:r>
              <w:rPr>
                <w:rFonts w:ascii="仿宋_GB2312" w:hAnsi="仿宋_GB2312" w:eastAsia="仿宋_GB2312" w:cs="仿宋_GB2312"/>
                <w:b/>
                <w:sz w:val="24"/>
              </w:rPr>
              <w:t>（注：供应商须单独提供承诺函并加盖电子章，格式自拟。）</w:t>
            </w:r>
          </w:p>
          <w:p w14:paraId="3D097AF3">
            <w:pPr>
              <w:pStyle w:val="5"/>
              <w:jc w:val="both"/>
              <w:outlineLvl w:val="2"/>
            </w:pPr>
            <w:r>
              <w:rPr>
                <w:rFonts w:ascii="仿宋_GB2312" w:hAnsi="仿宋_GB2312" w:eastAsia="仿宋_GB2312" w:cs="仿宋_GB2312"/>
                <w:b/>
                <w:sz w:val="24"/>
              </w:rPr>
              <w:t>（3）运维服务文档要求</w:t>
            </w:r>
          </w:p>
          <w:p w14:paraId="1853C662">
            <w:pPr>
              <w:pStyle w:val="5"/>
              <w:ind w:firstLine="480"/>
              <w:jc w:val="left"/>
            </w:pPr>
            <w:r>
              <w:rPr>
                <w:rFonts w:ascii="仿宋_GB2312" w:hAnsi="仿宋_GB2312" w:eastAsia="仿宋_GB2312" w:cs="仿宋_GB2312"/>
                <w:sz w:val="24"/>
              </w:rPr>
              <w:t>运维服务除基本的会议记录、周报等文档外，还应根据服务内容，提交各服务相应的文档，包括说明文档、服务过程文档、总结文档等。提交的文档包括但不限于以下：</w:t>
            </w:r>
          </w:p>
          <w:p w14:paraId="3F8A3EAD">
            <w:pPr>
              <w:pStyle w:val="5"/>
              <w:ind w:firstLine="480"/>
              <w:jc w:val="left"/>
            </w:pPr>
            <w:r>
              <w:rPr>
                <w:rFonts w:ascii="仿宋_GB2312" w:hAnsi="仿宋_GB2312" w:eastAsia="仿宋_GB2312" w:cs="仿宋_GB2312"/>
                <w:sz w:val="24"/>
              </w:rPr>
              <w:t>①文档资料的内容应齐全、系统、完整；</w:t>
            </w:r>
          </w:p>
          <w:p w14:paraId="2B1E99FF">
            <w:pPr>
              <w:pStyle w:val="5"/>
              <w:ind w:firstLine="480"/>
              <w:jc w:val="left"/>
            </w:pPr>
            <w:r>
              <w:rPr>
                <w:rFonts w:ascii="仿宋_GB2312" w:hAnsi="仿宋_GB2312" w:eastAsia="仿宋_GB2312" w:cs="仿宋_GB2312"/>
                <w:sz w:val="24"/>
              </w:rPr>
              <w:t>②文档资料的编写格式、内容及深度应符合国家有关服务项目方面的技术规范、标准和规程；</w:t>
            </w:r>
          </w:p>
          <w:p w14:paraId="6CD5E1A7">
            <w:pPr>
              <w:pStyle w:val="5"/>
              <w:ind w:firstLine="480"/>
              <w:jc w:val="left"/>
            </w:pPr>
            <w:r>
              <w:rPr>
                <w:rFonts w:ascii="仿宋_GB2312" w:hAnsi="仿宋_GB2312" w:eastAsia="仿宋_GB2312" w:cs="仿宋_GB2312"/>
                <w:sz w:val="24"/>
              </w:rPr>
              <w:t>③文档资料应字迹清楚、图样清晰、图表整洁，签字盖章手续完备；</w:t>
            </w:r>
          </w:p>
          <w:p w14:paraId="4DE73C4C">
            <w:pPr>
              <w:pStyle w:val="5"/>
              <w:ind w:firstLine="480"/>
              <w:jc w:val="left"/>
            </w:pPr>
            <w:r>
              <w:rPr>
                <w:rFonts w:ascii="仿宋_GB2312" w:hAnsi="仿宋_GB2312" w:eastAsia="仿宋_GB2312" w:cs="仿宋_GB2312"/>
                <w:sz w:val="24"/>
              </w:rPr>
              <w:t>④文字材料尺寸规格宜为A4幅面（297mm*210mm），图纸宜采用国家标准图幅；</w:t>
            </w:r>
          </w:p>
          <w:p w14:paraId="1EA49948">
            <w:pPr>
              <w:pStyle w:val="5"/>
              <w:ind w:firstLine="480"/>
              <w:jc w:val="left"/>
            </w:pPr>
            <w:r>
              <w:rPr>
                <w:rFonts w:ascii="仿宋_GB2312" w:hAnsi="仿宋_GB2312" w:eastAsia="仿宋_GB2312" w:cs="仿宋_GB2312"/>
                <w:sz w:val="24"/>
              </w:rPr>
              <w:t>⑤根据实际情况和业务需求调整各时期的其他文档要求。</w:t>
            </w:r>
          </w:p>
          <w:p w14:paraId="6CF51102">
            <w:pPr>
              <w:pStyle w:val="5"/>
              <w:jc w:val="both"/>
              <w:outlineLvl w:val="2"/>
            </w:pPr>
            <w:r>
              <w:rPr>
                <w:rFonts w:ascii="仿宋_GB2312" w:hAnsi="仿宋_GB2312" w:eastAsia="仿宋_GB2312" w:cs="仿宋_GB2312"/>
                <w:b/>
                <w:sz w:val="24"/>
              </w:rPr>
              <w:t>（4）培训服务</w:t>
            </w:r>
          </w:p>
          <w:p w14:paraId="17973E28">
            <w:pPr>
              <w:pStyle w:val="5"/>
              <w:ind w:firstLine="480"/>
              <w:jc w:val="left"/>
            </w:pPr>
            <w:r>
              <w:rPr>
                <w:rFonts w:ascii="仿宋_GB2312" w:hAnsi="仿宋_GB2312" w:eastAsia="仿宋_GB2312" w:cs="仿宋_GB2312"/>
                <w:sz w:val="24"/>
              </w:rPr>
              <w:t>在日常运维过程中，不断有新增用户，日常的操作培训需贯穿系统运维过程的始终。面向新津区区级部门、镇街等相关人员，提供集中或分散的操作培训，以及相关人员在使用过程中的疑问解答服务。</w:t>
            </w:r>
          </w:p>
          <w:p w14:paraId="498CA9B8">
            <w:pPr>
              <w:pStyle w:val="5"/>
              <w:jc w:val="both"/>
              <w:outlineLvl w:val="2"/>
            </w:pPr>
            <w:r>
              <w:rPr>
                <w:rFonts w:ascii="仿宋_GB2312" w:hAnsi="仿宋_GB2312" w:eastAsia="仿宋_GB2312" w:cs="仿宋_GB2312"/>
                <w:b/>
                <w:sz w:val="24"/>
              </w:rPr>
              <w:t>（5）安全保密要求</w:t>
            </w:r>
          </w:p>
          <w:p w14:paraId="17EC5474">
            <w:pPr>
              <w:pStyle w:val="5"/>
              <w:ind w:firstLine="480"/>
              <w:jc w:val="left"/>
            </w:pPr>
            <w:r>
              <w:rPr>
                <w:rFonts w:ascii="仿宋_GB2312" w:hAnsi="仿宋_GB2312" w:eastAsia="仿宋_GB2312" w:cs="仿宋_GB2312"/>
                <w:sz w:val="24"/>
              </w:rPr>
              <w:t>采购人和成交供应商签订合同时，同步完成《安全保密协议》的签订。供应商须承诺：在项目服务期间，按照国家法律法规、相关规范制度要求和《安全保密协议》事项履行保密责任，明确技术支持和安全保密义务，禁止向任何第三方泄露，否则采购人有权追究成交供应商法律责任。</w:t>
            </w:r>
            <w:r>
              <w:rPr>
                <w:rFonts w:ascii="仿宋_GB2312" w:hAnsi="仿宋_GB2312" w:eastAsia="仿宋_GB2312" w:cs="仿宋_GB2312"/>
                <w:b/>
                <w:sz w:val="24"/>
              </w:rPr>
              <w:t>（注：供应商须单独提供承诺函并加盖电子章，格式自拟。）</w:t>
            </w:r>
          </w:p>
        </w:tc>
      </w:tr>
      <w:tr w14:paraId="5C37F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0DB52DC">
            <w:pPr>
              <w:pStyle w:val="5"/>
              <w:jc w:val="center"/>
            </w:pPr>
            <w:r>
              <w:rPr>
                <w:rFonts w:ascii="仿宋_GB2312" w:hAnsi="仿宋_GB2312" w:eastAsia="仿宋_GB2312" w:cs="仿宋_GB2312"/>
              </w:rPr>
              <w:t>6</w:t>
            </w:r>
          </w:p>
        </w:tc>
        <w:tc>
          <w:tcPr>
            <w:tcW w:w="581" w:type="dxa"/>
          </w:tcPr>
          <w:p w14:paraId="24929E99">
            <w:pPr>
              <w:pStyle w:val="5"/>
              <w:jc w:val="center"/>
            </w:pPr>
            <w:r>
              <w:rPr>
                <w:rFonts w:ascii="仿宋_GB2312" w:hAnsi="仿宋_GB2312" w:eastAsia="仿宋_GB2312" w:cs="仿宋_GB2312"/>
              </w:rPr>
              <w:t>★</w:t>
            </w:r>
          </w:p>
        </w:tc>
        <w:tc>
          <w:tcPr>
            <w:tcW w:w="1495" w:type="dxa"/>
          </w:tcPr>
          <w:p w14:paraId="410926EF">
            <w:pPr>
              <w:pStyle w:val="5"/>
              <w:jc w:val="left"/>
            </w:pPr>
            <w:r>
              <w:rPr>
                <w:rFonts w:ascii="仿宋_GB2312" w:hAnsi="仿宋_GB2312" w:eastAsia="仿宋_GB2312" w:cs="仿宋_GB2312"/>
              </w:rPr>
              <w:t>资产归属及移交方面</w:t>
            </w:r>
          </w:p>
        </w:tc>
        <w:tc>
          <w:tcPr>
            <w:tcW w:w="5814" w:type="dxa"/>
          </w:tcPr>
          <w:p w14:paraId="4120D6CC">
            <w:pPr>
              <w:pStyle w:val="5"/>
              <w:jc w:val="left"/>
            </w:pPr>
            <w:r>
              <w:rPr>
                <w:rFonts w:ascii="仿宋_GB2312" w:hAnsi="仿宋_GB2312" w:eastAsia="仿宋_GB2312" w:cs="仿宋_GB2312"/>
                <w:sz w:val="21"/>
              </w:rPr>
              <w:t>（1）软件和数据资产移交</w:t>
            </w:r>
            <w:r>
              <w:br w:type="textWrapping"/>
            </w:r>
            <w:r>
              <w:rPr>
                <w:rFonts w:ascii="仿宋_GB2312" w:hAnsi="仿宋_GB2312" w:eastAsia="仿宋_GB2312" w:cs="仿宋_GB2312"/>
                <w:sz w:val="21"/>
              </w:rPr>
              <w:t xml:space="preserve">   供应商承诺：本项目涉及城市数据资产的软件系统和数据系统在服务期结束须移交相关资产，具体移交内容以双方验收阶段确认的移交清单为准。（注：供应商须单独提供承诺函并加盖电子章，格式自拟。）</w:t>
            </w:r>
            <w:r>
              <w:br w:type="textWrapping"/>
            </w:r>
            <w:r>
              <w:rPr>
                <w:rFonts w:ascii="仿宋_GB2312" w:hAnsi="仿宋_GB2312" w:eastAsia="仿宋_GB2312" w:cs="仿宋_GB2312"/>
                <w:sz w:val="21"/>
              </w:rPr>
              <w:t xml:space="preserve"> （2）软件（含定制开发内容源代码）所有权本项目中供应商提供服务所需配置的所有软、硬件设施设备含定制开发内容源代码）的所有权归供应商所有（包括但不限于因供应商违约出现合同终止的情况）。</w:t>
            </w:r>
            <w:r>
              <w:br w:type="textWrapping"/>
            </w:r>
            <w:r>
              <w:rPr>
                <w:rFonts w:ascii="仿宋_GB2312" w:hAnsi="仿宋_GB2312" w:eastAsia="仿宋_GB2312" w:cs="仿宋_GB2312"/>
                <w:sz w:val="21"/>
              </w:rPr>
              <w:t xml:space="preserve"> （3）数据资源所有权</w:t>
            </w:r>
            <w:r>
              <w:br w:type="textWrapping"/>
            </w:r>
            <w:r>
              <w:rPr>
                <w:rFonts w:ascii="仿宋_GB2312" w:hAnsi="仿宋_GB2312" w:eastAsia="仿宋_GB2312" w:cs="仿宋_GB2312"/>
                <w:sz w:val="21"/>
              </w:rPr>
              <w:t xml:space="preserve">   采购人拥有平台在运行过程中产生的数据资源的所有权，除用于本项目并按合同要求提供服务外，未经供应商许可，乙方任何时候不得以任何方式查看、删除、更改、获取、泄露。</w:t>
            </w:r>
          </w:p>
        </w:tc>
      </w:tr>
    </w:tbl>
    <w:p w14:paraId="53C5A5F6">
      <w:pPr>
        <w:pStyle w:val="5"/>
        <w:jc w:val="left"/>
        <w:outlineLvl w:val="2"/>
      </w:pPr>
      <w:r>
        <w:rPr>
          <w:rFonts w:ascii="仿宋_GB2312" w:hAnsi="仿宋_GB2312" w:eastAsia="仿宋_GB2312" w:cs="仿宋_GB2312"/>
          <w:b/>
          <w:sz w:val="28"/>
        </w:rPr>
        <w:t>3.3.服务要求</w:t>
      </w:r>
    </w:p>
    <w:p w14:paraId="1B45936F">
      <w:pPr>
        <w:pStyle w:val="5"/>
        <w:jc w:val="left"/>
        <w:outlineLvl w:val="3"/>
      </w:pPr>
      <w:r>
        <w:rPr>
          <w:rFonts w:ascii="仿宋_GB2312" w:hAnsi="仿宋_GB2312" w:eastAsia="仿宋_GB2312" w:cs="仿宋_GB2312"/>
          <w:b/>
          <w:sz w:val="24"/>
        </w:rPr>
        <w:t>3.3.1服务内容要求</w:t>
      </w:r>
    </w:p>
    <w:p w14:paraId="2B86F475">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66CDE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5043A87">
            <w:pPr>
              <w:pStyle w:val="5"/>
              <w:jc w:val="center"/>
            </w:pPr>
            <w:r>
              <w:rPr>
                <w:rFonts w:ascii="仿宋_GB2312" w:hAnsi="仿宋_GB2312" w:eastAsia="仿宋_GB2312" w:cs="仿宋_GB2312"/>
              </w:rPr>
              <w:t xml:space="preserve"> 序号</w:t>
            </w:r>
          </w:p>
        </w:tc>
        <w:tc>
          <w:tcPr>
            <w:tcW w:w="581" w:type="dxa"/>
          </w:tcPr>
          <w:p w14:paraId="7A8FF957">
            <w:pPr>
              <w:pStyle w:val="5"/>
              <w:jc w:val="center"/>
            </w:pPr>
            <w:r>
              <w:rPr>
                <w:rFonts w:ascii="仿宋_GB2312" w:hAnsi="仿宋_GB2312" w:eastAsia="仿宋_GB2312" w:cs="仿宋_GB2312"/>
              </w:rPr>
              <w:t xml:space="preserve"> 符号标识</w:t>
            </w:r>
          </w:p>
        </w:tc>
        <w:tc>
          <w:tcPr>
            <w:tcW w:w="1495" w:type="dxa"/>
          </w:tcPr>
          <w:p w14:paraId="61A705D0">
            <w:pPr>
              <w:pStyle w:val="5"/>
              <w:jc w:val="center"/>
            </w:pPr>
            <w:r>
              <w:rPr>
                <w:rFonts w:ascii="仿宋_GB2312" w:hAnsi="仿宋_GB2312" w:eastAsia="仿宋_GB2312" w:cs="仿宋_GB2312"/>
              </w:rPr>
              <w:t xml:space="preserve"> 服务要求名称</w:t>
            </w:r>
          </w:p>
        </w:tc>
        <w:tc>
          <w:tcPr>
            <w:tcW w:w="5814" w:type="dxa"/>
          </w:tcPr>
          <w:p w14:paraId="7BC6EEE6">
            <w:pPr>
              <w:pStyle w:val="5"/>
              <w:jc w:val="center"/>
            </w:pPr>
            <w:r>
              <w:rPr>
                <w:rFonts w:ascii="仿宋_GB2312" w:hAnsi="仿宋_GB2312" w:eastAsia="仿宋_GB2312" w:cs="仿宋_GB2312"/>
              </w:rPr>
              <w:t xml:space="preserve"> 服务要求内容</w:t>
            </w:r>
          </w:p>
        </w:tc>
      </w:tr>
      <w:tr w14:paraId="6FAE25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D854516">
            <w:pPr>
              <w:pStyle w:val="5"/>
              <w:jc w:val="center"/>
            </w:pPr>
            <w:r>
              <w:rPr>
                <w:rFonts w:ascii="仿宋_GB2312" w:hAnsi="仿宋_GB2312" w:eastAsia="仿宋_GB2312" w:cs="仿宋_GB2312"/>
              </w:rPr>
              <w:t>1</w:t>
            </w:r>
          </w:p>
        </w:tc>
        <w:tc>
          <w:tcPr>
            <w:tcW w:w="581" w:type="dxa"/>
          </w:tcPr>
          <w:p w14:paraId="615B472F"/>
        </w:tc>
        <w:tc>
          <w:tcPr>
            <w:tcW w:w="1495" w:type="dxa"/>
          </w:tcPr>
          <w:p w14:paraId="6A9506E9">
            <w:pPr>
              <w:pStyle w:val="5"/>
              <w:jc w:val="left"/>
            </w:pPr>
            <w:r>
              <w:rPr>
                <w:rFonts w:ascii="仿宋_GB2312" w:hAnsi="仿宋_GB2312" w:eastAsia="仿宋_GB2312" w:cs="仿宋_GB2312"/>
              </w:rPr>
              <w:t>服务方案</w:t>
            </w:r>
          </w:p>
        </w:tc>
        <w:tc>
          <w:tcPr>
            <w:tcW w:w="5814" w:type="dxa"/>
          </w:tcPr>
          <w:p w14:paraId="7FA1EF6C">
            <w:pPr>
              <w:pStyle w:val="5"/>
              <w:jc w:val="both"/>
            </w:pPr>
            <w:r>
              <w:rPr>
                <w:rFonts w:ascii="仿宋_GB2312" w:hAnsi="仿宋_GB2312" w:eastAsia="仿宋_GB2312" w:cs="仿宋_GB2312"/>
                <w:sz w:val="21"/>
                <w:shd w:val="clear" w:fill="FFFFFF"/>
              </w:rPr>
              <w:t>一、供应商提供运维服务方案（包括：1.运维管理体系建设目标；2.运维管理体系建设原则；3.运维管理体系建设思路；4.运维管理体系建设总体架构；5.运维管理标准规范；6.培训内容及目标；7.培训方式及范围）；二、根供应商提供运行维护保障方案（包括：1.日常运行维护保障方案；2.服务团队及技术支撑能力保障；3.运维服务管理流程；4.应急响应保障方案）；三、供应商提供售后服务方案（包括：1.故障及应急处置服务方案；2.售后服务流程；3.售后服务质量控制措施）。</w:t>
            </w:r>
          </w:p>
        </w:tc>
      </w:tr>
      <w:tr w14:paraId="4168E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75690D">
            <w:pPr>
              <w:pStyle w:val="5"/>
              <w:jc w:val="center"/>
            </w:pPr>
            <w:r>
              <w:rPr>
                <w:rFonts w:ascii="仿宋_GB2312" w:hAnsi="仿宋_GB2312" w:eastAsia="仿宋_GB2312" w:cs="仿宋_GB2312"/>
              </w:rPr>
              <w:t>2</w:t>
            </w:r>
          </w:p>
        </w:tc>
        <w:tc>
          <w:tcPr>
            <w:tcW w:w="581" w:type="dxa"/>
          </w:tcPr>
          <w:p w14:paraId="392A0072"/>
        </w:tc>
        <w:tc>
          <w:tcPr>
            <w:tcW w:w="1495" w:type="dxa"/>
          </w:tcPr>
          <w:p w14:paraId="47147DA9">
            <w:pPr>
              <w:pStyle w:val="5"/>
              <w:jc w:val="left"/>
            </w:pPr>
            <w:r>
              <w:rPr>
                <w:rFonts w:ascii="仿宋_GB2312" w:hAnsi="仿宋_GB2312" w:eastAsia="仿宋_GB2312" w:cs="仿宋_GB2312"/>
              </w:rPr>
              <w:t>人员要求</w:t>
            </w:r>
          </w:p>
        </w:tc>
        <w:tc>
          <w:tcPr>
            <w:tcW w:w="5814" w:type="dxa"/>
          </w:tcPr>
          <w:p w14:paraId="2A277456">
            <w:pPr>
              <w:pStyle w:val="5"/>
              <w:jc w:val="both"/>
            </w:pPr>
            <w:r>
              <w:rPr>
                <w:rFonts w:ascii="仿宋_GB2312" w:hAnsi="仿宋_GB2312" w:eastAsia="仿宋_GB2312" w:cs="仿宋_GB2312"/>
                <w:color w:val="000000"/>
                <w:sz w:val="24"/>
              </w:rPr>
              <w:t>供应商根据本项目实际情况提供专业的团队服务人员，并提供相关证明材料。</w:t>
            </w:r>
          </w:p>
        </w:tc>
      </w:tr>
      <w:tr w14:paraId="2BB877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6FA03D">
            <w:pPr>
              <w:pStyle w:val="5"/>
              <w:jc w:val="center"/>
            </w:pPr>
            <w:r>
              <w:rPr>
                <w:rFonts w:ascii="仿宋_GB2312" w:hAnsi="仿宋_GB2312" w:eastAsia="仿宋_GB2312" w:cs="仿宋_GB2312"/>
              </w:rPr>
              <w:t>3</w:t>
            </w:r>
          </w:p>
        </w:tc>
        <w:tc>
          <w:tcPr>
            <w:tcW w:w="581" w:type="dxa"/>
          </w:tcPr>
          <w:p w14:paraId="0D9A64D9"/>
        </w:tc>
        <w:tc>
          <w:tcPr>
            <w:tcW w:w="1495" w:type="dxa"/>
          </w:tcPr>
          <w:p w14:paraId="07A21B7F">
            <w:pPr>
              <w:pStyle w:val="5"/>
              <w:jc w:val="left"/>
            </w:pPr>
            <w:r>
              <w:rPr>
                <w:rFonts w:ascii="仿宋_GB2312" w:hAnsi="仿宋_GB2312" w:eastAsia="仿宋_GB2312" w:cs="仿宋_GB2312"/>
              </w:rPr>
              <w:t>履约能力</w:t>
            </w:r>
          </w:p>
        </w:tc>
        <w:tc>
          <w:tcPr>
            <w:tcW w:w="5814" w:type="dxa"/>
          </w:tcPr>
          <w:p w14:paraId="17494A9D">
            <w:pPr>
              <w:pStyle w:val="5"/>
              <w:jc w:val="both"/>
            </w:pPr>
            <w:r>
              <w:rPr>
                <w:rFonts w:ascii="仿宋_GB2312" w:hAnsi="仿宋_GB2312" w:eastAsia="仿宋_GB2312" w:cs="仿宋_GB2312"/>
                <w:color w:val="000000"/>
                <w:sz w:val="24"/>
              </w:rPr>
              <w:t>供应商根据本项目实际情况提供履约综合实力，并提供相关证明材料。</w:t>
            </w:r>
          </w:p>
        </w:tc>
      </w:tr>
      <w:tr w14:paraId="26906D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2197A8">
            <w:pPr>
              <w:pStyle w:val="5"/>
              <w:jc w:val="center"/>
            </w:pPr>
            <w:r>
              <w:rPr>
                <w:rFonts w:ascii="仿宋_GB2312" w:hAnsi="仿宋_GB2312" w:eastAsia="仿宋_GB2312" w:cs="仿宋_GB2312"/>
              </w:rPr>
              <w:t>4</w:t>
            </w:r>
          </w:p>
        </w:tc>
        <w:tc>
          <w:tcPr>
            <w:tcW w:w="581" w:type="dxa"/>
          </w:tcPr>
          <w:p w14:paraId="2F89CF6B"/>
        </w:tc>
        <w:tc>
          <w:tcPr>
            <w:tcW w:w="1495" w:type="dxa"/>
          </w:tcPr>
          <w:p w14:paraId="60580503">
            <w:pPr>
              <w:pStyle w:val="5"/>
              <w:jc w:val="left"/>
            </w:pPr>
            <w:r>
              <w:rPr>
                <w:rFonts w:ascii="仿宋_GB2312" w:hAnsi="仿宋_GB2312" w:eastAsia="仿宋_GB2312" w:cs="仿宋_GB2312"/>
              </w:rPr>
              <w:t>履约经验</w:t>
            </w:r>
          </w:p>
        </w:tc>
        <w:tc>
          <w:tcPr>
            <w:tcW w:w="5814" w:type="dxa"/>
          </w:tcPr>
          <w:p w14:paraId="5606EC00">
            <w:pPr>
              <w:pStyle w:val="5"/>
              <w:jc w:val="both"/>
            </w:pPr>
            <w:r>
              <w:rPr>
                <w:rFonts w:ascii="仿宋_GB2312" w:hAnsi="仿宋_GB2312" w:eastAsia="仿宋_GB2312" w:cs="仿宋_GB2312"/>
                <w:color w:val="000000"/>
                <w:sz w:val="24"/>
              </w:rPr>
              <w:t>为保障后期顺利实施开展项目，供应商具有贴合本项目要求的履约经验，并提供相关证明材料。</w:t>
            </w:r>
          </w:p>
        </w:tc>
      </w:tr>
    </w:tbl>
    <w:p w14:paraId="205C4550">
      <w:pPr>
        <w:pStyle w:val="5"/>
        <w:jc w:val="left"/>
        <w:outlineLvl w:val="3"/>
      </w:pPr>
      <w:r>
        <w:rPr>
          <w:rFonts w:ascii="仿宋_GB2312" w:hAnsi="仿宋_GB2312" w:eastAsia="仿宋_GB2312" w:cs="仿宋_GB2312"/>
          <w:b/>
          <w:sz w:val="24"/>
        </w:rPr>
        <w:t>3.3.2.商务要求</w:t>
      </w:r>
    </w:p>
    <w:p w14:paraId="5D43A897">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BB0E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58BE6E">
            <w:pPr>
              <w:pStyle w:val="5"/>
              <w:jc w:val="center"/>
            </w:pPr>
            <w:r>
              <w:rPr>
                <w:rFonts w:ascii="仿宋_GB2312" w:hAnsi="仿宋_GB2312" w:eastAsia="仿宋_GB2312" w:cs="仿宋_GB2312"/>
              </w:rPr>
              <w:t>序号</w:t>
            </w:r>
          </w:p>
        </w:tc>
        <w:tc>
          <w:tcPr>
            <w:tcW w:w="581" w:type="dxa"/>
          </w:tcPr>
          <w:p w14:paraId="2C4791C3">
            <w:pPr>
              <w:pStyle w:val="5"/>
              <w:jc w:val="center"/>
            </w:pPr>
            <w:r>
              <w:rPr>
                <w:rFonts w:ascii="仿宋_GB2312" w:hAnsi="仿宋_GB2312" w:eastAsia="仿宋_GB2312" w:cs="仿宋_GB2312"/>
              </w:rPr>
              <w:t>符号标识</w:t>
            </w:r>
          </w:p>
        </w:tc>
        <w:tc>
          <w:tcPr>
            <w:tcW w:w="1495" w:type="dxa"/>
          </w:tcPr>
          <w:p w14:paraId="6979A7D9">
            <w:pPr>
              <w:pStyle w:val="5"/>
              <w:jc w:val="center"/>
            </w:pPr>
            <w:r>
              <w:rPr>
                <w:rFonts w:ascii="仿宋_GB2312" w:hAnsi="仿宋_GB2312" w:eastAsia="仿宋_GB2312" w:cs="仿宋_GB2312"/>
              </w:rPr>
              <w:t>商务要求名称</w:t>
            </w:r>
          </w:p>
        </w:tc>
        <w:tc>
          <w:tcPr>
            <w:tcW w:w="5814" w:type="dxa"/>
          </w:tcPr>
          <w:p w14:paraId="5E279BAC">
            <w:pPr>
              <w:pStyle w:val="5"/>
              <w:jc w:val="center"/>
            </w:pPr>
            <w:r>
              <w:rPr>
                <w:rFonts w:ascii="仿宋_GB2312" w:hAnsi="仿宋_GB2312" w:eastAsia="仿宋_GB2312" w:cs="仿宋_GB2312"/>
              </w:rPr>
              <w:t>商务要求内容</w:t>
            </w:r>
          </w:p>
        </w:tc>
      </w:tr>
      <w:tr w14:paraId="6C82C6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C64F6A">
            <w:pPr>
              <w:pStyle w:val="5"/>
              <w:jc w:val="center"/>
            </w:pPr>
            <w:r>
              <w:rPr>
                <w:rFonts w:ascii="仿宋_GB2312" w:hAnsi="仿宋_GB2312" w:eastAsia="仿宋_GB2312" w:cs="仿宋_GB2312"/>
              </w:rPr>
              <w:t>1</w:t>
            </w:r>
          </w:p>
        </w:tc>
        <w:tc>
          <w:tcPr>
            <w:tcW w:w="581" w:type="dxa"/>
          </w:tcPr>
          <w:p w14:paraId="733834D1">
            <w:pPr>
              <w:pStyle w:val="5"/>
              <w:jc w:val="center"/>
            </w:pPr>
            <w:r>
              <w:rPr>
                <w:rFonts w:ascii="仿宋_GB2312" w:hAnsi="仿宋_GB2312" w:eastAsia="仿宋_GB2312" w:cs="仿宋_GB2312"/>
              </w:rPr>
              <w:t>★</w:t>
            </w:r>
          </w:p>
        </w:tc>
        <w:tc>
          <w:tcPr>
            <w:tcW w:w="1495" w:type="dxa"/>
          </w:tcPr>
          <w:p w14:paraId="682F09F0">
            <w:pPr>
              <w:pStyle w:val="5"/>
              <w:jc w:val="left"/>
            </w:pPr>
            <w:r>
              <w:rPr>
                <w:rFonts w:ascii="仿宋_GB2312" w:hAnsi="仿宋_GB2312" w:eastAsia="仿宋_GB2312" w:cs="仿宋_GB2312"/>
              </w:rPr>
              <w:t>服务期限</w:t>
            </w:r>
          </w:p>
        </w:tc>
        <w:tc>
          <w:tcPr>
            <w:tcW w:w="5814" w:type="dxa"/>
          </w:tcPr>
          <w:p w14:paraId="69069873">
            <w:pPr>
              <w:pStyle w:val="5"/>
              <w:jc w:val="left"/>
            </w:pPr>
            <w:r>
              <w:rPr>
                <w:rFonts w:ascii="仿宋_GB2312" w:hAnsi="仿宋_GB2312" w:eastAsia="仿宋_GB2312" w:cs="仿宋_GB2312"/>
              </w:rPr>
              <w:t>自合同签订之日起三年，合同一年一签。</w:t>
            </w:r>
          </w:p>
        </w:tc>
      </w:tr>
      <w:tr w14:paraId="648CAE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9ABCB2">
            <w:pPr>
              <w:pStyle w:val="5"/>
              <w:jc w:val="center"/>
            </w:pPr>
            <w:r>
              <w:rPr>
                <w:rFonts w:ascii="仿宋_GB2312" w:hAnsi="仿宋_GB2312" w:eastAsia="仿宋_GB2312" w:cs="仿宋_GB2312"/>
              </w:rPr>
              <w:t>2</w:t>
            </w:r>
          </w:p>
        </w:tc>
        <w:tc>
          <w:tcPr>
            <w:tcW w:w="581" w:type="dxa"/>
          </w:tcPr>
          <w:p w14:paraId="372DF94B">
            <w:pPr>
              <w:pStyle w:val="5"/>
              <w:jc w:val="center"/>
            </w:pPr>
            <w:r>
              <w:rPr>
                <w:rFonts w:ascii="仿宋_GB2312" w:hAnsi="仿宋_GB2312" w:eastAsia="仿宋_GB2312" w:cs="仿宋_GB2312"/>
              </w:rPr>
              <w:t>★</w:t>
            </w:r>
          </w:p>
        </w:tc>
        <w:tc>
          <w:tcPr>
            <w:tcW w:w="1495" w:type="dxa"/>
          </w:tcPr>
          <w:p w14:paraId="60BA2D60">
            <w:pPr>
              <w:pStyle w:val="5"/>
              <w:jc w:val="left"/>
            </w:pPr>
            <w:r>
              <w:rPr>
                <w:rFonts w:ascii="仿宋_GB2312" w:hAnsi="仿宋_GB2312" w:eastAsia="仿宋_GB2312" w:cs="仿宋_GB2312"/>
              </w:rPr>
              <w:t>服务地点</w:t>
            </w:r>
          </w:p>
        </w:tc>
        <w:tc>
          <w:tcPr>
            <w:tcW w:w="5814" w:type="dxa"/>
          </w:tcPr>
          <w:p w14:paraId="3BD3D47D">
            <w:pPr>
              <w:pStyle w:val="5"/>
              <w:jc w:val="left"/>
            </w:pPr>
            <w:r>
              <w:rPr>
                <w:rFonts w:ascii="仿宋_GB2312" w:hAnsi="仿宋_GB2312" w:eastAsia="仿宋_GB2312" w:cs="仿宋_GB2312"/>
              </w:rPr>
              <w:t>成都市新津区西创大道1616号区政务服务中心三楼，具体地点由采购人指定。</w:t>
            </w:r>
          </w:p>
        </w:tc>
      </w:tr>
      <w:tr w14:paraId="7AD11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8104A5">
            <w:pPr>
              <w:pStyle w:val="5"/>
              <w:jc w:val="center"/>
            </w:pPr>
            <w:r>
              <w:rPr>
                <w:rFonts w:ascii="仿宋_GB2312" w:hAnsi="仿宋_GB2312" w:eastAsia="仿宋_GB2312" w:cs="仿宋_GB2312"/>
              </w:rPr>
              <w:t>3</w:t>
            </w:r>
          </w:p>
        </w:tc>
        <w:tc>
          <w:tcPr>
            <w:tcW w:w="581" w:type="dxa"/>
          </w:tcPr>
          <w:p w14:paraId="2F7261BF">
            <w:pPr>
              <w:pStyle w:val="5"/>
              <w:jc w:val="center"/>
            </w:pPr>
            <w:r>
              <w:rPr>
                <w:rFonts w:ascii="仿宋_GB2312" w:hAnsi="仿宋_GB2312" w:eastAsia="仿宋_GB2312" w:cs="仿宋_GB2312"/>
              </w:rPr>
              <w:t>★</w:t>
            </w:r>
          </w:p>
        </w:tc>
        <w:tc>
          <w:tcPr>
            <w:tcW w:w="1495" w:type="dxa"/>
          </w:tcPr>
          <w:p w14:paraId="1FDD316B">
            <w:pPr>
              <w:pStyle w:val="5"/>
              <w:jc w:val="left"/>
            </w:pPr>
            <w:r>
              <w:rPr>
                <w:rFonts w:ascii="仿宋_GB2312" w:hAnsi="仿宋_GB2312" w:eastAsia="仿宋_GB2312" w:cs="仿宋_GB2312"/>
              </w:rPr>
              <w:t>验收、交付标准和方法</w:t>
            </w:r>
          </w:p>
        </w:tc>
        <w:tc>
          <w:tcPr>
            <w:tcW w:w="5814" w:type="dxa"/>
          </w:tcPr>
          <w:p w14:paraId="494CB65A">
            <w:pPr>
              <w:pStyle w:val="5"/>
              <w:jc w:val="left"/>
            </w:pPr>
            <w:r>
              <w:rPr>
                <w:rFonts w:ascii="仿宋_GB2312" w:hAnsi="仿宋_GB2312" w:eastAsia="仿宋_GB2312" w:cs="仿宋_GB2312"/>
              </w:rPr>
              <w:t>①验收主体：由采购人自行组织对项目进行验收。 ②采购人在接到成交供应商申请通知后的10天内组织验收；供应商按照验收要求提交相关验收资料。 ③验收标准：按《财政部关于印发〈政府采购需求管理办法〉的通知》（财库〔2021〕22 号）等规定以及磋商文件的要求、成交供应商的响应文件及承诺与项目合同约定标准进行验收。 ④采购人无故不进行验收工作并已使用项目履约成果的，视同验收合格。</w:t>
            </w:r>
          </w:p>
        </w:tc>
      </w:tr>
      <w:tr w14:paraId="49F4C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A0DDA2">
            <w:pPr>
              <w:pStyle w:val="5"/>
              <w:jc w:val="center"/>
            </w:pPr>
            <w:r>
              <w:rPr>
                <w:rFonts w:ascii="仿宋_GB2312" w:hAnsi="仿宋_GB2312" w:eastAsia="仿宋_GB2312" w:cs="仿宋_GB2312"/>
              </w:rPr>
              <w:t>4</w:t>
            </w:r>
          </w:p>
        </w:tc>
        <w:tc>
          <w:tcPr>
            <w:tcW w:w="581" w:type="dxa"/>
          </w:tcPr>
          <w:p w14:paraId="7990480B">
            <w:pPr>
              <w:pStyle w:val="5"/>
              <w:jc w:val="center"/>
            </w:pPr>
            <w:r>
              <w:rPr>
                <w:rFonts w:ascii="仿宋_GB2312" w:hAnsi="仿宋_GB2312" w:eastAsia="仿宋_GB2312" w:cs="仿宋_GB2312"/>
              </w:rPr>
              <w:t>★</w:t>
            </w:r>
          </w:p>
        </w:tc>
        <w:tc>
          <w:tcPr>
            <w:tcW w:w="1495" w:type="dxa"/>
          </w:tcPr>
          <w:p w14:paraId="2305955C">
            <w:pPr>
              <w:pStyle w:val="5"/>
              <w:jc w:val="left"/>
            </w:pPr>
            <w:r>
              <w:rPr>
                <w:rFonts w:ascii="仿宋_GB2312" w:hAnsi="仿宋_GB2312" w:eastAsia="仿宋_GB2312" w:cs="仿宋_GB2312"/>
              </w:rPr>
              <w:t>支付方式</w:t>
            </w:r>
          </w:p>
        </w:tc>
        <w:tc>
          <w:tcPr>
            <w:tcW w:w="5814" w:type="dxa"/>
          </w:tcPr>
          <w:p w14:paraId="576A2924">
            <w:pPr>
              <w:pStyle w:val="5"/>
              <w:jc w:val="left"/>
            </w:pPr>
            <w:r>
              <w:rPr>
                <w:rFonts w:ascii="仿宋_GB2312" w:hAnsi="仿宋_GB2312" w:eastAsia="仿宋_GB2312" w:cs="仿宋_GB2312"/>
              </w:rPr>
              <w:t>分期付款</w:t>
            </w:r>
          </w:p>
        </w:tc>
      </w:tr>
      <w:tr w14:paraId="027EA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0415638">
            <w:pPr>
              <w:pStyle w:val="5"/>
              <w:jc w:val="center"/>
            </w:pPr>
            <w:r>
              <w:rPr>
                <w:rFonts w:ascii="仿宋_GB2312" w:hAnsi="仿宋_GB2312" w:eastAsia="仿宋_GB2312" w:cs="仿宋_GB2312"/>
              </w:rPr>
              <w:t>5</w:t>
            </w:r>
          </w:p>
        </w:tc>
        <w:tc>
          <w:tcPr>
            <w:tcW w:w="581" w:type="dxa"/>
          </w:tcPr>
          <w:p w14:paraId="5148C124">
            <w:pPr>
              <w:pStyle w:val="5"/>
              <w:jc w:val="center"/>
            </w:pPr>
            <w:r>
              <w:rPr>
                <w:rFonts w:ascii="仿宋_GB2312" w:hAnsi="仿宋_GB2312" w:eastAsia="仿宋_GB2312" w:cs="仿宋_GB2312"/>
              </w:rPr>
              <w:t>★</w:t>
            </w:r>
          </w:p>
        </w:tc>
        <w:tc>
          <w:tcPr>
            <w:tcW w:w="1495" w:type="dxa"/>
          </w:tcPr>
          <w:p w14:paraId="2DCB2A88">
            <w:pPr>
              <w:pStyle w:val="5"/>
              <w:jc w:val="left"/>
            </w:pPr>
            <w:r>
              <w:rPr>
                <w:rFonts w:ascii="仿宋_GB2312" w:hAnsi="仿宋_GB2312" w:eastAsia="仿宋_GB2312" w:cs="仿宋_GB2312"/>
              </w:rPr>
              <w:t>付款进度安排</w:t>
            </w:r>
          </w:p>
        </w:tc>
        <w:tc>
          <w:tcPr>
            <w:tcW w:w="5814" w:type="dxa"/>
          </w:tcPr>
          <w:p w14:paraId="06DFD48E">
            <w:pPr>
              <w:pStyle w:val="5"/>
              <w:jc w:val="left"/>
            </w:pPr>
            <w:r>
              <w:rPr>
                <w:rFonts w:ascii="仿宋_GB2312" w:hAnsi="仿宋_GB2312" w:eastAsia="仿宋_GB2312" w:cs="仿宋_GB2312"/>
              </w:rPr>
              <w:t>1、合同签订后，采购人收到成交供应商出具的合法有效税务发票后10个工作日内，达到付款条件起10日内，据实情况说明为合同签订后，采购人收到成交供应商出具的合法有效税务发票后10个工作日内支付合同总金额的40%</w:t>
            </w:r>
          </w:p>
          <w:p w14:paraId="766820CE">
            <w:pPr>
              <w:pStyle w:val="5"/>
              <w:jc w:val="left"/>
            </w:pPr>
            <w:r>
              <w:rPr>
                <w:rFonts w:ascii="仿宋_GB2312" w:hAnsi="仿宋_GB2312" w:eastAsia="仿宋_GB2312" w:cs="仿宋_GB2312"/>
              </w:rPr>
              <w:t>2、根据服务考核评价得分情况按季度据实付款（共4个季度），每个季度结束根据服务考核评价得分，采购人在收到成交供应商出具的合法有效税务发票后10个工作日内，达到付款条件起10日内，据实情况说明为根据服务考核评价得分情况按季度据实付款（共4个季度），每个季度结束根据服务考核评价得分，采购人在收到成交供应商出具的合法有效税务发票后10个工作日内最多支付合同总金额的10%</w:t>
            </w:r>
          </w:p>
          <w:p w14:paraId="09981A4D">
            <w:pPr>
              <w:pStyle w:val="5"/>
              <w:jc w:val="left"/>
            </w:pPr>
            <w:r>
              <w:rPr>
                <w:rFonts w:ascii="仿宋_GB2312" w:hAnsi="仿宋_GB2312" w:eastAsia="仿宋_GB2312" w:cs="仿宋_GB2312"/>
              </w:rPr>
              <w:t>3、每年度运维服务结束并通过采购人服务考核和履约验收合格后，采购人在收到成交供应商出具的合法有效税务发票后10个工作日内，达到付款条件起10日内，据实情况说明为每年度运维服务结束并通过采购人服务考核和履约验收合格后，采购人在收到成交供应商出具的合法有效税务发票后10个工作日内最多支付合同总金额的20%。</w:t>
            </w:r>
          </w:p>
        </w:tc>
      </w:tr>
      <w:tr w14:paraId="23E34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E59B074">
            <w:pPr>
              <w:pStyle w:val="5"/>
              <w:jc w:val="center"/>
            </w:pPr>
            <w:r>
              <w:rPr>
                <w:rFonts w:ascii="仿宋_GB2312" w:hAnsi="仿宋_GB2312" w:eastAsia="仿宋_GB2312" w:cs="仿宋_GB2312"/>
              </w:rPr>
              <w:t>6</w:t>
            </w:r>
          </w:p>
        </w:tc>
        <w:tc>
          <w:tcPr>
            <w:tcW w:w="581" w:type="dxa"/>
          </w:tcPr>
          <w:p w14:paraId="5A7E4281">
            <w:pPr>
              <w:pStyle w:val="5"/>
              <w:jc w:val="center"/>
            </w:pPr>
            <w:r>
              <w:rPr>
                <w:rFonts w:ascii="仿宋_GB2312" w:hAnsi="仿宋_GB2312" w:eastAsia="仿宋_GB2312" w:cs="仿宋_GB2312"/>
              </w:rPr>
              <w:t>★</w:t>
            </w:r>
          </w:p>
        </w:tc>
        <w:tc>
          <w:tcPr>
            <w:tcW w:w="1495" w:type="dxa"/>
          </w:tcPr>
          <w:p w14:paraId="6B5EAF50">
            <w:pPr>
              <w:pStyle w:val="5"/>
              <w:jc w:val="left"/>
            </w:pPr>
            <w:r>
              <w:rPr>
                <w:rFonts w:ascii="仿宋_GB2312" w:hAnsi="仿宋_GB2312" w:eastAsia="仿宋_GB2312" w:cs="仿宋_GB2312"/>
              </w:rPr>
              <w:t>违约责任与解决争议的方法</w:t>
            </w:r>
          </w:p>
        </w:tc>
        <w:tc>
          <w:tcPr>
            <w:tcW w:w="5814" w:type="dxa"/>
          </w:tcPr>
          <w:p w14:paraId="2B6F406D">
            <w:pPr>
              <w:pStyle w:val="5"/>
              <w:jc w:val="left"/>
            </w:pPr>
            <w:r>
              <w:rPr>
                <w:rFonts w:ascii="仿宋_GB2312" w:hAnsi="仿宋_GB2312" w:eastAsia="仿宋_GB2312" w:cs="仿宋_GB2312"/>
              </w:rPr>
              <w:t>违约责任 1.甲乙双方必须遵守本合同并执行合同中的各项规定，保证本合同的正常履行。 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 解决合同纠纷的方式 1.在执行本合同中发生的或与本合同有关的争端，双方应通过友好协商解决，经协商在30天内不能达成协议时，应提交成都仲裁委员会仲裁。 2.仲裁裁决应为最终决定，并对双方具有约束力。 3.除另有裁决外，仲裁费应由败诉方负担。 4.在仲裁期间，除正在进行仲裁部分外，合同其他部分继续执行。</w:t>
            </w:r>
          </w:p>
        </w:tc>
      </w:tr>
    </w:tbl>
    <w:p w14:paraId="37A87947">
      <w:pPr>
        <w:pStyle w:val="5"/>
        <w:jc w:val="left"/>
        <w:outlineLvl w:val="2"/>
      </w:pPr>
      <w:r>
        <w:rPr>
          <w:rFonts w:ascii="仿宋_GB2312" w:hAnsi="仿宋_GB2312" w:eastAsia="仿宋_GB2312" w:cs="仿宋_GB2312"/>
          <w:b/>
          <w:sz w:val="28"/>
        </w:rPr>
        <w:t>3.4.其他要求</w:t>
      </w:r>
    </w:p>
    <w:p w14:paraId="75C28DD9">
      <w:pPr>
        <w:pStyle w:val="5"/>
        <w:ind w:firstLine="480"/>
        <w:jc w:val="left"/>
      </w:pPr>
      <w:r>
        <w:rPr>
          <w:rFonts w:ascii="仿宋_GB2312" w:hAnsi="仿宋_GB2312" w:eastAsia="仿宋_GB2312" w:cs="仿宋_GB2312"/>
        </w:rPr>
        <w:t>采购包1：</w:t>
      </w:r>
    </w:p>
    <w:p w14:paraId="0977E04B">
      <w:pPr>
        <w:pStyle w:val="5"/>
        <w:jc w:val="left"/>
      </w:pPr>
      <w:r>
        <w:rPr>
          <w:rFonts w:ascii="仿宋_GB2312" w:hAnsi="仿宋_GB2312" w:eastAsia="仿宋_GB2312" w:cs="仿宋_GB2312"/>
        </w:rPr>
        <w:t>系统无法调整，采购人和成交供应商在签订合同时约定：“①预付款：合同签订后，采购人收到成交供应商出具的合法有效税务发票后10个工作日内支付合同总金额的40%；②进度款：根据服务考核评价得分情况按季度据实付款（共4个季度），每个季度结束根据服务考核评价得分，采购人在收到成交供应商出具的合法有效税务发票后10个工作日内最多支付合同总金额的10%；③尾款：每年度运维服务结束并通过采购人服务考核和履约验收合格后，采购人在收到成交供应商出具的合法有效税务发票后10个工作日内最多支付合同总金额的20%。注：若成交供应商未及时提交增值税发票，采购人付款时间顺延且对此不承担任何责任。”。</w:t>
      </w:r>
    </w:p>
    <w:p w14:paraId="23F00E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F4A12"/>
    <w:rsid w:val="055F4A12"/>
    <w:rsid w:val="11A24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left"/>
      <w:outlineLvl w:val="0"/>
    </w:pPr>
    <w:rPr>
      <w:rFonts w:eastAsia="仿宋" w:asciiTheme="minorAscii" w:hAnsiTheme="minorAscii"/>
      <w:b/>
      <w:kern w:val="44"/>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0</Words>
  <Characters>0</Characters>
  <Lines>0</Lines>
  <Paragraphs>0</Paragraphs>
  <TotalTime>0</TotalTime>
  <ScaleCrop>false</ScaleCrop>
  <LinksUpToDate>false</LinksUpToDate>
  <CharactersWithSpaces>0</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2025-08-11T08:51:00Z</dcterms:created>
  <dc:creator>Administrator</dc:creator>
  <cp:lastModifiedBy>Administrator</cp:lastModifiedBy>
  <dcterms:modified xsi:type="dcterms:W3CDTF">2025-08-11T08:52:01Z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60461F912F164B16878AF7A9B6C3645E_11</vt:lpwstr>
  </property>
  <property fmtid="{D5CDD505-2E9C-101B-9397-08002B2CF9AE}" pid="4" name="KSOTemplateDocerSaveRecord">
    <vt:lpwstr>eyJoZGlkIjoiNjdjN2Q0YTliYmY0NTM0OTk0NThhZWFkZTNjOGUzODUiLCJ1c2VySWQiOiI0NDM0MjQ4MzkifQ==</vt:lpwstr>
  </property>
</Properties>
</file>