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版本号：N511587202500001420250702001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宜宾高新区高捷片区多区融合及高场镇区发展规划编制项目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N5115872025000014</w:t>
      </w:r>
    </w:p>
    <w:p>
      <w:pPr>
        <w:pStyle w:val="null3"/>
        <w:jc w:val="center"/>
        <w:outlineLvl w:val="2"/>
      </w:pPr>
      <w:r>
        <w:rPr>
          <w:rFonts w:ascii="仿宋_GB2312" w:hAnsi="仿宋_GB2312" w:cs="仿宋_GB2312" w:eastAsia="仿宋_GB2312"/>
          <w:sz w:val="28"/>
          <w:b/>
        </w:rPr>
        <w:t>宜宾市自然资源和规划局高新技术产业园区分局</w:t>
      </w:r>
    </w:p>
    <w:p>
      <w:pPr>
        <w:pStyle w:val="null3"/>
        <w:jc w:val="center"/>
        <w:outlineLvl w:val="2"/>
      </w:pPr>
      <w:r>
        <w:rPr>
          <w:rFonts w:ascii="仿宋_GB2312" w:hAnsi="仿宋_GB2312" w:cs="仿宋_GB2312" w:eastAsia="仿宋_GB2312"/>
          <w:sz w:val="28"/>
          <w:b/>
        </w:rPr>
        <w:t>四川洋宸项目管理有限责任公司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四川洋宸项目管理有限责任公司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宜宾市自然资源和规划局高新技术产业园区分局</w:t>
      </w:r>
      <w:r>
        <w:rPr>
          <w:rFonts w:ascii="仿宋_GB2312" w:hAnsi="仿宋_GB2312" w:cs="仿宋_GB2312" w:eastAsia="仿宋_GB2312"/>
        </w:rPr>
        <w:t xml:space="preserve"> 委托，拟对 </w:t>
      </w:r>
      <w:r>
        <w:rPr>
          <w:rFonts w:ascii="仿宋_GB2312" w:hAnsi="仿宋_GB2312" w:cs="仿宋_GB2312" w:eastAsia="仿宋_GB2312"/>
        </w:rPr>
        <w:t>宜宾高新区高捷片区多区融合及高场镇区发展规划编制项目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宜宾市高新区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N5115872025000014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宜宾高新区高捷片区多区融合及高场镇区发展规划编制项目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高质量建设宜宾高新区，促进高捷片区产城镇深度融合，探索高捷产业园区、天光新城、高场镇区一体化发展的路径，在遵循现有国土空间规划、控制性详细规划的基础上，一是从优化产城镇空间布局、提升城市功能品质、深化产城互动、推进镇区的高质量发展、推动城镇的基础设施、要素保障、公共服务的一体化发展等方面进行研究，对高捷园区、高场场镇、天光新城3个组团进行多区融合发展研究，对高捷片区高质量发展提供建设指引；二是对高场场镇建设发展研究，针对场镇发展难题，在目标定位、产业提升、用地优化、交通完善、公服配套、环境整治等方面提出建设指引，为镇区规划提供参考。</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1、本项目的特殊资质性要求（描述：供应商应须具有行政主管部门颁发的在有效期内的城乡规划编制乙级及以上资质证书）</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宜宾市自然资源和规划局高新技术产业园区分局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宜屏快速通道东100米宜宾高新技术产业园内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17781005680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四川洋宸项目管理有限责任公司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四川省宜宾市翠屏区红坝大道4号鼎业江北兴城A区7幢1单元3层2号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18224291951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代理服务费收费标准：按成本加合理利润原则收取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宜宾市自然资源和规划局高新技术产业园区分局</w:t>
      </w:r>
      <w:r>
        <w:rPr>
          <w:rFonts w:ascii="仿宋_GB2312" w:hAnsi="仿宋_GB2312" w:cs="仿宋_GB2312" w:eastAsia="仿宋_GB2312"/>
        </w:rPr>
        <w:t xml:space="preserve"> 和 </w:t>
      </w:r>
      <w:r>
        <w:rPr>
          <w:rFonts w:ascii="仿宋_GB2312" w:hAnsi="仿宋_GB2312" w:cs="仿宋_GB2312" w:eastAsia="仿宋_GB2312"/>
        </w:rPr>
        <w:t>四川洋宸项目管理有限责任公司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宜宾市自然资源和规划局高新技术产业园区分局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四川洋宸项目管理有限责任公司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三、供应商应当及时查看更正公告、更正信息，并根据更正公告、更正信息要求，下载更正后的磋商文件，进行响应文件编制。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达到验收条件</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成交供应商按照合同要求完成工作后，经采购人验收合格的，双方签字确认。</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按技术内容验收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按商务要求验收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按国家有关规定以及采购文件的服务要求和技术指标、供应商的响应文件及承诺与本合同约定标准进行验收。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（1）验收其他未尽事宜按照政府采购相关法律法规以及《财政部关于进一步加强政府采购需求和履约验收管理的指导意见》（财库〔2016〕205号）的要求进行验收。 （2）项目验收结果不合格且拒不整改的，采购人将不予支付采购资金，对于已支付的采购资金将予以追回，同时还可能上报本项目同级财政部门按照政府采购法律法规等有关规定给子行政处罚。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宜宾市自然资源和规划局高新技术产业园区分局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四川洋宸项目管理有限责任公司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四川洋宸项目管理有限责任公司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联系人：何先生</w:t>
      </w:r>
    </w:p>
    <w:p>
      <w:pPr>
        <w:pStyle w:val="null3"/>
        <w:jc w:val="left"/>
      </w:pPr>
      <w:r>
        <w:rPr>
          <w:rFonts w:ascii="仿宋_GB2312" w:hAnsi="仿宋_GB2312" w:cs="仿宋_GB2312" w:eastAsia="仿宋_GB2312"/>
        </w:rPr>
        <w:t>联系电话：18224291951</w:t>
      </w:r>
    </w:p>
    <w:p>
      <w:pPr>
        <w:pStyle w:val="null3"/>
        <w:jc w:val="left"/>
      </w:pPr>
      <w:r>
        <w:rPr>
          <w:rFonts w:ascii="仿宋_GB2312" w:hAnsi="仿宋_GB2312" w:cs="仿宋_GB2312" w:eastAsia="仿宋_GB2312"/>
        </w:rPr>
        <w:t>地址：四川省宜宾市翠屏区红坝大道4号鼎业江北兴城A区7幢1单元3层2号</w:t>
      </w:r>
    </w:p>
    <w:p>
      <w:pPr>
        <w:pStyle w:val="null3"/>
        <w:jc w:val="left"/>
      </w:pPr>
      <w:r>
        <w:rPr>
          <w:rFonts w:ascii="仿宋_GB2312" w:hAnsi="仿宋_GB2312" w:cs="仿宋_GB2312" w:eastAsia="仿宋_GB2312"/>
        </w:rPr>
        <w:t>邮编：644000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宜宾高新区高捷片区多区融合及高场镇区发展规划编制</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宜宾高新区高捷片区多区融合及高场镇区发展规划编制</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标的名称：宜宾高新区高捷片区多区融合及高场镇区发展规划编制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ind w:right="30" w:firstLine="480"/>
              <w:jc w:val="both"/>
            </w:pPr>
            <w:r>
              <w:rPr>
                <w:rFonts w:ascii="仿宋_GB2312" w:hAnsi="仿宋_GB2312" w:cs="仿宋_GB2312" w:eastAsia="仿宋_GB2312"/>
                <w:sz w:val="24"/>
              </w:rPr>
              <w:t>本次规划内容分为两部分：</w:t>
            </w:r>
          </w:p>
          <w:p>
            <w:pPr>
              <w:pStyle w:val="null3"/>
              <w:ind w:firstLine="480"/>
              <w:jc w:val="both"/>
            </w:pPr>
            <w:r>
              <w:rPr>
                <w:rFonts w:ascii="仿宋_GB2312" w:hAnsi="仿宋_GB2312" w:cs="仿宋_GB2312" w:eastAsia="仿宋_GB2312"/>
                <w:sz w:val="24"/>
              </w:rPr>
              <w:t>一是对高捷园区、高场场镇、天光新城3个组团进行多区融合发展规划，主要内容包括：</w:t>
            </w:r>
          </w:p>
          <w:p>
            <w:pPr>
              <w:pStyle w:val="null3"/>
              <w:ind w:firstLine="480"/>
              <w:jc w:val="both"/>
            </w:pPr>
            <w:r>
              <w:rPr>
                <w:rFonts w:ascii="仿宋_GB2312" w:hAnsi="仿宋_GB2312" w:cs="仿宋_GB2312" w:eastAsia="仿宋_GB2312"/>
                <w:sz w:val="24"/>
              </w:rPr>
              <w:t>（1）现状分析：分析宜宾高新区产业发展现状（产业结构、产业规模、创新能力），城市发展现状（城镇化水平、居民生活质量），镇区发展现状，城镇一体化发展现状（城乡差距、要素流动）。对高新区的发展目标、产业规划、空间发展进行进行分析研究，总结高新区未来发展方向及目前面临的主要问题。</w:t>
            </w:r>
          </w:p>
          <w:p>
            <w:pPr>
              <w:pStyle w:val="null3"/>
              <w:ind w:firstLine="480"/>
              <w:jc w:val="both"/>
            </w:pPr>
            <w:r>
              <w:rPr>
                <w:rFonts w:ascii="仿宋_GB2312" w:hAnsi="仿宋_GB2312" w:cs="仿宋_GB2312" w:eastAsia="仿宋_GB2312"/>
                <w:sz w:val="24"/>
              </w:rPr>
              <w:t>分析总结宜宾高新区产城镇深度融合的主要困难和问题，包括产业科技创新能力不足，基础设施和公共服务的短板、城镇产业联动不足等。</w:t>
            </w:r>
          </w:p>
          <w:p>
            <w:pPr>
              <w:pStyle w:val="null3"/>
              <w:ind w:firstLine="480"/>
              <w:jc w:val="both"/>
            </w:pPr>
            <w:r>
              <w:rPr>
                <w:rFonts w:ascii="仿宋_GB2312" w:hAnsi="仿宋_GB2312" w:cs="仿宋_GB2312" w:eastAsia="仿宋_GB2312"/>
                <w:sz w:val="24"/>
              </w:rPr>
              <w:t>（2）上位规划：对高新区现有的国土空间规划及其几个组团的最新规划进行详细研究，总结各个规划的对该项目的规划指引。</w:t>
            </w:r>
          </w:p>
          <w:p>
            <w:pPr>
              <w:pStyle w:val="null3"/>
              <w:ind w:right="30" w:firstLine="480"/>
              <w:jc w:val="both"/>
            </w:pPr>
            <w:r>
              <w:rPr>
                <w:rFonts w:ascii="仿宋_GB2312" w:hAnsi="仿宋_GB2312" w:cs="仿宋_GB2312" w:eastAsia="仿宋_GB2312"/>
                <w:sz w:val="24"/>
              </w:rPr>
              <w:t>（3）目标定位：总结先进地区产城镇融合发展的经验，明确片区未来发展定位和总体目标，并提出片区发展的规划策略。提出高捷产业园区、天光新城、高场镇区一体化发展的对策建议。</w:t>
            </w:r>
          </w:p>
          <w:p>
            <w:pPr>
              <w:pStyle w:val="null3"/>
              <w:ind w:right="30" w:firstLine="480"/>
              <w:jc w:val="both"/>
            </w:pPr>
            <w:r>
              <w:rPr>
                <w:rFonts w:ascii="仿宋_GB2312" w:hAnsi="仿宋_GB2312" w:cs="仿宋_GB2312" w:eastAsia="仿宋_GB2312"/>
                <w:sz w:val="24"/>
              </w:rPr>
              <w:t>（4）空间研究：区域对接，对片区进行功能优化、存量挖潜，以促进空间融合发展。</w:t>
            </w:r>
          </w:p>
          <w:p>
            <w:pPr>
              <w:pStyle w:val="null3"/>
              <w:ind w:right="30" w:firstLine="480"/>
              <w:jc w:val="both"/>
            </w:pPr>
            <w:r>
              <w:rPr>
                <w:rFonts w:ascii="仿宋_GB2312" w:hAnsi="仿宋_GB2312" w:cs="仿宋_GB2312" w:eastAsia="仿宋_GB2312"/>
                <w:sz w:val="24"/>
              </w:rPr>
              <w:t>（5）交通研究：针对高捷片区客货交通冲突、道路断面不优、公交设施亟待完善、慢行系统建设滞后等问题，深入剖析成因，制定相应的规划提升措施，促进交通融合发展。</w:t>
            </w:r>
          </w:p>
          <w:p>
            <w:pPr>
              <w:pStyle w:val="null3"/>
              <w:ind w:right="30" w:firstLine="480"/>
              <w:jc w:val="both"/>
            </w:pPr>
            <w:r>
              <w:rPr>
                <w:rFonts w:ascii="仿宋_GB2312" w:hAnsi="仿宋_GB2312" w:cs="仿宋_GB2312" w:eastAsia="仿宋_GB2312"/>
                <w:sz w:val="24"/>
              </w:rPr>
              <w:t>（6）产业研究：对高新区一二三产业提出响应措施，完善光伏产业生态圈，打造城乡融合生态圈，促进产业融合发展。</w:t>
            </w:r>
          </w:p>
          <w:p>
            <w:pPr>
              <w:pStyle w:val="null3"/>
              <w:ind w:right="30" w:firstLine="480"/>
              <w:jc w:val="both"/>
            </w:pPr>
            <w:r>
              <w:rPr>
                <w:rFonts w:ascii="仿宋_GB2312" w:hAnsi="仿宋_GB2312" w:cs="仿宋_GB2312" w:eastAsia="仿宋_GB2312"/>
                <w:sz w:val="24"/>
              </w:rPr>
              <w:t>（7）设施研究：联动高场场镇与天光新城，差异化分析，优化完善公服配套，促进服务设施共建共享融合发展。</w:t>
            </w:r>
          </w:p>
          <w:p>
            <w:pPr>
              <w:pStyle w:val="null3"/>
              <w:ind w:right="30" w:firstLine="480"/>
              <w:jc w:val="both"/>
            </w:pPr>
            <w:r>
              <w:rPr>
                <w:rFonts w:ascii="仿宋_GB2312" w:hAnsi="仿宋_GB2312" w:cs="仿宋_GB2312" w:eastAsia="仿宋_GB2312"/>
                <w:sz w:val="24"/>
              </w:rPr>
              <w:t>（8）环境研究：结合片区周边山水景观资源及农旅资源，打造绿道系统，以贯通城乡空间，弱化城乡边界，实现城乡空间、风貌上的协调过渡，促进环境融合。</w:t>
            </w:r>
          </w:p>
          <w:p>
            <w:pPr>
              <w:pStyle w:val="null3"/>
              <w:ind w:right="30" w:firstLine="480"/>
              <w:jc w:val="both"/>
            </w:pPr>
            <w:r>
              <w:rPr>
                <w:rFonts w:ascii="仿宋_GB2312" w:hAnsi="仿宋_GB2312" w:cs="仿宋_GB2312" w:eastAsia="仿宋_GB2312"/>
                <w:sz w:val="24"/>
              </w:rPr>
              <w:t>二是对1.12平方公里高场场镇及其周边进行规划梳理，主要内容包括：</w:t>
            </w:r>
          </w:p>
          <w:p>
            <w:pPr>
              <w:pStyle w:val="null3"/>
              <w:ind w:right="30" w:firstLine="480"/>
              <w:jc w:val="both"/>
            </w:pPr>
            <w:r>
              <w:rPr>
                <w:rFonts w:ascii="仿宋_GB2312" w:hAnsi="仿宋_GB2312" w:cs="仿宋_GB2312" w:eastAsia="仿宋_GB2312"/>
                <w:sz w:val="24"/>
              </w:rPr>
              <w:t>（1）现状概况及问题剖析：依据当地发展建设现状实际，研究高场镇发展的基本情况，深度剖析镇园发展不同步的原因。</w:t>
            </w:r>
          </w:p>
          <w:p>
            <w:pPr>
              <w:pStyle w:val="null3"/>
              <w:ind w:right="30" w:firstLine="480"/>
              <w:jc w:val="both"/>
            </w:pPr>
            <w:r>
              <w:rPr>
                <w:rFonts w:ascii="仿宋_GB2312" w:hAnsi="仿宋_GB2312" w:cs="仿宋_GB2312" w:eastAsia="仿宋_GB2312"/>
                <w:sz w:val="24"/>
              </w:rPr>
              <w:t>（2）目标定位：研究高场镇现有规划定位，结合目前高新区发展特色，提出更具特色的目标定位。</w:t>
            </w:r>
          </w:p>
          <w:p>
            <w:pPr>
              <w:pStyle w:val="null3"/>
              <w:ind w:right="30" w:firstLine="480"/>
              <w:jc w:val="both"/>
            </w:pPr>
            <w:r>
              <w:rPr>
                <w:rFonts w:ascii="仿宋_GB2312" w:hAnsi="仿宋_GB2312" w:cs="仿宋_GB2312" w:eastAsia="仿宋_GB2312"/>
                <w:sz w:val="24"/>
              </w:rPr>
              <w:t>（3）产业研究：结合场镇发展需求与高捷片区发展方向，对一二三产业提出相应的发展策略，助推产镇融合发展。</w:t>
            </w:r>
          </w:p>
          <w:p>
            <w:pPr>
              <w:pStyle w:val="null3"/>
              <w:ind w:right="30" w:firstLine="480"/>
              <w:jc w:val="both"/>
            </w:pPr>
            <w:r>
              <w:rPr>
                <w:rFonts w:ascii="仿宋_GB2312" w:hAnsi="仿宋_GB2312" w:cs="仿宋_GB2312" w:eastAsia="仿宋_GB2312"/>
                <w:sz w:val="24"/>
              </w:rPr>
              <w:t>（4）交通研究：结合片区交通规划，优化完善场镇交通路网、公交系统。</w:t>
            </w:r>
          </w:p>
          <w:p>
            <w:pPr>
              <w:pStyle w:val="null3"/>
              <w:ind w:right="30" w:firstLine="480"/>
              <w:jc w:val="both"/>
            </w:pPr>
            <w:r>
              <w:rPr>
                <w:rFonts w:ascii="仿宋_GB2312" w:hAnsi="仿宋_GB2312" w:cs="仿宋_GB2312" w:eastAsia="仿宋_GB2312"/>
                <w:sz w:val="24"/>
              </w:rPr>
              <w:t>（5）空间研究：结合场镇现状进行存量挖潜低效、闲置用地，对存量用地提出更新措施；根据上位规划，结合场镇发展需求，明确新增用地发展方向。</w:t>
            </w:r>
          </w:p>
          <w:p>
            <w:pPr>
              <w:pStyle w:val="null3"/>
              <w:ind w:right="30" w:firstLine="480"/>
              <w:jc w:val="both"/>
            </w:pPr>
            <w:r>
              <w:rPr>
                <w:rFonts w:ascii="仿宋_GB2312" w:hAnsi="仿宋_GB2312" w:cs="仿宋_GB2312" w:eastAsia="仿宋_GB2312"/>
                <w:sz w:val="24"/>
              </w:rPr>
              <w:t>（6）公服研究：结合高捷片区公共服务设施规划，完善场镇公服配套。</w:t>
            </w:r>
          </w:p>
          <w:p>
            <w:pPr>
              <w:pStyle w:val="null3"/>
              <w:ind w:right="30" w:firstLine="480"/>
              <w:jc w:val="both"/>
            </w:pPr>
            <w:r>
              <w:rPr>
                <w:rFonts w:ascii="仿宋_GB2312" w:hAnsi="仿宋_GB2312" w:cs="仿宋_GB2312" w:eastAsia="仿宋_GB2312"/>
                <w:sz w:val="24"/>
              </w:rPr>
              <w:t>（7）环境提升：对场镇街道立面、路面、市政管网等提出相应的整治措施，提升场镇形象。</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ind w:right="30" w:firstLine="480"/>
              <w:jc w:val="both"/>
            </w:pPr>
            <w:r>
              <w:rPr>
                <w:rFonts w:ascii="仿宋_GB2312" w:hAnsi="仿宋_GB2312" w:cs="仿宋_GB2312" w:eastAsia="仿宋_GB2312"/>
                <w:sz w:val="24"/>
              </w:rPr>
              <w:t>规划成果为图文并茂的PPT或Word形式。主要对片区及场镇的背景研究、问题剖析、空间布局、交通研究、产业研究、设施研究、环境研究等主要内容进行描述说明；并应提供土地利用规划图、总体空间结构图、基础设施规划图、公共服务设施规划图、项目布局图等图纸内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履约要求</w:t>
            </w:r>
          </w:p>
        </w:tc>
        <w:tc>
          <w:tcPr>
            <w:tcW w:type="dxa" w:w="5814"/>
          </w:tcPr>
          <w:p>
            <w:pPr>
              <w:pStyle w:val="null3"/>
              <w:ind w:right="30"/>
              <w:jc w:val="both"/>
            </w:pPr>
            <w:r>
              <w:rPr>
                <w:rFonts w:ascii="仿宋_GB2312" w:hAnsi="仿宋_GB2312" w:cs="仿宋_GB2312" w:eastAsia="仿宋_GB2312"/>
                <w:sz w:val="24"/>
              </w:rPr>
              <w:t>包含但不限于</w:t>
            </w:r>
          </w:p>
          <w:p>
            <w:pPr>
              <w:pStyle w:val="null3"/>
              <w:numPr>
                <w:ilvl w:val="0"/>
                <w:numId w:val="1"/>
              </w:numPr>
              <w:ind w:right="30"/>
              <w:jc w:val="both"/>
            </w:pPr>
            <w:r>
              <w:rPr>
                <w:rFonts w:ascii="仿宋_GB2312" w:hAnsi="仿宋_GB2312" w:cs="仿宋_GB2312" w:eastAsia="仿宋_GB2312"/>
                <w:sz w:val="24"/>
              </w:rPr>
              <w:t>履约能力（2021年1月1日以来具有类似业绩）</w:t>
            </w:r>
          </w:p>
          <w:p>
            <w:pPr>
              <w:pStyle w:val="null3"/>
              <w:numPr>
                <w:ilvl w:val="0"/>
                <w:numId w:val="1"/>
              </w:numPr>
              <w:ind w:right="30"/>
              <w:jc w:val="both"/>
            </w:pPr>
            <w:r>
              <w:rPr>
                <w:rFonts w:ascii="仿宋_GB2312" w:hAnsi="仿宋_GB2312" w:cs="仿宋_GB2312" w:eastAsia="仿宋_GB2312"/>
                <w:sz w:val="24"/>
              </w:rPr>
              <w:t>人员配置（项目负责人具有注册城市（乡）规划师资格证书、技术负责人具有城市（乡）规划资格证书、其它人员具有规划、建筑、景观职称证书）</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服务方案（供应商需针对本项目高捷片区多组团融合发展研究分析</w:t>
            </w:r>
          </w:p>
          <w:p>
            <w:pPr>
              <w:pStyle w:val="null3"/>
              <w:ind w:firstLine="360"/>
              <w:jc w:val="both"/>
            </w:pPr>
            <w:r>
              <w:rPr>
                <w:rFonts w:ascii="仿宋_GB2312" w:hAnsi="仿宋_GB2312" w:cs="仿宋_GB2312" w:eastAsia="仿宋_GB2312"/>
                <w:sz w:val="24"/>
              </w:rPr>
              <w:t>（1）规划背景</w:t>
            </w:r>
            <w:r>
              <w:rPr>
                <w:rFonts w:ascii="仿宋_GB2312" w:hAnsi="仿宋_GB2312" w:cs="仿宋_GB2312" w:eastAsia="仿宋_GB2312"/>
                <w:sz w:val="24"/>
              </w:rPr>
              <w:t>：对高新区的发展目标、产业规划、空间发展进行进行分析研究，总结高新区未来发展方向及目前面临的主要问题。</w:t>
            </w:r>
          </w:p>
          <w:p>
            <w:pPr>
              <w:pStyle w:val="null3"/>
              <w:ind w:left="360" w:right="30"/>
              <w:jc w:val="both"/>
            </w:pPr>
            <w:r>
              <w:rPr>
                <w:rFonts w:ascii="仿宋_GB2312" w:hAnsi="仿宋_GB2312" w:cs="仿宋_GB2312" w:eastAsia="仿宋_GB2312"/>
                <w:sz w:val="24"/>
              </w:rPr>
              <w:t>（2）目标定位：明确片区未来发展定位和总体目标，并提出片区发展的规划策略。</w:t>
            </w:r>
          </w:p>
          <w:p>
            <w:pPr>
              <w:pStyle w:val="null3"/>
              <w:ind w:left="360" w:right="30"/>
              <w:jc w:val="both"/>
            </w:pPr>
            <w:r>
              <w:rPr>
                <w:rFonts w:ascii="仿宋_GB2312" w:hAnsi="仿宋_GB2312" w:cs="仿宋_GB2312" w:eastAsia="仿宋_GB2312"/>
                <w:sz w:val="24"/>
              </w:rPr>
              <w:t>（3）空间研究：区域对接，对片区进行功能优化、存量挖潜，以促进空间融合发展。</w:t>
            </w:r>
          </w:p>
          <w:p>
            <w:pPr>
              <w:pStyle w:val="null3"/>
              <w:ind w:left="360" w:right="30"/>
              <w:jc w:val="both"/>
            </w:pPr>
            <w:r>
              <w:rPr>
                <w:rFonts w:ascii="仿宋_GB2312" w:hAnsi="仿宋_GB2312" w:cs="仿宋_GB2312" w:eastAsia="仿宋_GB2312"/>
                <w:sz w:val="24"/>
              </w:rPr>
              <w:t>（4）交通研究：针对高捷片区客货交通冲突、道路断面不优、公交设施亟待完善、慢行系统建设滞后等问题，深入剖析成因，制定相应的规划提升措施，促进交通融合发展。</w:t>
            </w:r>
          </w:p>
          <w:p>
            <w:pPr>
              <w:pStyle w:val="null3"/>
              <w:ind w:left="360" w:right="30"/>
              <w:jc w:val="both"/>
            </w:pPr>
            <w:r>
              <w:rPr>
                <w:rFonts w:ascii="仿宋_GB2312" w:hAnsi="仿宋_GB2312" w:cs="仿宋_GB2312" w:eastAsia="仿宋_GB2312"/>
                <w:sz w:val="24"/>
              </w:rPr>
              <w:t>（5）产业研究：对高新区一二三产业提出响应措施，完善光伏产业生态圈，打造城乡融合生态圈，促进产业融合发展。</w:t>
            </w:r>
          </w:p>
          <w:p>
            <w:pPr>
              <w:pStyle w:val="null3"/>
              <w:ind w:left="360" w:right="30"/>
              <w:jc w:val="both"/>
            </w:pPr>
            <w:r>
              <w:rPr>
                <w:rFonts w:ascii="仿宋_GB2312" w:hAnsi="仿宋_GB2312" w:cs="仿宋_GB2312" w:eastAsia="仿宋_GB2312"/>
                <w:sz w:val="24"/>
              </w:rPr>
              <w:t>（6）设施研究：联动高场场镇与天光新城，差异化分析，优化完善公服配套，促进服务设施共建共享融合发展。</w:t>
            </w:r>
          </w:p>
          <w:p>
            <w:pPr>
              <w:pStyle w:val="null3"/>
              <w:ind w:left="360" w:right="30"/>
              <w:jc w:val="both"/>
            </w:pPr>
            <w:r>
              <w:rPr>
                <w:rFonts w:ascii="仿宋_GB2312" w:hAnsi="仿宋_GB2312" w:cs="仿宋_GB2312" w:eastAsia="仿宋_GB2312"/>
                <w:sz w:val="24"/>
              </w:rPr>
              <w:t>（7）环境研究：结合片区周边山水景观资源及农旅资源，明确绿道系统规划布局，以贯通城乡空间，弱化城乡边界，实现城乡空间、风貌上的协调过渡，促进环境融合。</w:t>
            </w:r>
          </w:p>
          <w:p>
            <w:pPr>
              <w:pStyle w:val="null3"/>
              <w:ind w:left="360" w:right="30"/>
              <w:jc w:val="both"/>
            </w:pPr>
            <w:r>
              <w:rPr>
                <w:rFonts w:ascii="仿宋_GB2312" w:hAnsi="仿宋_GB2312" w:cs="仿宋_GB2312" w:eastAsia="仿宋_GB2312"/>
                <w:sz w:val="24"/>
              </w:rPr>
              <w:t>2.</w:t>
            </w:r>
            <w:r>
              <w:rPr>
                <w:rFonts w:ascii="仿宋_GB2312" w:hAnsi="仿宋_GB2312" w:cs="仿宋_GB2312" w:eastAsia="仿宋_GB2312"/>
                <w:sz w:val="24"/>
              </w:rPr>
              <w:t>供应商需针对高场镇如何融入高新区进行研究分析，包含但不限于：</w:t>
            </w:r>
          </w:p>
          <w:p>
            <w:pPr>
              <w:pStyle w:val="null3"/>
              <w:ind w:left="360" w:right="30"/>
              <w:jc w:val="both"/>
            </w:pPr>
            <w:r>
              <w:rPr>
                <w:rFonts w:ascii="仿宋_GB2312" w:hAnsi="仿宋_GB2312" w:cs="仿宋_GB2312" w:eastAsia="仿宋_GB2312"/>
                <w:sz w:val="24"/>
              </w:rPr>
              <w:t>（1）现状概况及问题剖析：依据当地发展建设现状实际，研究高场镇发展的基本情况，深度剖析镇园发展不同步的原因。</w:t>
            </w:r>
          </w:p>
          <w:p>
            <w:pPr>
              <w:pStyle w:val="null3"/>
              <w:ind w:left="360" w:right="30"/>
              <w:jc w:val="both"/>
            </w:pPr>
            <w:r>
              <w:rPr>
                <w:rFonts w:ascii="仿宋_GB2312" w:hAnsi="仿宋_GB2312" w:cs="仿宋_GB2312" w:eastAsia="仿宋_GB2312"/>
                <w:sz w:val="24"/>
              </w:rPr>
              <w:t>（2）目标定位：研究高场镇现有规划定位，结合目前高新区发展特色，提出更具特色的目标定位。</w:t>
            </w:r>
          </w:p>
          <w:p>
            <w:pPr>
              <w:pStyle w:val="null3"/>
              <w:ind w:right="30" w:firstLine="480"/>
              <w:jc w:val="both"/>
            </w:pPr>
            <w:r>
              <w:rPr>
                <w:rFonts w:ascii="仿宋_GB2312" w:hAnsi="仿宋_GB2312" w:cs="仿宋_GB2312" w:eastAsia="仿宋_GB2312"/>
                <w:sz w:val="24"/>
              </w:rPr>
              <w:t>（3）产业研究：结合场镇发展需求与高捷片区发展方向，对一二三产业提出相应的发展策略，助推产镇融合发展。</w:t>
            </w:r>
          </w:p>
          <w:p>
            <w:pPr>
              <w:pStyle w:val="null3"/>
              <w:ind w:right="30" w:firstLine="480"/>
              <w:jc w:val="both"/>
            </w:pPr>
            <w:r>
              <w:rPr>
                <w:rFonts w:ascii="仿宋_GB2312" w:hAnsi="仿宋_GB2312" w:cs="仿宋_GB2312" w:eastAsia="仿宋_GB2312"/>
                <w:sz w:val="24"/>
              </w:rPr>
              <w:t>（4）交通研究：结合片区交通规划，优化完善场镇交通路网、公交系统。</w:t>
            </w:r>
          </w:p>
          <w:p>
            <w:pPr>
              <w:pStyle w:val="null3"/>
              <w:ind w:right="30" w:firstLine="480"/>
              <w:jc w:val="both"/>
            </w:pPr>
            <w:r>
              <w:rPr>
                <w:rFonts w:ascii="仿宋_GB2312" w:hAnsi="仿宋_GB2312" w:cs="仿宋_GB2312" w:eastAsia="仿宋_GB2312"/>
                <w:sz w:val="24"/>
              </w:rPr>
              <w:t>（5）空间研究：结合场镇现状进行存量挖潜低效、闲置用地，对存量用地提出更新措施；根据上位规划，结合场镇发展需求，明确新增用地发展方向。</w:t>
            </w:r>
          </w:p>
          <w:p>
            <w:pPr>
              <w:pStyle w:val="null3"/>
              <w:ind w:right="30" w:firstLine="480"/>
              <w:jc w:val="both"/>
            </w:pPr>
            <w:r>
              <w:rPr>
                <w:rFonts w:ascii="仿宋_GB2312" w:hAnsi="仿宋_GB2312" w:cs="仿宋_GB2312" w:eastAsia="仿宋_GB2312"/>
                <w:sz w:val="24"/>
              </w:rPr>
              <w:t>（6）公服研究：结合高捷片区公共服务设施规划，完善场镇公服配套。</w:t>
            </w:r>
          </w:p>
          <w:p>
            <w:pPr>
              <w:pStyle w:val="null3"/>
              <w:ind w:right="30" w:firstLine="480"/>
              <w:jc w:val="both"/>
            </w:pPr>
            <w:r>
              <w:rPr>
                <w:rFonts w:ascii="仿宋_GB2312" w:hAnsi="仿宋_GB2312" w:cs="仿宋_GB2312" w:eastAsia="仿宋_GB2312"/>
                <w:sz w:val="24"/>
              </w:rPr>
              <w:t>（7）环境提升：对场镇街道立面、路面、市政管网等提出相应的整治措施，提升场镇形象</w:t>
            </w:r>
          </w:p>
          <w:p>
            <w:pPr>
              <w:pStyle w:val="null3"/>
              <w:ind w:right="30" w:firstLine="480"/>
              <w:jc w:val="both"/>
            </w:pPr>
            <w:r>
              <w:rPr>
                <w:rFonts w:ascii="仿宋_GB2312" w:hAnsi="仿宋_GB2312" w:cs="仿宋_GB2312" w:eastAsia="仿宋_GB2312"/>
                <w:sz w:val="24"/>
              </w:rPr>
              <w:t>3.</w:t>
            </w:r>
            <w:r>
              <w:rPr>
                <w:rFonts w:ascii="仿宋_GB2312" w:hAnsi="仿宋_GB2312" w:cs="仿宋_GB2312" w:eastAsia="仿宋_GB2312"/>
                <w:sz w:val="24"/>
              </w:rPr>
              <w:t>供应商需针对本项目编制服务体系方案，包含但不限于：</w:t>
            </w:r>
          </w:p>
          <w:p>
            <w:pPr>
              <w:pStyle w:val="null3"/>
              <w:ind w:right="30" w:firstLine="480"/>
              <w:jc w:val="both"/>
            </w:pPr>
            <w:r>
              <w:rPr>
                <w:rFonts w:ascii="仿宋_GB2312" w:hAnsi="仿宋_GB2312" w:cs="仿宋_GB2312" w:eastAsia="仿宋_GB2312"/>
                <w:sz w:val="24"/>
              </w:rPr>
              <w:t>（1）日常管理及本项目管理制度；</w:t>
            </w:r>
          </w:p>
          <w:p>
            <w:pPr>
              <w:pStyle w:val="null3"/>
              <w:ind w:right="30" w:firstLine="480"/>
              <w:jc w:val="both"/>
            </w:pPr>
            <w:r>
              <w:rPr>
                <w:rFonts w:ascii="仿宋_GB2312" w:hAnsi="仿宋_GB2312" w:cs="仿宋_GB2312" w:eastAsia="仿宋_GB2312"/>
                <w:sz w:val="24"/>
              </w:rPr>
              <w:t>（2）监督考核办法；</w:t>
            </w:r>
          </w:p>
          <w:p>
            <w:pPr>
              <w:pStyle w:val="null3"/>
              <w:ind w:right="30" w:firstLine="480"/>
              <w:jc w:val="both"/>
            </w:pPr>
            <w:r>
              <w:rPr>
                <w:rFonts w:ascii="仿宋_GB2312" w:hAnsi="仿宋_GB2312" w:cs="仿宋_GB2312" w:eastAsia="仿宋_GB2312"/>
                <w:sz w:val="24"/>
              </w:rPr>
              <w:t>（3）内部控制管理；</w:t>
            </w:r>
          </w:p>
          <w:p>
            <w:pPr>
              <w:pStyle w:val="null3"/>
              <w:ind w:right="30" w:firstLine="480"/>
              <w:jc w:val="both"/>
            </w:pPr>
            <w:r>
              <w:rPr>
                <w:rFonts w:ascii="仿宋_GB2312" w:hAnsi="仿宋_GB2312" w:cs="仿宋_GB2312" w:eastAsia="仿宋_GB2312"/>
                <w:sz w:val="24"/>
              </w:rPr>
              <w:t>（4）风险控制。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自合同签订之日起90日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按国家有关规定以及采购文件的服务要求和技术指标、供应商的响应文件及承诺与本合同约定标准进行验收；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1、合同签订后，自收到乙方开具的发票，达到付款条件起10日内，支付合同总金额的40.00%</w:t>
            </w:r>
          </w:p>
          <w:p>
            <w:pPr>
              <w:pStyle w:val="null3"/>
              <w:jc w:val="left"/>
            </w:pPr>
            <w:r>
              <w:rPr>
                <w:rFonts w:ascii="仿宋_GB2312" w:hAnsi="仿宋_GB2312" w:cs="仿宋_GB2312" w:eastAsia="仿宋_GB2312"/>
              </w:rPr>
              <w:t>2、乙方向甲方提交规划成果并取得甲方认可，自收到乙方开具的发票后，达到付款条件起10日内，支付合同总金额的40.00%</w:t>
            </w:r>
          </w:p>
          <w:p>
            <w:pPr>
              <w:pStyle w:val="null3"/>
              <w:jc w:val="left"/>
            </w:pPr>
            <w:r>
              <w:rPr>
                <w:rFonts w:ascii="仿宋_GB2312" w:hAnsi="仿宋_GB2312" w:cs="仿宋_GB2312" w:eastAsia="仿宋_GB2312"/>
              </w:rPr>
              <w:t>3、乙方向甲方提供最终成果后，自收到乙方开具的发票，达到付款条件起10日内，支付合同总金额的20.00%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成交供应商应严格遵守承诺，如有违约，将赔偿因违约给采购人造成的经济损失。如因成交供应商工作人员在履行职责过程中的的疏忽、失职、过错等故意或者过失原因给采购人造成损失或侵害，包括但不限于采购人本身的财产损失、由此而导致的采购人对任何第三方的法律责任等，成交供应商对此均应承担全部的赔偿责任。 2.合同履行期间,若双方发生争议，双方本着友好合作的态度，对合同履行过程中发生的违约行为进行及时的协商解决或由有关部门调解解决，如不能协商解决可向人民法院通过诉讼解决。 3．若因中标人原因在合同规定服务期限内无法履约及提供合格的服务，采购人有权终止合同，并由采购人提请项目同级财政部门将其列入不良行为记录；因不可抗拒力所导致的服务中止或终止等按照《中华人民共和国民法典》有关条文处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响应文件封面,投标（响应）函,供应商认为应当提供的资料1.docx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健全的财务会计制度可提供承诺函或者提供近三年内（任意一年）经第三方审计机构出具的财务审计报告复印件（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本项目非专门面向中小企业采购</w:t>
            </w:r>
          </w:p>
        </w:tc>
        <w:tc>
          <w:tcPr>
            <w:tcW w:type="dxa" w:w="3239"/>
          </w:tcPr>
          <w:p>
            <w:pPr>
              <w:pStyle w:val="null3"/>
              <w:jc w:val="left"/>
            </w:pPr>
            <w:r>
              <w:rPr>
                <w:rFonts w:ascii="仿宋_GB2312" w:hAnsi="仿宋_GB2312" w:cs="仿宋_GB2312" w:eastAsia="仿宋_GB2312"/>
              </w:rPr>
              <w:t>供应商结合自身实际，按照采购文件要求和关联格式，提供《中小企业声明函》或《残疾人福利单位声明函》、《监狱企业证明文件》进行响应</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本项目的特殊资质性要求</w:t>
            </w:r>
          </w:p>
        </w:tc>
        <w:tc>
          <w:tcPr>
            <w:tcW w:type="dxa" w:w="3322"/>
          </w:tcPr>
          <w:p>
            <w:pPr>
              <w:pStyle w:val="null3"/>
              <w:jc w:val="left"/>
            </w:pPr>
            <w:r>
              <w:rPr>
                <w:rFonts w:ascii="仿宋_GB2312" w:hAnsi="仿宋_GB2312" w:cs="仿宋_GB2312" w:eastAsia="仿宋_GB2312"/>
              </w:rPr>
              <w:t>供应商应须具有行政主管部门颁发的在有效期内的城乡规划编制乙级及以上资质证书</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商务、服务应答（★号为实质性要求）</w:t>
            </w:r>
          </w:p>
        </w:tc>
        <w:tc>
          <w:tcPr>
            <w:tcW w:type="dxa" w:w="3322"/>
          </w:tcPr>
          <w:p>
            <w:pPr>
              <w:pStyle w:val="null3"/>
              <w:jc w:val="left"/>
            </w:pPr>
            <w:r>
              <w:rPr>
                <w:rFonts w:ascii="仿宋_GB2312" w:hAnsi="仿宋_GB2312" w:cs="仿宋_GB2312" w:eastAsia="仿宋_GB2312"/>
              </w:rPr>
              <w:t>按第三章★号内容应答</w:t>
            </w:r>
          </w:p>
        </w:tc>
        <w:tc>
          <w:tcPr>
            <w:tcW w:type="dxa" w:w="1910"/>
          </w:tcPr>
          <w:p>
            <w:pPr>
              <w:pStyle w:val="null3"/>
              <w:jc w:val="left"/>
            </w:pPr>
            <w:r>
              <w:rPr>
                <w:rFonts w:ascii="仿宋_GB2312" w:hAnsi="仿宋_GB2312" w:cs="仿宋_GB2312" w:eastAsia="仿宋_GB2312"/>
              </w:rPr>
              <w:t>服务应答表,商务应答表.docx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评审委员会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供应商每提供一个2021年1月1日以来的类似业绩（以合同签订时间为准）得5分，最多得15分。 注：单个合同不重复得分，提供合同复印件或中标（成交）通知书复印件，未提供不得分。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1.项目负责人1人：具有注册城市（乡）规划师资格证书得3分，同时具有城乡规划类正高级及以上技术职称加2分，本项最高得5分。 2. 技术负责人1人：具有注册城市（乡）规划师资格证书得1分，同时具有城乡规划类高级及以上技术职称加1分，本项最高得2分。 3. 供应商拟投入的其他专业人员（项目负责人、技术负责人除外）： （1）每提供1名具有注册城市（乡）规划师资格证书得2分，本项最高得4分； （2）提供1名具有规划类专业中级及以上技术职称得1分；提供1名具有建筑类专业中级及以上技术职称得1分；提供1名景观类专业中级及以上技术职称的人员得1分，本项最高得3分。 注：以上人员不重复得分，提供以上人员在职证明材料和对应证书复印件加盖单位公章，否则不得分。</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1）规划背景：结合上位规划，对高新区的发展目标、产业规划、空间发展进行进行分析研究，总结高新区未来发展方向及目前面临的主要问题。 （2）目标定位：明确片区未来发展定位和总体目标，并提出片区发展的规划策略。 （3）空间研究：区域对接，对片区进行功能优化、存量挖潜，以促进空间融合发展。 （4）交通研究：针对高捷片区客货交通冲突、道路断面不优、公交设施亟待完善、慢行系统建设滞后等问题，深入剖析成因，制定相应的规划提升措施，促进交通融合发展。 （5）产业研究：对高新区一二三产业提出响应措施，完善光伏产业生态圈，打造城乡融合生态圈，促进产业融合发展。 （6）设施研究：联动高场场镇与天光新城，差异化分析，优化完善公服配套，促进服务设施共建共享融合发展。 （7）环境研究：结合片区周边山水景观资源及农旅资源，明确绿道系统规划布局，以贯通城乡空间，弱化城乡边界，实现城乡空间、风貌上的协调过渡，促进环境融合。 方案包括以上7项内容，图文并茂且无缺陷得21分；每缺少1项内容扣3分；每项中每有1处缺陷扣1.5分，每项最多扣3分。 2.供应商需针对高场镇如何融入高新区进行研究分析，包含但不限于： （1）现状概况及问题剖析：依据当地发展建设现状实际，研究高场镇发展的基本情况，深度剖析镇园发展不同步的原因。 （2）目标定位：研究高场镇现有规划定位，结合目前高新区发展特色，提出更具特色的目标定位。 （3）产业研究：结合场镇发展需求与高捷片区发展方向，对一二三产业提出相应的发展策略，助推产镇融合发展。 （4）交通研究：结合片区交通规划，优化完善场镇交通路网、公交系统。 （5）空间研究：结合场镇现状进行存量挖潜低效、闲置用地，对存量用地提出更新措施；根据上位规划，结合场镇发展需求，明确新增用地发展方向。 （6）公服研究：结合高捷片区公共服务设施规划，完善场镇公服配套。 （7）环境提升：对场镇街道立面、路面、市政管网等提出相应的整治措施，提升场镇形象。 方案包括以上7项内容，图文并茂且无缺陷得28分；每缺少1项内容扣4分；每项中每有1处缺陷扣2分，每项最多扣4分。 3.供应商需针对本项目编制服务体系方案，包含但不限于： （1）日常管理及本项目管理制度； （2）监督考核办法； （3）内部控制管理； （4）风险控制。 方案包括以上4项内容且无缺陷得12分；每缺少1项内容扣3分；每项中每有1处缺陷扣1.5分，每项最多扣3分。 注：缺陷是指方案仅有框架或标题，项目的名称、履约地点错误，履约时间不符合要求，内容非专门针对本项目或不适用项目特性，内容不完整或缺少关键节点、缺少相关规划图纸，套用其他项目方案、内容前后矛盾、不利于项目实施、不可能实现的情形的上述任意一种情形。</w:t>
            </w:r>
          </w:p>
        </w:tc>
        <w:tc>
          <w:tcPr>
            <w:tcW w:type="dxa" w:w="831"/>
          </w:tcPr>
          <w:p>
            <w:pPr>
              <w:pStyle w:val="null3"/>
              <w:jc w:val="center"/>
            </w:pPr>
            <w:r>
              <w:rPr>
                <w:rFonts w:ascii="仿宋_GB2312" w:hAnsi="仿宋_GB2312" w:cs="仿宋_GB2312" w:eastAsia="仿宋_GB2312"/>
              </w:rPr>
              <w:t>61.0000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详见附件：供应商认为应当提供的资料1.docx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