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5B232D7">
      <w:pPr>
        <w:pStyle w:val="92"/>
        <w:kinsoku/>
        <w:wordWrap/>
        <w:overflowPunct/>
        <w:bidi w:val="0"/>
        <w:snapToGrid w:val="0"/>
        <w:spacing w:before="0" w:beforeAutospacing="0" w:after="0" w:afterAutospacing="0" w:line="240" w:lineRule="auto"/>
        <w:jc w:val="center"/>
        <w:textAlignment w:val="baseline"/>
        <w:rPr>
          <w:rFonts w:hint="eastAsia" w:ascii="宋体" w:hAnsi="宋体" w:eastAsia="宋体" w:cs="宋体"/>
          <w:b/>
          <w:bCs/>
          <w:color w:val="auto"/>
          <w:spacing w:val="0"/>
          <w:position w:val="0"/>
          <w:sz w:val="96"/>
          <w:szCs w:val="96"/>
          <w:highlight w:val="none"/>
          <w:lang w:eastAsia="zh-CN"/>
        </w:rPr>
      </w:pPr>
    </w:p>
    <w:p w14:paraId="603A6BCA">
      <w:pPr>
        <w:pStyle w:val="92"/>
        <w:kinsoku/>
        <w:wordWrap/>
        <w:overflowPunct/>
        <w:bidi w:val="0"/>
        <w:snapToGrid w:val="0"/>
        <w:spacing w:before="0" w:beforeAutospacing="0" w:after="0" w:afterAutospacing="0" w:line="240" w:lineRule="auto"/>
        <w:jc w:val="center"/>
        <w:textAlignment w:val="baseline"/>
        <w:rPr>
          <w:rStyle w:val="56"/>
          <w:rFonts w:hint="eastAsia" w:ascii="宋体" w:hAnsi="宋体" w:eastAsia="宋体" w:cs="宋体"/>
          <w:b/>
          <w:i w:val="0"/>
          <w:caps w:val="0"/>
          <w:color w:val="auto"/>
          <w:spacing w:val="0"/>
          <w:w w:val="100"/>
          <w:position w:val="0"/>
          <w:sz w:val="72"/>
          <w:szCs w:val="72"/>
          <w:highlight w:val="none"/>
          <w:lang w:val="en-US" w:eastAsia="zh-CN" w:bidi="ar-SA"/>
        </w:rPr>
      </w:pPr>
      <w:r>
        <w:rPr>
          <w:rFonts w:hint="eastAsia" w:ascii="宋体" w:hAnsi="宋体" w:eastAsia="宋体" w:cs="宋体"/>
          <w:b/>
          <w:bCs/>
          <w:color w:val="auto"/>
          <w:spacing w:val="0"/>
          <w:position w:val="0"/>
          <w:sz w:val="72"/>
          <w:szCs w:val="72"/>
          <w:highlight w:val="none"/>
          <w:lang w:eastAsia="zh-CN"/>
        </w:rPr>
        <w:t>政府采购</w:t>
      </w:r>
    </w:p>
    <w:p w14:paraId="4E5C006A">
      <w:pPr>
        <w:kinsoku/>
        <w:wordWrap/>
        <w:overflowPunct/>
        <w:bidi w:val="0"/>
        <w:snapToGrid w:val="0"/>
        <w:spacing w:before="0" w:beforeAutospacing="0" w:after="0" w:afterAutospacing="0" w:line="240" w:lineRule="auto"/>
        <w:jc w:val="center"/>
        <w:textAlignment w:val="baseline"/>
        <w:rPr>
          <w:rStyle w:val="56"/>
          <w:rFonts w:hint="eastAsia" w:ascii="宋体" w:hAnsi="宋体" w:eastAsia="宋体" w:cs="宋体"/>
          <w:b/>
          <w:i w:val="0"/>
          <w:caps w:val="0"/>
          <w:color w:val="auto"/>
          <w:spacing w:val="0"/>
          <w:w w:val="100"/>
          <w:kern w:val="2"/>
          <w:position w:val="0"/>
          <w:sz w:val="72"/>
          <w:szCs w:val="72"/>
          <w:highlight w:val="none"/>
          <w:lang w:val="en-US" w:eastAsia="zh-CN" w:bidi="ar-SA"/>
        </w:rPr>
      </w:pPr>
      <w:r>
        <w:rPr>
          <w:rStyle w:val="56"/>
          <w:rFonts w:hint="eastAsia" w:ascii="宋体" w:hAnsi="宋体" w:eastAsia="宋体" w:cs="宋体"/>
          <w:b/>
          <w:i w:val="0"/>
          <w:caps w:val="0"/>
          <w:color w:val="auto"/>
          <w:spacing w:val="0"/>
          <w:w w:val="100"/>
          <w:kern w:val="2"/>
          <w:position w:val="0"/>
          <w:sz w:val="72"/>
          <w:szCs w:val="72"/>
          <w:highlight w:val="none"/>
          <w:lang w:val="en-US" w:eastAsia="zh-CN" w:bidi="ar-SA"/>
        </w:rPr>
        <w:t>竞争性磋商文件</w:t>
      </w:r>
    </w:p>
    <w:p w14:paraId="75A4A761">
      <w:pPr>
        <w:kinsoku/>
        <w:wordWrap/>
        <w:overflowPunct/>
        <w:bidi w:val="0"/>
        <w:snapToGrid w:val="0"/>
        <w:spacing w:before="0" w:beforeAutospacing="0" w:after="0" w:afterAutospacing="0" w:line="240" w:lineRule="auto"/>
        <w:jc w:val="center"/>
        <w:textAlignment w:val="baseline"/>
        <w:rPr>
          <w:rStyle w:val="56"/>
          <w:rFonts w:hint="eastAsia" w:ascii="宋体" w:hAnsi="宋体" w:eastAsia="宋体" w:cs="宋体"/>
          <w:b/>
          <w:i w:val="0"/>
          <w:caps w:val="0"/>
          <w:color w:val="auto"/>
          <w:spacing w:val="0"/>
          <w:w w:val="100"/>
          <w:kern w:val="2"/>
          <w:position w:val="0"/>
          <w:sz w:val="44"/>
          <w:szCs w:val="44"/>
          <w:highlight w:val="none"/>
          <w:lang w:val="en-US" w:eastAsia="zh-CN" w:bidi="ar-SA"/>
        </w:rPr>
      </w:pPr>
      <w:r>
        <w:rPr>
          <w:rStyle w:val="56"/>
          <w:rFonts w:hint="eastAsia" w:ascii="宋体" w:hAnsi="宋体" w:eastAsia="宋体" w:cs="宋体"/>
          <w:b/>
          <w:i w:val="0"/>
          <w:caps w:val="0"/>
          <w:color w:val="auto"/>
          <w:spacing w:val="0"/>
          <w:w w:val="100"/>
          <w:kern w:val="2"/>
          <w:position w:val="0"/>
          <w:sz w:val="44"/>
          <w:szCs w:val="44"/>
          <w:highlight w:val="none"/>
          <w:lang w:val="en-US" w:eastAsia="zh-CN" w:bidi="ar-SA"/>
        </w:rPr>
        <w:t>（工程类）</w:t>
      </w:r>
    </w:p>
    <w:p w14:paraId="4EF4C1FA">
      <w:pPr>
        <w:kinsoku/>
        <w:wordWrap/>
        <w:overflowPunct/>
        <w:bidi w:val="0"/>
        <w:snapToGrid w:val="0"/>
        <w:spacing w:before="0" w:beforeAutospacing="0" w:after="0" w:afterAutospacing="0" w:line="240" w:lineRule="auto"/>
        <w:jc w:val="center"/>
        <w:textAlignment w:val="baseline"/>
        <w:rPr>
          <w:rStyle w:val="56"/>
          <w:rFonts w:hint="eastAsia" w:ascii="宋体" w:hAnsi="宋体" w:eastAsia="宋体" w:cs="宋体"/>
          <w:b/>
          <w:i w:val="0"/>
          <w:caps w:val="0"/>
          <w:color w:val="auto"/>
          <w:spacing w:val="0"/>
          <w:w w:val="100"/>
          <w:kern w:val="2"/>
          <w:position w:val="0"/>
          <w:sz w:val="44"/>
          <w:szCs w:val="44"/>
          <w:highlight w:val="none"/>
          <w:lang w:val="en-US" w:eastAsia="zh-CN" w:bidi="ar-SA"/>
        </w:rPr>
      </w:pPr>
    </w:p>
    <w:p w14:paraId="372B6947">
      <w:pPr>
        <w:pStyle w:val="19"/>
        <w:pageBreakBefore w:val="0"/>
        <w:kinsoku/>
        <w:wordWrap/>
        <w:overflowPunct/>
        <w:topLinePunct w:val="0"/>
        <w:bidi w:val="0"/>
        <w:spacing w:line="600" w:lineRule="auto"/>
        <w:ind w:left="0" w:leftChars="0" w:firstLine="0" w:firstLineChars="0"/>
        <w:rPr>
          <w:rFonts w:hint="eastAsia" w:asciiTheme="minorEastAsia" w:hAnsiTheme="minorEastAsia" w:eastAsiaTheme="minorEastAsia" w:cstheme="minorEastAsia"/>
          <w:b/>
          <w:bCs/>
          <w:color w:val="000000" w:themeColor="text1"/>
          <w:spacing w:val="0"/>
          <w:position w:val="0"/>
          <w:sz w:val="28"/>
          <w:szCs w:val="36"/>
          <w:highlight w:val="none"/>
          <w14:textFill>
            <w14:solidFill>
              <w14:schemeClr w14:val="tx1"/>
            </w14:solidFill>
          </w14:textFill>
        </w:rPr>
      </w:pPr>
      <w:r>
        <w:rPr>
          <w:rFonts w:hint="eastAsia" w:ascii="宋体" w:hAnsi="宋体" w:eastAsia="宋体" w:cs="宋体"/>
          <w:b/>
          <w:bCs/>
          <w:color w:val="auto"/>
          <w:spacing w:val="0"/>
          <w:position w:val="0"/>
          <w:sz w:val="30"/>
          <w:szCs w:val="30"/>
          <w:highlight w:val="none"/>
          <w:lang w:eastAsia="zh-CN"/>
        </w:rPr>
        <w:t>项目名称：</w:t>
      </w:r>
      <w:r>
        <w:rPr>
          <w:rFonts w:hint="eastAsia" w:ascii="宋体" w:hAnsi="宋体" w:cs="宋体"/>
          <w:b/>
          <w:bCs/>
          <w:color w:val="auto"/>
          <w:spacing w:val="0"/>
          <w:position w:val="0"/>
          <w:sz w:val="30"/>
          <w:szCs w:val="30"/>
          <w:highlight w:val="none"/>
          <w:lang w:val="en-US" w:eastAsia="zh-CN"/>
        </w:rPr>
        <w:t>甘泉堡经开区2025年市政道路及附属设施维护项目</w:t>
      </w:r>
    </w:p>
    <w:p w14:paraId="1E3D0A10">
      <w:pPr>
        <w:pStyle w:val="19"/>
        <w:pageBreakBefore w:val="0"/>
        <w:kinsoku/>
        <w:wordWrap/>
        <w:overflowPunct/>
        <w:topLinePunct w:val="0"/>
        <w:bidi w:val="0"/>
        <w:spacing w:line="600" w:lineRule="auto"/>
        <w:ind w:left="0" w:leftChars="0" w:firstLine="0" w:firstLineChars="0"/>
        <w:rPr>
          <w:rFonts w:hint="eastAsia" w:asciiTheme="minorEastAsia" w:hAnsiTheme="minorEastAsia" w:eastAsiaTheme="minorEastAsia" w:cstheme="minorEastAsia"/>
          <w:b/>
          <w:bCs/>
          <w:color w:val="000000" w:themeColor="text1"/>
          <w:spacing w:val="0"/>
          <w:position w:val="0"/>
          <w:sz w:val="28"/>
          <w:szCs w:val="36"/>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0"/>
          <w:position w:val="0"/>
          <w:sz w:val="28"/>
          <w:szCs w:val="36"/>
          <w:highlight w:val="none"/>
          <w14:textFill>
            <w14:solidFill>
              <w14:schemeClr w14:val="tx1"/>
            </w14:solidFill>
          </w14:textFill>
        </w:rPr>
        <w:t>采购人</w:t>
      </w:r>
      <w:r>
        <w:rPr>
          <w:rFonts w:hint="eastAsia" w:asciiTheme="minorEastAsia" w:hAnsiTheme="minorEastAsia" w:eastAsiaTheme="minorEastAsia" w:cstheme="minorEastAsia"/>
          <w:b/>
          <w:bCs/>
          <w:color w:val="000000" w:themeColor="text1"/>
          <w:spacing w:val="0"/>
          <w:position w:val="0"/>
          <w:sz w:val="28"/>
          <w:szCs w:val="36"/>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pacing w:val="0"/>
          <w:position w:val="0"/>
          <w:sz w:val="28"/>
          <w:szCs w:val="36"/>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pacing w:val="0"/>
          <w:position w:val="0"/>
          <w:sz w:val="28"/>
          <w:szCs w:val="36"/>
          <w:highlight w:val="none"/>
          <w:lang w:eastAsia="zh-CN"/>
          <w14:textFill>
            <w14:solidFill>
              <w14:schemeClr w14:val="tx1"/>
            </w14:solidFill>
          </w14:textFill>
        </w:rPr>
        <w:t>乌鲁木齐甘泉堡经济技术开发（工业区）建设综合管理服务中心（建设工程招投标管理中心）</w:t>
      </w:r>
    </w:p>
    <w:p w14:paraId="6BDAA196">
      <w:pPr>
        <w:pStyle w:val="19"/>
        <w:pageBreakBefore w:val="0"/>
        <w:kinsoku/>
        <w:wordWrap/>
        <w:overflowPunct/>
        <w:topLinePunct w:val="0"/>
        <w:bidi w:val="0"/>
        <w:spacing w:line="600" w:lineRule="auto"/>
        <w:ind w:left="0" w:leftChars="0" w:firstLine="0" w:firstLineChars="0"/>
        <w:rPr>
          <w:rFonts w:hint="eastAsia" w:asciiTheme="minorEastAsia" w:hAnsiTheme="minorEastAsia" w:eastAsiaTheme="minorEastAsia" w:cstheme="minorEastAsia"/>
          <w:b/>
          <w:bCs/>
          <w:color w:val="000000" w:themeColor="text1"/>
          <w:spacing w:val="0"/>
          <w:position w:val="0"/>
          <w:sz w:val="28"/>
          <w:szCs w:val="36"/>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0"/>
          <w:position w:val="0"/>
          <w:sz w:val="28"/>
          <w:szCs w:val="36"/>
          <w:highlight w:val="none"/>
          <w:lang w:eastAsia="zh-CN"/>
          <w14:textFill>
            <w14:solidFill>
              <w14:schemeClr w14:val="tx1"/>
            </w14:solidFill>
          </w14:textFill>
        </w:rPr>
        <w:t>联系人：</w:t>
      </w:r>
      <w:r>
        <w:rPr>
          <w:rFonts w:hint="eastAsia" w:asciiTheme="minorEastAsia" w:hAnsiTheme="minorEastAsia" w:eastAsiaTheme="minorEastAsia" w:cstheme="minorEastAsia"/>
          <w:b/>
          <w:bCs/>
          <w:color w:val="000000" w:themeColor="text1"/>
          <w:spacing w:val="0"/>
          <w:position w:val="0"/>
          <w:sz w:val="28"/>
          <w:szCs w:val="36"/>
          <w:highlight w:val="none"/>
          <w:lang w:val="en-US" w:eastAsia="zh-CN"/>
          <w14:textFill>
            <w14:solidFill>
              <w14:schemeClr w14:val="tx1"/>
            </w14:solidFill>
          </w14:textFill>
        </w:rPr>
        <w:t xml:space="preserve">张工        </w:t>
      </w:r>
    </w:p>
    <w:p w14:paraId="3A2147B8">
      <w:pPr>
        <w:pStyle w:val="19"/>
        <w:pageBreakBefore w:val="0"/>
        <w:kinsoku/>
        <w:wordWrap/>
        <w:overflowPunct/>
        <w:topLinePunct w:val="0"/>
        <w:bidi w:val="0"/>
        <w:spacing w:line="600" w:lineRule="auto"/>
        <w:ind w:left="0" w:leftChars="0" w:firstLine="0" w:firstLineChars="0"/>
        <w:rPr>
          <w:rFonts w:hint="default" w:asciiTheme="minorEastAsia" w:hAnsiTheme="minorEastAsia" w:eastAsiaTheme="minorEastAsia" w:cstheme="minorEastAsia"/>
          <w:b/>
          <w:bCs/>
          <w:color w:val="000000" w:themeColor="text1"/>
          <w:spacing w:val="0"/>
          <w:position w:val="0"/>
          <w:sz w:val="28"/>
          <w:szCs w:val="36"/>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0"/>
          <w:position w:val="0"/>
          <w:sz w:val="28"/>
          <w:szCs w:val="36"/>
          <w:highlight w:val="none"/>
          <w:lang w:val="en-US" w:eastAsia="zh-CN"/>
          <w14:textFill>
            <w14:solidFill>
              <w14:schemeClr w14:val="tx1"/>
            </w14:solidFill>
          </w14:textFill>
        </w:rPr>
        <w:t>联</w:t>
      </w:r>
      <w:r>
        <w:rPr>
          <w:rFonts w:hint="eastAsia" w:asciiTheme="minorEastAsia" w:hAnsiTheme="minorEastAsia" w:eastAsiaTheme="minorEastAsia" w:cstheme="minorEastAsia"/>
          <w:b/>
          <w:bCs/>
          <w:color w:val="000000" w:themeColor="text1"/>
          <w:spacing w:val="0"/>
          <w:position w:val="0"/>
          <w:sz w:val="28"/>
          <w:szCs w:val="36"/>
          <w:highlight w:val="none"/>
          <w:lang w:eastAsia="zh-CN"/>
          <w14:textFill>
            <w14:solidFill>
              <w14:schemeClr w14:val="tx1"/>
            </w14:solidFill>
          </w14:textFill>
        </w:rPr>
        <w:t>系电话：</w:t>
      </w:r>
      <w:r>
        <w:rPr>
          <w:rFonts w:hint="eastAsia" w:asciiTheme="minorEastAsia" w:hAnsiTheme="minorEastAsia" w:eastAsiaTheme="minorEastAsia" w:cstheme="minorEastAsia"/>
          <w:b/>
          <w:bCs/>
          <w:color w:val="000000" w:themeColor="text1"/>
          <w:spacing w:val="0"/>
          <w:position w:val="0"/>
          <w:sz w:val="28"/>
          <w:szCs w:val="36"/>
          <w:highlight w:val="none"/>
          <w:lang w:val="en-US" w:eastAsia="zh-CN"/>
          <w14:textFill>
            <w14:solidFill>
              <w14:schemeClr w14:val="tx1"/>
            </w14:solidFill>
          </w14:textFill>
        </w:rPr>
        <w:t>0991-7706724</w:t>
      </w:r>
    </w:p>
    <w:p w14:paraId="3BA1C140">
      <w:pPr>
        <w:pStyle w:val="19"/>
        <w:pageBreakBefore w:val="0"/>
        <w:kinsoku/>
        <w:wordWrap/>
        <w:overflowPunct/>
        <w:topLinePunct w:val="0"/>
        <w:bidi w:val="0"/>
        <w:spacing w:line="600" w:lineRule="auto"/>
        <w:ind w:left="0" w:leftChars="0" w:firstLine="0" w:firstLineChars="0"/>
        <w:rPr>
          <w:rFonts w:hint="eastAsia" w:asciiTheme="minorEastAsia" w:hAnsiTheme="minorEastAsia" w:eastAsiaTheme="minorEastAsia" w:cstheme="minorEastAsia"/>
          <w:b/>
          <w:bCs/>
          <w:color w:val="000000" w:themeColor="text1"/>
          <w:spacing w:val="0"/>
          <w:position w:val="0"/>
          <w:sz w:val="28"/>
          <w:szCs w:val="36"/>
          <w:highlight w:val="none"/>
          <w14:textFill>
            <w14:solidFill>
              <w14:schemeClr w14:val="tx1"/>
            </w14:solidFill>
          </w14:textFill>
        </w:rPr>
      </w:pPr>
    </w:p>
    <w:p w14:paraId="5D916740">
      <w:pPr>
        <w:pStyle w:val="19"/>
        <w:pageBreakBefore w:val="0"/>
        <w:kinsoku/>
        <w:wordWrap/>
        <w:overflowPunct/>
        <w:topLinePunct w:val="0"/>
        <w:bidi w:val="0"/>
        <w:spacing w:line="600" w:lineRule="auto"/>
        <w:ind w:left="0" w:leftChars="0" w:firstLine="0" w:firstLineChars="0"/>
        <w:rPr>
          <w:rFonts w:hint="eastAsia" w:asciiTheme="minorEastAsia" w:hAnsiTheme="minorEastAsia" w:eastAsiaTheme="minorEastAsia" w:cstheme="minorEastAsia"/>
          <w:b/>
          <w:bCs/>
          <w:color w:val="000000" w:themeColor="text1"/>
          <w:spacing w:val="0"/>
          <w:position w:val="0"/>
          <w:sz w:val="28"/>
          <w:szCs w:val="36"/>
          <w:highlight w:val="none"/>
          <w:u w:val="singl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0"/>
          <w:position w:val="0"/>
          <w:sz w:val="28"/>
          <w:szCs w:val="36"/>
          <w:highlight w:val="none"/>
          <w14:textFill>
            <w14:solidFill>
              <w14:schemeClr w14:val="tx1"/>
            </w14:solidFill>
          </w14:textFill>
        </w:rPr>
        <w:t>代理机构</w:t>
      </w:r>
      <w:r>
        <w:rPr>
          <w:rFonts w:hint="eastAsia" w:asciiTheme="minorEastAsia" w:hAnsiTheme="minorEastAsia" w:eastAsiaTheme="minorEastAsia" w:cstheme="minorEastAsia"/>
          <w:b/>
          <w:bCs/>
          <w:color w:val="000000" w:themeColor="text1"/>
          <w:spacing w:val="0"/>
          <w:position w:val="0"/>
          <w:sz w:val="28"/>
          <w:szCs w:val="36"/>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pacing w:val="0"/>
          <w:position w:val="0"/>
          <w:sz w:val="28"/>
          <w:szCs w:val="36"/>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pacing w:val="0"/>
          <w:position w:val="0"/>
          <w:sz w:val="28"/>
          <w:szCs w:val="36"/>
          <w:highlight w:val="none"/>
          <w:lang w:eastAsia="zh-CN"/>
          <w14:textFill>
            <w14:solidFill>
              <w14:schemeClr w14:val="tx1"/>
            </w14:solidFill>
          </w14:textFill>
        </w:rPr>
        <w:t>新疆悦隆项目管理有限公司</w:t>
      </w:r>
    </w:p>
    <w:p w14:paraId="4A13412E">
      <w:pPr>
        <w:pStyle w:val="19"/>
        <w:pageBreakBefore w:val="0"/>
        <w:kinsoku/>
        <w:wordWrap/>
        <w:overflowPunct/>
        <w:topLinePunct w:val="0"/>
        <w:bidi w:val="0"/>
        <w:spacing w:line="600" w:lineRule="auto"/>
        <w:ind w:left="0" w:leftChars="0" w:firstLine="0" w:firstLineChars="0"/>
        <w:jc w:val="left"/>
        <w:rPr>
          <w:rFonts w:hint="eastAsia" w:asciiTheme="minorEastAsia" w:hAnsiTheme="minorEastAsia" w:eastAsiaTheme="minorEastAsia" w:cstheme="minorEastAsia"/>
          <w:b/>
          <w:bCs/>
          <w:color w:val="000000" w:themeColor="text1"/>
          <w:spacing w:val="0"/>
          <w:position w:val="0"/>
          <w:sz w:val="28"/>
          <w:szCs w:val="36"/>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0"/>
          <w:position w:val="0"/>
          <w:sz w:val="28"/>
          <w:szCs w:val="36"/>
          <w:highlight w:val="none"/>
          <w:lang w:eastAsia="zh-CN"/>
          <w14:textFill>
            <w14:solidFill>
              <w14:schemeClr w14:val="tx1"/>
            </w14:solidFill>
          </w14:textFill>
        </w:rPr>
        <w:t>联系人：白工</w:t>
      </w:r>
      <w:r>
        <w:rPr>
          <w:rFonts w:hint="eastAsia" w:asciiTheme="minorEastAsia" w:hAnsiTheme="minorEastAsia" w:eastAsiaTheme="minorEastAsia" w:cstheme="minorEastAsia"/>
          <w:b/>
          <w:bCs/>
          <w:color w:val="000000" w:themeColor="text1"/>
          <w:spacing w:val="0"/>
          <w:position w:val="0"/>
          <w:sz w:val="28"/>
          <w:szCs w:val="36"/>
          <w:highlight w:val="none"/>
          <w:lang w:val="en-US" w:eastAsia="zh-CN"/>
          <w14:textFill>
            <w14:solidFill>
              <w14:schemeClr w14:val="tx1"/>
            </w14:solidFill>
          </w14:textFill>
        </w:rPr>
        <w:t xml:space="preserve">          </w:t>
      </w:r>
    </w:p>
    <w:p w14:paraId="3BF0EE8C">
      <w:pPr>
        <w:pStyle w:val="19"/>
        <w:pageBreakBefore w:val="0"/>
        <w:kinsoku/>
        <w:wordWrap/>
        <w:overflowPunct/>
        <w:topLinePunct w:val="0"/>
        <w:bidi w:val="0"/>
        <w:spacing w:line="600" w:lineRule="auto"/>
        <w:ind w:left="0" w:leftChars="0" w:firstLine="0" w:firstLineChars="0"/>
        <w:jc w:val="left"/>
        <w:rPr>
          <w:rFonts w:hint="eastAsia" w:asciiTheme="minorEastAsia" w:hAnsiTheme="minorEastAsia" w:eastAsiaTheme="minorEastAsia" w:cstheme="minorEastAsia"/>
          <w:b/>
          <w:bCs/>
          <w:color w:val="000000" w:themeColor="text1"/>
          <w:spacing w:val="0"/>
          <w:position w:val="0"/>
          <w:sz w:val="28"/>
          <w:szCs w:val="36"/>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0"/>
          <w:position w:val="0"/>
          <w:sz w:val="28"/>
          <w:szCs w:val="36"/>
          <w:highlight w:val="none"/>
          <w:lang w:eastAsia="zh-CN"/>
          <w14:textFill>
            <w14:solidFill>
              <w14:schemeClr w14:val="tx1"/>
            </w14:solidFill>
          </w14:textFill>
        </w:rPr>
        <w:t>联系电话：17726895071</w:t>
      </w:r>
    </w:p>
    <w:p w14:paraId="0B7150BE">
      <w:pPr>
        <w:pStyle w:val="23"/>
        <w:kinsoku/>
        <w:wordWrap/>
        <w:overflowPunct/>
        <w:bidi w:val="0"/>
        <w:adjustRightInd w:val="0"/>
        <w:snapToGrid w:val="0"/>
        <w:spacing w:line="360" w:lineRule="auto"/>
        <w:jc w:val="center"/>
        <w:rPr>
          <w:rFonts w:hint="eastAsia" w:asciiTheme="minorEastAsia" w:hAnsiTheme="minorEastAsia" w:eastAsiaTheme="minorEastAsia" w:cstheme="minorEastAsia"/>
          <w:b/>
          <w:color w:val="000000" w:themeColor="text1"/>
          <w:spacing w:val="0"/>
          <w:position w:val="0"/>
          <w:sz w:val="32"/>
          <w:szCs w:val="32"/>
          <w:highlight w:val="none"/>
          <w14:textFill>
            <w14:solidFill>
              <w14:schemeClr w14:val="tx1"/>
            </w14:solidFill>
          </w14:textFill>
        </w:rPr>
        <w:sectPr>
          <w:headerReference r:id="rId3" w:type="default"/>
          <w:footerReference r:id="rId5" w:type="default"/>
          <w:headerReference r:id="rId4" w:type="even"/>
          <w:pgSz w:w="11906" w:h="16838"/>
          <w:pgMar w:top="1440" w:right="1531" w:bottom="1440" w:left="1531" w:header="851" w:footer="992" w:gutter="0"/>
          <w:pgNumType w:fmt="decimal" w:start="0"/>
          <w:cols w:space="720" w:num="1"/>
          <w:docGrid w:type="lines" w:linePitch="312" w:charSpace="0"/>
        </w:sectPr>
      </w:pPr>
    </w:p>
    <w:p w14:paraId="03291BE2">
      <w:pPr>
        <w:pStyle w:val="23"/>
        <w:kinsoku/>
        <w:wordWrap/>
        <w:overflowPunct/>
        <w:bidi w:val="0"/>
        <w:adjustRightInd w:val="0"/>
        <w:snapToGrid w:val="0"/>
        <w:spacing w:line="360" w:lineRule="auto"/>
        <w:jc w:val="center"/>
        <w:rPr>
          <w:rFonts w:hint="eastAsia" w:ascii="宋体" w:hAnsi="宋体" w:eastAsia="宋体" w:cs="宋体"/>
          <w:b/>
          <w:color w:val="auto"/>
          <w:spacing w:val="0"/>
          <w:position w:val="0"/>
          <w:sz w:val="32"/>
          <w:szCs w:val="32"/>
          <w:highlight w:val="none"/>
        </w:rPr>
      </w:pPr>
      <w:r>
        <w:rPr>
          <w:rFonts w:hint="eastAsia" w:ascii="宋体" w:hAnsi="宋体" w:eastAsia="宋体" w:cs="宋体"/>
          <w:b/>
          <w:color w:val="auto"/>
          <w:spacing w:val="0"/>
          <w:position w:val="0"/>
          <w:sz w:val="32"/>
          <w:szCs w:val="32"/>
          <w:highlight w:val="none"/>
        </w:rPr>
        <w:t>目录</w:t>
      </w:r>
    </w:p>
    <w:p w14:paraId="69408570">
      <w:pPr>
        <w:pStyle w:val="23"/>
        <w:kinsoku/>
        <w:wordWrap/>
        <w:overflowPunct/>
        <w:bidi w:val="0"/>
        <w:adjustRightInd w:val="0"/>
        <w:snapToGrid w:val="0"/>
        <w:spacing w:line="360" w:lineRule="auto"/>
        <w:jc w:val="center"/>
        <w:rPr>
          <w:rFonts w:hint="eastAsia" w:ascii="宋体" w:hAnsi="宋体" w:eastAsia="宋体" w:cs="宋体"/>
          <w:b/>
          <w:color w:val="auto"/>
          <w:spacing w:val="0"/>
          <w:position w:val="0"/>
          <w:sz w:val="32"/>
          <w:szCs w:val="32"/>
          <w:highlight w:val="none"/>
        </w:rPr>
      </w:pPr>
    </w:p>
    <w:p w14:paraId="60520252">
      <w:pPr>
        <w:pStyle w:val="29"/>
        <w:tabs>
          <w:tab w:val="right" w:leader="dot" w:pos="8312"/>
        </w:tabs>
        <w:spacing w:line="480" w:lineRule="auto"/>
        <w:rPr>
          <w:rFonts w:hint="eastAsia" w:ascii="宋体" w:hAnsi="宋体" w:eastAsia="宋体" w:cs="宋体"/>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TOC \o "1-3" \h \u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Cs w:val="24"/>
          <w:highlight w:val="none"/>
        </w:rPr>
        <w:fldChar w:fldCharType="begin"/>
      </w:r>
      <w:r>
        <w:rPr>
          <w:rFonts w:hint="eastAsia" w:ascii="宋体" w:hAnsi="宋体" w:eastAsia="宋体" w:cs="宋体"/>
          <w:spacing w:val="0"/>
          <w:position w:val="0"/>
          <w:szCs w:val="24"/>
          <w:highlight w:val="none"/>
        </w:rPr>
        <w:instrText xml:space="preserve"> HYPERLINK \l _Toc24529 </w:instrText>
      </w:r>
      <w:r>
        <w:rPr>
          <w:rFonts w:hint="eastAsia" w:ascii="宋体" w:hAnsi="宋体" w:eastAsia="宋体" w:cs="宋体"/>
          <w:spacing w:val="0"/>
          <w:position w:val="0"/>
          <w:szCs w:val="24"/>
          <w:highlight w:val="none"/>
        </w:rPr>
        <w:fldChar w:fldCharType="separate"/>
      </w:r>
      <w:r>
        <w:rPr>
          <w:rFonts w:hint="eastAsia" w:ascii="宋体" w:hAnsi="宋体" w:eastAsia="宋体" w:cs="宋体"/>
          <w:bCs/>
          <w:spacing w:val="0"/>
          <w:position w:val="0"/>
          <w:szCs w:val="28"/>
          <w:highlight w:val="none"/>
        </w:rPr>
        <w:t xml:space="preserve">第一章  </w:t>
      </w:r>
      <w:r>
        <w:rPr>
          <w:rFonts w:hint="eastAsia" w:ascii="宋体" w:hAnsi="宋体" w:eastAsia="宋体" w:cs="宋体"/>
          <w:bCs/>
          <w:spacing w:val="0"/>
          <w:position w:val="0"/>
          <w:szCs w:val="28"/>
          <w:highlight w:val="none"/>
          <w:lang w:eastAsia="zh-CN"/>
        </w:rPr>
        <w:t>竞争性磋商公告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_Toc24529 \h </w:instrText>
      </w:r>
      <w:r>
        <w:rPr>
          <w:rFonts w:hint="eastAsia" w:ascii="宋体" w:hAnsi="宋体" w:eastAsia="宋体" w:cs="宋体"/>
          <w:highlight w:val="none"/>
        </w:rPr>
        <w:fldChar w:fldCharType="separate"/>
      </w:r>
      <w:r>
        <w:rPr>
          <w:rFonts w:hint="eastAsia" w:ascii="宋体" w:hAnsi="宋体" w:eastAsia="宋体" w:cs="宋体"/>
          <w:highlight w:val="none"/>
        </w:rPr>
        <w:t>4</w:t>
      </w:r>
      <w:r>
        <w:rPr>
          <w:rFonts w:hint="eastAsia" w:ascii="宋体" w:hAnsi="宋体" w:eastAsia="宋体" w:cs="宋体"/>
          <w:highlight w:val="none"/>
        </w:rPr>
        <w:fldChar w:fldCharType="end"/>
      </w:r>
      <w:r>
        <w:rPr>
          <w:rFonts w:hint="eastAsia" w:ascii="宋体" w:hAnsi="宋体" w:eastAsia="宋体" w:cs="宋体"/>
          <w:color w:val="auto"/>
          <w:spacing w:val="0"/>
          <w:position w:val="0"/>
          <w:szCs w:val="24"/>
          <w:highlight w:val="none"/>
        </w:rPr>
        <w:fldChar w:fldCharType="end"/>
      </w:r>
    </w:p>
    <w:p w14:paraId="40203C52">
      <w:pPr>
        <w:pStyle w:val="29"/>
        <w:tabs>
          <w:tab w:val="right" w:leader="dot" w:pos="8312"/>
        </w:tabs>
        <w:spacing w:line="480" w:lineRule="auto"/>
        <w:rPr>
          <w:rFonts w:hint="eastAsia" w:ascii="宋体" w:hAnsi="宋体" w:eastAsia="宋体" w:cs="宋体"/>
          <w:highlight w:val="none"/>
        </w:rPr>
      </w:pPr>
      <w:r>
        <w:rPr>
          <w:rFonts w:hint="eastAsia" w:ascii="宋体" w:hAnsi="宋体" w:eastAsia="宋体" w:cs="宋体"/>
          <w:color w:val="auto"/>
          <w:spacing w:val="0"/>
          <w:position w:val="0"/>
          <w:szCs w:val="24"/>
          <w:highlight w:val="none"/>
        </w:rPr>
        <w:fldChar w:fldCharType="begin"/>
      </w:r>
      <w:r>
        <w:rPr>
          <w:rFonts w:hint="eastAsia" w:ascii="宋体" w:hAnsi="宋体" w:eastAsia="宋体" w:cs="宋体"/>
          <w:spacing w:val="0"/>
          <w:position w:val="0"/>
          <w:szCs w:val="24"/>
          <w:highlight w:val="none"/>
        </w:rPr>
        <w:instrText xml:space="preserve"> HYPERLINK \l _Toc583 </w:instrText>
      </w:r>
      <w:r>
        <w:rPr>
          <w:rFonts w:hint="eastAsia" w:ascii="宋体" w:hAnsi="宋体" w:eastAsia="宋体" w:cs="宋体"/>
          <w:spacing w:val="0"/>
          <w:position w:val="0"/>
          <w:szCs w:val="24"/>
          <w:highlight w:val="none"/>
        </w:rPr>
        <w:fldChar w:fldCharType="separate"/>
      </w:r>
      <w:r>
        <w:rPr>
          <w:rFonts w:hint="eastAsia" w:ascii="宋体" w:hAnsi="宋体" w:eastAsia="宋体" w:cs="宋体"/>
          <w:spacing w:val="0"/>
          <w:position w:val="0"/>
          <w:szCs w:val="28"/>
          <w:highlight w:val="none"/>
        </w:rPr>
        <w:t>第二章 磋商须知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_Toc583 \h </w:instrText>
      </w:r>
      <w:r>
        <w:rPr>
          <w:rFonts w:hint="eastAsia" w:ascii="宋体" w:hAnsi="宋体" w:eastAsia="宋体" w:cs="宋体"/>
          <w:highlight w:val="none"/>
        </w:rPr>
        <w:fldChar w:fldCharType="separate"/>
      </w:r>
      <w:r>
        <w:rPr>
          <w:rFonts w:hint="eastAsia" w:ascii="宋体" w:hAnsi="宋体" w:eastAsia="宋体" w:cs="宋体"/>
          <w:highlight w:val="none"/>
        </w:rPr>
        <w:t>8</w:t>
      </w:r>
      <w:r>
        <w:rPr>
          <w:rFonts w:hint="eastAsia" w:ascii="宋体" w:hAnsi="宋体" w:eastAsia="宋体" w:cs="宋体"/>
          <w:highlight w:val="none"/>
        </w:rPr>
        <w:fldChar w:fldCharType="end"/>
      </w:r>
      <w:r>
        <w:rPr>
          <w:rFonts w:hint="eastAsia" w:ascii="宋体" w:hAnsi="宋体" w:eastAsia="宋体" w:cs="宋体"/>
          <w:color w:val="auto"/>
          <w:spacing w:val="0"/>
          <w:position w:val="0"/>
          <w:szCs w:val="24"/>
          <w:highlight w:val="none"/>
        </w:rPr>
        <w:fldChar w:fldCharType="end"/>
      </w:r>
    </w:p>
    <w:p w14:paraId="055BDC1B">
      <w:pPr>
        <w:pStyle w:val="29"/>
        <w:tabs>
          <w:tab w:val="right" w:leader="dot" w:pos="8312"/>
        </w:tabs>
        <w:spacing w:line="480" w:lineRule="auto"/>
        <w:rPr>
          <w:rFonts w:hint="eastAsia" w:ascii="宋体" w:hAnsi="宋体" w:eastAsia="宋体" w:cs="宋体"/>
          <w:highlight w:val="none"/>
        </w:rPr>
      </w:pPr>
      <w:r>
        <w:rPr>
          <w:rFonts w:hint="eastAsia" w:ascii="宋体" w:hAnsi="宋体" w:eastAsia="宋体" w:cs="宋体"/>
          <w:color w:val="auto"/>
          <w:spacing w:val="0"/>
          <w:position w:val="0"/>
          <w:szCs w:val="24"/>
          <w:highlight w:val="none"/>
        </w:rPr>
        <w:fldChar w:fldCharType="begin"/>
      </w:r>
      <w:r>
        <w:rPr>
          <w:rFonts w:hint="eastAsia" w:ascii="宋体" w:hAnsi="宋体" w:eastAsia="宋体" w:cs="宋体"/>
          <w:spacing w:val="0"/>
          <w:position w:val="0"/>
          <w:szCs w:val="24"/>
          <w:highlight w:val="none"/>
        </w:rPr>
        <w:instrText xml:space="preserve"> HYPERLINK \l _Toc9570 </w:instrText>
      </w:r>
      <w:r>
        <w:rPr>
          <w:rFonts w:hint="eastAsia" w:ascii="宋体" w:hAnsi="宋体" w:eastAsia="宋体" w:cs="宋体"/>
          <w:spacing w:val="0"/>
          <w:position w:val="0"/>
          <w:szCs w:val="24"/>
          <w:highlight w:val="none"/>
        </w:rPr>
        <w:fldChar w:fldCharType="separate"/>
      </w:r>
      <w:r>
        <w:rPr>
          <w:rFonts w:hint="eastAsia" w:ascii="宋体" w:hAnsi="宋体" w:eastAsia="宋体" w:cs="宋体"/>
          <w:szCs w:val="28"/>
          <w:highlight w:val="none"/>
          <w:lang w:val="en-US" w:eastAsia="zh-CN"/>
        </w:rPr>
        <w:t>第三章 评审方法（综合评分法）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_Toc9570 \h </w:instrText>
      </w:r>
      <w:r>
        <w:rPr>
          <w:rFonts w:hint="eastAsia" w:ascii="宋体" w:hAnsi="宋体" w:eastAsia="宋体" w:cs="宋体"/>
          <w:highlight w:val="none"/>
        </w:rPr>
        <w:fldChar w:fldCharType="separate"/>
      </w:r>
      <w:r>
        <w:rPr>
          <w:rFonts w:hint="eastAsia" w:ascii="宋体" w:hAnsi="宋体" w:eastAsia="宋体" w:cs="宋体"/>
          <w:highlight w:val="none"/>
        </w:rPr>
        <w:t>22</w:t>
      </w:r>
      <w:r>
        <w:rPr>
          <w:rFonts w:hint="eastAsia" w:ascii="宋体" w:hAnsi="宋体" w:eastAsia="宋体" w:cs="宋体"/>
          <w:highlight w:val="none"/>
        </w:rPr>
        <w:fldChar w:fldCharType="end"/>
      </w:r>
      <w:r>
        <w:rPr>
          <w:rFonts w:hint="eastAsia" w:ascii="宋体" w:hAnsi="宋体" w:eastAsia="宋体" w:cs="宋体"/>
          <w:color w:val="auto"/>
          <w:spacing w:val="0"/>
          <w:position w:val="0"/>
          <w:szCs w:val="24"/>
          <w:highlight w:val="none"/>
        </w:rPr>
        <w:fldChar w:fldCharType="end"/>
      </w:r>
    </w:p>
    <w:p w14:paraId="3CA62E98">
      <w:pPr>
        <w:pStyle w:val="29"/>
        <w:tabs>
          <w:tab w:val="right" w:leader="dot" w:pos="8312"/>
        </w:tabs>
        <w:spacing w:line="480" w:lineRule="auto"/>
        <w:rPr>
          <w:rFonts w:hint="eastAsia" w:ascii="宋体" w:hAnsi="宋体" w:eastAsia="宋体" w:cs="宋体"/>
          <w:highlight w:val="none"/>
        </w:rPr>
      </w:pPr>
      <w:r>
        <w:rPr>
          <w:rFonts w:hint="eastAsia" w:ascii="宋体" w:hAnsi="宋体" w:eastAsia="宋体" w:cs="宋体"/>
          <w:color w:val="auto"/>
          <w:spacing w:val="0"/>
          <w:position w:val="0"/>
          <w:szCs w:val="24"/>
          <w:highlight w:val="none"/>
        </w:rPr>
        <w:fldChar w:fldCharType="begin"/>
      </w:r>
      <w:r>
        <w:rPr>
          <w:rFonts w:hint="eastAsia" w:ascii="宋体" w:hAnsi="宋体" w:eastAsia="宋体" w:cs="宋体"/>
          <w:spacing w:val="0"/>
          <w:position w:val="0"/>
          <w:szCs w:val="24"/>
          <w:highlight w:val="none"/>
        </w:rPr>
        <w:instrText xml:space="preserve"> HYPERLINK \l _Toc26205 </w:instrText>
      </w:r>
      <w:r>
        <w:rPr>
          <w:rFonts w:hint="eastAsia" w:ascii="宋体" w:hAnsi="宋体" w:eastAsia="宋体" w:cs="宋体"/>
          <w:spacing w:val="0"/>
          <w:position w:val="0"/>
          <w:szCs w:val="24"/>
          <w:highlight w:val="none"/>
        </w:rPr>
        <w:fldChar w:fldCharType="separate"/>
      </w:r>
      <w:r>
        <w:rPr>
          <w:rFonts w:hint="eastAsia" w:ascii="宋体" w:hAnsi="宋体" w:eastAsia="宋体" w:cs="宋体"/>
          <w:spacing w:val="0"/>
          <w:position w:val="0"/>
          <w:szCs w:val="28"/>
          <w:highlight w:val="none"/>
          <w:lang w:eastAsia="zh-CN"/>
        </w:rPr>
        <w:t>第四章 合同</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_Toc26205 \h </w:instrText>
      </w:r>
      <w:r>
        <w:rPr>
          <w:rFonts w:hint="eastAsia" w:ascii="宋体" w:hAnsi="宋体" w:eastAsia="宋体" w:cs="宋体"/>
          <w:highlight w:val="none"/>
        </w:rPr>
        <w:fldChar w:fldCharType="separate"/>
      </w:r>
      <w:r>
        <w:rPr>
          <w:rFonts w:hint="eastAsia" w:ascii="宋体" w:hAnsi="宋体" w:eastAsia="宋体" w:cs="宋体"/>
          <w:highlight w:val="none"/>
        </w:rPr>
        <w:t>28</w:t>
      </w:r>
      <w:r>
        <w:rPr>
          <w:rFonts w:hint="eastAsia" w:ascii="宋体" w:hAnsi="宋体" w:eastAsia="宋体" w:cs="宋体"/>
          <w:highlight w:val="none"/>
        </w:rPr>
        <w:fldChar w:fldCharType="end"/>
      </w:r>
      <w:r>
        <w:rPr>
          <w:rFonts w:hint="eastAsia" w:ascii="宋体" w:hAnsi="宋体" w:eastAsia="宋体" w:cs="宋体"/>
          <w:color w:val="auto"/>
          <w:spacing w:val="0"/>
          <w:position w:val="0"/>
          <w:szCs w:val="24"/>
          <w:highlight w:val="none"/>
        </w:rPr>
        <w:fldChar w:fldCharType="end"/>
      </w:r>
    </w:p>
    <w:p w14:paraId="0A5D39BD">
      <w:pPr>
        <w:pStyle w:val="29"/>
        <w:tabs>
          <w:tab w:val="right" w:leader="dot" w:pos="8312"/>
        </w:tabs>
        <w:spacing w:line="480" w:lineRule="auto"/>
        <w:rPr>
          <w:rFonts w:hint="eastAsia" w:ascii="宋体" w:hAnsi="宋体" w:eastAsia="宋体" w:cs="宋体"/>
          <w:highlight w:val="none"/>
        </w:rPr>
      </w:pPr>
      <w:r>
        <w:rPr>
          <w:rFonts w:hint="eastAsia" w:ascii="宋体" w:hAnsi="宋体" w:eastAsia="宋体" w:cs="宋体"/>
          <w:color w:val="auto"/>
          <w:spacing w:val="0"/>
          <w:position w:val="0"/>
          <w:szCs w:val="24"/>
          <w:highlight w:val="none"/>
        </w:rPr>
        <w:fldChar w:fldCharType="begin"/>
      </w:r>
      <w:r>
        <w:rPr>
          <w:rFonts w:hint="eastAsia" w:ascii="宋体" w:hAnsi="宋体" w:eastAsia="宋体" w:cs="宋体"/>
          <w:spacing w:val="0"/>
          <w:position w:val="0"/>
          <w:szCs w:val="24"/>
          <w:highlight w:val="none"/>
        </w:rPr>
        <w:instrText xml:space="preserve"> HYPERLINK \l _Toc2981 </w:instrText>
      </w:r>
      <w:r>
        <w:rPr>
          <w:rFonts w:hint="eastAsia" w:ascii="宋体" w:hAnsi="宋体" w:eastAsia="宋体" w:cs="宋体"/>
          <w:spacing w:val="0"/>
          <w:position w:val="0"/>
          <w:szCs w:val="24"/>
          <w:highlight w:val="none"/>
        </w:rPr>
        <w:fldChar w:fldCharType="separate"/>
      </w:r>
      <w:r>
        <w:rPr>
          <w:rFonts w:hint="eastAsia" w:ascii="宋体" w:hAnsi="宋体" w:eastAsia="宋体" w:cs="宋体"/>
          <w:bCs/>
          <w:spacing w:val="0"/>
          <w:position w:val="0"/>
          <w:szCs w:val="28"/>
          <w:highlight w:val="none"/>
          <w:lang w:val="en-US" w:eastAsia="zh-CN"/>
        </w:rPr>
        <w:t>第五章 采购需求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_Toc2981 \h </w:instrText>
      </w:r>
      <w:r>
        <w:rPr>
          <w:rFonts w:hint="eastAsia" w:ascii="宋体" w:hAnsi="宋体" w:eastAsia="宋体" w:cs="宋体"/>
          <w:highlight w:val="none"/>
        </w:rPr>
        <w:fldChar w:fldCharType="separate"/>
      </w:r>
      <w:r>
        <w:rPr>
          <w:rFonts w:hint="eastAsia" w:ascii="宋体" w:hAnsi="宋体" w:eastAsia="宋体" w:cs="宋体"/>
          <w:highlight w:val="none"/>
        </w:rPr>
        <w:t>18</w:t>
      </w:r>
      <w:r>
        <w:rPr>
          <w:rFonts w:hint="eastAsia" w:ascii="宋体" w:hAnsi="宋体" w:eastAsia="宋体" w:cs="宋体"/>
          <w:highlight w:val="none"/>
        </w:rPr>
        <w:fldChar w:fldCharType="end"/>
      </w:r>
      <w:r>
        <w:rPr>
          <w:rFonts w:hint="eastAsia" w:ascii="宋体" w:hAnsi="宋体" w:eastAsia="宋体" w:cs="宋体"/>
          <w:color w:val="auto"/>
          <w:spacing w:val="0"/>
          <w:position w:val="0"/>
          <w:szCs w:val="24"/>
          <w:highlight w:val="none"/>
        </w:rPr>
        <w:fldChar w:fldCharType="end"/>
      </w:r>
    </w:p>
    <w:p w14:paraId="50CBA75B">
      <w:pPr>
        <w:pStyle w:val="29"/>
        <w:tabs>
          <w:tab w:val="right" w:leader="dot" w:pos="8312"/>
        </w:tabs>
        <w:spacing w:line="480" w:lineRule="auto"/>
        <w:rPr>
          <w:rFonts w:hint="eastAsia" w:ascii="宋体" w:hAnsi="宋体" w:eastAsia="宋体" w:cs="宋体"/>
          <w:highlight w:val="none"/>
        </w:rPr>
      </w:pPr>
      <w:r>
        <w:rPr>
          <w:rFonts w:hint="eastAsia" w:ascii="宋体" w:hAnsi="宋体" w:eastAsia="宋体" w:cs="宋体"/>
          <w:color w:val="auto"/>
          <w:spacing w:val="0"/>
          <w:position w:val="0"/>
          <w:szCs w:val="24"/>
          <w:highlight w:val="none"/>
        </w:rPr>
        <w:fldChar w:fldCharType="begin"/>
      </w:r>
      <w:r>
        <w:rPr>
          <w:rFonts w:hint="eastAsia" w:ascii="宋体" w:hAnsi="宋体" w:eastAsia="宋体" w:cs="宋体"/>
          <w:spacing w:val="0"/>
          <w:position w:val="0"/>
          <w:szCs w:val="24"/>
          <w:highlight w:val="none"/>
        </w:rPr>
        <w:instrText xml:space="preserve"> HYPERLINK \l _Toc3253 </w:instrText>
      </w:r>
      <w:r>
        <w:rPr>
          <w:rFonts w:hint="eastAsia" w:ascii="宋体" w:hAnsi="宋体" w:eastAsia="宋体" w:cs="宋体"/>
          <w:spacing w:val="0"/>
          <w:position w:val="0"/>
          <w:szCs w:val="24"/>
          <w:highlight w:val="none"/>
        </w:rPr>
        <w:fldChar w:fldCharType="separate"/>
      </w:r>
      <w:r>
        <w:rPr>
          <w:rFonts w:hint="eastAsia" w:ascii="宋体" w:hAnsi="宋体" w:eastAsia="宋体" w:cs="宋体"/>
          <w:bCs/>
          <w:spacing w:val="0"/>
          <w:position w:val="0"/>
          <w:szCs w:val="28"/>
          <w:highlight w:val="none"/>
          <w:lang w:val="en-US" w:eastAsia="zh-CN"/>
        </w:rPr>
        <w:t>第六章 工程量清单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_Toc3253 \h </w:instrText>
      </w:r>
      <w:r>
        <w:rPr>
          <w:rFonts w:hint="eastAsia" w:ascii="宋体" w:hAnsi="宋体" w:eastAsia="宋体" w:cs="宋体"/>
          <w:highlight w:val="none"/>
        </w:rPr>
        <w:fldChar w:fldCharType="separate"/>
      </w:r>
      <w:r>
        <w:rPr>
          <w:rFonts w:hint="eastAsia" w:ascii="宋体" w:hAnsi="宋体" w:eastAsia="宋体" w:cs="宋体"/>
          <w:highlight w:val="none"/>
        </w:rPr>
        <w:t>20</w:t>
      </w:r>
      <w:r>
        <w:rPr>
          <w:rFonts w:hint="eastAsia" w:ascii="宋体" w:hAnsi="宋体" w:eastAsia="宋体" w:cs="宋体"/>
          <w:highlight w:val="none"/>
        </w:rPr>
        <w:fldChar w:fldCharType="end"/>
      </w:r>
      <w:r>
        <w:rPr>
          <w:rFonts w:hint="eastAsia" w:ascii="宋体" w:hAnsi="宋体" w:eastAsia="宋体" w:cs="宋体"/>
          <w:color w:val="auto"/>
          <w:spacing w:val="0"/>
          <w:position w:val="0"/>
          <w:szCs w:val="24"/>
          <w:highlight w:val="none"/>
        </w:rPr>
        <w:fldChar w:fldCharType="end"/>
      </w:r>
    </w:p>
    <w:p w14:paraId="1B9B9B8E">
      <w:pPr>
        <w:pStyle w:val="29"/>
        <w:tabs>
          <w:tab w:val="right" w:leader="dot" w:pos="8312"/>
        </w:tabs>
        <w:spacing w:line="480" w:lineRule="auto"/>
        <w:rPr>
          <w:rFonts w:hint="eastAsia" w:ascii="宋体" w:hAnsi="宋体" w:eastAsia="宋体" w:cs="宋体"/>
          <w:highlight w:val="none"/>
        </w:rPr>
      </w:pPr>
      <w:r>
        <w:rPr>
          <w:rFonts w:hint="eastAsia" w:ascii="宋体" w:hAnsi="宋体" w:eastAsia="宋体" w:cs="宋体"/>
          <w:color w:val="auto"/>
          <w:spacing w:val="0"/>
          <w:position w:val="0"/>
          <w:szCs w:val="24"/>
          <w:highlight w:val="none"/>
        </w:rPr>
        <w:fldChar w:fldCharType="begin"/>
      </w:r>
      <w:r>
        <w:rPr>
          <w:rFonts w:hint="eastAsia" w:ascii="宋体" w:hAnsi="宋体" w:eastAsia="宋体" w:cs="宋体"/>
          <w:spacing w:val="0"/>
          <w:position w:val="0"/>
          <w:szCs w:val="24"/>
          <w:highlight w:val="none"/>
        </w:rPr>
        <w:instrText xml:space="preserve"> HYPERLINK \l _Toc19086 </w:instrText>
      </w:r>
      <w:r>
        <w:rPr>
          <w:rFonts w:hint="eastAsia" w:ascii="宋体" w:hAnsi="宋体" w:eastAsia="宋体" w:cs="宋体"/>
          <w:spacing w:val="0"/>
          <w:position w:val="0"/>
          <w:szCs w:val="24"/>
          <w:highlight w:val="none"/>
        </w:rPr>
        <w:fldChar w:fldCharType="separate"/>
      </w:r>
      <w:r>
        <w:rPr>
          <w:rFonts w:hint="eastAsia" w:ascii="宋体" w:hAnsi="宋体" w:eastAsia="宋体" w:cs="宋体"/>
          <w:bCs/>
          <w:spacing w:val="0"/>
          <w:position w:val="0"/>
          <w:szCs w:val="28"/>
          <w:highlight w:val="none"/>
        </w:rPr>
        <w:t>第</w:t>
      </w:r>
      <w:r>
        <w:rPr>
          <w:rFonts w:hint="eastAsia" w:ascii="宋体" w:hAnsi="宋体" w:eastAsia="宋体" w:cs="宋体"/>
          <w:bCs/>
          <w:spacing w:val="0"/>
          <w:position w:val="0"/>
          <w:szCs w:val="28"/>
          <w:highlight w:val="none"/>
          <w:lang w:eastAsia="zh-CN"/>
        </w:rPr>
        <w:t>七</w:t>
      </w:r>
      <w:r>
        <w:rPr>
          <w:rFonts w:hint="eastAsia" w:ascii="宋体" w:hAnsi="宋体" w:eastAsia="宋体" w:cs="宋体"/>
          <w:bCs/>
          <w:spacing w:val="0"/>
          <w:position w:val="0"/>
          <w:szCs w:val="28"/>
          <w:highlight w:val="none"/>
        </w:rPr>
        <w:t>章</w:t>
      </w:r>
      <w:r>
        <w:rPr>
          <w:rFonts w:hint="eastAsia" w:ascii="宋体" w:hAnsi="宋体" w:eastAsia="宋体" w:cs="宋体"/>
          <w:spacing w:val="0"/>
          <w:position w:val="0"/>
          <w:szCs w:val="28"/>
          <w:highlight w:val="none"/>
        </w:rPr>
        <w:t xml:space="preserve"> 响应文件格式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_Toc19086 \h </w:instrText>
      </w:r>
      <w:r>
        <w:rPr>
          <w:rFonts w:hint="eastAsia" w:ascii="宋体" w:hAnsi="宋体" w:eastAsia="宋体" w:cs="宋体"/>
          <w:highlight w:val="none"/>
        </w:rPr>
        <w:fldChar w:fldCharType="separate"/>
      </w:r>
      <w:r>
        <w:rPr>
          <w:rFonts w:hint="eastAsia" w:ascii="宋体" w:hAnsi="宋体" w:eastAsia="宋体" w:cs="宋体"/>
          <w:highlight w:val="none"/>
        </w:rPr>
        <w:t>21</w:t>
      </w:r>
      <w:r>
        <w:rPr>
          <w:rFonts w:hint="eastAsia" w:ascii="宋体" w:hAnsi="宋体" w:eastAsia="宋体" w:cs="宋体"/>
          <w:highlight w:val="none"/>
        </w:rPr>
        <w:fldChar w:fldCharType="end"/>
      </w:r>
      <w:r>
        <w:rPr>
          <w:rFonts w:hint="eastAsia" w:ascii="宋体" w:hAnsi="宋体" w:eastAsia="宋体" w:cs="宋体"/>
          <w:color w:val="auto"/>
          <w:spacing w:val="0"/>
          <w:position w:val="0"/>
          <w:szCs w:val="24"/>
          <w:highlight w:val="none"/>
        </w:rPr>
        <w:fldChar w:fldCharType="end"/>
      </w:r>
    </w:p>
    <w:p w14:paraId="16E56DF9">
      <w:pPr>
        <w:pStyle w:val="32"/>
        <w:tabs>
          <w:tab w:val="right" w:leader="dot" w:pos="8312"/>
        </w:tabs>
        <w:rPr>
          <w:highlight w:val="none"/>
        </w:rPr>
      </w:pPr>
    </w:p>
    <w:p w14:paraId="13B3895F">
      <w:pPr>
        <w:pStyle w:val="18"/>
        <w:kinsoku/>
        <w:wordWrap/>
        <w:overflowPunct/>
        <w:bidi w:val="0"/>
        <w:rPr>
          <w:rFonts w:hint="eastAsia" w:ascii="宋体" w:hAnsi="宋体" w:eastAsia="宋体" w:cs="宋体"/>
          <w:color w:val="auto"/>
          <w:highlight w:val="none"/>
        </w:rPr>
      </w:pPr>
      <w:r>
        <w:rPr>
          <w:rFonts w:hint="eastAsia" w:ascii="宋体" w:hAnsi="宋体" w:eastAsia="宋体" w:cs="宋体"/>
          <w:color w:val="auto"/>
          <w:spacing w:val="0"/>
          <w:position w:val="0"/>
          <w:szCs w:val="24"/>
          <w:highlight w:val="none"/>
        </w:rPr>
        <w:fldChar w:fldCharType="end"/>
      </w:r>
      <w:bookmarkStart w:id="0" w:name="_Toc456291340"/>
      <w:bookmarkStart w:id="1" w:name="_Toc456291465"/>
      <w:bookmarkStart w:id="2" w:name="_Toc456291266"/>
      <w:bookmarkStart w:id="3" w:name="_Toc456291523"/>
      <w:bookmarkStart w:id="4" w:name="_Toc462487357"/>
      <w:bookmarkStart w:id="5" w:name="_Toc456291246"/>
    </w:p>
    <w:p w14:paraId="0E07B572">
      <w:pPr>
        <w:kinsoku/>
        <w:wordWrap/>
        <w:overflowPunct/>
        <w:bidi w:val="0"/>
        <w:rPr>
          <w:rFonts w:hint="eastAsia" w:ascii="宋体" w:hAnsi="宋体" w:eastAsia="宋体" w:cs="宋体"/>
          <w:color w:val="auto"/>
          <w:highlight w:val="none"/>
        </w:rPr>
      </w:pPr>
    </w:p>
    <w:p w14:paraId="41BE8C06">
      <w:pPr>
        <w:pStyle w:val="17"/>
        <w:kinsoku/>
        <w:wordWrap/>
        <w:overflowPunct/>
        <w:bidi w:val="0"/>
        <w:rPr>
          <w:rFonts w:hint="eastAsia" w:ascii="宋体" w:hAnsi="宋体" w:eastAsia="宋体" w:cs="宋体"/>
          <w:color w:val="auto"/>
          <w:highlight w:val="none"/>
        </w:rPr>
      </w:pPr>
    </w:p>
    <w:p w14:paraId="09EA187A">
      <w:pPr>
        <w:pStyle w:val="18"/>
        <w:kinsoku/>
        <w:wordWrap/>
        <w:overflowPunct/>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14:paraId="29380140">
      <w:pPr>
        <w:rPr>
          <w:rFonts w:hint="eastAsia" w:ascii="宋体" w:hAnsi="宋体" w:eastAsia="宋体" w:cs="宋体"/>
          <w:color w:val="auto"/>
          <w:highlight w:val="none"/>
          <w:lang w:val="en-US" w:eastAsia="zh-CN"/>
        </w:rPr>
      </w:pPr>
    </w:p>
    <w:p w14:paraId="108771FC">
      <w:pPr>
        <w:rPr>
          <w:rFonts w:hint="eastAsia" w:ascii="宋体" w:hAnsi="宋体" w:eastAsia="宋体" w:cs="宋体"/>
          <w:color w:val="auto"/>
          <w:highlight w:val="none"/>
          <w:lang w:val="en-US" w:eastAsia="zh-CN"/>
        </w:rPr>
      </w:pPr>
    </w:p>
    <w:p w14:paraId="192F13DE">
      <w:pPr>
        <w:rPr>
          <w:rFonts w:hint="eastAsia" w:ascii="宋体" w:hAnsi="宋体" w:eastAsia="宋体" w:cs="宋体"/>
          <w:color w:val="auto"/>
          <w:highlight w:val="none"/>
          <w:lang w:val="en-US" w:eastAsia="zh-CN"/>
        </w:rPr>
      </w:pPr>
    </w:p>
    <w:p w14:paraId="1F7A3AE6">
      <w:pPr>
        <w:rPr>
          <w:rFonts w:hint="eastAsia" w:ascii="宋体" w:hAnsi="宋体" w:eastAsia="宋体" w:cs="宋体"/>
          <w:color w:val="auto"/>
          <w:highlight w:val="none"/>
          <w:lang w:val="en-US" w:eastAsia="zh-CN"/>
        </w:rPr>
      </w:pPr>
    </w:p>
    <w:p w14:paraId="10CC8705">
      <w:pPr>
        <w:rPr>
          <w:rFonts w:hint="eastAsia" w:ascii="宋体" w:hAnsi="宋体" w:eastAsia="宋体" w:cs="宋体"/>
          <w:color w:val="auto"/>
          <w:highlight w:val="none"/>
          <w:lang w:val="en-US" w:eastAsia="zh-CN"/>
        </w:rPr>
      </w:pPr>
    </w:p>
    <w:p w14:paraId="6D8F941A">
      <w:pPr>
        <w:rPr>
          <w:rFonts w:hint="eastAsia"/>
          <w:highlight w:val="none"/>
        </w:rPr>
      </w:pPr>
    </w:p>
    <w:p w14:paraId="37A4C0BC">
      <w:pPr>
        <w:kinsoku/>
        <w:wordWrap/>
        <w:overflowPunct/>
        <w:bidi w:val="0"/>
        <w:rPr>
          <w:rFonts w:hint="eastAsia" w:ascii="宋体" w:hAnsi="宋体" w:eastAsia="宋体" w:cs="宋体"/>
          <w:color w:val="auto"/>
          <w:highlight w:val="none"/>
        </w:rPr>
      </w:pPr>
    </w:p>
    <w:p w14:paraId="0DAC2E8B">
      <w:pPr>
        <w:kinsoku/>
        <w:wordWrap/>
        <w:overflowPunct/>
        <w:bidi w:val="0"/>
        <w:rPr>
          <w:rFonts w:hint="eastAsia" w:ascii="宋体" w:hAnsi="宋体" w:eastAsia="宋体" w:cs="宋体"/>
          <w:color w:val="auto"/>
          <w:highlight w:val="none"/>
        </w:rPr>
      </w:pPr>
    </w:p>
    <w:p w14:paraId="093C47F9">
      <w:pPr>
        <w:rPr>
          <w:rFonts w:hint="eastAsia" w:ascii="宋体" w:hAnsi="宋体" w:eastAsia="宋体" w:cs="宋体"/>
          <w:b/>
          <w:bCs/>
          <w:color w:val="auto"/>
          <w:spacing w:val="0"/>
          <w:position w:val="0"/>
          <w:sz w:val="28"/>
          <w:szCs w:val="28"/>
          <w:highlight w:val="none"/>
        </w:rPr>
      </w:pPr>
      <w:bookmarkStart w:id="6" w:name="_Toc24529"/>
      <w:r>
        <w:rPr>
          <w:rFonts w:hint="eastAsia" w:ascii="宋体" w:hAnsi="宋体" w:eastAsia="宋体" w:cs="宋体"/>
          <w:b/>
          <w:bCs/>
          <w:color w:val="auto"/>
          <w:spacing w:val="0"/>
          <w:position w:val="0"/>
          <w:sz w:val="28"/>
          <w:szCs w:val="28"/>
          <w:highlight w:val="none"/>
        </w:rPr>
        <w:br w:type="page"/>
      </w:r>
    </w:p>
    <w:p w14:paraId="64C17E37">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ascii="宋体" w:hAnsi="宋体" w:eastAsia="宋体" w:cs="宋体"/>
          <w:b/>
          <w:bCs/>
          <w:color w:val="auto"/>
          <w:spacing w:val="0"/>
          <w:position w:val="0"/>
          <w:sz w:val="28"/>
          <w:szCs w:val="28"/>
          <w:highlight w:val="none"/>
          <w:lang w:eastAsia="zh-CN"/>
        </w:rPr>
      </w:pPr>
      <w:r>
        <w:rPr>
          <w:rFonts w:hint="eastAsia" w:ascii="宋体" w:hAnsi="宋体" w:eastAsia="宋体" w:cs="宋体"/>
          <w:b/>
          <w:bCs/>
          <w:color w:val="auto"/>
          <w:spacing w:val="0"/>
          <w:position w:val="0"/>
          <w:sz w:val="28"/>
          <w:szCs w:val="28"/>
          <w:highlight w:val="none"/>
        </w:rPr>
        <w:t xml:space="preserve">第一章  </w:t>
      </w:r>
      <w:bookmarkEnd w:id="0"/>
      <w:bookmarkEnd w:id="1"/>
      <w:bookmarkEnd w:id="2"/>
      <w:bookmarkEnd w:id="3"/>
      <w:bookmarkEnd w:id="4"/>
      <w:bookmarkEnd w:id="5"/>
      <w:r>
        <w:rPr>
          <w:rFonts w:hint="eastAsia" w:ascii="宋体" w:hAnsi="宋体" w:eastAsia="宋体" w:cs="宋体"/>
          <w:b/>
          <w:bCs/>
          <w:color w:val="auto"/>
          <w:spacing w:val="0"/>
          <w:position w:val="0"/>
          <w:sz w:val="28"/>
          <w:szCs w:val="28"/>
          <w:highlight w:val="none"/>
          <w:lang w:eastAsia="zh-CN"/>
        </w:rPr>
        <w:t>竞争性磋商公告</w:t>
      </w:r>
      <w:bookmarkEnd w:id="6"/>
    </w:p>
    <w:p w14:paraId="443412B8">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rPr>
      </w:pPr>
      <w:bookmarkStart w:id="7" w:name="_Toc28166"/>
      <w:r>
        <w:rPr>
          <w:rFonts w:hint="eastAsia" w:ascii="宋体" w:hAnsi="宋体" w:cs="宋体"/>
          <w:b/>
          <w:bCs/>
          <w:color w:val="auto"/>
          <w:spacing w:val="0"/>
          <w:position w:val="0"/>
          <w:sz w:val="28"/>
          <w:szCs w:val="28"/>
          <w:highlight w:val="none"/>
          <w:lang w:val="en-US" w:eastAsia="zh-CN"/>
        </w:rPr>
        <w:t>甘泉堡经开区2025年市政道路及附属设施维护项目</w:t>
      </w:r>
      <w:r>
        <w:rPr>
          <w:rFonts w:hint="eastAsia" w:ascii="宋体" w:hAnsi="宋体" w:eastAsia="宋体" w:cs="宋体"/>
          <w:b/>
          <w:bCs/>
          <w:color w:val="auto"/>
          <w:spacing w:val="0"/>
          <w:position w:val="0"/>
          <w:sz w:val="28"/>
          <w:szCs w:val="28"/>
          <w:highlight w:val="none"/>
          <w:lang w:val="en-US" w:eastAsia="zh-CN"/>
        </w:rPr>
        <w:t>竞争性磋商</w:t>
      </w:r>
      <w:r>
        <w:rPr>
          <w:rFonts w:hint="eastAsia" w:ascii="宋体" w:hAnsi="宋体" w:eastAsia="宋体" w:cs="宋体"/>
          <w:b/>
          <w:bCs/>
          <w:color w:val="auto"/>
          <w:spacing w:val="0"/>
          <w:position w:val="0"/>
          <w:sz w:val="28"/>
          <w:szCs w:val="28"/>
          <w:highlight w:val="none"/>
        </w:rPr>
        <w:t>公告</w:t>
      </w:r>
      <w:bookmarkEnd w:id="7"/>
    </w:p>
    <w:tbl>
      <w:tblPr>
        <w:tblStyle w:val="39"/>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0"/>
      </w:tblGrid>
      <w:tr w14:paraId="2652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0" w:type="dxa"/>
            <w:noWrap w:val="0"/>
            <w:vAlign w:val="top"/>
          </w:tcPr>
          <w:p w14:paraId="006DC30B">
            <w:pPr>
              <w:pStyle w:val="35"/>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ind w:left="0" w:leftChars="0"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项目概况</w:t>
            </w:r>
          </w:p>
          <w:p w14:paraId="1D97DE21">
            <w:pPr>
              <w:pStyle w:val="35"/>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ind w:left="0" w:leftChars="0" w:firstLine="480" w:firstLineChars="200"/>
              <w:rPr>
                <w:rFonts w:hint="eastAsia" w:ascii="宋体" w:hAnsi="宋体" w:eastAsia="宋体" w:cs="宋体"/>
                <w:color w:val="auto"/>
                <w:spacing w:val="0"/>
                <w:position w:val="0"/>
                <w:sz w:val="24"/>
                <w:szCs w:val="24"/>
                <w:highlight w:val="none"/>
              </w:rPr>
            </w:pPr>
            <w:r>
              <w:rPr>
                <w:rFonts w:hint="eastAsia" w:cs="宋体"/>
                <w:color w:val="auto"/>
                <w:spacing w:val="0"/>
                <w:position w:val="0"/>
                <w:sz w:val="24"/>
                <w:szCs w:val="24"/>
                <w:highlight w:val="none"/>
                <w:u w:val="single"/>
                <w:lang w:eastAsia="zh-CN"/>
              </w:rPr>
              <w:t>甘泉堡经开区2025年市政道路及附属设施维护项目</w:t>
            </w:r>
            <w:r>
              <w:rPr>
                <w:rFonts w:hint="eastAsia" w:ascii="宋体" w:hAnsi="宋体" w:eastAsia="宋体" w:cs="宋体"/>
                <w:color w:val="auto"/>
                <w:spacing w:val="0"/>
                <w:position w:val="0"/>
                <w:sz w:val="24"/>
                <w:szCs w:val="24"/>
                <w:highlight w:val="none"/>
              </w:rPr>
              <w:t>的潜在</w:t>
            </w:r>
            <w:r>
              <w:rPr>
                <w:rFonts w:hint="eastAsia" w:ascii="宋体" w:hAnsi="宋体" w:eastAsia="宋体" w:cs="宋体"/>
                <w:color w:val="auto"/>
                <w:spacing w:val="0"/>
                <w:position w:val="0"/>
                <w:sz w:val="24"/>
                <w:szCs w:val="24"/>
                <w:highlight w:val="none"/>
                <w:lang w:eastAsia="zh-CN"/>
              </w:rPr>
              <w:t>供应商</w:t>
            </w:r>
            <w:r>
              <w:rPr>
                <w:rFonts w:hint="eastAsia" w:ascii="宋体" w:hAnsi="宋体" w:eastAsia="宋体" w:cs="宋体"/>
                <w:color w:val="auto"/>
                <w:spacing w:val="0"/>
                <w:position w:val="0"/>
                <w:sz w:val="24"/>
                <w:szCs w:val="24"/>
                <w:highlight w:val="none"/>
              </w:rPr>
              <w:t>应在</w:t>
            </w:r>
            <w:r>
              <w:rPr>
                <w:rFonts w:hint="eastAsia" w:ascii="宋体" w:hAnsi="宋体" w:eastAsia="宋体" w:cs="宋体"/>
                <w:color w:val="auto"/>
                <w:spacing w:val="0"/>
                <w:position w:val="0"/>
                <w:sz w:val="24"/>
                <w:szCs w:val="24"/>
                <w:highlight w:val="none"/>
                <w:u w:val="single"/>
              </w:rPr>
              <w:t xml:space="preserve">政采云平台https://www.zcygov.cn/ </w:t>
            </w:r>
            <w:r>
              <w:rPr>
                <w:rFonts w:hint="eastAsia" w:ascii="宋体" w:hAnsi="宋体" w:eastAsia="宋体" w:cs="宋体"/>
                <w:color w:val="auto"/>
                <w:spacing w:val="0"/>
                <w:position w:val="0"/>
                <w:sz w:val="24"/>
                <w:szCs w:val="24"/>
                <w:highlight w:val="none"/>
              </w:rPr>
              <w:t>获取</w:t>
            </w:r>
            <w:r>
              <w:rPr>
                <w:rFonts w:hint="eastAsia" w:ascii="宋体" w:hAnsi="宋体" w:eastAsia="宋体" w:cs="宋体"/>
                <w:color w:val="auto"/>
                <w:spacing w:val="0"/>
                <w:position w:val="0"/>
                <w:sz w:val="24"/>
                <w:szCs w:val="24"/>
                <w:highlight w:val="none"/>
                <w:lang w:val="en-US" w:eastAsia="zh-CN"/>
              </w:rPr>
              <w:t>竞争性磋商文件</w:t>
            </w:r>
            <w:r>
              <w:rPr>
                <w:rFonts w:hint="eastAsia" w:ascii="宋体" w:hAnsi="宋体" w:eastAsia="宋体" w:cs="宋体"/>
                <w:color w:val="auto"/>
                <w:spacing w:val="0"/>
                <w:position w:val="0"/>
                <w:sz w:val="24"/>
                <w:szCs w:val="24"/>
                <w:highlight w:val="none"/>
              </w:rPr>
              <w:t>，并</w:t>
            </w:r>
            <w:r>
              <w:rPr>
                <w:rFonts w:hint="eastAsia" w:ascii="宋体" w:hAnsi="宋体" w:eastAsia="宋体" w:cs="宋体"/>
                <w:color w:val="auto"/>
                <w:spacing w:val="0"/>
                <w:position w:val="0"/>
                <w:sz w:val="24"/>
                <w:szCs w:val="24"/>
                <w:highlight w:val="none"/>
                <w:lang w:val="en-US" w:eastAsia="zh-CN"/>
              </w:rPr>
              <w:t>于</w:t>
            </w:r>
            <w:r>
              <w:rPr>
                <w:rFonts w:hint="eastAsia" w:ascii="宋体" w:hAnsi="宋体" w:eastAsia="宋体" w:cs="宋体"/>
                <w:color w:val="auto"/>
                <w:spacing w:val="0"/>
                <w:position w:val="0"/>
                <w:sz w:val="24"/>
                <w:szCs w:val="24"/>
                <w:highlight w:val="none"/>
                <w:u w:val="single"/>
                <w:lang w:val="en-US" w:eastAsia="zh-CN"/>
              </w:rPr>
              <w:t>202</w:t>
            </w:r>
            <w:r>
              <w:rPr>
                <w:rFonts w:hint="eastAsia" w:cs="宋体"/>
                <w:color w:val="auto"/>
                <w:spacing w:val="0"/>
                <w:position w:val="0"/>
                <w:sz w:val="24"/>
                <w:szCs w:val="24"/>
                <w:highlight w:val="none"/>
                <w:u w:val="single"/>
                <w:lang w:val="en-US" w:eastAsia="zh-CN"/>
              </w:rPr>
              <w:t>5</w:t>
            </w:r>
            <w:r>
              <w:rPr>
                <w:rFonts w:hint="eastAsia" w:ascii="宋体" w:hAnsi="宋体" w:eastAsia="宋体" w:cs="宋体"/>
                <w:color w:val="auto"/>
                <w:spacing w:val="0"/>
                <w:position w:val="0"/>
                <w:sz w:val="24"/>
                <w:szCs w:val="24"/>
                <w:highlight w:val="none"/>
                <w:u w:val="single"/>
                <w:lang w:val="en-US" w:eastAsia="zh-CN"/>
              </w:rPr>
              <w:t>年</w:t>
            </w:r>
            <w:r>
              <w:rPr>
                <w:rFonts w:hint="eastAsia" w:cs="宋体"/>
                <w:color w:val="auto"/>
                <w:spacing w:val="0"/>
                <w:position w:val="0"/>
                <w:sz w:val="24"/>
                <w:szCs w:val="24"/>
                <w:highlight w:val="none"/>
                <w:u w:val="single"/>
                <w:lang w:val="en-US" w:eastAsia="zh-CN"/>
              </w:rPr>
              <w:t>06</w:t>
            </w:r>
            <w:r>
              <w:rPr>
                <w:rFonts w:hint="eastAsia" w:ascii="宋体" w:hAnsi="宋体" w:eastAsia="宋体" w:cs="宋体"/>
                <w:color w:val="auto"/>
                <w:spacing w:val="0"/>
                <w:position w:val="0"/>
                <w:sz w:val="24"/>
                <w:szCs w:val="24"/>
                <w:highlight w:val="none"/>
                <w:u w:val="single"/>
                <w:lang w:val="en-US" w:eastAsia="zh-CN"/>
              </w:rPr>
              <w:t>月</w:t>
            </w:r>
            <w:r>
              <w:rPr>
                <w:rFonts w:hint="eastAsia" w:cs="宋体"/>
                <w:color w:val="auto"/>
                <w:spacing w:val="0"/>
                <w:position w:val="0"/>
                <w:sz w:val="24"/>
                <w:szCs w:val="24"/>
                <w:highlight w:val="none"/>
                <w:u w:val="single"/>
                <w:lang w:val="en-US" w:eastAsia="zh-CN"/>
              </w:rPr>
              <w:t>18</w:t>
            </w:r>
            <w:r>
              <w:rPr>
                <w:rFonts w:hint="eastAsia" w:ascii="宋体" w:hAnsi="宋体" w:eastAsia="宋体" w:cs="宋体"/>
                <w:color w:val="auto"/>
                <w:spacing w:val="0"/>
                <w:position w:val="0"/>
                <w:sz w:val="24"/>
                <w:szCs w:val="24"/>
                <w:highlight w:val="none"/>
                <w:u w:val="single"/>
                <w:lang w:val="en-US" w:eastAsia="zh-CN"/>
              </w:rPr>
              <w:t>日</w:t>
            </w:r>
            <w:r>
              <w:rPr>
                <w:rFonts w:hint="eastAsia" w:cs="宋体"/>
                <w:color w:val="auto"/>
                <w:spacing w:val="0"/>
                <w:position w:val="0"/>
                <w:sz w:val="24"/>
                <w:szCs w:val="24"/>
                <w:highlight w:val="none"/>
                <w:u w:val="single"/>
                <w:lang w:val="en-US" w:eastAsia="zh-CN"/>
              </w:rPr>
              <w:t>11</w:t>
            </w:r>
            <w:r>
              <w:rPr>
                <w:rFonts w:hint="eastAsia" w:ascii="宋体" w:hAnsi="宋体" w:eastAsia="宋体" w:cs="宋体"/>
                <w:color w:val="auto"/>
                <w:spacing w:val="0"/>
                <w:position w:val="0"/>
                <w:sz w:val="24"/>
                <w:szCs w:val="24"/>
                <w:highlight w:val="none"/>
                <w:u w:val="single"/>
                <w:lang w:val="en-US" w:eastAsia="zh-CN"/>
              </w:rPr>
              <w:t>:</w:t>
            </w:r>
            <w:r>
              <w:rPr>
                <w:rFonts w:hint="eastAsia" w:cs="宋体"/>
                <w:color w:val="auto"/>
                <w:spacing w:val="0"/>
                <w:position w:val="0"/>
                <w:sz w:val="24"/>
                <w:szCs w:val="24"/>
                <w:highlight w:val="none"/>
                <w:u w:val="single"/>
                <w:lang w:val="en-US" w:eastAsia="zh-CN"/>
              </w:rPr>
              <w:t>00</w:t>
            </w:r>
            <w:r>
              <w:rPr>
                <w:rFonts w:hint="eastAsia" w:ascii="宋体" w:hAnsi="宋体" w:eastAsia="宋体" w:cs="宋体"/>
                <w:color w:val="auto"/>
                <w:spacing w:val="0"/>
                <w:position w:val="0"/>
                <w:sz w:val="24"/>
                <w:szCs w:val="24"/>
                <w:highlight w:val="none"/>
                <w:u w:val="single"/>
                <w:lang w:val="en-US" w:eastAsia="zh-CN"/>
              </w:rPr>
              <w:t>（北京时间）</w:t>
            </w:r>
            <w:r>
              <w:rPr>
                <w:rFonts w:hint="eastAsia" w:ascii="宋体" w:hAnsi="宋体" w:eastAsia="宋体" w:cs="宋体"/>
                <w:color w:val="auto"/>
                <w:spacing w:val="0"/>
                <w:position w:val="0"/>
                <w:sz w:val="24"/>
                <w:szCs w:val="24"/>
                <w:highlight w:val="none"/>
              </w:rPr>
              <w:t>前递交</w:t>
            </w:r>
            <w:r>
              <w:rPr>
                <w:rFonts w:hint="eastAsia" w:ascii="宋体" w:hAnsi="宋体" w:eastAsia="宋体" w:cs="宋体"/>
                <w:color w:val="auto"/>
                <w:spacing w:val="0"/>
                <w:position w:val="0"/>
                <w:sz w:val="24"/>
                <w:szCs w:val="24"/>
                <w:highlight w:val="none"/>
                <w:lang w:val="en-US" w:eastAsia="zh-CN"/>
              </w:rPr>
              <w:t>响应</w:t>
            </w:r>
            <w:r>
              <w:rPr>
                <w:rFonts w:hint="eastAsia" w:ascii="宋体" w:hAnsi="宋体" w:eastAsia="宋体" w:cs="宋体"/>
                <w:color w:val="auto"/>
                <w:spacing w:val="0"/>
                <w:position w:val="0"/>
                <w:sz w:val="24"/>
                <w:szCs w:val="24"/>
                <w:highlight w:val="none"/>
              </w:rPr>
              <w:t>文件。</w:t>
            </w:r>
          </w:p>
        </w:tc>
      </w:tr>
    </w:tbl>
    <w:p w14:paraId="5402C533">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一、项目基本情况</w:t>
      </w:r>
    </w:p>
    <w:p w14:paraId="0FEABAC3">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项目编号：</w:t>
      </w:r>
      <w:r>
        <w:rPr>
          <w:rFonts w:hint="eastAsia" w:ascii="宋体" w:hAnsi="宋体" w:cs="宋体"/>
          <w:color w:val="auto"/>
          <w:spacing w:val="0"/>
          <w:position w:val="0"/>
          <w:sz w:val="24"/>
          <w:szCs w:val="24"/>
          <w:highlight w:val="none"/>
          <w:lang w:eastAsia="zh-CN"/>
        </w:rPr>
        <w:t>XJYL-2025-012</w:t>
      </w:r>
    </w:p>
    <w:p w14:paraId="5E87BB66">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项目名称：</w:t>
      </w:r>
      <w:r>
        <w:rPr>
          <w:rFonts w:hint="eastAsia" w:ascii="宋体" w:hAnsi="宋体" w:cs="宋体"/>
          <w:color w:val="auto"/>
          <w:spacing w:val="0"/>
          <w:position w:val="0"/>
          <w:sz w:val="24"/>
          <w:szCs w:val="24"/>
          <w:highlight w:val="none"/>
          <w:lang w:eastAsia="zh-CN"/>
        </w:rPr>
        <w:t>甘泉堡经开区2025年市政道路及附属设施维护项目</w:t>
      </w:r>
      <w:r>
        <w:rPr>
          <w:rFonts w:hint="eastAsia" w:ascii="宋体" w:hAnsi="宋体" w:eastAsia="宋体" w:cs="宋体"/>
          <w:color w:val="auto"/>
          <w:spacing w:val="0"/>
          <w:position w:val="0"/>
          <w:sz w:val="24"/>
          <w:szCs w:val="24"/>
          <w:highlight w:val="none"/>
        </w:rPr>
        <w:t xml:space="preserve"> </w:t>
      </w:r>
    </w:p>
    <w:p w14:paraId="4D1A9033">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采购方式：竞争性磋商 </w:t>
      </w:r>
    </w:p>
    <w:p w14:paraId="59F97D84">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预算金额（元）：</w:t>
      </w:r>
      <w:r>
        <w:rPr>
          <w:rFonts w:hint="eastAsia" w:ascii="宋体" w:hAnsi="宋体" w:cs="宋体"/>
          <w:color w:val="auto"/>
          <w:spacing w:val="0"/>
          <w:position w:val="0"/>
          <w:sz w:val="24"/>
          <w:szCs w:val="24"/>
          <w:highlight w:val="none"/>
          <w:lang w:val="en-US" w:eastAsia="zh-CN"/>
        </w:rPr>
        <w:t>10000000.00</w:t>
      </w:r>
      <w:r>
        <w:rPr>
          <w:rFonts w:hint="eastAsia" w:ascii="宋体" w:hAnsi="宋体" w:eastAsia="宋体" w:cs="宋体"/>
          <w:color w:val="auto"/>
          <w:spacing w:val="0"/>
          <w:position w:val="0"/>
          <w:sz w:val="24"/>
          <w:szCs w:val="24"/>
          <w:highlight w:val="none"/>
          <w:lang w:val="en-US" w:eastAsia="zh-CN"/>
        </w:rPr>
        <w:t xml:space="preserve"> </w:t>
      </w:r>
    </w:p>
    <w:p w14:paraId="0F74682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最高限价（元）：7000000.00；3000000.00</w:t>
      </w:r>
    </w:p>
    <w:p w14:paraId="2F31D026">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pacing w:val="0"/>
          <w:position w:val="0"/>
          <w:sz w:val="24"/>
          <w:szCs w:val="24"/>
          <w:highlight w:val="none"/>
          <w:lang w:val="en-US" w:eastAsia="zh-CN"/>
        </w:rPr>
      </w:pPr>
    </w:p>
    <w:p w14:paraId="7D5EF957">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采购需求：  </w:t>
      </w:r>
    </w:p>
    <w:p w14:paraId="3E6E9BB0">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标项一</w:t>
      </w:r>
    </w:p>
    <w:p w14:paraId="01EB8CA8">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标项</w:t>
      </w:r>
      <w:r>
        <w:rPr>
          <w:rFonts w:hint="eastAsia" w:ascii="宋体" w:hAnsi="宋体" w:eastAsia="宋体" w:cs="宋体"/>
          <w:color w:val="auto"/>
          <w:spacing w:val="0"/>
          <w:position w:val="0"/>
          <w:sz w:val="24"/>
          <w:szCs w:val="24"/>
          <w:highlight w:val="none"/>
        </w:rPr>
        <w:t>名称：</w:t>
      </w:r>
      <w:r>
        <w:rPr>
          <w:rFonts w:hint="eastAsia" w:ascii="宋体" w:hAnsi="宋体" w:cs="宋体"/>
          <w:color w:val="auto"/>
          <w:spacing w:val="0"/>
          <w:position w:val="0"/>
          <w:sz w:val="24"/>
          <w:szCs w:val="24"/>
          <w:highlight w:val="none"/>
          <w:lang w:eastAsia="zh-CN"/>
        </w:rPr>
        <w:t>甘泉堡经开区2025年市政道路及附属设施维护项目（</w:t>
      </w:r>
      <w:r>
        <w:rPr>
          <w:rFonts w:hint="eastAsia" w:ascii="宋体" w:hAnsi="宋体" w:cs="宋体"/>
          <w:color w:val="auto"/>
          <w:spacing w:val="0"/>
          <w:position w:val="0"/>
          <w:sz w:val="24"/>
          <w:szCs w:val="24"/>
          <w:highlight w:val="none"/>
          <w:lang w:val="en-US" w:eastAsia="zh-CN"/>
        </w:rPr>
        <w:t>一标段</w:t>
      </w:r>
      <w:r>
        <w:rPr>
          <w:rFonts w:hint="eastAsia" w:ascii="宋体" w:hAnsi="宋体" w:cs="宋体"/>
          <w:color w:val="auto"/>
          <w:spacing w:val="0"/>
          <w:position w:val="0"/>
          <w:sz w:val="24"/>
          <w:szCs w:val="24"/>
          <w:highlight w:val="none"/>
          <w:lang w:eastAsia="zh-CN"/>
        </w:rPr>
        <w:t>）</w:t>
      </w:r>
    </w:p>
    <w:p w14:paraId="1B3420E6">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数量：1     </w:t>
      </w:r>
    </w:p>
    <w:p w14:paraId="76046206">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预算金额（元）：</w:t>
      </w:r>
      <w:r>
        <w:rPr>
          <w:rFonts w:hint="eastAsia" w:ascii="宋体" w:hAnsi="宋体" w:cs="宋体"/>
          <w:color w:val="auto"/>
          <w:spacing w:val="0"/>
          <w:position w:val="0"/>
          <w:sz w:val="24"/>
          <w:szCs w:val="24"/>
          <w:highlight w:val="none"/>
          <w:lang w:val="en-US" w:eastAsia="zh-CN"/>
        </w:rPr>
        <w:t>7000000.00</w:t>
      </w:r>
    </w:p>
    <w:p w14:paraId="66D816FC">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单位：</w:t>
      </w:r>
      <w:r>
        <w:rPr>
          <w:rFonts w:hint="eastAsia" w:ascii="宋体" w:hAnsi="宋体" w:eastAsia="宋体" w:cs="宋体"/>
          <w:color w:val="auto"/>
          <w:spacing w:val="0"/>
          <w:position w:val="0"/>
          <w:sz w:val="24"/>
          <w:szCs w:val="24"/>
          <w:highlight w:val="none"/>
          <w:lang w:val="en-US" w:eastAsia="zh-CN"/>
        </w:rPr>
        <w:t>项</w:t>
      </w:r>
      <w:r>
        <w:rPr>
          <w:rFonts w:hint="eastAsia" w:ascii="宋体" w:hAnsi="宋体" w:eastAsia="宋体" w:cs="宋体"/>
          <w:color w:val="auto"/>
          <w:spacing w:val="0"/>
          <w:position w:val="0"/>
          <w:sz w:val="24"/>
          <w:szCs w:val="24"/>
          <w:highlight w:val="none"/>
        </w:rPr>
        <w:t xml:space="preserve"> </w:t>
      </w:r>
    </w:p>
    <w:p w14:paraId="015E1263">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简要规格描述：</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对甘泉堡经济技术开发区（工业区）行政区域范围内</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除甘泉堡路外所有</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市政道路进行维护，对路面翻浆问题严重路段采用“混凝土+沥青”的方式进行维护，对其余病害问题按照“即坏即修的方式进行维护”</w:t>
      </w:r>
      <w:r>
        <w:rPr>
          <w:rFonts w:hint="eastAsia" w:ascii="宋体" w:hAnsi="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具体内容详见工程量清单。</w:t>
      </w:r>
    </w:p>
    <w:p w14:paraId="56C1FB01">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备注：</w:t>
      </w:r>
    </w:p>
    <w:p w14:paraId="0DD82804">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p>
    <w:p w14:paraId="3D01814E">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标项</w:t>
      </w:r>
      <w:r>
        <w:rPr>
          <w:rFonts w:hint="eastAsia" w:ascii="宋体" w:hAnsi="宋体" w:eastAsia="宋体" w:cs="宋体"/>
          <w:color w:val="auto"/>
          <w:spacing w:val="0"/>
          <w:position w:val="0"/>
          <w:sz w:val="24"/>
          <w:szCs w:val="24"/>
          <w:highlight w:val="none"/>
          <w:lang w:val="en-US" w:eastAsia="zh-CN"/>
        </w:rPr>
        <w:t>二</w:t>
      </w:r>
    </w:p>
    <w:p w14:paraId="199D35A8">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标项</w:t>
      </w:r>
      <w:r>
        <w:rPr>
          <w:rFonts w:hint="eastAsia" w:ascii="宋体" w:hAnsi="宋体" w:eastAsia="宋体" w:cs="宋体"/>
          <w:color w:val="auto"/>
          <w:spacing w:val="0"/>
          <w:position w:val="0"/>
          <w:sz w:val="24"/>
          <w:szCs w:val="24"/>
          <w:highlight w:val="none"/>
        </w:rPr>
        <w:t>名称：</w:t>
      </w:r>
      <w:r>
        <w:rPr>
          <w:rFonts w:hint="eastAsia" w:ascii="宋体" w:hAnsi="宋体" w:cs="宋体"/>
          <w:color w:val="auto"/>
          <w:spacing w:val="0"/>
          <w:position w:val="0"/>
          <w:sz w:val="24"/>
          <w:szCs w:val="24"/>
          <w:highlight w:val="none"/>
          <w:lang w:eastAsia="zh-CN"/>
        </w:rPr>
        <w:t>甘泉堡经开区2025年市政道路及附属设施维护项目（</w:t>
      </w:r>
      <w:r>
        <w:rPr>
          <w:rFonts w:hint="eastAsia" w:ascii="宋体" w:hAnsi="宋体" w:cs="宋体"/>
          <w:color w:val="auto"/>
          <w:spacing w:val="0"/>
          <w:position w:val="0"/>
          <w:sz w:val="24"/>
          <w:szCs w:val="24"/>
          <w:highlight w:val="none"/>
          <w:lang w:val="en-US" w:eastAsia="zh-CN"/>
        </w:rPr>
        <w:t>二标段</w:t>
      </w:r>
      <w:r>
        <w:rPr>
          <w:rFonts w:hint="eastAsia" w:ascii="宋体" w:hAnsi="宋体" w:cs="宋体"/>
          <w:color w:val="auto"/>
          <w:spacing w:val="0"/>
          <w:position w:val="0"/>
          <w:sz w:val="24"/>
          <w:szCs w:val="24"/>
          <w:highlight w:val="none"/>
          <w:lang w:eastAsia="zh-CN"/>
        </w:rPr>
        <w:t>）</w:t>
      </w:r>
    </w:p>
    <w:p w14:paraId="147AD816">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数量：1     </w:t>
      </w:r>
    </w:p>
    <w:p w14:paraId="3A7B93F6">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预算金额（元）：</w:t>
      </w:r>
      <w:r>
        <w:rPr>
          <w:rFonts w:hint="eastAsia" w:ascii="宋体" w:hAnsi="宋体" w:cs="宋体"/>
          <w:color w:val="auto"/>
          <w:spacing w:val="0"/>
          <w:position w:val="0"/>
          <w:sz w:val="24"/>
          <w:szCs w:val="24"/>
          <w:highlight w:val="none"/>
          <w:lang w:val="en-US" w:eastAsia="zh-CN"/>
        </w:rPr>
        <w:t>3000000.00</w:t>
      </w:r>
    </w:p>
    <w:p w14:paraId="5D89E0D0">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单位：</w:t>
      </w:r>
      <w:r>
        <w:rPr>
          <w:rFonts w:hint="eastAsia" w:ascii="宋体" w:hAnsi="宋体" w:eastAsia="宋体" w:cs="宋体"/>
          <w:color w:val="auto"/>
          <w:spacing w:val="0"/>
          <w:position w:val="0"/>
          <w:sz w:val="24"/>
          <w:szCs w:val="24"/>
          <w:highlight w:val="none"/>
          <w:lang w:val="en-US" w:eastAsia="zh-CN"/>
        </w:rPr>
        <w:t>项</w:t>
      </w:r>
      <w:r>
        <w:rPr>
          <w:rFonts w:hint="eastAsia" w:ascii="宋体" w:hAnsi="宋体" w:eastAsia="宋体" w:cs="宋体"/>
          <w:color w:val="auto"/>
          <w:spacing w:val="0"/>
          <w:position w:val="0"/>
          <w:sz w:val="24"/>
          <w:szCs w:val="24"/>
          <w:highlight w:val="none"/>
        </w:rPr>
        <w:t xml:space="preserve"> </w:t>
      </w:r>
    </w:p>
    <w:p w14:paraId="49872588">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简要规格描述：</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对甘泉堡经济技术开发区（工业区）行政区域范围内</w:t>
      </w:r>
      <w:bookmarkStart w:id="1349" w:name="_GoBack"/>
      <w:bookmarkEnd w:id="1349"/>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甘泉堡路进行维护，对路面翻浆问题严重路段采用“混凝土+沥青”的方式进行维护，对其余病害问题按照“即坏即修的方式进行维护”</w:t>
      </w:r>
      <w:r>
        <w:rPr>
          <w:rFonts w:hint="eastAsia" w:ascii="宋体" w:hAnsi="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具体内容详见工程量清单。</w:t>
      </w:r>
    </w:p>
    <w:p w14:paraId="7F0D6A45">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备注：</w:t>
      </w:r>
    </w:p>
    <w:p w14:paraId="18CF0D02">
      <w:pPr>
        <w:pStyle w:val="11"/>
        <w:kinsoku/>
        <w:wordWrap/>
        <w:overflowPunct/>
        <w:bidi w:val="0"/>
        <w:ind w:left="0" w:leftChars="0" w:firstLine="0" w:firstLineChars="0"/>
        <w:rPr>
          <w:rFonts w:hint="eastAsia" w:ascii="宋体" w:hAnsi="宋体" w:eastAsia="宋体" w:cs="宋体"/>
          <w:color w:val="auto"/>
          <w:highlight w:val="none"/>
        </w:rPr>
      </w:pPr>
    </w:p>
    <w:p w14:paraId="3B9134DE">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合同履约期限：</w:t>
      </w:r>
      <w:r>
        <w:rPr>
          <w:rFonts w:hint="eastAsia" w:ascii="宋体" w:hAnsi="宋体" w:cs="宋体"/>
          <w:color w:val="auto"/>
          <w:spacing w:val="0"/>
          <w:position w:val="0"/>
          <w:sz w:val="24"/>
          <w:szCs w:val="24"/>
          <w:highlight w:val="none"/>
          <w:lang w:val="en-US" w:eastAsia="zh-CN"/>
        </w:rPr>
        <w:t>一标段：</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自合同签订之日起</w:t>
      </w:r>
      <w:r>
        <w:rPr>
          <w:rFonts w:hint="eastAsia" w:ascii="宋体" w:hAnsi="宋体" w:cs="宋体"/>
          <w:color w:val="auto"/>
          <w:spacing w:val="0"/>
          <w:position w:val="0"/>
          <w:sz w:val="24"/>
          <w:szCs w:val="24"/>
          <w:highlight w:val="none"/>
          <w:lang w:val="en-US" w:eastAsia="zh-CN"/>
        </w:rPr>
        <w:t>30个日历日；二标段：</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自合同签订之日起</w:t>
      </w:r>
      <w:r>
        <w:rPr>
          <w:rFonts w:hint="eastAsia" w:ascii="宋体" w:hAnsi="宋体" w:cs="宋体"/>
          <w:color w:val="auto"/>
          <w:spacing w:val="0"/>
          <w:position w:val="0"/>
          <w:sz w:val="24"/>
          <w:szCs w:val="24"/>
          <w:highlight w:val="none"/>
          <w:lang w:val="en-US" w:eastAsia="zh-CN"/>
        </w:rPr>
        <w:t>20个日历日。</w:t>
      </w:r>
      <w:r>
        <w:rPr>
          <w:rFonts w:hint="eastAsia" w:ascii="宋体" w:eastAsia="宋体"/>
          <w:sz w:val="24"/>
          <w:szCs w:val="22"/>
          <w:highlight w:val="none"/>
          <w:lang w:val="en-US" w:eastAsia="zh-CN"/>
        </w:rPr>
        <w:t>（具体时间以合同签订为准）</w:t>
      </w:r>
      <w:r>
        <w:rPr>
          <w:rFonts w:hint="eastAsia" w:ascii="宋体" w:hAnsi="宋体" w:eastAsia="宋体" w:cs="宋体"/>
          <w:color w:val="auto"/>
          <w:spacing w:val="0"/>
          <w:position w:val="0"/>
          <w:sz w:val="24"/>
          <w:szCs w:val="24"/>
          <w:highlight w:val="none"/>
        </w:rPr>
        <w:t xml:space="preserve"> </w:t>
      </w:r>
    </w:p>
    <w:p w14:paraId="73F43B84">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本项目（否）接受联合体投标。  </w:t>
      </w:r>
    </w:p>
    <w:p w14:paraId="5239AC1B">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二、申请人的资格要求：</w:t>
      </w:r>
    </w:p>
    <w:p w14:paraId="45D0576E">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1.满足《中华人民共和国政府采购法》第二十二条规定；</w:t>
      </w:r>
    </w:p>
    <w:p w14:paraId="03943479">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2.落实政府采购政策需满足的资格要求：</w:t>
      </w:r>
      <w:r>
        <w:rPr>
          <w:rFonts w:hint="eastAsia" w:ascii="宋体" w:hAnsi="宋体" w:cs="宋体"/>
          <w:color w:val="auto"/>
          <w:spacing w:val="0"/>
          <w:position w:val="0"/>
          <w:sz w:val="24"/>
          <w:szCs w:val="24"/>
          <w:highlight w:val="none"/>
          <w:lang w:val="en-US" w:eastAsia="zh-CN"/>
        </w:rPr>
        <w:t>一标段：</w:t>
      </w:r>
      <w:r>
        <w:rPr>
          <w:rFonts w:hint="eastAsia" w:ascii="宋体" w:hAnsi="宋体" w:cs="宋体"/>
          <w:kern w:val="0"/>
          <w:sz w:val="24"/>
          <w:highlight w:val="none"/>
          <w:lang w:val="en-US" w:eastAsia="zh-CN"/>
        </w:rPr>
        <w:t>专门面向中小微企业采购；二标段：专门面向小微企业采购。</w:t>
      </w:r>
    </w:p>
    <w:p w14:paraId="0C287D80">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3.本项目的特定资格要求：</w:t>
      </w:r>
    </w:p>
    <w:p w14:paraId="49EC7EF4">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一标段、二标段：</w:t>
      </w:r>
    </w:p>
    <w:p w14:paraId="4595C157">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Style w:val="42"/>
          <w:rFonts w:hint="eastAsia" w:ascii="宋体" w:hAnsi="宋体" w:cs="宋体"/>
          <w:b w:val="0"/>
          <w:bCs w:val="0"/>
          <w:i w:val="0"/>
          <w:caps w:val="0"/>
          <w:color w:val="auto"/>
          <w:spacing w:val="0"/>
          <w:w w:val="100"/>
          <w:kern w:val="2"/>
          <w:position w:val="0"/>
          <w:sz w:val="24"/>
          <w:szCs w:val="24"/>
          <w:highlight w:val="none"/>
          <w:lang w:val="en-US" w:eastAsia="zh-CN" w:bidi="ar-SA"/>
        </w:rPr>
      </w:pPr>
      <w:r>
        <w:rPr>
          <w:rStyle w:val="42"/>
          <w:rFonts w:hint="eastAsia" w:ascii="宋体" w:hAnsi="宋体" w:cs="宋体"/>
          <w:b w:val="0"/>
          <w:bCs w:val="0"/>
          <w:i w:val="0"/>
          <w:caps w:val="0"/>
          <w:color w:val="auto"/>
          <w:spacing w:val="0"/>
          <w:w w:val="100"/>
          <w:kern w:val="2"/>
          <w:position w:val="0"/>
          <w:sz w:val="24"/>
          <w:szCs w:val="24"/>
          <w:highlight w:val="none"/>
          <w:lang w:val="en-US" w:eastAsia="zh-CN" w:bidi="ar-SA"/>
        </w:rPr>
        <w:t>（1）供应商应具备市政工程施工总承包三级及以上资质；</w:t>
      </w:r>
    </w:p>
    <w:p w14:paraId="5806662E">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Style w:val="42"/>
          <w:rFonts w:hint="eastAsia" w:ascii="宋体" w:hAnsi="宋体" w:cs="宋体"/>
          <w:b w:val="0"/>
          <w:bCs w:val="0"/>
          <w:i w:val="0"/>
          <w:caps w:val="0"/>
          <w:color w:val="auto"/>
          <w:spacing w:val="0"/>
          <w:w w:val="100"/>
          <w:kern w:val="2"/>
          <w:position w:val="0"/>
          <w:sz w:val="24"/>
          <w:szCs w:val="24"/>
          <w:highlight w:val="none"/>
          <w:lang w:val="en-US" w:eastAsia="zh-CN" w:bidi="ar-SA"/>
        </w:rPr>
      </w:pPr>
      <w:r>
        <w:rPr>
          <w:rStyle w:val="42"/>
          <w:rFonts w:hint="eastAsia" w:ascii="宋体" w:hAnsi="宋体" w:cs="宋体"/>
          <w:b w:val="0"/>
          <w:bCs w:val="0"/>
          <w:i w:val="0"/>
          <w:caps w:val="0"/>
          <w:color w:val="auto"/>
          <w:spacing w:val="0"/>
          <w:w w:val="100"/>
          <w:kern w:val="2"/>
          <w:position w:val="0"/>
          <w:sz w:val="24"/>
          <w:szCs w:val="24"/>
          <w:highlight w:val="none"/>
          <w:lang w:val="en-US" w:eastAsia="zh-CN" w:bidi="ar-SA"/>
        </w:rPr>
        <w:t>（2）供应商应具备有效的安全生产许可证；</w:t>
      </w:r>
    </w:p>
    <w:p w14:paraId="2456F24B">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Style w:val="42"/>
          <w:rFonts w:hint="eastAsia" w:ascii="宋体" w:hAnsi="宋体" w:cs="宋体"/>
          <w:b w:val="0"/>
          <w:bCs w:val="0"/>
          <w:i w:val="0"/>
          <w:caps w:val="0"/>
          <w:color w:val="auto"/>
          <w:spacing w:val="0"/>
          <w:w w:val="100"/>
          <w:kern w:val="2"/>
          <w:position w:val="0"/>
          <w:sz w:val="24"/>
          <w:szCs w:val="24"/>
          <w:highlight w:val="none"/>
          <w:lang w:val="en-US" w:eastAsia="zh-CN" w:bidi="ar-SA"/>
        </w:rPr>
      </w:pPr>
      <w:r>
        <w:rPr>
          <w:rStyle w:val="42"/>
          <w:rFonts w:hint="eastAsia" w:ascii="宋体" w:hAnsi="宋体" w:cs="宋体"/>
          <w:b w:val="0"/>
          <w:bCs w:val="0"/>
          <w:i w:val="0"/>
          <w:caps w:val="0"/>
          <w:color w:val="auto"/>
          <w:spacing w:val="0"/>
          <w:w w:val="100"/>
          <w:kern w:val="2"/>
          <w:position w:val="0"/>
          <w:sz w:val="24"/>
          <w:szCs w:val="24"/>
          <w:highlight w:val="none"/>
          <w:lang w:val="en-US" w:eastAsia="zh-CN" w:bidi="ar-SA"/>
        </w:rPr>
        <w:t>（3）项目负责人应为注册建造师贰级及以上（市政工程专业）资格。</w:t>
      </w:r>
    </w:p>
    <w:p w14:paraId="69046CE5">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Style w:val="42"/>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2"/>
          <w:rFonts w:hint="eastAsia" w:ascii="宋体" w:hAnsi="宋体" w:eastAsia="宋体" w:cs="宋体"/>
          <w:b w:val="0"/>
          <w:bCs w:val="0"/>
          <w:i w:val="0"/>
          <w:caps w:val="0"/>
          <w:color w:val="auto"/>
          <w:spacing w:val="0"/>
          <w:w w:val="100"/>
          <w:kern w:val="2"/>
          <w:position w:val="0"/>
          <w:sz w:val="24"/>
          <w:szCs w:val="24"/>
          <w:highlight w:val="none"/>
          <w:lang w:val="en-US" w:eastAsia="zh-CN" w:bidi="ar-SA"/>
        </w:rPr>
        <w:t>4.根据《关于在政府采购活动中查询及使用信用记录有关问题的通知》(财库[2016]125号)的规定，对被列入“失信被执行人”、“重大税收违法案件当事人名单”、“政府采购严重违法失信行为记录名单”的供应商，拒绝参与本项目政府采购活动【查询渠道：“信用中国”网站（www.creditchina.gov.cn）、中国政府采购网（</w:t>
      </w:r>
      <w:r>
        <w:rPr>
          <w:rStyle w:val="42"/>
          <w:rFonts w:hint="eastAsia" w:ascii="宋体" w:hAnsi="宋体" w:eastAsia="宋体" w:cs="宋体"/>
          <w:b w:val="0"/>
          <w:bCs w:val="0"/>
          <w:i w:val="0"/>
          <w:caps w:val="0"/>
          <w:color w:val="auto"/>
          <w:spacing w:val="0"/>
          <w:w w:val="100"/>
          <w:kern w:val="2"/>
          <w:position w:val="0"/>
          <w:sz w:val="24"/>
          <w:szCs w:val="24"/>
          <w:highlight w:val="none"/>
          <w:lang w:val="en-US" w:eastAsia="zh-CN" w:bidi="ar-SA"/>
        </w:rPr>
        <w:fldChar w:fldCharType="begin"/>
      </w:r>
      <w:r>
        <w:rPr>
          <w:rStyle w:val="42"/>
          <w:rFonts w:hint="eastAsia" w:ascii="宋体" w:hAnsi="宋体" w:eastAsia="宋体" w:cs="宋体"/>
          <w:b w:val="0"/>
          <w:bCs w:val="0"/>
          <w:i w:val="0"/>
          <w:caps w:val="0"/>
          <w:color w:val="auto"/>
          <w:spacing w:val="0"/>
          <w:w w:val="100"/>
          <w:kern w:val="2"/>
          <w:position w:val="0"/>
          <w:sz w:val="24"/>
          <w:szCs w:val="24"/>
          <w:highlight w:val="none"/>
          <w:lang w:val="en-US" w:eastAsia="zh-CN" w:bidi="ar-SA"/>
        </w:rPr>
        <w:instrText xml:space="preserve"> HYPERLINK "http://www.ccgp.gov.cn）】" </w:instrText>
      </w:r>
      <w:r>
        <w:rPr>
          <w:rStyle w:val="42"/>
          <w:rFonts w:hint="eastAsia" w:ascii="宋体" w:hAnsi="宋体" w:eastAsia="宋体" w:cs="宋体"/>
          <w:b w:val="0"/>
          <w:bCs w:val="0"/>
          <w:i w:val="0"/>
          <w:caps w:val="0"/>
          <w:color w:val="auto"/>
          <w:spacing w:val="0"/>
          <w:w w:val="100"/>
          <w:kern w:val="2"/>
          <w:position w:val="0"/>
          <w:sz w:val="24"/>
          <w:szCs w:val="24"/>
          <w:highlight w:val="none"/>
          <w:lang w:val="en-US" w:eastAsia="zh-CN" w:bidi="ar-SA"/>
        </w:rPr>
        <w:fldChar w:fldCharType="separate"/>
      </w:r>
      <w:r>
        <w:rPr>
          <w:rStyle w:val="42"/>
          <w:rFonts w:hint="eastAsia" w:ascii="宋体" w:hAnsi="宋体" w:eastAsia="宋体" w:cs="宋体"/>
          <w:b w:val="0"/>
          <w:bCs w:val="0"/>
          <w:i w:val="0"/>
          <w:caps w:val="0"/>
          <w:color w:val="auto"/>
          <w:spacing w:val="0"/>
          <w:w w:val="100"/>
          <w:kern w:val="2"/>
          <w:position w:val="0"/>
          <w:sz w:val="24"/>
          <w:szCs w:val="24"/>
          <w:highlight w:val="none"/>
          <w:lang w:val="en-US" w:eastAsia="zh-CN" w:bidi="ar-SA"/>
        </w:rPr>
        <w:t>www.ccgp.gov.cn）】</w:t>
      </w:r>
      <w:r>
        <w:rPr>
          <w:rStyle w:val="42"/>
          <w:rFonts w:hint="eastAsia" w:ascii="宋体" w:hAnsi="宋体" w:eastAsia="宋体" w:cs="宋体"/>
          <w:b w:val="0"/>
          <w:bCs w:val="0"/>
          <w:i w:val="0"/>
          <w:caps w:val="0"/>
          <w:color w:val="auto"/>
          <w:spacing w:val="0"/>
          <w:w w:val="100"/>
          <w:kern w:val="2"/>
          <w:position w:val="0"/>
          <w:sz w:val="24"/>
          <w:szCs w:val="24"/>
          <w:highlight w:val="none"/>
          <w:lang w:val="en-US" w:eastAsia="zh-CN" w:bidi="ar-SA"/>
        </w:rPr>
        <w:fldChar w:fldCharType="end"/>
      </w:r>
      <w:r>
        <w:rPr>
          <w:rStyle w:val="42"/>
          <w:rFonts w:hint="eastAsia" w:ascii="宋体" w:hAnsi="宋体" w:eastAsia="宋体" w:cs="宋体"/>
          <w:b w:val="0"/>
          <w:bCs w:val="0"/>
          <w:i w:val="0"/>
          <w:caps w:val="0"/>
          <w:color w:val="auto"/>
          <w:spacing w:val="0"/>
          <w:w w:val="100"/>
          <w:kern w:val="2"/>
          <w:position w:val="0"/>
          <w:sz w:val="24"/>
          <w:szCs w:val="24"/>
          <w:highlight w:val="none"/>
          <w:lang w:val="en-US" w:eastAsia="zh-CN" w:bidi="ar-SA"/>
        </w:rPr>
        <w:t>。</w:t>
      </w:r>
    </w:p>
    <w:p w14:paraId="24FE5B12">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Style w:val="42"/>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2"/>
          <w:rFonts w:hint="eastAsia" w:ascii="宋体" w:hAnsi="宋体" w:eastAsia="宋体" w:cs="宋体"/>
          <w:b w:val="0"/>
          <w:bCs w:val="0"/>
          <w:i w:val="0"/>
          <w:caps w:val="0"/>
          <w:color w:val="auto"/>
          <w:spacing w:val="0"/>
          <w:w w:val="100"/>
          <w:kern w:val="2"/>
          <w:position w:val="0"/>
          <w:sz w:val="24"/>
          <w:szCs w:val="24"/>
          <w:highlight w:val="none"/>
          <w:lang w:val="en-US" w:eastAsia="zh-CN" w:bidi="ar-SA"/>
        </w:rPr>
        <w:t>5.供应商不得存在下列情形之一：</w:t>
      </w:r>
    </w:p>
    <w:p w14:paraId="19AD7F55">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Style w:val="42"/>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2"/>
          <w:rFonts w:hint="eastAsia" w:ascii="宋体" w:hAnsi="宋体" w:eastAsia="宋体" w:cs="宋体"/>
          <w:b w:val="0"/>
          <w:bCs w:val="0"/>
          <w:i w:val="0"/>
          <w:caps w:val="0"/>
          <w:color w:val="auto"/>
          <w:spacing w:val="0"/>
          <w:w w:val="100"/>
          <w:kern w:val="2"/>
          <w:position w:val="0"/>
          <w:sz w:val="24"/>
          <w:szCs w:val="24"/>
          <w:highlight w:val="none"/>
          <w:lang w:val="en-US" w:eastAsia="zh-CN" w:bidi="ar-SA"/>
        </w:rPr>
        <w:t>5.1与采购人、采购代理机构存在隶属关系或者其他利害关系。</w:t>
      </w:r>
    </w:p>
    <w:p w14:paraId="523F0A0B">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Style w:val="42"/>
          <w:rFonts w:hint="default" w:ascii="宋体" w:hAnsi="宋体" w:eastAsia="宋体" w:cs="宋体"/>
          <w:b w:val="0"/>
          <w:bCs w:val="0"/>
          <w:i w:val="0"/>
          <w:caps w:val="0"/>
          <w:color w:val="auto"/>
          <w:spacing w:val="0"/>
          <w:w w:val="100"/>
          <w:kern w:val="2"/>
          <w:position w:val="0"/>
          <w:sz w:val="24"/>
          <w:szCs w:val="24"/>
          <w:highlight w:val="none"/>
          <w:lang w:val="en-US" w:eastAsia="zh-CN" w:bidi="ar-SA"/>
        </w:rPr>
      </w:pPr>
      <w:r>
        <w:rPr>
          <w:rStyle w:val="42"/>
          <w:rFonts w:hint="eastAsia" w:ascii="宋体" w:hAnsi="宋体" w:eastAsia="宋体" w:cs="宋体"/>
          <w:b w:val="0"/>
          <w:bCs w:val="0"/>
          <w:i w:val="0"/>
          <w:caps w:val="0"/>
          <w:color w:val="auto"/>
          <w:spacing w:val="0"/>
          <w:w w:val="100"/>
          <w:kern w:val="2"/>
          <w:position w:val="0"/>
          <w:sz w:val="24"/>
          <w:szCs w:val="24"/>
          <w:highlight w:val="none"/>
          <w:lang w:val="en-US" w:eastAsia="zh-CN" w:bidi="ar-SA"/>
        </w:rPr>
        <w:t>5.2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8080D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三、获取采购文件</w:t>
      </w:r>
    </w:p>
    <w:p w14:paraId="60CFC9A1">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时间：202</w:t>
      </w:r>
      <w:r>
        <w:rPr>
          <w:rFonts w:hint="eastAsia" w:ascii="宋体" w:hAnsi="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rPr>
        <w:t>年</w:t>
      </w:r>
      <w:r>
        <w:rPr>
          <w:rFonts w:hint="eastAsia" w:ascii="宋体" w:hAnsi="宋体" w:cs="宋体"/>
          <w:color w:val="auto"/>
          <w:spacing w:val="0"/>
          <w:position w:val="0"/>
          <w:sz w:val="24"/>
          <w:szCs w:val="24"/>
          <w:highlight w:val="none"/>
          <w:lang w:val="en-US" w:eastAsia="zh-CN"/>
        </w:rPr>
        <w:t>06</w:t>
      </w:r>
      <w:r>
        <w:rPr>
          <w:rFonts w:hint="eastAsia" w:ascii="宋体" w:hAnsi="宋体" w:eastAsia="宋体" w:cs="宋体"/>
          <w:color w:val="auto"/>
          <w:spacing w:val="0"/>
          <w:position w:val="0"/>
          <w:sz w:val="24"/>
          <w:szCs w:val="24"/>
          <w:highlight w:val="none"/>
        </w:rPr>
        <w:t>月</w:t>
      </w:r>
      <w:r>
        <w:rPr>
          <w:rFonts w:hint="eastAsia" w:ascii="宋体" w:hAnsi="宋体" w:cs="宋体"/>
          <w:color w:val="auto"/>
          <w:spacing w:val="0"/>
          <w:position w:val="0"/>
          <w:sz w:val="24"/>
          <w:szCs w:val="24"/>
          <w:highlight w:val="none"/>
          <w:lang w:val="en-US" w:eastAsia="zh-CN"/>
        </w:rPr>
        <w:t>05</w:t>
      </w:r>
      <w:r>
        <w:rPr>
          <w:rFonts w:hint="eastAsia" w:ascii="宋体" w:hAnsi="宋体" w:eastAsia="宋体" w:cs="宋体"/>
          <w:color w:val="auto"/>
          <w:spacing w:val="0"/>
          <w:position w:val="0"/>
          <w:sz w:val="24"/>
          <w:szCs w:val="24"/>
          <w:highlight w:val="none"/>
        </w:rPr>
        <w:t>日至202</w:t>
      </w:r>
      <w:r>
        <w:rPr>
          <w:rFonts w:hint="eastAsia" w:ascii="宋体" w:hAnsi="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rPr>
        <w:t>年</w:t>
      </w:r>
      <w:r>
        <w:rPr>
          <w:rFonts w:hint="eastAsia" w:ascii="宋体" w:hAnsi="宋体" w:cs="宋体"/>
          <w:color w:val="auto"/>
          <w:spacing w:val="0"/>
          <w:position w:val="0"/>
          <w:sz w:val="24"/>
          <w:szCs w:val="24"/>
          <w:highlight w:val="none"/>
          <w:lang w:val="en-US" w:eastAsia="zh-CN"/>
        </w:rPr>
        <w:t>06</w:t>
      </w:r>
      <w:r>
        <w:rPr>
          <w:rFonts w:hint="eastAsia" w:ascii="宋体" w:hAnsi="宋体" w:eastAsia="宋体" w:cs="宋体"/>
          <w:color w:val="auto"/>
          <w:spacing w:val="0"/>
          <w:position w:val="0"/>
          <w:sz w:val="24"/>
          <w:szCs w:val="24"/>
          <w:highlight w:val="none"/>
        </w:rPr>
        <w:t>月</w:t>
      </w:r>
      <w:r>
        <w:rPr>
          <w:rFonts w:hint="eastAsia" w:ascii="宋体" w:hAnsi="宋体" w:cs="宋体"/>
          <w:color w:val="auto"/>
          <w:spacing w:val="0"/>
          <w:position w:val="0"/>
          <w:sz w:val="24"/>
          <w:szCs w:val="24"/>
          <w:highlight w:val="none"/>
          <w:lang w:val="en-US" w:eastAsia="zh-CN"/>
        </w:rPr>
        <w:t>17</w:t>
      </w:r>
      <w:r>
        <w:rPr>
          <w:rFonts w:hint="eastAsia" w:ascii="宋体" w:hAnsi="宋体" w:eastAsia="宋体" w:cs="宋体"/>
          <w:color w:val="auto"/>
          <w:spacing w:val="0"/>
          <w:position w:val="0"/>
          <w:sz w:val="24"/>
          <w:szCs w:val="24"/>
          <w:highlight w:val="none"/>
        </w:rPr>
        <w:t>日，每天上午00:00至1</w:t>
      </w:r>
      <w:r>
        <w:rPr>
          <w:rFonts w:hint="eastAsia" w:ascii="宋体" w:hAnsi="宋体" w:cs="宋体"/>
          <w:color w:val="auto"/>
          <w:spacing w:val="0"/>
          <w:position w:val="0"/>
          <w:sz w:val="24"/>
          <w:szCs w:val="24"/>
          <w:highlight w:val="none"/>
          <w:lang w:val="en-US" w:eastAsia="zh-CN"/>
        </w:rPr>
        <w:t>4</w:t>
      </w:r>
      <w:r>
        <w:rPr>
          <w:rFonts w:hint="eastAsia" w:ascii="宋体" w:hAnsi="宋体" w:eastAsia="宋体" w:cs="宋体"/>
          <w:color w:val="auto"/>
          <w:spacing w:val="0"/>
          <w:position w:val="0"/>
          <w:sz w:val="24"/>
          <w:szCs w:val="24"/>
          <w:highlight w:val="none"/>
        </w:rPr>
        <w:t>:00 ，下午1</w:t>
      </w:r>
      <w:r>
        <w:rPr>
          <w:rFonts w:hint="eastAsia" w:ascii="宋体" w:hAnsi="宋体" w:cs="宋体"/>
          <w:color w:val="auto"/>
          <w:spacing w:val="0"/>
          <w:position w:val="0"/>
          <w:sz w:val="24"/>
          <w:szCs w:val="24"/>
          <w:highlight w:val="none"/>
          <w:lang w:val="en-US" w:eastAsia="zh-CN"/>
        </w:rPr>
        <w:t>4</w:t>
      </w:r>
      <w:r>
        <w:rPr>
          <w:rFonts w:hint="eastAsia" w:ascii="宋体" w:hAnsi="宋体" w:eastAsia="宋体" w:cs="宋体"/>
          <w:color w:val="auto"/>
          <w:spacing w:val="0"/>
          <w:position w:val="0"/>
          <w:sz w:val="24"/>
          <w:szCs w:val="24"/>
          <w:highlight w:val="none"/>
        </w:rPr>
        <w:t>:00至23:59（北京时间，法定节假日除外）</w:t>
      </w:r>
    </w:p>
    <w:p w14:paraId="26D69F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地点：政采云平台https：//www.zcygov.cn/ </w:t>
      </w:r>
      <w:r>
        <w:rPr>
          <w:rStyle w:val="42"/>
          <w:rFonts w:hint="eastAsia" w:ascii="宋体" w:hAnsi="宋体" w:eastAsia="宋体" w:cs="宋体"/>
          <w:b w:val="0"/>
          <w:bCs w:val="0"/>
          <w:i w:val="0"/>
          <w:caps w:val="0"/>
          <w:color w:val="auto"/>
          <w:spacing w:val="0"/>
          <w:w w:val="100"/>
          <w:kern w:val="2"/>
          <w:position w:val="0"/>
          <w:sz w:val="24"/>
          <w:szCs w:val="24"/>
          <w:highlight w:val="none"/>
          <w:lang w:val="en-US" w:eastAsia="zh-CN" w:bidi="ar-SA"/>
        </w:rPr>
        <w:t> </w:t>
      </w:r>
      <w:r>
        <w:rPr>
          <w:rFonts w:hint="eastAsia" w:ascii="宋体" w:hAnsi="宋体" w:eastAsia="宋体" w:cs="宋体"/>
          <w:color w:val="auto"/>
          <w:spacing w:val="0"/>
          <w:position w:val="0"/>
          <w:sz w:val="24"/>
          <w:szCs w:val="24"/>
          <w:highlight w:val="none"/>
        </w:rPr>
        <w:t xml:space="preserve"> </w:t>
      </w:r>
    </w:p>
    <w:p w14:paraId="1EDB1480">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w:t>
      </w:r>
      <w:r>
        <w:rPr>
          <w:rFonts w:hint="eastAsia" w:ascii="宋体" w:hAnsi="宋体" w:eastAsia="宋体" w:cs="宋体"/>
          <w:color w:val="auto"/>
          <w:spacing w:val="0"/>
          <w:position w:val="0"/>
          <w:sz w:val="24"/>
          <w:szCs w:val="24"/>
          <w:highlight w:val="none"/>
          <w:lang w:eastAsia="zh-CN"/>
        </w:rPr>
        <w:t>方式：</w:t>
      </w:r>
      <w:r>
        <w:rPr>
          <w:rFonts w:hint="eastAsia" w:ascii="宋体" w:hAnsi="宋体" w:eastAsia="宋体" w:cs="宋体"/>
          <w:color w:val="auto"/>
          <w:spacing w:val="0"/>
          <w:position w:val="0"/>
          <w:sz w:val="24"/>
          <w:szCs w:val="24"/>
          <w:highlight w:val="none"/>
        </w:rPr>
        <w:t xml:space="preserve">供应商登录政采云平台https://www.zcygov.cn/在线申请获取采购文件（进入“项目采购”应用，在获取采购文件菜单中选择项目，申请获取采购文件） </w:t>
      </w:r>
    </w:p>
    <w:p w14:paraId="57C2AD6D">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售价（元）：</w:t>
      </w:r>
      <w:r>
        <w:rPr>
          <w:rFonts w:hint="eastAsia" w:ascii="宋体" w:hAnsi="宋体" w:eastAsia="宋体" w:cs="宋体"/>
          <w:color w:val="auto"/>
          <w:spacing w:val="0"/>
          <w:position w:val="0"/>
          <w:sz w:val="24"/>
          <w:szCs w:val="24"/>
          <w:highlight w:val="none"/>
          <w:lang w:val="en-US" w:eastAsia="zh-CN"/>
        </w:rPr>
        <w:t>0</w:t>
      </w:r>
      <w:r>
        <w:rPr>
          <w:rFonts w:hint="eastAsia" w:ascii="宋体" w:hAnsi="宋体" w:eastAsia="宋体" w:cs="宋体"/>
          <w:color w:val="auto"/>
          <w:spacing w:val="0"/>
          <w:position w:val="0"/>
          <w:sz w:val="24"/>
          <w:szCs w:val="24"/>
          <w:highlight w:val="none"/>
        </w:rPr>
        <w:t xml:space="preserve"> </w:t>
      </w:r>
    </w:p>
    <w:p w14:paraId="69647F72">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 xml:space="preserve">四、响应文件提交 </w:t>
      </w:r>
    </w:p>
    <w:p w14:paraId="399FF41E">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截止时间：202</w:t>
      </w:r>
      <w:r>
        <w:rPr>
          <w:rFonts w:hint="eastAsia" w:ascii="宋体" w:hAnsi="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rPr>
        <w:t>年</w:t>
      </w:r>
      <w:r>
        <w:rPr>
          <w:rFonts w:hint="eastAsia" w:ascii="宋体" w:hAnsi="宋体" w:cs="宋体"/>
          <w:color w:val="auto"/>
          <w:spacing w:val="0"/>
          <w:position w:val="0"/>
          <w:sz w:val="24"/>
          <w:szCs w:val="24"/>
          <w:highlight w:val="none"/>
          <w:lang w:val="en-US" w:eastAsia="zh-CN"/>
        </w:rPr>
        <w:t>06</w:t>
      </w:r>
      <w:r>
        <w:rPr>
          <w:rFonts w:hint="eastAsia" w:ascii="宋体" w:hAnsi="宋体" w:eastAsia="宋体" w:cs="宋体"/>
          <w:color w:val="auto"/>
          <w:spacing w:val="0"/>
          <w:position w:val="0"/>
          <w:sz w:val="24"/>
          <w:szCs w:val="24"/>
          <w:highlight w:val="none"/>
        </w:rPr>
        <w:t>月</w:t>
      </w:r>
      <w:r>
        <w:rPr>
          <w:rFonts w:hint="eastAsia" w:ascii="宋体" w:hAnsi="宋体" w:cs="宋体"/>
          <w:color w:val="auto"/>
          <w:spacing w:val="0"/>
          <w:position w:val="0"/>
          <w:sz w:val="24"/>
          <w:szCs w:val="24"/>
          <w:highlight w:val="none"/>
          <w:lang w:val="en-US" w:eastAsia="zh-CN"/>
        </w:rPr>
        <w:t>18</w:t>
      </w:r>
      <w:r>
        <w:rPr>
          <w:rFonts w:hint="eastAsia" w:ascii="宋体" w:hAnsi="宋体" w:eastAsia="宋体" w:cs="宋体"/>
          <w:color w:val="auto"/>
          <w:spacing w:val="0"/>
          <w:position w:val="0"/>
          <w:sz w:val="24"/>
          <w:szCs w:val="24"/>
          <w:highlight w:val="none"/>
        </w:rPr>
        <w:t>日</w:t>
      </w:r>
      <w:r>
        <w:rPr>
          <w:rFonts w:hint="eastAsia" w:ascii="宋体" w:hAnsi="宋体" w:cs="宋体"/>
          <w:color w:val="auto"/>
          <w:spacing w:val="0"/>
          <w:position w:val="0"/>
          <w:sz w:val="24"/>
          <w:szCs w:val="24"/>
          <w:highlight w:val="none"/>
          <w:lang w:val="en-US" w:eastAsia="zh-CN"/>
        </w:rPr>
        <w:t>11</w:t>
      </w:r>
      <w:r>
        <w:rPr>
          <w:rFonts w:hint="eastAsia" w:ascii="宋体" w:hAnsi="宋体" w:eastAsia="宋体" w:cs="宋体"/>
          <w:color w:val="auto"/>
          <w:spacing w:val="0"/>
          <w:position w:val="0"/>
          <w:sz w:val="24"/>
          <w:szCs w:val="24"/>
          <w:highlight w:val="none"/>
        </w:rPr>
        <w:t>:</w:t>
      </w:r>
      <w:r>
        <w:rPr>
          <w:rFonts w:hint="eastAsia" w:ascii="宋体" w:hAnsi="宋体" w:cs="宋体"/>
          <w:color w:val="auto"/>
          <w:spacing w:val="0"/>
          <w:position w:val="0"/>
          <w:sz w:val="24"/>
          <w:szCs w:val="24"/>
          <w:highlight w:val="none"/>
          <w:lang w:val="en-US" w:eastAsia="zh-CN"/>
        </w:rPr>
        <w:t>0</w:t>
      </w:r>
      <w:r>
        <w:rPr>
          <w:rFonts w:hint="eastAsia" w:ascii="宋体" w:hAnsi="宋体" w:eastAsia="宋体" w:cs="宋体"/>
          <w:color w:val="auto"/>
          <w:spacing w:val="0"/>
          <w:position w:val="0"/>
          <w:sz w:val="24"/>
          <w:szCs w:val="24"/>
          <w:highlight w:val="none"/>
        </w:rPr>
        <w:t>0（北京时间）</w:t>
      </w:r>
    </w:p>
    <w:p w14:paraId="4729498D">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地点：政采云平台https://www.zcygov.cn/   </w:t>
      </w:r>
    </w:p>
    <w:p w14:paraId="0D28168D">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 xml:space="preserve">五、响应文件开启 </w:t>
      </w:r>
    </w:p>
    <w:p w14:paraId="08358A5E">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开启时间：202</w:t>
      </w:r>
      <w:r>
        <w:rPr>
          <w:rFonts w:hint="eastAsia" w:ascii="宋体" w:hAnsi="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rPr>
        <w:t>年</w:t>
      </w:r>
      <w:r>
        <w:rPr>
          <w:rFonts w:hint="eastAsia" w:ascii="宋体" w:hAnsi="宋体" w:cs="宋体"/>
          <w:color w:val="auto"/>
          <w:spacing w:val="0"/>
          <w:position w:val="0"/>
          <w:sz w:val="24"/>
          <w:szCs w:val="24"/>
          <w:highlight w:val="none"/>
          <w:lang w:val="en-US" w:eastAsia="zh-CN"/>
        </w:rPr>
        <w:t>06</w:t>
      </w:r>
      <w:r>
        <w:rPr>
          <w:rFonts w:hint="eastAsia" w:ascii="宋体" w:hAnsi="宋体" w:eastAsia="宋体" w:cs="宋体"/>
          <w:color w:val="auto"/>
          <w:spacing w:val="0"/>
          <w:position w:val="0"/>
          <w:sz w:val="24"/>
          <w:szCs w:val="24"/>
          <w:highlight w:val="none"/>
        </w:rPr>
        <w:t>月</w:t>
      </w:r>
      <w:r>
        <w:rPr>
          <w:rFonts w:hint="eastAsia" w:ascii="宋体" w:hAnsi="宋体" w:cs="宋体"/>
          <w:color w:val="auto"/>
          <w:spacing w:val="0"/>
          <w:position w:val="0"/>
          <w:sz w:val="24"/>
          <w:szCs w:val="24"/>
          <w:highlight w:val="none"/>
          <w:lang w:val="en-US" w:eastAsia="zh-CN"/>
        </w:rPr>
        <w:t>18</w:t>
      </w:r>
      <w:r>
        <w:rPr>
          <w:rFonts w:hint="eastAsia" w:ascii="宋体" w:hAnsi="宋体" w:eastAsia="宋体" w:cs="宋体"/>
          <w:color w:val="auto"/>
          <w:spacing w:val="0"/>
          <w:position w:val="0"/>
          <w:sz w:val="24"/>
          <w:szCs w:val="24"/>
          <w:highlight w:val="none"/>
        </w:rPr>
        <w:t>日</w:t>
      </w:r>
      <w:r>
        <w:rPr>
          <w:rFonts w:hint="eastAsia" w:ascii="宋体" w:hAnsi="宋体" w:cs="宋体"/>
          <w:color w:val="auto"/>
          <w:spacing w:val="0"/>
          <w:position w:val="0"/>
          <w:sz w:val="24"/>
          <w:szCs w:val="24"/>
          <w:highlight w:val="none"/>
          <w:lang w:val="en-US" w:eastAsia="zh-CN"/>
        </w:rPr>
        <w:t>11</w:t>
      </w:r>
      <w:r>
        <w:rPr>
          <w:rFonts w:hint="eastAsia" w:ascii="宋体" w:hAnsi="宋体" w:eastAsia="宋体" w:cs="宋体"/>
          <w:color w:val="auto"/>
          <w:spacing w:val="0"/>
          <w:position w:val="0"/>
          <w:sz w:val="24"/>
          <w:szCs w:val="24"/>
          <w:highlight w:val="none"/>
        </w:rPr>
        <w:t>:</w:t>
      </w:r>
      <w:r>
        <w:rPr>
          <w:rFonts w:hint="eastAsia" w:ascii="宋体" w:hAnsi="宋体" w:cs="宋体"/>
          <w:color w:val="auto"/>
          <w:spacing w:val="0"/>
          <w:position w:val="0"/>
          <w:sz w:val="24"/>
          <w:szCs w:val="24"/>
          <w:highlight w:val="none"/>
          <w:lang w:val="en-US" w:eastAsia="zh-CN"/>
        </w:rPr>
        <w:t>0</w:t>
      </w:r>
      <w:r>
        <w:rPr>
          <w:rFonts w:hint="eastAsia" w:ascii="宋体" w:hAnsi="宋体" w:eastAsia="宋体" w:cs="宋体"/>
          <w:color w:val="auto"/>
          <w:spacing w:val="0"/>
          <w:position w:val="0"/>
          <w:sz w:val="24"/>
          <w:szCs w:val="24"/>
          <w:highlight w:val="none"/>
        </w:rPr>
        <w:t>0（北京时间）</w:t>
      </w:r>
    </w:p>
    <w:p w14:paraId="2E436CE1">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地点：政采云平台https：//www.zcygov.cn/政采云不见面开标大厅。  </w:t>
      </w:r>
    </w:p>
    <w:p w14:paraId="41D90091">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六、公告期限</w:t>
      </w:r>
    </w:p>
    <w:p w14:paraId="02615CF3">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自本公告发布之日起3个工作日。</w:t>
      </w:r>
    </w:p>
    <w:p w14:paraId="259839A9">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 xml:space="preserve">七、其他补充事宜 </w:t>
      </w:r>
    </w:p>
    <w:p w14:paraId="490E701A">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Style w:val="42"/>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2"/>
          <w:rFonts w:hint="eastAsia" w:ascii="宋体" w:hAnsi="宋体" w:eastAsia="宋体" w:cs="宋体"/>
          <w:b w:val="0"/>
          <w:bCs w:val="0"/>
          <w:i w:val="0"/>
          <w:caps w:val="0"/>
          <w:color w:val="auto"/>
          <w:spacing w:val="0"/>
          <w:w w:val="100"/>
          <w:kern w:val="2"/>
          <w:position w:val="0"/>
          <w:sz w:val="24"/>
          <w:szCs w:val="24"/>
          <w:highlight w:val="none"/>
          <w:lang w:val="en-US" w:eastAsia="zh-CN" w:bidi="ar-SA"/>
        </w:rPr>
        <w:t>1、本项目实行网上投标，采用电子投标文件。</w:t>
      </w:r>
    </w:p>
    <w:p w14:paraId="0041FFF8">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Style w:val="42"/>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2"/>
          <w:rFonts w:hint="eastAsia" w:ascii="宋体" w:hAnsi="宋体" w:eastAsia="宋体" w:cs="宋体"/>
          <w:b w:val="0"/>
          <w:bCs w:val="0"/>
          <w:i w:val="0"/>
          <w:caps w:val="0"/>
          <w:color w:val="auto"/>
          <w:spacing w:val="0"/>
          <w:w w:val="100"/>
          <w:kern w:val="2"/>
          <w:position w:val="0"/>
          <w:sz w:val="24"/>
          <w:szCs w:val="24"/>
          <w:highlight w:val="none"/>
          <w:lang w:val="en-US" w:eastAsia="zh-CN" w:bidi="ar-SA"/>
        </w:rPr>
        <w:t>2、各供应商应在开标前确保成为正式注册入库供应商，并完成CA数字证书(符合国密标准)申领。因未注册入库、未办理CA数字证书等原因造成无法投标或投标失败等后果由供应商自行承担。如需咨询，请联系新疆-安信CA服务热线18399999326；翔晟CA服务热线025-66085508；新疆CA服务热线4000921999。</w:t>
      </w:r>
    </w:p>
    <w:p w14:paraId="65A5793D">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Style w:val="42"/>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2"/>
          <w:rFonts w:hint="eastAsia" w:ascii="宋体" w:hAnsi="宋体" w:eastAsia="宋体" w:cs="宋体"/>
          <w:b w:val="0"/>
          <w:bCs w:val="0"/>
          <w:i w:val="0"/>
          <w:caps w:val="0"/>
          <w:color w:val="auto"/>
          <w:spacing w:val="0"/>
          <w:w w:val="100"/>
          <w:kern w:val="2"/>
          <w:position w:val="0"/>
          <w:sz w:val="24"/>
          <w:szCs w:val="24"/>
          <w:highlight w:val="none"/>
          <w:lang w:val="en-US" w:eastAsia="zh-CN" w:bidi="ar-SA"/>
        </w:rPr>
        <w:t>3、供应商将政采云电子交易客户端下载、安装完成后，可通过账号密码或CA登录客户端进行投标文件的制作。在使用政采云投标客户端时，建议使用WIN7及以上操作系统。</w:t>
      </w:r>
    </w:p>
    <w:p w14:paraId="4596BF2D">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八、凡对本次招标提出询问，请按以下方式联系</w:t>
      </w:r>
    </w:p>
    <w:p w14:paraId="4313A578">
      <w:pPr>
        <w:pStyle w:val="3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1.采购人信息</w:t>
      </w:r>
    </w:p>
    <w:p w14:paraId="36CB6F12">
      <w:pPr>
        <w:pStyle w:val="3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名称：</w:t>
      </w:r>
      <w:r>
        <w:rPr>
          <w:rFonts w:hint="eastAsia" w:cs="宋体"/>
          <w:color w:val="auto"/>
          <w:spacing w:val="0"/>
          <w:position w:val="0"/>
          <w:sz w:val="24"/>
          <w:szCs w:val="24"/>
          <w:highlight w:val="none"/>
          <w:lang w:eastAsia="zh-CN"/>
        </w:rPr>
        <w:t>乌鲁木齐甘泉堡经济技术开发（工业区）建设综合管理服务中心（建设工程招投标管理中心）</w:t>
      </w:r>
    </w:p>
    <w:p w14:paraId="6B6CB992">
      <w:pPr>
        <w:pStyle w:val="3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地址：</w:t>
      </w:r>
      <w:r>
        <w:rPr>
          <w:rFonts w:hint="eastAsia" w:cs="宋体"/>
          <w:color w:val="auto"/>
          <w:spacing w:val="0"/>
          <w:position w:val="0"/>
          <w:sz w:val="24"/>
          <w:szCs w:val="24"/>
          <w:highlight w:val="none"/>
          <w:lang w:eastAsia="zh-CN"/>
        </w:rPr>
        <w:t>甘泉堡经开区瀚海东街2345号</w:t>
      </w:r>
    </w:p>
    <w:p w14:paraId="48DCA8CB">
      <w:pPr>
        <w:pStyle w:val="3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default" w:ascii="宋体" w:hAnsi="宋体" w:eastAsia="宋体" w:cs="宋体"/>
          <w:color w:val="auto"/>
          <w:spacing w:val="0"/>
          <w:position w:val="0"/>
          <w:sz w:val="24"/>
          <w:szCs w:val="24"/>
          <w:highlight w:val="none"/>
          <w:u w:val="none"/>
          <w:lang w:val="en-US" w:eastAsia="zh-CN"/>
        </w:rPr>
      </w:pPr>
      <w:r>
        <w:rPr>
          <w:rFonts w:hint="eastAsia" w:ascii="宋体" w:hAnsi="宋体" w:eastAsia="宋体" w:cs="宋体"/>
          <w:color w:val="auto"/>
          <w:spacing w:val="0"/>
          <w:position w:val="0"/>
          <w:sz w:val="24"/>
          <w:szCs w:val="24"/>
          <w:highlight w:val="none"/>
          <w:u w:val="none"/>
        </w:rPr>
        <w:t>联系方式：</w:t>
      </w:r>
      <w:r>
        <w:rPr>
          <w:rFonts w:hint="eastAsia" w:cs="宋体"/>
          <w:color w:val="auto"/>
          <w:spacing w:val="0"/>
          <w:position w:val="0"/>
          <w:sz w:val="24"/>
          <w:szCs w:val="24"/>
          <w:highlight w:val="none"/>
          <w:u w:val="none"/>
          <w:lang w:val="en-US" w:eastAsia="zh-CN"/>
        </w:rPr>
        <w:t>0991-7706724</w:t>
      </w:r>
    </w:p>
    <w:p w14:paraId="4396F09D">
      <w:pPr>
        <w:pStyle w:val="3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2.采购代理机构信息</w:t>
      </w:r>
    </w:p>
    <w:p w14:paraId="3D55A527">
      <w:pPr>
        <w:pStyle w:val="3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名称：</w:t>
      </w:r>
      <w:r>
        <w:rPr>
          <w:rFonts w:hint="eastAsia" w:cs="宋体"/>
          <w:color w:val="auto"/>
          <w:spacing w:val="0"/>
          <w:position w:val="0"/>
          <w:sz w:val="24"/>
          <w:szCs w:val="24"/>
          <w:highlight w:val="none"/>
          <w:u w:val="none"/>
          <w:lang w:eastAsia="zh-CN"/>
        </w:rPr>
        <w:t>新疆悦隆项目管理有限公司</w:t>
      </w:r>
    </w:p>
    <w:p w14:paraId="1E538F0E">
      <w:pPr>
        <w:pStyle w:val="3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地址：</w:t>
      </w:r>
      <w:r>
        <w:rPr>
          <w:rFonts w:hint="eastAsia" w:cs="宋体"/>
          <w:color w:val="auto"/>
          <w:spacing w:val="0"/>
          <w:position w:val="0"/>
          <w:sz w:val="24"/>
          <w:szCs w:val="24"/>
          <w:highlight w:val="none"/>
          <w:u w:val="none"/>
          <w:lang w:eastAsia="zh-CN"/>
        </w:rPr>
        <w:t>乌鲁木齐市水磨沟区红光山路绿城广场1A20楼</w:t>
      </w:r>
    </w:p>
    <w:p w14:paraId="04C69FD5">
      <w:pPr>
        <w:pStyle w:val="3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联系方式：</w:t>
      </w:r>
      <w:r>
        <w:rPr>
          <w:rFonts w:hint="eastAsia" w:cs="宋体"/>
          <w:color w:val="auto"/>
          <w:spacing w:val="0"/>
          <w:position w:val="0"/>
          <w:sz w:val="24"/>
          <w:szCs w:val="24"/>
          <w:highlight w:val="none"/>
          <w:u w:val="none"/>
          <w:lang w:eastAsia="zh-CN"/>
        </w:rPr>
        <w:t>17726895071</w:t>
      </w:r>
    </w:p>
    <w:p w14:paraId="46708B0D">
      <w:pPr>
        <w:pStyle w:val="3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3.项目联系方式</w:t>
      </w:r>
    </w:p>
    <w:p w14:paraId="3E8436BB">
      <w:pPr>
        <w:pStyle w:val="3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lang w:eastAsia="zh-CN"/>
        </w:rPr>
        <w:t>项目联系人：</w:t>
      </w:r>
      <w:r>
        <w:rPr>
          <w:rFonts w:hint="eastAsia" w:cs="宋体"/>
          <w:color w:val="auto"/>
          <w:spacing w:val="0"/>
          <w:position w:val="0"/>
          <w:sz w:val="24"/>
          <w:szCs w:val="24"/>
          <w:highlight w:val="none"/>
          <w:u w:val="none"/>
          <w:lang w:eastAsia="zh-CN"/>
        </w:rPr>
        <w:t>白工</w:t>
      </w:r>
      <w:r>
        <w:rPr>
          <w:rFonts w:hint="eastAsia" w:ascii="宋体" w:hAnsi="宋体" w:eastAsia="宋体" w:cs="宋体"/>
          <w:color w:val="auto"/>
          <w:spacing w:val="0"/>
          <w:position w:val="0"/>
          <w:sz w:val="24"/>
          <w:szCs w:val="24"/>
          <w:highlight w:val="none"/>
          <w:u w:val="none"/>
          <w:lang w:eastAsia="zh-CN"/>
        </w:rPr>
        <w:t> </w:t>
      </w:r>
    </w:p>
    <w:p w14:paraId="3EDD1C6B">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u w:val="none"/>
          <w:lang w:eastAsia="zh-CN"/>
        </w:rPr>
        <w:t>联系电话：</w:t>
      </w:r>
      <w:r>
        <w:rPr>
          <w:rFonts w:hint="eastAsia" w:ascii="宋体" w:hAnsi="宋体" w:cs="宋体"/>
          <w:color w:val="auto"/>
          <w:spacing w:val="0"/>
          <w:position w:val="0"/>
          <w:sz w:val="24"/>
          <w:szCs w:val="24"/>
          <w:highlight w:val="none"/>
          <w:u w:val="none"/>
          <w:lang w:eastAsia="zh-CN"/>
        </w:rPr>
        <w:t>17726895071</w:t>
      </w:r>
    </w:p>
    <w:p w14:paraId="4DDE91B1">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br w:type="page"/>
      </w:r>
      <w:bookmarkStart w:id="8" w:name="_Toc583"/>
      <w:r>
        <w:rPr>
          <w:rFonts w:hint="eastAsia" w:ascii="宋体" w:hAnsi="宋体" w:eastAsia="宋体" w:cs="宋体"/>
          <w:color w:val="auto"/>
          <w:spacing w:val="0"/>
          <w:position w:val="0"/>
          <w:sz w:val="28"/>
          <w:szCs w:val="28"/>
          <w:highlight w:val="none"/>
        </w:rPr>
        <w:t>第二章 磋商须知</w:t>
      </w:r>
      <w:bookmarkEnd w:id="8"/>
    </w:p>
    <w:p w14:paraId="33FCDDE7">
      <w:pPr>
        <w:pStyle w:val="3"/>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eastAsia="宋体" w:cs="宋体"/>
          <w:b/>
          <w:bCs/>
          <w:color w:val="auto"/>
          <w:spacing w:val="0"/>
          <w:position w:val="0"/>
          <w:sz w:val="28"/>
          <w:szCs w:val="28"/>
          <w:highlight w:val="none"/>
        </w:rPr>
      </w:pPr>
      <w:bookmarkStart w:id="9" w:name="_Toc134"/>
      <w:bookmarkStart w:id="10" w:name="_Toc30036"/>
      <w:r>
        <w:rPr>
          <w:rFonts w:hint="eastAsia" w:ascii="宋体" w:hAnsi="宋体" w:eastAsia="宋体" w:cs="宋体"/>
          <w:b/>
          <w:bCs/>
          <w:color w:val="auto"/>
          <w:spacing w:val="0"/>
          <w:position w:val="0"/>
          <w:sz w:val="28"/>
          <w:szCs w:val="28"/>
          <w:highlight w:val="none"/>
        </w:rPr>
        <w:t>磋商须知前附表</w:t>
      </w:r>
      <w:bookmarkEnd w:id="9"/>
      <w:bookmarkEnd w:id="10"/>
    </w:p>
    <w:tbl>
      <w:tblPr>
        <w:tblStyle w:val="39"/>
        <w:tblW w:w="9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073"/>
        <w:gridCol w:w="7024"/>
      </w:tblGrid>
      <w:tr w14:paraId="5D72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5" w:type="dxa"/>
            <w:noWrap w:val="0"/>
            <w:vAlign w:val="top"/>
          </w:tcPr>
          <w:p w14:paraId="7BC87540">
            <w:pPr>
              <w:keepLines w:val="0"/>
              <w:pageBreakBefore w:val="0"/>
              <w:kinsoku/>
              <w:wordWrap/>
              <w:overflowPunct/>
              <w:topLinePunct w:val="0"/>
              <w:bidi w:val="0"/>
              <w:snapToGrid/>
              <w:spacing w:line="440" w:lineRule="exact"/>
              <w:ind w:right="0"/>
              <w:jc w:val="center"/>
              <w:rPr>
                <w:rFonts w:hint="eastAsia" w:ascii="宋体" w:hAnsi="宋体" w:eastAsia="宋体" w:cs="宋体"/>
                <w:b/>
                <w:color w:val="auto"/>
                <w:spacing w:val="0"/>
                <w:position w:val="0"/>
                <w:sz w:val="24"/>
                <w:szCs w:val="24"/>
                <w:highlight w:val="none"/>
                <w:u w:val="none"/>
              </w:rPr>
            </w:pPr>
            <w:r>
              <w:rPr>
                <w:rFonts w:hint="eastAsia" w:ascii="宋体" w:hAnsi="宋体" w:eastAsia="宋体" w:cs="宋体"/>
                <w:b/>
                <w:color w:val="auto"/>
                <w:spacing w:val="0"/>
                <w:position w:val="0"/>
                <w:sz w:val="24"/>
                <w:szCs w:val="24"/>
                <w:highlight w:val="none"/>
                <w:u w:val="none"/>
              </w:rPr>
              <w:t>序号</w:t>
            </w:r>
          </w:p>
        </w:tc>
        <w:tc>
          <w:tcPr>
            <w:tcW w:w="2073" w:type="dxa"/>
            <w:noWrap w:val="0"/>
            <w:vAlign w:val="top"/>
          </w:tcPr>
          <w:p w14:paraId="7D107584">
            <w:pPr>
              <w:keepLines w:val="0"/>
              <w:pageBreakBefore w:val="0"/>
              <w:kinsoku/>
              <w:wordWrap/>
              <w:overflowPunct/>
              <w:topLinePunct w:val="0"/>
              <w:bidi w:val="0"/>
              <w:snapToGrid/>
              <w:spacing w:line="440" w:lineRule="exact"/>
              <w:ind w:right="0"/>
              <w:jc w:val="center"/>
              <w:rPr>
                <w:rFonts w:hint="eastAsia" w:ascii="宋体" w:hAnsi="宋体" w:eastAsia="宋体" w:cs="宋体"/>
                <w:b/>
                <w:color w:val="auto"/>
                <w:spacing w:val="0"/>
                <w:position w:val="0"/>
                <w:sz w:val="24"/>
                <w:szCs w:val="24"/>
                <w:highlight w:val="none"/>
                <w:u w:val="none"/>
              </w:rPr>
            </w:pPr>
            <w:r>
              <w:rPr>
                <w:rFonts w:hint="eastAsia" w:ascii="宋体" w:hAnsi="宋体" w:eastAsia="宋体" w:cs="宋体"/>
                <w:b/>
                <w:color w:val="auto"/>
                <w:spacing w:val="0"/>
                <w:position w:val="0"/>
                <w:sz w:val="24"/>
                <w:szCs w:val="24"/>
                <w:highlight w:val="none"/>
                <w:u w:val="none"/>
              </w:rPr>
              <w:t>条  款  名  称</w:t>
            </w:r>
          </w:p>
        </w:tc>
        <w:tc>
          <w:tcPr>
            <w:tcW w:w="7024" w:type="dxa"/>
            <w:noWrap w:val="0"/>
            <w:vAlign w:val="top"/>
          </w:tcPr>
          <w:p w14:paraId="6CC22537">
            <w:pPr>
              <w:keepLines w:val="0"/>
              <w:pageBreakBefore w:val="0"/>
              <w:kinsoku/>
              <w:wordWrap/>
              <w:overflowPunct/>
              <w:topLinePunct w:val="0"/>
              <w:bidi w:val="0"/>
              <w:snapToGrid/>
              <w:spacing w:line="440" w:lineRule="exact"/>
              <w:ind w:right="0"/>
              <w:jc w:val="center"/>
              <w:rPr>
                <w:rFonts w:hint="eastAsia" w:ascii="宋体" w:hAnsi="宋体" w:eastAsia="宋体" w:cs="宋体"/>
                <w:b/>
                <w:color w:val="auto"/>
                <w:spacing w:val="0"/>
                <w:position w:val="0"/>
                <w:sz w:val="24"/>
                <w:szCs w:val="24"/>
                <w:highlight w:val="none"/>
                <w:u w:val="none"/>
              </w:rPr>
            </w:pPr>
            <w:r>
              <w:rPr>
                <w:rFonts w:hint="eastAsia" w:ascii="宋体" w:hAnsi="宋体" w:eastAsia="宋体" w:cs="宋体"/>
                <w:b/>
                <w:color w:val="auto"/>
                <w:spacing w:val="0"/>
                <w:position w:val="0"/>
                <w:sz w:val="24"/>
                <w:szCs w:val="24"/>
                <w:highlight w:val="none"/>
                <w:u w:val="none"/>
              </w:rPr>
              <w:t>编  列  内  容</w:t>
            </w:r>
          </w:p>
        </w:tc>
      </w:tr>
      <w:tr w14:paraId="00F7F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5" w:type="dxa"/>
            <w:noWrap w:val="0"/>
            <w:vAlign w:val="center"/>
          </w:tcPr>
          <w:p w14:paraId="431217DE">
            <w:pPr>
              <w:keepLines w:val="0"/>
              <w:pageBreakBefore w:val="0"/>
              <w:kinsoku/>
              <w:wordWrap/>
              <w:overflowPunct/>
              <w:topLinePunct w:val="0"/>
              <w:bidi w:val="0"/>
              <w:snapToGrid/>
              <w:spacing w:line="440" w:lineRule="exact"/>
              <w:ind w:right="0"/>
              <w:jc w:val="center"/>
              <w:rPr>
                <w:rFonts w:hint="eastAsia" w:ascii="宋体" w:hAnsi="宋体" w:eastAsia="宋体" w:cs="宋体"/>
                <w:b/>
                <w:bCs/>
                <w:color w:val="auto"/>
                <w:spacing w:val="0"/>
                <w:position w:val="0"/>
                <w:sz w:val="24"/>
                <w:szCs w:val="24"/>
                <w:highlight w:val="none"/>
                <w:u w:val="none"/>
              </w:rPr>
            </w:pPr>
            <w:r>
              <w:rPr>
                <w:rFonts w:hint="eastAsia" w:ascii="宋体" w:hAnsi="宋体" w:eastAsia="宋体" w:cs="宋体"/>
                <w:b/>
                <w:bCs/>
                <w:color w:val="auto"/>
                <w:spacing w:val="0"/>
                <w:position w:val="0"/>
                <w:sz w:val="24"/>
                <w:szCs w:val="24"/>
                <w:highlight w:val="none"/>
                <w:u w:val="none"/>
              </w:rPr>
              <w:t>1.2.1</w:t>
            </w:r>
          </w:p>
        </w:tc>
        <w:tc>
          <w:tcPr>
            <w:tcW w:w="2073" w:type="dxa"/>
            <w:noWrap w:val="0"/>
            <w:vAlign w:val="center"/>
          </w:tcPr>
          <w:p w14:paraId="53DFC922">
            <w:pPr>
              <w:keepNext/>
              <w:keepLines w:val="0"/>
              <w:pageBreakBefore w:val="0"/>
              <w:kinsoku/>
              <w:wordWrap/>
              <w:overflowPunct/>
              <w:topLinePunct w:val="0"/>
              <w:bidi w:val="0"/>
              <w:snapToGrid/>
              <w:spacing w:line="440" w:lineRule="exact"/>
              <w:ind w:right="0"/>
              <w:jc w:val="center"/>
              <w:rPr>
                <w:rFonts w:hint="eastAsia" w:ascii="宋体" w:hAnsi="宋体" w:eastAsia="宋体" w:cs="宋体"/>
                <w:b/>
                <w:bCs/>
                <w:color w:val="auto"/>
                <w:spacing w:val="0"/>
                <w:position w:val="0"/>
                <w:sz w:val="24"/>
                <w:szCs w:val="24"/>
                <w:highlight w:val="none"/>
                <w:u w:val="none"/>
              </w:rPr>
            </w:pPr>
            <w:r>
              <w:rPr>
                <w:rFonts w:hint="eastAsia" w:ascii="宋体" w:hAnsi="宋体" w:eastAsia="宋体" w:cs="宋体"/>
                <w:b/>
                <w:bCs/>
                <w:color w:val="auto"/>
                <w:spacing w:val="0"/>
                <w:position w:val="0"/>
                <w:sz w:val="24"/>
                <w:szCs w:val="24"/>
                <w:highlight w:val="none"/>
                <w:u w:val="none"/>
              </w:rPr>
              <w:t>采购人</w:t>
            </w:r>
          </w:p>
        </w:tc>
        <w:tc>
          <w:tcPr>
            <w:tcW w:w="7024" w:type="dxa"/>
            <w:noWrap w:val="0"/>
            <w:vAlign w:val="center"/>
          </w:tcPr>
          <w:p w14:paraId="03EFEF40">
            <w:pPr>
              <w:pStyle w:val="119"/>
              <w:keepNext w:val="0"/>
              <w:keepLines w:val="0"/>
              <w:pageBreakBefore w:val="0"/>
              <w:widowControl/>
              <w:kinsoku/>
              <w:wordWrap/>
              <w:overflowPunct/>
              <w:topLinePunct w:val="0"/>
              <w:autoSpaceDE/>
              <w:autoSpaceDN/>
              <w:bidi w:val="0"/>
              <w:adjustRightInd/>
              <w:snapToGrid w:val="0"/>
              <w:spacing w:line="440" w:lineRule="exact"/>
              <w:ind w:left="0" w:right="0" w:firstLine="0"/>
              <w:jc w:val="left"/>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名称：</w:t>
            </w:r>
            <w:r>
              <w:rPr>
                <w:rFonts w:hint="eastAsia" w:cs="宋体"/>
                <w:color w:val="auto"/>
                <w:spacing w:val="0"/>
                <w:position w:val="0"/>
                <w:sz w:val="24"/>
                <w:szCs w:val="24"/>
                <w:highlight w:val="none"/>
                <w:lang w:eastAsia="zh-CN"/>
              </w:rPr>
              <w:t>乌鲁木齐甘泉堡经济技术开发（工业区）建设综合管理服务中心（建设工程招投标管理中心）</w:t>
            </w:r>
          </w:p>
          <w:p w14:paraId="7FC59A32">
            <w:pPr>
              <w:pStyle w:val="119"/>
              <w:keepNext w:val="0"/>
              <w:keepLines w:val="0"/>
              <w:pageBreakBefore w:val="0"/>
              <w:widowControl/>
              <w:kinsoku/>
              <w:wordWrap/>
              <w:overflowPunct/>
              <w:topLinePunct w:val="0"/>
              <w:autoSpaceDE/>
              <w:autoSpaceDN/>
              <w:bidi w:val="0"/>
              <w:adjustRightInd/>
              <w:snapToGrid w:val="0"/>
              <w:spacing w:line="440" w:lineRule="exact"/>
              <w:ind w:left="0" w:right="0" w:firstLine="0"/>
              <w:jc w:val="left"/>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地址：</w:t>
            </w:r>
            <w:r>
              <w:rPr>
                <w:rFonts w:hint="eastAsia" w:cs="宋体"/>
                <w:color w:val="auto"/>
                <w:spacing w:val="0"/>
                <w:position w:val="0"/>
                <w:sz w:val="24"/>
                <w:szCs w:val="24"/>
                <w:highlight w:val="none"/>
                <w:lang w:eastAsia="zh-CN"/>
              </w:rPr>
              <w:t>甘泉堡经开区瀚海东街2345号</w:t>
            </w:r>
          </w:p>
          <w:p w14:paraId="313A9395">
            <w:pPr>
              <w:pStyle w:val="119"/>
              <w:keepNext w:val="0"/>
              <w:keepLines w:val="0"/>
              <w:pageBreakBefore w:val="0"/>
              <w:widowControl/>
              <w:kinsoku/>
              <w:wordWrap/>
              <w:overflowPunct/>
              <w:topLinePunct w:val="0"/>
              <w:autoSpaceDE/>
              <w:autoSpaceDN/>
              <w:bidi w:val="0"/>
              <w:adjustRightInd/>
              <w:snapToGrid w:val="0"/>
              <w:spacing w:line="440" w:lineRule="exact"/>
              <w:ind w:left="0" w:right="0" w:firstLine="0"/>
              <w:jc w:val="left"/>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联系人：</w:t>
            </w:r>
            <w:r>
              <w:rPr>
                <w:rFonts w:hint="eastAsia" w:cs="宋体"/>
                <w:color w:val="auto"/>
                <w:spacing w:val="0"/>
                <w:position w:val="0"/>
                <w:sz w:val="24"/>
                <w:szCs w:val="24"/>
                <w:highlight w:val="none"/>
                <w:lang w:val="en-US" w:eastAsia="zh-CN"/>
              </w:rPr>
              <w:t>张工</w:t>
            </w:r>
          </w:p>
          <w:p w14:paraId="7BA755AE">
            <w:pPr>
              <w:keepNext w:val="0"/>
              <w:keepLines w:val="0"/>
              <w:pageBreakBefore w:val="0"/>
              <w:widowControl w:val="0"/>
              <w:kinsoku/>
              <w:wordWrap/>
              <w:overflowPunct/>
              <w:topLinePunct w:val="0"/>
              <w:bidi w:val="0"/>
              <w:adjustRightInd w:val="0"/>
              <w:snapToGrid w:val="0"/>
              <w:spacing w:line="440" w:lineRule="exact"/>
              <w:ind w:left="0" w:leftChars="0"/>
              <w:jc w:val="left"/>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lang w:eastAsia="zh-CN"/>
              </w:rPr>
              <w:t>联系电话：</w:t>
            </w:r>
            <w:r>
              <w:rPr>
                <w:rFonts w:hint="eastAsia" w:ascii="宋体" w:hAnsi="宋体" w:cs="宋体"/>
                <w:color w:val="auto"/>
                <w:spacing w:val="0"/>
                <w:position w:val="0"/>
                <w:sz w:val="24"/>
                <w:szCs w:val="24"/>
                <w:highlight w:val="none"/>
                <w:lang w:eastAsia="zh-CN"/>
              </w:rPr>
              <w:t>0991-7706724</w:t>
            </w:r>
          </w:p>
        </w:tc>
      </w:tr>
      <w:tr w14:paraId="0EC5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5" w:type="dxa"/>
            <w:noWrap w:val="0"/>
            <w:vAlign w:val="center"/>
          </w:tcPr>
          <w:p w14:paraId="179565A5">
            <w:pPr>
              <w:keepLines w:val="0"/>
              <w:pageBreakBefore w:val="0"/>
              <w:kinsoku/>
              <w:wordWrap/>
              <w:overflowPunct/>
              <w:topLinePunct w:val="0"/>
              <w:bidi w:val="0"/>
              <w:snapToGrid/>
              <w:spacing w:line="440" w:lineRule="exact"/>
              <w:ind w:right="0"/>
              <w:jc w:val="center"/>
              <w:rPr>
                <w:rFonts w:hint="eastAsia" w:ascii="宋体" w:hAnsi="宋体" w:eastAsia="宋体" w:cs="宋体"/>
                <w:b/>
                <w:bCs/>
                <w:color w:val="auto"/>
                <w:spacing w:val="0"/>
                <w:position w:val="0"/>
                <w:sz w:val="24"/>
                <w:szCs w:val="24"/>
                <w:highlight w:val="none"/>
                <w:u w:val="none"/>
              </w:rPr>
            </w:pPr>
            <w:r>
              <w:rPr>
                <w:rFonts w:hint="eastAsia" w:ascii="宋体" w:hAnsi="宋体" w:eastAsia="宋体" w:cs="宋体"/>
                <w:b/>
                <w:bCs/>
                <w:color w:val="auto"/>
                <w:spacing w:val="0"/>
                <w:position w:val="0"/>
                <w:sz w:val="24"/>
                <w:szCs w:val="24"/>
                <w:highlight w:val="none"/>
                <w:u w:val="none"/>
              </w:rPr>
              <w:t>1.2.2</w:t>
            </w:r>
          </w:p>
        </w:tc>
        <w:tc>
          <w:tcPr>
            <w:tcW w:w="2073" w:type="dxa"/>
            <w:noWrap w:val="0"/>
            <w:vAlign w:val="center"/>
          </w:tcPr>
          <w:p w14:paraId="3CA37E36">
            <w:pPr>
              <w:keepLines w:val="0"/>
              <w:pageBreakBefore w:val="0"/>
              <w:kinsoku/>
              <w:wordWrap/>
              <w:overflowPunct/>
              <w:topLinePunct w:val="0"/>
              <w:bidi w:val="0"/>
              <w:snapToGrid/>
              <w:spacing w:line="440" w:lineRule="exact"/>
              <w:ind w:right="0"/>
              <w:jc w:val="center"/>
              <w:rPr>
                <w:rFonts w:hint="eastAsia" w:ascii="宋体" w:hAnsi="宋体" w:eastAsia="宋体" w:cs="宋体"/>
                <w:b/>
                <w:bCs/>
                <w:color w:val="auto"/>
                <w:spacing w:val="0"/>
                <w:position w:val="0"/>
                <w:sz w:val="24"/>
                <w:szCs w:val="24"/>
                <w:highlight w:val="none"/>
                <w:u w:val="none"/>
              </w:rPr>
            </w:pPr>
            <w:r>
              <w:rPr>
                <w:rFonts w:hint="eastAsia" w:ascii="宋体" w:hAnsi="宋体" w:eastAsia="宋体" w:cs="宋体"/>
                <w:b/>
                <w:bCs/>
                <w:color w:val="auto"/>
                <w:spacing w:val="0"/>
                <w:position w:val="0"/>
                <w:sz w:val="24"/>
                <w:szCs w:val="24"/>
                <w:highlight w:val="none"/>
                <w:u w:val="none"/>
              </w:rPr>
              <w:t>采购代理机构</w:t>
            </w:r>
          </w:p>
        </w:tc>
        <w:tc>
          <w:tcPr>
            <w:tcW w:w="7024" w:type="dxa"/>
            <w:noWrap w:val="0"/>
            <w:vAlign w:val="center"/>
          </w:tcPr>
          <w:p w14:paraId="10B3DC19">
            <w:pPr>
              <w:keepNext w:val="0"/>
              <w:keepLines w:val="0"/>
              <w:pageBreakBefore w:val="0"/>
              <w:widowControl/>
              <w:kinsoku/>
              <w:wordWrap/>
              <w:overflowPunct/>
              <w:topLinePunct w:val="0"/>
              <w:bidi w:val="0"/>
              <w:adjustRightInd w:val="0"/>
              <w:snapToGrid w:val="0"/>
              <w:spacing w:line="44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采购代理机构名称：</w:t>
            </w:r>
            <w:r>
              <w:rPr>
                <w:rFonts w:hint="eastAsia" w:ascii="宋体" w:hAnsi="宋体" w:cs="宋体"/>
                <w:color w:val="auto"/>
                <w:sz w:val="24"/>
                <w:szCs w:val="24"/>
                <w:highlight w:val="none"/>
                <w:lang w:eastAsia="zh-CN"/>
              </w:rPr>
              <w:t>新疆悦隆项目管理有限公司</w:t>
            </w:r>
          </w:p>
          <w:p w14:paraId="4C6A8CA8">
            <w:pPr>
              <w:keepNext w:val="0"/>
              <w:keepLines w:val="0"/>
              <w:pageBreakBefore w:val="0"/>
              <w:widowControl/>
              <w:kinsoku/>
              <w:wordWrap/>
              <w:overflowPunct/>
              <w:topLinePunct w:val="0"/>
              <w:bidi w:val="0"/>
              <w:adjustRightInd w:val="0"/>
              <w:snapToGrid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白工</w:t>
            </w:r>
            <w:r>
              <w:rPr>
                <w:rFonts w:hint="eastAsia" w:ascii="宋体" w:hAnsi="宋体" w:eastAsia="宋体" w:cs="宋体"/>
                <w:color w:val="auto"/>
                <w:sz w:val="24"/>
                <w:szCs w:val="24"/>
                <w:highlight w:val="none"/>
              </w:rPr>
              <w:t> </w:t>
            </w:r>
          </w:p>
          <w:p w14:paraId="3347120A">
            <w:pPr>
              <w:keepNext w:val="0"/>
              <w:keepLines w:val="0"/>
              <w:pageBreakBefore w:val="0"/>
              <w:widowControl/>
              <w:kinsoku/>
              <w:wordWrap/>
              <w:overflowPunct/>
              <w:topLinePunct w:val="0"/>
              <w:bidi w:val="0"/>
              <w:adjustRightInd w:val="0"/>
              <w:snapToGrid w:val="0"/>
              <w:spacing w:line="44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eastAsia="zh-CN"/>
              </w:rPr>
              <w:t>17726895071</w:t>
            </w:r>
          </w:p>
          <w:p w14:paraId="463FA786">
            <w:pPr>
              <w:keepNext w:val="0"/>
              <w:keepLines w:val="0"/>
              <w:pageBreakBefore w:val="0"/>
              <w:widowControl/>
              <w:kinsoku/>
              <w:wordWrap/>
              <w:overflowPunct/>
              <w:topLinePunct w:val="0"/>
              <w:bidi w:val="0"/>
              <w:adjustRightInd w:val="0"/>
              <w:snapToGrid w:val="0"/>
              <w:spacing w:line="440" w:lineRule="exact"/>
              <w:jc w:val="left"/>
              <w:rPr>
                <w:rFonts w:hint="eastAsia" w:ascii="宋体" w:hAnsi="宋体" w:eastAsia="宋体" w:cs="宋体"/>
                <w:color w:val="auto"/>
                <w:spacing w:val="0"/>
                <w:kern w:val="0"/>
                <w:position w:val="0"/>
                <w:sz w:val="24"/>
                <w:szCs w:val="24"/>
                <w:highlight w:val="none"/>
                <w:u w:val="none"/>
                <w:lang w:eastAsia="zh-CN"/>
              </w:rPr>
            </w:pPr>
            <w:r>
              <w:rPr>
                <w:rFonts w:hint="eastAsia" w:ascii="宋体" w:hAnsi="宋体" w:eastAsia="宋体" w:cs="宋体"/>
                <w:color w:val="auto"/>
                <w:sz w:val="24"/>
                <w:szCs w:val="24"/>
                <w:highlight w:val="none"/>
              </w:rPr>
              <w:t>地址：</w:t>
            </w:r>
            <w:r>
              <w:rPr>
                <w:rFonts w:hint="eastAsia" w:ascii="宋体" w:hAnsi="宋体" w:cs="宋体"/>
                <w:color w:val="auto"/>
                <w:spacing w:val="0"/>
                <w:position w:val="0"/>
                <w:sz w:val="24"/>
                <w:szCs w:val="24"/>
                <w:highlight w:val="none"/>
                <w:u w:val="none"/>
                <w:lang w:eastAsia="zh-CN"/>
              </w:rPr>
              <w:t>乌鲁木齐市水磨沟区红光山路绿城广场1A20楼</w:t>
            </w:r>
          </w:p>
        </w:tc>
      </w:tr>
      <w:tr w14:paraId="69FB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85" w:type="dxa"/>
            <w:vMerge w:val="restart"/>
            <w:noWrap w:val="0"/>
            <w:vAlign w:val="center"/>
          </w:tcPr>
          <w:p w14:paraId="2EEB31C4">
            <w:pPr>
              <w:keepLines w:val="0"/>
              <w:pageBreakBefore w:val="0"/>
              <w:kinsoku/>
              <w:wordWrap/>
              <w:overflowPunct/>
              <w:topLinePunct w:val="0"/>
              <w:bidi w:val="0"/>
              <w:snapToGrid/>
              <w:spacing w:line="440" w:lineRule="exact"/>
              <w:ind w:right="0"/>
              <w:jc w:val="center"/>
              <w:rPr>
                <w:rFonts w:hint="eastAsia" w:ascii="宋体" w:hAnsi="宋体" w:eastAsia="宋体" w:cs="宋体"/>
                <w:b/>
                <w:bCs/>
                <w:color w:val="auto"/>
                <w:spacing w:val="0"/>
                <w:position w:val="0"/>
                <w:sz w:val="24"/>
                <w:szCs w:val="24"/>
                <w:highlight w:val="none"/>
                <w:u w:val="none"/>
              </w:rPr>
            </w:pPr>
            <w:r>
              <w:rPr>
                <w:rFonts w:hint="eastAsia" w:ascii="宋体" w:hAnsi="宋体" w:eastAsia="宋体" w:cs="宋体"/>
                <w:b/>
                <w:bCs/>
                <w:color w:val="auto"/>
                <w:spacing w:val="0"/>
                <w:position w:val="0"/>
                <w:sz w:val="24"/>
                <w:szCs w:val="24"/>
                <w:highlight w:val="none"/>
                <w:u w:val="none"/>
              </w:rPr>
              <w:t>1.2.3</w:t>
            </w:r>
          </w:p>
        </w:tc>
        <w:tc>
          <w:tcPr>
            <w:tcW w:w="2073" w:type="dxa"/>
            <w:noWrap w:val="0"/>
            <w:vAlign w:val="center"/>
          </w:tcPr>
          <w:p w14:paraId="52FE81CE">
            <w:pPr>
              <w:keepLines w:val="0"/>
              <w:pageBreakBefore w:val="0"/>
              <w:kinsoku/>
              <w:wordWrap/>
              <w:overflowPunct/>
              <w:topLinePunct w:val="0"/>
              <w:bidi w:val="0"/>
              <w:snapToGrid/>
              <w:spacing w:line="440" w:lineRule="exact"/>
              <w:ind w:right="0"/>
              <w:jc w:val="center"/>
              <w:rPr>
                <w:rFonts w:hint="eastAsia" w:ascii="宋体" w:hAnsi="宋体" w:eastAsia="宋体" w:cs="宋体"/>
                <w:b/>
                <w:bCs/>
                <w:color w:val="auto"/>
                <w:spacing w:val="0"/>
                <w:position w:val="0"/>
                <w:sz w:val="24"/>
                <w:szCs w:val="24"/>
                <w:highlight w:val="none"/>
                <w:u w:val="none"/>
              </w:rPr>
            </w:pPr>
            <w:r>
              <w:rPr>
                <w:rFonts w:hint="eastAsia" w:ascii="宋体" w:hAnsi="宋体" w:eastAsia="宋体" w:cs="宋体"/>
                <w:b/>
                <w:bCs/>
                <w:color w:val="auto"/>
                <w:spacing w:val="0"/>
                <w:position w:val="0"/>
                <w:sz w:val="24"/>
                <w:szCs w:val="24"/>
                <w:highlight w:val="none"/>
                <w:u w:val="none"/>
              </w:rPr>
              <w:t>项目名称</w:t>
            </w:r>
          </w:p>
        </w:tc>
        <w:tc>
          <w:tcPr>
            <w:tcW w:w="7024" w:type="dxa"/>
            <w:noWrap w:val="0"/>
            <w:vAlign w:val="top"/>
          </w:tcPr>
          <w:p w14:paraId="341CAA32">
            <w:pPr>
              <w:keepNext w:val="0"/>
              <w:keepLines w:val="0"/>
              <w:pageBreakBefore w:val="0"/>
              <w:widowControl/>
              <w:kinsoku/>
              <w:wordWrap/>
              <w:overflowPunct/>
              <w:topLinePunct w:val="0"/>
              <w:bidi w:val="0"/>
              <w:adjustRightInd w:val="0"/>
              <w:snapToGrid w:val="0"/>
              <w:spacing w:line="440" w:lineRule="exact"/>
              <w:jc w:val="left"/>
              <w:rPr>
                <w:rFonts w:hint="eastAsia" w:ascii="宋体" w:hAnsi="宋体" w:eastAsia="宋体" w:cs="宋体"/>
                <w:color w:val="auto"/>
                <w:spacing w:val="0"/>
                <w:kern w:val="0"/>
                <w:position w:val="0"/>
                <w:sz w:val="24"/>
                <w:szCs w:val="24"/>
                <w:highlight w:val="none"/>
                <w:u w:val="none"/>
                <w:lang w:eastAsia="zh-CN"/>
              </w:rPr>
            </w:pPr>
            <w:r>
              <w:rPr>
                <w:rFonts w:hint="eastAsia" w:ascii="宋体" w:hAnsi="宋体" w:eastAsia="宋体" w:cs="宋体"/>
                <w:color w:val="auto"/>
                <w:sz w:val="24"/>
                <w:szCs w:val="24"/>
                <w:highlight w:val="none"/>
                <w:lang w:eastAsia="zh-CN"/>
              </w:rPr>
              <w:t>甘泉堡经开区2025年市政道路及附属设施维护项目</w:t>
            </w:r>
          </w:p>
        </w:tc>
      </w:tr>
      <w:tr w14:paraId="2C83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5" w:type="dxa"/>
            <w:vMerge w:val="continue"/>
            <w:noWrap w:val="0"/>
            <w:vAlign w:val="center"/>
          </w:tcPr>
          <w:p w14:paraId="03D6161D">
            <w:pPr>
              <w:keepLines w:val="0"/>
              <w:pageBreakBefore w:val="0"/>
              <w:kinsoku/>
              <w:wordWrap/>
              <w:overflowPunct/>
              <w:topLinePunct w:val="0"/>
              <w:bidi w:val="0"/>
              <w:snapToGrid/>
              <w:spacing w:line="440" w:lineRule="exact"/>
              <w:ind w:right="0"/>
              <w:jc w:val="center"/>
              <w:rPr>
                <w:rFonts w:hint="eastAsia" w:ascii="宋体" w:hAnsi="宋体" w:eastAsia="宋体" w:cs="宋体"/>
                <w:b/>
                <w:bCs/>
                <w:color w:val="auto"/>
                <w:spacing w:val="0"/>
                <w:position w:val="0"/>
                <w:sz w:val="24"/>
                <w:szCs w:val="24"/>
                <w:highlight w:val="none"/>
                <w:u w:val="none"/>
              </w:rPr>
            </w:pPr>
          </w:p>
        </w:tc>
        <w:tc>
          <w:tcPr>
            <w:tcW w:w="2073" w:type="dxa"/>
            <w:noWrap w:val="0"/>
            <w:vAlign w:val="center"/>
          </w:tcPr>
          <w:p w14:paraId="253BE413">
            <w:pPr>
              <w:keepLines w:val="0"/>
              <w:pageBreakBefore w:val="0"/>
              <w:kinsoku/>
              <w:wordWrap/>
              <w:overflowPunct/>
              <w:topLinePunct w:val="0"/>
              <w:bidi w:val="0"/>
              <w:snapToGrid/>
              <w:spacing w:line="440" w:lineRule="exact"/>
              <w:ind w:right="0"/>
              <w:jc w:val="center"/>
              <w:rPr>
                <w:rFonts w:hint="eastAsia" w:ascii="宋体" w:hAnsi="宋体" w:eastAsia="宋体" w:cs="宋体"/>
                <w:b/>
                <w:bCs/>
                <w:color w:val="auto"/>
                <w:spacing w:val="0"/>
                <w:position w:val="0"/>
                <w:sz w:val="24"/>
                <w:szCs w:val="24"/>
                <w:highlight w:val="none"/>
                <w:u w:val="none"/>
                <w:lang w:eastAsia="zh-CN"/>
              </w:rPr>
            </w:pPr>
            <w:r>
              <w:rPr>
                <w:rFonts w:hint="eastAsia" w:ascii="宋体" w:hAnsi="宋体" w:eastAsia="宋体" w:cs="宋体"/>
                <w:b/>
                <w:bCs/>
                <w:color w:val="auto"/>
                <w:spacing w:val="0"/>
                <w:position w:val="0"/>
                <w:sz w:val="24"/>
                <w:szCs w:val="24"/>
                <w:highlight w:val="none"/>
                <w:u w:val="none"/>
                <w:lang w:eastAsia="zh-CN"/>
              </w:rPr>
              <w:t>招标范围</w:t>
            </w:r>
          </w:p>
        </w:tc>
        <w:tc>
          <w:tcPr>
            <w:tcW w:w="7024" w:type="dxa"/>
            <w:noWrap w:val="0"/>
            <w:vAlign w:val="top"/>
          </w:tcPr>
          <w:p w14:paraId="446BF0A8">
            <w:pPr>
              <w:keepLines w:val="0"/>
              <w:pageBreakBefore w:val="0"/>
              <w:widowControl/>
              <w:kinsoku/>
              <w:wordWrap/>
              <w:overflowPunct/>
              <w:topLinePunct w:val="0"/>
              <w:bidi w:val="0"/>
              <w:snapToGrid/>
              <w:spacing w:line="440" w:lineRule="exact"/>
              <w:ind w:right="0"/>
              <w:rPr>
                <w:rFonts w:hint="eastAsia" w:ascii="宋体" w:hAnsi="宋体" w:eastAsia="宋体" w:cs="宋体"/>
                <w:color w:val="auto"/>
                <w:spacing w:val="0"/>
                <w:kern w:val="0"/>
                <w:position w:val="0"/>
                <w:sz w:val="24"/>
                <w:szCs w:val="24"/>
                <w:highlight w:val="none"/>
                <w:u w:val="none"/>
              </w:rPr>
            </w:pPr>
            <w:r>
              <w:rPr>
                <w:rFonts w:hint="eastAsia" w:ascii="宋体" w:hAnsi="宋体" w:eastAsia="宋体" w:cs="宋体"/>
                <w:color w:val="auto"/>
                <w:spacing w:val="0"/>
                <w:kern w:val="0"/>
                <w:position w:val="0"/>
                <w:sz w:val="24"/>
                <w:szCs w:val="24"/>
                <w:highlight w:val="none"/>
                <w:u w:val="none"/>
              </w:rPr>
              <w:t>本项目工程量清单范围内的全部工作内容（包括竞争性磋商文件、竞争性磋商文件补充、答疑文件）。</w:t>
            </w:r>
          </w:p>
        </w:tc>
      </w:tr>
      <w:tr w14:paraId="30744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5" w:type="dxa"/>
            <w:noWrap w:val="0"/>
            <w:vAlign w:val="center"/>
          </w:tcPr>
          <w:p w14:paraId="392678A4">
            <w:pPr>
              <w:keepLines w:val="0"/>
              <w:pageBreakBefore w:val="0"/>
              <w:kinsoku/>
              <w:wordWrap/>
              <w:overflowPunct/>
              <w:topLinePunct w:val="0"/>
              <w:bidi w:val="0"/>
              <w:snapToGrid/>
              <w:spacing w:line="440" w:lineRule="exact"/>
              <w:ind w:right="0"/>
              <w:jc w:val="center"/>
              <w:rPr>
                <w:rFonts w:hint="eastAsia" w:ascii="宋体" w:hAnsi="宋体" w:eastAsia="宋体" w:cs="宋体"/>
                <w:b/>
                <w:bCs/>
                <w:color w:val="auto"/>
                <w:spacing w:val="0"/>
                <w:position w:val="0"/>
                <w:sz w:val="24"/>
                <w:szCs w:val="24"/>
                <w:highlight w:val="none"/>
                <w:u w:val="none"/>
              </w:rPr>
            </w:pPr>
            <w:r>
              <w:rPr>
                <w:rFonts w:hint="eastAsia" w:ascii="宋体" w:hAnsi="宋体" w:eastAsia="宋体" w:cs="宋体"/>
                <w:b/>
                <w:bCs/>
                <w:color w:val="auto"/>
                <w:spacing w:val="0"/>
                <w:position w:val="0"/>
                <w:sz w:val="24"/>
                <w:szCs w:val="24"/>
                <w:highlight w:val="none"/>
                <w:u w:val="none"/>
              </w:rPr>
              <w:t>1.2.4</w:t>
            </w:r>
          </w:p>
        </w:tc>
        <w:tc>
          <w:tcPr>
            <w:tcW w:w="2073" w:type="dxa"/>
            <w:noWrap w:val="0"/>
            <w:vAlign w:val="center"/>
          </w:tcPr>
          <w:p w14:paraId="1029AAAC">
            <w:pPr>
              <w:keepLines w:val="0"/>
              <w:pageBreakBefore w:val="0"/>
              <w:kinsoku/>
              <w:wordWrap/>
              <w:overflowPunct/>
              <w:topLinePunct w:val="0"/>
              <w:bidi w:val="0"/>
              <w:snapToGrid/>
              <w:spacing w:line="440" w:lineRule="exact"/>
              <w:ind w:right="0"/>
              <w:jc w:val="center"/>
              <w:rPr>
                <w:rFonts w:hint="eastAsia" w:ascii="宋体" w:hAnsi="宋体" w:eastAsia="宋体" w:cs="宋体"/>
                <w:b/>
                <w:bCs/>
                <w:color w:val="auto"/>
                <w:spacing w:val="0"/>
                <w:position w:val="0"/>
                <w:sz w:val="24"/>
                <w:szCs w:val="24"/>
                <w:highlight w:val="none"/>
                <w:u w:val="none"/>
              </w:rPr>
            </w:pPr>
            <w:r>
              <w:rPr>
                <w:rFonts w:hint="eastAsia" w:ascii="宋体" w:hAnsi="宋体" w:eastAsia="宋体" w:cs="宋体"/>
                <w:b/>
                <w:bCs/>
                <w:color w:val="auto"/>
                <w:spacing w:val="0"/>
                <w:position w:val="0"/>
                <w:sz w:val="24"/>
                <w:szCs w:val="24"/>
                <w:highlight w:val="none"/>
                <w:u w:val="none"/>
              </w:rPr>
              <w:t>项目实施地点</w:t>
            </w:r>
          </w:p>
        </w:tc>
        <w:tc>
          <w:tcPr>
            <w:tcW w:w="7024" w:type="dxa"/>
            <w:noWrap w:val="0"/>
            <w:vAlign w:val="top"/>
          </w:tcPr>
          <w:p w14:paraId="5822E104">
            <w:pPr>
              <w:keepLines w:val="0"/>
              <w:pageBreakBefore w:val="0"/>
              <w:kinsoku/>
              <w:wordWrap/>
              <w:overflowPunct/>
              <w:topLinePunct w:val="0"/>
              <w:bidi w:val="0"/>
              <w:snapToGrid/>
              <w:spacing w:line="440" w:lineRule="exact"/>
              <w:ind w:right="0"/>
              <w:jc w:val="left"/>
              <w:rPr>
                <w:rFonts w:hint="eastAsia" w:ascii="宋体" w:hAnsi="宋体" w:eastAsia="宋体" w:cs="宋体"/>
                <w:color w:val="auto"/>
                <w:spacing w:val="0"/>
                <w:position w:val="0"/>
                <w:sz w:val="24"/>
                <w:szCs w:val="24"/>
                <w:highlight w:val="none"/>
                <w:u w:val="none"/>
              </w:rPr>
            </w:pPr>
            <w:r>
              <w:rPr>
                <w:rFonts w:hint="eastAsia" w:ascii="宋体" w:hAnsi="宋体" w:cs="宋体"/>
                <w:color w:val="auto"/>
                <w:spacing w:val="0"/>
                <w:kern w:val="0"/>
                <w:position w:val="0"/>
                <w:sz w:val="24"/>
                <w:szCs w:val="24"/>
                <w:highlight w:val="none"/>
                <w:u w:val="none"/>
                <w:lang w:eastAsia="zh-CN"/>
              </w:rPr>
              <w:t>甘泉堡经开区</w:t>
            </w:r>
          </w:p>
        </w:tc>
      </w:tr>
      <w:tr w14:paraId="6BB27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5" w:type="dxa"/>
            <w:noWrap w:val="0"/>
            <w:vAlign w:val="center"/>
          </w:tcPr>
          <w:p w14:paraId="4835E1E2">
            <w:pPr>
              <w:keepLines w:val="0"/>
              <w:pageBreakBefore w:val="0"/>
              <w:kinsoku/>
              <w:wordWrap/>
              <w:overflowPunct/>
              <w:topLinePunct w:val="0"/>
              <w:bidi w:val="0"/>
              <w:snapToGrid/>
              <w:spacing w:line="440" w:lineRule="exact"/>
              <w:ind w:right="0"/>
              <w:jc w:val="center"/>
              <w:rPr>
                <w:rFonts w:hint="eastAsia" w:ascii="宋体" w:hAnsi="宋体" w:eastAsia="宋体" w:cs="宋体"/>
                <w:b/>
                <w:bCs/>
                <w:color w:val="auto"/>
                <w:spacing w:val="0"/>
                <w:position w:val="0"/>
                <w:sz w:val="24"/>
                <w:szCs w:val="24"/>
                <w:highlight w:val="none"/>
                <w:u w:val="none"/>
              </w:rPr>
            </w:pPr>
            <w:r>
              <w:rPr>
                <w:rFonts w:hint="eastAsia" w:ascii="宋体" w:hAnsi="宋体" w:eastAsia="宋体" w:cs="宋体"/>
                <w:b/>
                <w:bCs/>
                <w:color w:val="auto"/>
                <w:spacing w:val="0"/>
                <w:position w:val="0"/>
                <w:sz w:val="24"/>
                <w:szCs w:val="24"/>
                <w:highlight w:val="none"/>
                <w:u w:val="none"/>
              </w:rPr>
              <w:t>1.2.5</w:t>
            </w:r>
          </w:p>
        </w:tc>
        <w:tc>
          <w:tcPr>
            <w:tcW w:w="2073" w:type="dxa"/>
            <w:noWrap w:val="0"/>
            <w:vAlign w:val="center"/>
          </w:tcPr>
          <w:p w14:paraId="15E5F888">
            <w:pPr>
              <w:keepLines w:val="0"/>
              <w:pageBreakBefore w:val="0"/>
              <w:kinsoku/>
              <w:wordWrap/>
              <w:overflowPunct/>
              <w:topLinePunct w:val="0"/>
              <w:bidi w:val="0"/>
              <w:snapToGrid/>
              <w:spacing w:line="440" w:lineRule="exact"/>
              <w:ind w:right="0"/>
              <w:jc w:val="center"/>
              <w:rPr>
                <w:rFonts w:hint="eastAsia" w:ascii="宋体" w:hAnsi="宋体" w:eastAsia="宋体" w:cs="宋体"/>
                <w:b/>
                <w:bCs/>
                <w:color w:val="auto"/>
                <w:spacing w:val="0"/>
                <w:position w:val="0"/>
                <w:sz w:val="24"/>
                <w:szCs w:val="24"/>
                <w:highlight w:val="none"/>
                <w:u w:val="none"/>
              </w:rPr>
            </w:pPr>
            <w:r>
              <w:rPr>
                <w:rFonts w:hint="eastAsia" w:ascii="宋体" w:hAnsi="宋体" w:eastAsia="宋体" w:cs="宋体"/>
                <w:b/>
                <w:bCs/>
                <w:color w:val="auto"/>
                <w:spacing w:val="0"/>
                <w:position w:val="0"/>
                <w:sz w:val="24"/>
                <w:szCs w:val="24"/>
                <w:highlight w:val="none"/>
                <w:u w:val="none"/>
              </w:rPr>
              <w:t>资金来源，落实情况</w:t>
            </w:r>
          </w:p>
        </w:tc>
        <w:tc>
          <w:tcPr>
            <w:tcW w:w="7024" w:type="dxa"/>
            <w:noWrap w:val="0"/>
            <w:vAlign w:val="top"/>
          </w:tcPr>
          <w:p w14:paraId="375369B2">
            <w:pPr>
              <w:keepLines w:val="0"/>
              <w:pageBreakBefore w:val="0"/>
              <w:kinsoku/>
              <w:wordWrap/>
              <w:overflowPunct/>
              <w:topLinePunct w:val="0"/>
              <w:bidi w:val="0"/>
              <w:snapToGrid/>
              <w:spacing w:line="440" w:lineRule="exact"/>
              <w:ind w:right="0"/>
              <w:jc w:val="left"/>
              <w:rPr>
                <w:rFonts w:hint="eastAsia" w:ascii="宋体" w:hAnsi="宋体" w:eastAsia="宋体" w:cs="宋体"/>
                <w:color w:val="auto"/>
                <w:spacing w:val="0"/>
                <w:position w:val="0"/>
                <w:sz w:val="24"/>
                <w:szCs w:val="24"/>
                <w:highlight w:val="none"/>
                <w:u w:val="none"/>
              </w:rPr>
            </w:pPr>
            <w:r>
              <w:rPr>
                <w:rFonts w:hint="eastAsia" w:ascii="宋体" w:hAnsi="宋体" w:cs="宋体"/>
                <w:color w:val="auto"/>
                <w:spacing w:val="0"/>
                <w:position w:val="0"/>
                <w:sz w:val="24"/>
                <w:szCs w:val="24"/>
                <w:highlight w:val="none"/>
                <w:u w:val="none"/>
                <w:lang w:val="en-US" w:eastAsia="zh-CN"/>
              </w:rPr>
              <w:t>财政资金</w:t>
            </w:r>
            <w:r>
              <w:rPr>
                <w:rFonts w:hint="eastAsia" w:ascii="宋体" w:hAnsi="宋体" w:eastAsia="宋体" w:cs="宋体"/>
                <w:color w:val="auto"/>
                <w:spacing w:val="0"/>
                <w:position w:val="0"/>
                <w:sz w:val="24"/>
                <w:szCs w:val="24"/>
                <w:highlight w:val="none"/>
                <w:u w:val="none"/>
              </w:rPr>
              <w:t>，已落实</w:t>
            </w:r>
          </w:p>
        </w:tc>
      </w:tr>
      <w:tr w14:paraId="53450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5" w:type="dxa"/>
            <w:vMerge w:val="restart"/>
            <w:noWrap w:val="0"/>
            <w:vAlign w:val="center"/>
          </w:tcPr>
          <w:p w14:paraId="10F2F5F1">
            <w:pPr>
              <w:keepLines w:val="0"/>
              <w:pageBreakBefore w:val="0"/>
              <w:kinsoku/>
              <w:wordWrap/>
              <w:overflowPunct/>
              <w:topLinePunct w:val="0"/>
              <w:bidi w:val="0"/>
              <w:snapToGrid/>
              <w:spacing w:line="440" w:lineRule="exact"/>
              <w:ind w:right="0"/>
              <w:jc w:val="center"/>
              <w:rPr>
                <w:rFonts w:hint="eastAsia" w:ascii="宋体" w:hAnsi="宋体" w:eastAsia="宋体" w:cs="宋体"/>
                <w:b/>
                <w:bCs/>
                <w:color w:val="auto"/>
                <w:spacing w:val="0"/>
                <w:position w:val="0"/>
                <w:sz w:val="24"/>
                <w:szCs w:val="24"/>
                <w:highlight w:val="none"/>
                <w:u w:val="none"/>
              </w:rPr>
            </w:pPr>
            <w:r>
              <w:rPr>
                <w:rFonts w:hint="eastAsia" w:ascii="宋体" w:hAnsi="宋体" w:eastAsia="宋体" w:cs="宋体"/>
                <w:b/>
                <w:bCs/>
                <w:color w:val="auto"/>
                <w:spacing w:val="0"/>
                <w:position w:val="0"/>
                <w:sz w:val="24"/>
                <w:szCs w:val="24"/>
                <w:highlight w:val="none"/>
                <w:u w:val="none"/>
              </w:rPr>
              <w:t>1.2.6</w:t>
            </w:r>
          </w:p>
        </w:tc>
        <w:tc>
          <w:tcPr>
            <w:tcW w:w="2073" w:type="dxa"/>
            <w:noWrap w:val="0"/>
            <w:vAlign w:val="center"/>
          </w:tcPr>
          <w:p w14:paraId="5ECBA848">
            <w:pPr>
              <w:keepNext/>
              <w:keepLines w:val="0"/>
              <w:pageBreakBefore w:val="0"/>
              <w:kinsoku/>
              <w:wordWrap/>
              <w:overflowPunct/>
              <w:topLinePunct w:val="0"/>
              <w:bidi w:val="0"/>
              <w:snapToGrid/>
              <w:spacing w:line="440" w:lineRule="exact"/>
              <w:ind w:right="0"/>
              <w:jc w:val="center"/>
              <w:rPr>
                <w:rFonts w:hint="eastAsia" w:ascii="宋体" w:hAnsi="宋体" w:eastAsia="宋体" w:cs="宋体"/>
                <w:b/>
                <w:bCs/>
                <w:color w:val="auto"/>
                <w:spacing w:val="0"/>
                <w:position w:val="0"/>
                <w:sz w:val="24"/>
                <w:szCs w:val="24"/>
                <w:highlight w:val="none"/>
                <w:u w:val="none"/>
                <w:lang w:eastAsia="zh-CN"/>
              </w:rPr>
            </w:pPr>
            <w:r>
              <w:rPr>
                <w:rFonts w:hint="eastAsia" w:ascii="宋体" w:hAnsi="宋体" w:cs="宋体"/>
                <w:b/>
                <w:bCs/>
                <w:color w:val="auto"/>
                <w:spacing w:val="0"/>
                <w:position w:val="0"/>
                <w:sz w:val="24"/>
                <w:szCs w:val="24"/>
                <w:highlight w:val="none"/>
                <w:u w:val="none"/>
                <w:lang w:val="en-US" w:eastAsia="zh-CN"/>
              </w:rPr>
              <w:t>工期</w:t>
            </w:r>
          </w:p>
        </w:tc>
        <w:tc>
          <w:tcPr>
            <w:tcW w:w="7024" w:type="dxa"/>
            <w:noWrap w:val="0"/>
            <w:vAlign w:val="center"/>
          </w:tcPr>
          <w:p w14:paraId="66530103">
            <w:pPr>
              <w:keepNext/>
              <w:keepLines w:val="0"/>
              <w:pageBreakBefore w:val="0"/>
              <w:kinsoku/>
              <w:wordWrap/>
              <w:overflowPunct/>
              <w:topLinePunct w:val="0"/>
              <w:bidi w:val="0"/>
              <w:snapToGrid/>
              <w:spacing w:line="440" w:lineRule="exact"/>
              <w:ind w:right="0"/>
              <w:jc w:val="left"/>
              <w:rPr>
                <w:rFonts w:hint="default" w:ascii="宋体" w:hAnsi="宋体" w:eastAsia="宋体" w:cs="宋体"/>
                <w:color w:val="auto"/>
                <w:spacing w:val="0"/>
                <w:position w:val="0"/>
                <w:sz w:val="24"/>
                <w:szCs w:val="24"/>
                <w:highlight w:val="none"/>
                <w:u w:val="none"/>
                <w:lang w:val="en-US" w:eastAsia="zh-CN"/>
              </w:rPr>
            </w:pPr>
            <w:r>
              <w:rPr>
                <w:rFonts w:hint="default" w:ascii="宋体" w:hAnsi="宋体" w:eastAsia="宋体" w:cs="宋体"/>
                <w:color w:val="auto"/>
                <w:spacing w:val="0"/>
                <w:position w:val="0"/>
                <w:sz w:val="24"/>
                <w:szCs w:val="24"/>
                <w:highlight w:val="none"/>
                <w:u w:val="none"/>
                <w:lang w:val="en-US" w:eastAsia="zh-CN"/>
              </w:rPr>
              <w:t>一标段：自合同签订之日起30个日历日；</w:t>
            </w:r>
          </w:p>
          <w:p w14:paraId="5B048E71">
            <w:pPr>
              <w:keepNext/>
              <w:keepLines w:val="0"/>
              <w:pageBreakBefore w:val="0"/>
              <w:kinsoku/>
              <w:wordWrap/>
              <w:overflowPunct/>
              <w:topLinePunct w:val="0"/>
              <w:bidi w:val="0"/>
              <w:snapToGrid/>
              <w:spacing w:line="440" w:lineRule="exact"/>
              <w:ind w:right="0"/>
              <w:jc w:val="left"/>
              <w:rPr>
                <w:rFonts w:hint="default"/>
                <w:highlight w:val="none"/>
                <w:lang w:val="en-US" w:eastAsia="zh-CN"/>
              </w:rPr>
            </w:pPr>
            <w:r>
              <w:rPr>
                <w:rFonts w:hint="default" w:ascii="宋体" w:hAnsi="宋体" w:eastAsia="宋体" w:cs="宋体"/>
                <w:color w:val="auto"/>
                <w:spacing w:val="0"/>
                <w:position w:val="0"/>
                <w:sz w:val="24"/>
                <w:szCs w:val="24"/>
                <w:highlight w:val="none"/>
                <w:u w:val="none"/>
                <w:lang w:val="en-US" w:eastAsia="zh-CN"/>
              </w:rPr>
              <w:t>二标段：自合同签订之日起20个日历日。</w:t>
            </w:r>
          </w:p>
        </w:tc>
      </w:tr>
      <w:tr w14:paraId="5D06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5" w:type="dxa"/>
            <w:vMerge w:val="continue"/>
            <w:noWrap w:val="0"/>
            <w:vAlign w:val="center"/>
          </w:tcPr>
          <w:p w14:paraId="4B04AC9E">
            <w:pPr>
              <w:keepLines w:val="0"/>
              <w:pageBreakBefore w:val="0"/>
              <w:kinsoku/>
              <w:wordWrap/>
              <w:overflowPunct/>
              <w:topLinePunct w:val="0"/>
              <w:bidi w:val="0"/>
              <w:snapToGrid/>
              <w:spacing w:line="440" w:lineRule="exact"/>
              <w:ind w:right="0"/>
              <w:jc w:val="center"/>
              <w:rPr>
                <w:rFonts w:hint="eastAsia" w:ascii="宋体" w:hAnsi="宋体" w:eastAsia="宋体" w:cs="宋体"/>
                <w:b/>
                <w:bCs/>
                <w:color w:val="auto"/>
                <w:spacing w:val="0"/>
                <w:position w:val="0"/>
                <w:sz w:val="24"/>
                <w:szCs w:val="24"/>
                <w:highlight w:val="none"/>
                <w:u w:val="none"/>
              </w:rPr>
            </w:pPr>
          </w:p>
        </w:tc>
        <w:tc>
          <w:tcPr>
            <w:tcW w:w="2073" w:type="dxa"/>
            <w:noWrap w:val="0"/>
            <w:vAlign w:val="center"/>
          </w:tcPr>
          <w:p w14:paraId="0F86433C">
            <w:pPr>
              <w:keepNext/>
              <w:keepLines w:val="0"/>
              <w:pageBreakBefore w:val="0"/>
              <w:kinsoku/>
              <w:wordWrap/>
              <w:overflowPunct/>
              <w:topLinePunct w:val="0"/>
              <w:bidi w:val="0"/>
              <w:snapToGrid/>
              <w:spacing w:line="440" w:lineRule="exact"/>
              <w:ind w:right="0"/>
              <w:jc w:val="center"/>
              <w:rPr>
                <w:rFonts w:hint="eastAsia" w:ascii="宋体" w:hAnsi="宋体" w:eastAsia="宋体" w:cs="宋体"/>
                <w:b/>
                <w:bCs/>
                <w:color w:val="auto"/>
                <w:spacing w:val="0"/>
                <w:position w:val="0"/>
                <w:sz w:val="24"/>
                <w:szCs w:val="24"/>
                <w:highlight w:val="none"/>
                <w:u w:val="none"/>
                <w:lang w:eastAsia="zh-CN"/>
              </w:rPr>
            </w:pPr>
            <w:r>
              <w:rPr>
                <w:rFonts w:hint="eastAsia" w:ascii="宋体" w:hAnsi="宋体" w:eastAsia="宋体" w:cs="宋体"/>
                <w:b/>
                <w:bCs/>
                <w:color w:val="auto"/>
                <w:spacing w:val="0"/>
                <w:position w:val="0"/>
                <w:sz w:val="24"/>
                <w:szCs w:val="24"/>
                <w:highlight w:val="none"/>
                <w:u w:val="none"/>
                <w:lang w:eastAsia="zh-CN"/>
              </w:rPr>
              <w:t>质量标准</w:t>
            </w:r>
          </w:p>
        </w:tc>
        <w:tc>
          <w:tcPr>
            <w:tcW w:w="7024" w:type="dxa"/>
            <w:noWrap w:val="0"/>
            <w:vAlign w:val="center"/>
          </w:tcPr>
          <w:p w14:paraId="763A547E">
            <w:pPr>
              <w:keepNext/>
              <w:keepLines w:val="0"/>
              <w:pageBreakBefore w:val="0"/>
              <w:kinsoku/>
              <w:wordWrap/>
              <w:overflowPunct/>
              <w:topLinePunct w:val="0"/>
              <w:bidi w:val="0"/>
              <w:snapToGrid/>
              <w:spacing w:line="440" w:lineRule="exact"/>
              <w:ind w:right="0"/>
              <w:jc w:val="left"/>
              <w:rPr>
                <w:rFonts w:hint="eastAsia" w:ascii="宋体" w:hAnsi="宋体" w:eastAsia="宋体" w:cs="宋体"/>
                <w:color w:val="auto"/>
                <w:spacing w:val="0"/>
                <w:position w:val="0"/>
                <w:sz w:val="24"/>
                <w:szCs w:val="24"/>
                <w:highlight w:val="none"/>
                <w:u w:val="none"/>
                <w:lang w:val="en-US" w:eastAsia="zh-CN"/>
              </w:rPr>
            </w:pPr>
            <w:r>
              <w:rPr>
                <w:rFonts w:hint="eastAsia" w:ascii="宋体" w:hAnsi="宋体" w:eastAsia="宋体" w:cs="宋体"/>
                <w:color w:val="auto"/>
                <w:spacing w:val="0"/>
                <w:position w:val="0"/>
                <w:sz w:val="24"/>
                <w:szCs w:val="24"/>
                <w:highlight w:val="none"/>
                <w:u w:val="none"/>
                <w:lang w:val="en-US" w:eastAsia="zh-CN"/>
              </w:rPr>
              <w:t>符合现行国家有关工程施工验收规范和标准的合格要求</w:t>
            </w:r>
          </w:p>
        </w:tc>
      </w:tr>
      <w:tr w14:paraId="4D7D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5" w:type="dxa"/>
            <w:vMerge w:val="continue"/>
            <w:noWrap w:val="0"/>
            <w:vAlign w:val="center"/>
          </w:tcPr>
          <w:p w14:paraId="4456F27E">
            <w:pPr>
              <w:keepLines w:val="0"/>
              <w:pageBreakBefore w:val="0"/>
              <w:kinsoku/>
              <w:wordWrap/>
              <w:overflowPunct/>
              <w:topLinePunct w:val="0"/>
              <w:bidi w:val="0"/>
              <w:snapToGrid/>
              <w:spacing w:line="440" w:lineRule="exact"/>
              <w:ind w:right="0"/>
              <w:jc w:val="center"/>
              <w:rPr>
                <w:rFonts w:hint="eastAsia" w:ascii="宋体" w:hAnsi="宋体" w:eastAsia="宋体" w:cs="宋体"/>
                <w:b/>
                <w:bCs/>
                <w:color w:val="auto"/>
                <w:spacing w:val="0"/>
                <w:position w:val="0"/>
                <w:sz w:val="24"/>
                <w:szCs w:val="24"/>
                <w:highlight w:val="none"/>
                <w:u w:val="none"/>
              </w:rPr>
            </w:pPr>
          </w:p>
        </w:tc>
        <w:tc>
          <w:tcPr>
            <w:tcW w:w="2073" w:type="dxa"/>
            <w:noWrap w:val="0"/>
            <w:vAlign w:val="center"/>
          </w:tcPr>
          <w:p w14:paraId="56D4F925">
            <w:pPr>
              <w:keepNext/>
              <w:keepLines w:val="0"/>
              <w:pageBreakBefore w:val="0"/>
              <w:kinsoku/>
              <w:wordWrap/>
              <w:overflowPunct/>
              <w:topLinePunct w:val="0"/>
              <w:bidi w:val="0"/>
              <w:snapToGrid/>
              <w:spacing w:line="440" w:lineRule="exact"/>
              <w:ind w:right="0"/>
              <w:jc w:val="center"/>
              <w:rPr>
                <w:rFonts w:hint="eastAsia" w:ascii="宋体" w:hAnsi="宋体" w:eastAsia="宋体" w:cs="宋体"/>
                <w:b/>
                <w:bCs/>
                <w:color w:val="auto"/>
                <w:spacing w:val="0"/>
                <w:position w:val="0"/>
                <w:sz w:val="24"/>
                <w:szCs w:val="24"/>
                <w:highlight w:val="none"/>
                <w:u w:val="none"/>
                <w:lang w:eastAsia="zh-CN"/>
              </w:rPr>
            </w:pPr>
            <w:r>
              <w:rPr>
                <w:rFonts w:hint="eastAsia" w:ascii="宋体" w:hAnsi="宋体" w:eastAsia="宋体" w:cs="宋体"/>
                <w:b/>
                <w:bCs/>
                <w:color w:val="auto"/>
                <w:spacing w:val="0"/>
                <w:position w:val="0"/>
                <w:sz w:val="24"/>
                <w:szCs w:val="24"/>
                <w:highlight w:val="none"/>
                <w:u w:val="none"/>
                <w:lang w:eastAsia="zh-CN"/>
              </w:rPr>
              <w:t>工程保修期</w:t>
            </w:r>
          </w:p>
        </w:tc>
        <w:tc>
          <w:tcPr>
            <w:tcW w:w="7024" w:type="dxa"/>
            <w:noWrap w:val="0"/>
            <w:vAlign w:val="center"/>
          </w:tcPr>
          <w:p w14:paraId="62FBBBCE">
            <w:pPr>
              <w:keepNext/>
              <w:keepLines w:val="0"/>
              <w:pageBreakBefore w:val="0"/>
              <w:kinsoku/>
              <w:wordWrap/>
              <w:overflowPunct/>
              <w:topLinePunct w:val="0"/>
              <w:bidi w:val="0"/>
              <w:snapToGrid/>
              <w:spacing w:line="440" w:lineRule="exact"/>
              <w:ind w:right="0"/>
              <w:jc w:val="left"/>
              <w:rPr>
                <w:rFonts w:hint="default" w:ascii="宋体" w:hAnsi="宋体" w:eastAsia="宋体" w:cs="宋体"/>
                <w:color w:val="auto"/>
                <w:spacing w:val="0"/>
                <w:position w:val="0"/>
                <w:sz w:val="24"/>
                <w:szCs w:val="24"/>
                <w:highlight w:val="none"/>
                <w:u w:val="none"/>
                <w:lang w:val="en-US" w:eastAsia="zh-CN"/>
              </w:rPr>
            </w:pPr>
            <w:r>
              <w:rPr>
                <w:rFonts w:hint="eastAsia" w:ascii="宋体" w:hAnsi="宋体" w:cs="宋体"/>
                <w:color w:val="auto"/>
                <w:spacing w:val="0"/>
                <w:position w:val="0"/>
                <w:sz w:val="24"/>
                <w:szCs w:val="24"/>
                <w:highlight w:val="none"/>
                <w:u w:val="none"/>
                <w:lang w:val="en-US" w:eastAsia="zh-CN"/>
              </w:rPr>
              <w:t>竣工验收后2年</w:t>
            </w:r>
          </w:p>
        </w:tc>
      </w:tr>
      <w:tr w14:paraId="4575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5" w:type="dxa"/>
            <w:noWrap w:val="0"/>
            <w:vAlign w:val="center"/>
          </w:tcPr>
          <w:p w14:paraId="28D8FA57">
            <w:pPr>
              <w:keepLines w:val="0"/>
              <w:pageBreakBefore w:val="0"/>
              <w:kinsoku/>
              <w:wordWrap/>
              <w:overflowPunct/>
              <w:topLinePunct w:val="0"/>
              <w:bidi w:val="0"/>
              <w:snapToGrid/>
              <w:spacing w:line="440" w:lineRule="exact"/>
              <w:ind w:right="0"/>
              <w:jc w:val="center"/>
              <w:rPr>
                <w:rFonts w:hint="eastAsia" w:ascii="宋体" w:hAnsi="宋体" w:eastAsia="宋体" w:cs="宋体"/>
                <w:b/>
                <w:bCs/>
                <w:color w:val="auto"/>
                <w:spacing w:val="0"/>
                <w:position w:val="0"/>
                <w:sz w:val="24"/>
                <w:szCs w:val="24"/>
                <w:highlight w:val="none"/>
                <w:u w:val="none"/>
              </w:rPr>
            </w:pPr>
            <w:r>
              <w:rPr>
                <w:rFonts w:hint="eastAsia" w:ascii="宋体" w:hAnsi="宋体" w:eastAsia="宋体" w:cs="宋体"/>
                <w:b/>
                <w:bCs/>
                <w:color w:val="auto"/>
                <w:spacing w:val="0"/>
                <w:position w:val="0"/>
                <w:sz w:val="24"/>
                <w:szCs w:val="24"/>
                <w:highlight w:val="none"/>
                <w:u w:val="none"/>
              </w:rPr>
              <w:t>1.3.1</w:t>
            </w:r>
          </w:p>
        </w:tc>
        <w:tc>
          <w:tcPr>
            <w:tcW w:w="2073" w:type="dxa"/>
            <w:noWrap w:val="0"/>
            <w:vAlign w:val="center"/>
          </w:tcPr>
          <w:p w14:paraId="521982C7">
            <w:pPr>
              <w:keepLines w:val="0"/>
              <w:pageBreakBefore w:val="0"/>
              <w:kinsoku/>
              <w:wordWrap/>
              <w:overflowPunct/>
              <w:topLinePunct w:val="0"/>
              <w:bidi w:val="0"/>
              <w:snapToGrid/>
              <w:spacing w:line="440" w:lineRule="exact"/>
              <w:ind w:right="0"/>
              <w:jc w:val="center"/>
              <w:rPr>
                <w:rFonts w:hint="eastAsia" w:ascii="宋体" w:hAnsi="宋体" w:eastAsia="宋体" w:cs="宋体"/>
                <w:b/>
                <w:bCs/>
                <w:color w:val="auto"/>
                <w:spacing w:val="0"/>
                <w:position w:val="0"/>
                <w:sz w:val="24"/>
                <w:szCs w:val="24"/>
                <w:highlight w:val="none"/>
                <w:u w:val="none"/>
              </w:rPr>
            </w:pPr>
            <w:r>
              <w:rPr>
                <w:rFonts w:hint="eastAsia" w:ascii="宋体" w:hAnsi="宋体" w:eastAsia="宋体" w:cs="宋体"/>
                <w:b/>
                <w:bCs/>
                <w:color w:val="auto"/>
                <w:spacing w:val="0"/>
                <w:position w:val="0"/>
                <w:sz w:val="24"/>
                <w:szCs w:val="24"/>
                <w:highlight w:val="none"/>
                <w:u w:val="none"/>
              </w:rPr>
              <w:t>供应商的资格要求</w:t>
            </w:r>
          </w:p>
        </w:tc>
        <w:tc>
          <w:tcPr>
            <w:tcW w:w="7024" w:type="dxa"/>
            <w:noWrap w:val="0"/>
            <w:vAlign w:val="top"/>
          </w:tcPr>
          <w:p w14:paraId="451243F0">
            <w:pPr>
              <w:keepLines w:val="0"/>
              <w:pageBreakBefore w:val="0"/>
              <w:widowControl/>
              <w:kinsoku/>
              <w:wordWrap/>
              <w:overflowPunct/>
              <w:topLinePunct w:val="0"/>
              <w:bidi w:val="0"/>
              <w:snapToGrid/>
              <w:spacing w:line="440" w:lineRule="exact"/>
              <w:ind w:right="0"/>
              <w:jc w:val="left"/>
              <w:rPr>
                <w:rFonts w:hint="eastAsia" w:ascii="宋体" w:hAnsi="宋体" w:eastAsia="宋体" w:cs="宋体"/>
                <w:color w:val="auto"/>
                <w:spacing w:val="0"/>
                <w:kern w:val="0"/>
                <w:position w:val="0"/>
                <w:sz w:val="24"/>
                <w:szCs w:val="24"/>
                <w:highlight w:val="none"/>
                <w:u w:val="none"/>
                <w:lang w:bidi="ar"/>
              </w:rPr>
            </w:pPr>
            <w:r>
              <w:rPr>
                <w:rFonts w:hint="eastAsia" w:ascii="宋体" w:hAnsi="宋体" w:eastAsia="宋体" w:cs="宋体"/>
                <w:color w:val="auto"/>
                <w:spacing w:val="0"/>
                <w:kern w:val="0"/>
                <w:position w:val="0"/>
                <w:sz w:val="24"/>
                <w:szCs w:val="24"/>
                <w:highlight w:val="none"/>
                <w:u w:val="none"/>
                <w:lang w:bidi="ar"/>
              </w:rPr>
              <w:t>1.满足《中华人民共和国政府采购法》第二十二条规定；</w:t>
            </w:r>
          </w:p>
          <w:p w14:paraId="129B1EC3">
            <w:pPr>
              <w:keepLines w:val="0"/>
              <w:pageBreakBefore w:val="0"/>
              <w:widowControl/>
              <w:kinsoku/>
              <w:wordWrap/>
              <w:overflowPunct/>
              <w:topLinePunct w:val="0"/>
              <w:bidi w:val="0"/>
              <w:snapToGrid/>
              <w:spacing w:line="440" w:lineRule="exact"/>
              <w:ind w:right="0"/>
              <w:jc w:val="left"/>
              <w:rPr>
                <w:rFonts w:hint="eastAsia" w:ascii="宋体" w:hAnsi="宋体" w:eastAsia="宋体" w:cs="宋体"/>
                <w:color w:val="auto"/>
                <w:spacing w:val="0"/>
                <w:kern w:val="0"/>
                <w:position w:val="0"/>
                <w:sz w:val="24"/>
                <w:szCs w:val="24"/>
                <w:highlight w:val="none"/>
                <w:u w:val="none"/>
                <w:lang w:bidi="ar"/>
              </w:rPr>
            </w:pPr>
            <w:r>
              <w:rPr>
                <w:rFonts w:hint="eastAsia" w:ascii="宋体" w:hAnsi="宋体" w:eastAsia="宋体" w:cs="宋体"/>
                <w:color w:val="auto"/>
                <w:spacing w:val="0"/>
                <w:kern w:val="0"/>
                <w:position w:val="0"/>
                <w:sz w:val="24"/>
                <w:szCs w:val="24"/>
                <w:highlight w:val="none"/>
                <w:u w:val="none"/>
                <w:lang w:bidi="ar"/>
              </w:rPr>
              <w:t>2.落实政府采购政策需满足的资格要求：</w:t>
            </w:r>
            <w:r>
              <w:rPr>
                <w:rFonts w:hint="eastAsia" w:ascii="宋体" w:hAnsi="宋体" w:cs="宋体"/>
                <w:color w:val="auto"/>
                <w:spacing w:val="0"/>
                <w:position w:val="0"/>
                <w:sz w:val="24"/>
                <w:szCs w:val="24"/>
                <w:highlight w:val="none"/>
                <w:lang w:val="en-US" w:eastAsia="zh-CN"/>
              </w:rPr>
              <w:t>一标段：</w:t>
            </w:r>
            <w:r>
              <w:rPr>
                <w:rFonts w:hint="eastAsia" w:ascii="宋体" w:hAnsi="宋体" w:cs="宋体"/>
                <w:kern w:val="0"/>
                <w:sz w:val="24"/>
                <w:highlight w:val="none"/>
                <w:lang w:val="en-US" w:eastAsia="zh-CN"/>
              </w:rPr>
              <w:t>专门面向中小微企业采购；二标段：专门面向小微企业采购。</w:t>
            </w:r>
          </w:p>
          <w:p w14:paraId="3DAE5BEB">
            <w:pPr>
              <w:keepLines w:val="0"/>
              <w:pageBreakBefore w:val="0"/>
              <w:widowControl/>
              <w:kinsoku/>
              <w:wordWrap/>
              <w:overflowPunct/>
              <w:topLinePunct w:val="0"/>
              <w:bidi w:val="0"/>
              <w:snapToGrid/>
              <w:spacing w:line="440" w:lineRule="exact"/>
              <w:ind w:right="0"/>
              <w:jc w:val="left"/>
              <w:rPr>
                <w:rFonts w:hint="eastAsia" w:ascii="宋体" w:hAnsi="宋体" w:eastAsia="宋体" w:cs="宋体"/>
                <w:color w:val="auto"/>
                <w:spacing w:val="0"/>
                <w:kern w:val="0"/>
                <w:position w:val="0"/>
                <w:sz w:val="24"/>
                <w:szCs w:val="24"/>
                <w:highlight w:val="none"/>
                <w:u w:val="none"/>
                <w:lang w:bidi="ar"/>
              </w:rPr>
            </w:pPr>
            <w:r>
              <w:rPr>
                <w:rFonts w:hint="eastAsia" w:ascii="宋体" w:hAnsi="宋体" w:eastAsia="宋体" w:cs="宋体"/>
                <w:color w:val="auto"/>
                <w:spacing w:val="0"/>
                <w:kern w:val="0"/>
                <w:position w:val="0"/>
                <w:sz w:val="24"/>
                <w:szCs w:val="24"/>
                <w:highlight w:val="none"/>
                <w:u w:val="none"/>
                <w:lang w:bidi="ar"/>
              </w:rPr>
              <w:t>3.本项目的特定资格要求：</w:t>
            </w:r>
          </w:p>
          <w:p w14:paraId="4DF1F968">
            <w:pPr>
              <w:keepLines w:val="0"/>
              <w:pageBreakBefore w:val="0"/>
              <w:widowControl/>
              <w:kinsoku/>
              <w:wordWrap/>
              <w:overflowPunct/>
              <w:topLinePunct w:val="0"/>
              <w:bidi w:val="0"/>
              <w:snapToGrid/>
              <w:spacing w:line="440" w:lineRule="exact"/>
              <w:ind w:right="0"/>
              <w:jc w:val="left"/>
              <w:rPr>
                <w:rFonts w:hint="eastAsia" w:ascii="宋体" w:hAnsi="宋体" w:cs="宋体"/>
                <w:kern w:val="0"/>
                <w:sz w:val="24"/>
                <w:highlight w:val="none"/>
              </w:rPr>
            </w:pPr>
            <w:r>
              <w:rPr>
                <w:rFonts w:hint="eastAsia" w:ascii="宋体" w:hAnsi="宋体" w:cs="宋体"/>
                <w:kern w:val="0"/>
                <w:sz w:val="24"/>
                <w:highlight w:val="none"/>
              </w:rPr>
              <w:t>一标段</w:t>
            </w:r>
            <w:r>
              <w:rPr>
                <w:rFonts w:hint="eastAsia" w:ascii="宋体" w:hAnsi="宋体" w:cs="宋体"/>
                <w:kern w:val="0"/>
                <w:sz w:val="24"/>
                <w:highlight w:val="none"/>
                <w:lang w:eastAsia="zh-CN"/>
              </w:rPr>
              <w:t>、二标段</w:t>
            </w:r>
            <w:r>
              <w:rPr>
                <w:rFonts w:hint="eastAsia" w:ascii="宋体" w:hAnsi="宋体" w:cs="宋体"/>
                <w:kern w:val="0"/>
                <w:sz w:val="24"/>
                <w:highlight w:val="none"/>
              </w:rPr>
              <w:t>：</w:t>
            </w:r>
          </w:p>
          <w:p w14:paraId="2E0A25A7">
            <w:pPr>
              <w:keepLines w:val="0"/>
              <w:pageBreakBefore w:val="0"/>
              <w:widowControl/>
              <w:kinsoku/>
              <w:wordWrap/>
              <w:overflowPunct/>
              <w:topLinePunct w:val="0"/>
              <w:bidi w:val="0"/>
              <w:snapToGrid/>
              <w:spacing w:line="440" w:lineRule="exact"/>
              <w:ind w:right="0"/>
              <w:jc w:val="left"/>
              <w:rPr>
                <w:rFonts w:hint="eastAsia" w:ascii="宋体" w:hAnsi="宋体" w:cs="宋体"/>
                <w:kern w:val="0"/>
                <w:sz w:val="24"/>
                <w:highlight w:val="none"/>
              </w:rPr>
            </w:pPr>
            <w:r>
              <w:rPr>
                <w:rFonts w:hint="eastAsia" w:ascii="宋体" w:hAnsi="宋体" w:cs="宋体"/>
                <w:kern w:val="0"/>
                <w:sz w:val="24"/>
                <w:highlight w:val="none"/>
              </w:rPr>
              <w:t>（1）供应商应具备市政工程施工总承包三级及以上资质；</w:t>
            </w:r>
          </w:p>
          <w:p w14:paraId="20742603">
            <w:pPr>
              <w:keepLines w:val="0"/>
              <w:pageBreakBefore w:val="0"/>
              <w:widowControl/>
              <w:kinsoku/>
              <w:wordWrap/>
              <w:overflowPunct/>
              <w:topLinePunct w:val="0"/>
              <w:bidi w:val="0"/>
              <w:snapToGrid/>
              <w:spacing w:line="440" w:lineRule="exact"/>
              <w:ind w:right="0"/>
              <w:jc w:val="left"/>
              <w:rPr>
                <w:rFonts w:hint="eastAsia" w:ascii="宋体" w:hAnsi="宋体" w:cs="宋体"/>
                <w:kern w:val="0"/>
                <w:sz w:val="24"/>
                <w:highlight w:val="none"/>
              </w:rPr>
            </w:pPr>
            <w:r>
              <w:rPr>
                <w:rFonts w:hint="eastAsia" w:ascii="宋体" w:hAnsi="宋体" w:cs="宋体"/>
                <w:kern w:val="0"/>
                <w:sz w:val="24"/>
                <w:highlight w:val="none"/>
              </w:rPr>
              <w:t>（2）供应商应具备有效的安全生产许可证；</w:t>
            </w:r>
          </w:p>
          <w:p w14:paraId="275DA352">
            <w:pPr>
              <w:keepLines w:val="0"/>
              <w:pageBreakBefore w:val="0"/>
              <w:widowControl/>
              <w:kinsoku/>
              <w:wordWrap/>
              <w:overflowPunct/>
              <w:topLinePunct w:val="0"/>
              <w:bidi w:val="0"/>
              <w:snapToGrid/>
              <w:spacing w:line="440" w:lineRule="exact"/>
              <w:ind w:right="0"/>
              <w:jc w:val="left"/>
              <w:rPr>
                <w:rFonts w:hint="eastAsia" w:ascii="宋体" w:hAnsi="宋体" w:cs="宋体"/>
                <w:kern w:val="0"/>
                <w:sz w:val="24"/>
                <w:highlight w:val="none"/>
              </w:rPr>
            </w:pPr>
            <w:r>
              <w:rPr>
                <w:rFonts w:hint="eastAsia" w:ascii="宋体" w:hAnsi="宋体" w:cs="宋体"/>
                <w:kern w:val="0"/>
                <w:sz w:val="24"/>
                <w:highlight w:val="none"/>
              </w:rPr>
              <w:t>（3）项目负责人应为注册建造师贰级及以上（市政工程专业）资格。</w:t>
            </w:r>
          </w:p>
          <w:p w14:paraId="43060801">
            <w:pPr>
              <w:keepLines w:val="0"/>
              <w:pageBreakBefore w:val="0"/>
              <w:widowControl/>
              <w:kinsoku/>
              <w:wordWrap/>
              <w:overflowPunct/>
              <w:topLinePunct w:val="0"/>
              <w:bidi w:val="0"/>
              <w:snapToGrid/>
              <w:spacing w:line="440" w:lineRule="exact"/>
              <w:ind w:right="0"/>
              <w:jc w:val="left"/>
              <w:rPr>
                <w:rFonts w:hint="eastAsia" w:ascii="宋体" w:hAnsi="宋体" w:cs="宋体"/>
                <w:kern w:val="0"/>
                <w:sz w:val="24"/>
                <w:highlight w:val="none"/>
              </w:rPr>
            </w:pPr>
            <w:r>
              <w:rPr>
                <w:rFonts w:hint="eastAsia" w:ascii="宋体" w:hAnsi="宋体" w:cs="宋体"/>
                <w:kern w:val="0"/>
                <w:sz w:val="24"/>
                <w:highlight w:val="none"/>
              </w:rPr>
              <w:t>4.根据《关于在政府采购活动中查询及使用信用记录有关问题的通知》(财库[2016]125号)的规定，对被列入“失信被执行人”、“重大税收违法案件当事人名单”、“政府采购严重违法失信行为记录名单”的供应商，拒绝参与本项目政府采购活动【查询渠道：“信用中国”网站（www.creditchina.gov.cn）、中国政府采购网（www.ccgp.gov.cn）】。</w:t>
            </w:r>
          </w:p>
          <w:p w14:paraId="6E6DEB69">
            <w:pPr>
              <w:keepLines w:val="0"/>
              <w:pageBreakBefore w:val="0"/>
              <w:widowControl/>
              <w:kinsoku/>
              <w:wordWrap/>
              <w:overflowPunct/>
              <w:topLinePunct w:val="0"/>
              <w:bidi w:val="0"/>
              <w:snapToGrid/>
              <w:spacing w:line="440" w:lineRule="exact"/>
              <w:ind w:right="0"/>
              <w:jc w:val="left"/>
              <w:rPr>
                <w:rFonts w:hint="eastAsia" w:ascii="宋体" w:hAnsi="宋体" w:cs="宋体"/>
                <w:kern w:val="0"/>
                <w:sz w:val="24"/>
                <w:highlight w:val="none"/>
              </w:rPr>
            </w:pPr>
            <w:r>
              <w:rPr>
                <w:rFonts w:hint="eastAsia" w:ascii="宋体" w:hAnsi="宋体" w:cs="宋体"/>
                <w:kern w:val="0"/>
                <w:sz w:val="24"/>
                <w:highlight w:val="none"/>
              </w:rPr>
              <w:t>5.供应商不得存在下列情形之一：</w:t>
            </w:r>
          </w:p>
          <w:p w14:paraId="3DCCDA28">
            <w:pPr>
              <w:keepLines w:val="0"/>
              <w:pageBreakBefore w:val="0"/>
              <w:widowControl/>
              <w:kinsoku/>
              <w:wordWrap/>
              <w:overflowPunct/>
              <w:topLinePunct w:val="0"/>
              <w:bidi w:val="0"/>
              <w:snapToGrid/>
              <w:spacing w:line="440" w:lineRule="exact"/>
              <w:ind w:right="0"/>
              <w:jc w:val="left"/>
              <w:rPr>
                <w:rFonts w:hint="eastAsia" w:ascii="宋体" w:hAnsi="宋体" w:cs="宋体"/>
                <w:kern w:val="0"/>
                <w:sz w:val="24"/>
                <w:highlight w:val="none"/>
              </w:rPr>
            </w:pPr>
            <w:r>
              <w:rPr>
                <w:rFonts w:hint="eastAsia" w:ascii="宋体" w:hAnsi="宋体" w:cs="宋体"/>
                <w:kern w:val="0"/>
                <w:sz w:val="24"/>
                <w:highlight w:val="none"/>
              </w:rPr>
              <w:t>5.1与采购人、采购代理机构存在隶属关系或者其他利害关系。</w:t>
            </w:r>
          </w:p>
          <w:p w14:paraId="738F8313">
            <w:pPr>
              <w:keepLines w:val="0"/>
              <w:pageBreakBefore w:val="0"/>
              <w:widowControl/>
              <w:kinsoku/>
              <w:wordWrap/>
              <w:overflowPunct/>
              <w:topLinePunct w:val="0"/>
              <w:bidi w:val="0"/>
              <w:snapToGrid/>
              <w:spacing w:line="440" w:lineRule="exact"/>
              <w:ind w:right="0"/>
              <w:jc w:val="left"/>
              <w:rPr>
                <w:rFonts w:hint="eastAsia" w:ascii="宋体" w:hAnsi="宋体" w:eastAsia="宋体" w:cs="宋体"/>
                <w:color w:val="auto"/>
                <w:sz w:val="24"/>
                <w:szCs w:val="24"/>
                <w:highlight w:val="none"/>
              </w:rPr>
            </w:pPr>
            <w:r>
              <w:rPr>
                <w:rFonts w:hint="eastAsia" w:ascii="宋体" w:hAnsi="宋体" w:cs="宋体"/>
                <w:kern w:val="0"/>
                <w:sz w:val="24"/>
                <w:highlight w:val="none"/>
              </w:rPr>
              <w:t>5.2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14:paraId="0EF96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5" w:type="dxa"/>
            <w:noWrap w:val="0"/>
            <w:vAlign w:val="center"/>
          </w:tcPr>
          <w:p w14:paraId="502C8117">
            <w:pPr>
              <w:keepLines w:val="0"/>
              <w:pageBreakBefore w:val="0"/>
              <w:kinsoku/>
              <w:wordWrap/>
              <w:overflowPunct/>
              <w:topLinePunct w:val="0"/>
              <w:bidi w:val="0"/>
              <w:snapToGrid/>
              <w:spacing w:line="440" w:lineRule="exact"/>
              <w:ind w:right="0"/>
              <w:jc w:val="center"/>
              <w:rPr>
                <w:rFonts w:hint="eastAsia" w:ascii="宋体" w:hAnsi="宋体" w:eastAsia="宋体" w:cs="宋体"/>
                <w:b/>
                <w:bCs/>
                <w:color w:val="auto"/>
                <w:spacing w:val="0"/>
                <w:position w:val="0"/>
                <w:sz w:val="24"/>
                <w:szCs w:val="24"/>
                <w:highlight w:val="none"/>
                <w:u w:val="none"/>
              </w:rPr>
            </w:pPr>
            <w:r>
              <w:rPr>
                <w:rFonts w:hint="eastAsia" w:ascii="宋体" w:hAnsi="宋体" w:eastAsia="宋体" w:cs="宋体"/>
                <w:b/>
                <w:bCs/>
                <w:color w:val="auto"/>
                <w:spacing w:val="0"/>
                <w:position w:val="0"/>
                <w:sz w:val="24"/>
                <w:szCs w:val="24"/>
                <w:highlight w:val="none"/>
                <w:u w:val="none"/>
              </w:rPr>
              <w:t>2.1.1</w:t>
            </w:r>
          </w:p>
        </w:tc>
        <w:tc>
          <w:tcPr>
            <w:tcW w:w="2073" w:type="dxa"/>
            <w:noWrap w:val="0"/>
            <w:vAlign w:val="center"/>
          </w:tcPr>
          <w:p w14:paraId="776B14A1">
            <w:pPr>
              <w:keepLines w:val="0"/>
              <w:pageBreakBefore w:val="0"/>
              <w:kinsoku/>
              <w:wordWrap/>
              <w:overflowPunct/>
              <w:topLinePunct w:val="0"/>
              <w:bidi w:val="0"/>
              <w:snapToGrid/>
              <w:spacing w:line="440" w:lineRule="exact"/>
              <w:ind w:right="0"/>
              <w:jc w:val="center"/>
              <w:rPr>
                <w:rFonts w:hint="eastAsia" w:ascii="宋体" w:hAnsi="宋体" w:eastAsia="宋体" w:cs="宋体"/>
                <w:b/>
                <w:bCs/>
                <w:color w:val="auto"/>
                <w:spacing w:val="0"/>
                <w:position w:val="0"/>
                <w:sz w:val="24"/>
                <w:szCs w:val="24"/>
                <w:highlight w:val="none"/>
                <w:u w:val="none"/>
              </w:rPr>
            </w:pPr>
            <w:r>
              <w:rPr>
                <w:rFonts w:hint="eastAsia" w:ascii="宋体" w:hAnsi="宋体" w:eastAsia="宋体" w:cs="宋体"/>
                <w:b/>
                <w:color w:val="auto"/>
                <w:spacing w:val="0"/>
                <w:position w:val="0"/>
                <w:sz w:val="24"/>
                <w:szCs w:val="24"/>
                <w:highlight w:val="none"/>
                <w:u w:val="none"/>
              </w:rPr>
              <w:t>是否允许联合体投标</w:t>
            </w:r>
          </w:p>
        </w:tc>
        <w:tc>
          <w:tcPr>
            <w:tcW w:w="7024" w:type="dxa"/>
            <w:noWrap w:val="0"/>
            <w:vAlign w:val="center"/>
          </w:tcPr>
          <w:p w14:paraId="5D611D6C">
            <w:pPr>
              <w:keepLines w:val="0"/>
              <w:pageBreakBefore w:val="0"/>
              <w:kinsoku/>
              <w:wordWrap/>
              <w:overflowPunct/>
              <w:topLinePunct w:val="0"/>
              <w:autoSpaceDE w:val="0"/>
              <w:autoSpaceDN w:val="0"/>
              <w:bidi w:val="0"/>
              <w:adjustRightInd w:val="0"/>
              <w:snapToGrid/>
              <w:spacing w:line="440" w:lineRule="exact"/>
              <w:ind w:right="0"/>
              <w:rPr>
                <w:rFonts w:hint="eastAsia" w:ascii="宋体" w:hAnsi="宋体" w:eastAsia="宋体" w:cs="宋体"/>
                <w:color w:val="auto"/>
                <w:spacing w:val="0"/>
                <w:kern w:val="0"/>
                <w:position w:val="0"/>
                <w:sz w:val="24"/>
                <w:szCs w:val="24"/>
                <w:highlight w:val="none"/>
                <w:u w:val="none"/>
              </w:rPr>
            </w:pPr>
            <w:r>
              <w:rPr>
                <w:rFonts w:hint="eastAsia" w:ascii="宋体" w:hAnsi="宋体" w:eastAsia="宋体" w:cs="宋体"/>
                <w:color w:val="auto"/>
                <w:spacing w:val="0"/>
                <w:kern w:val="0"/>
                <w:position w:val="0"/>
                <w:sz w:val="24"/>
                <w:szCs w:val="24"/>
                <w:highlight w:val="none"/>
                <w:u w:val="none"/>
              </w:rPr>
              <w:t>否</w:t>
            </w:r>
          </w:p>
        </w:tc>
      </w:tr>
      <w:tr w14:paraId="4EDB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5" w:type="dxa"/>
            <w:noWrap w:val="0"/>
            <w:vAlign w:val="center"/>
          </w:tcPr>
          <w:p w14:paraId="7635E7A2">
            <w:pPr>
              <w:keepLines w:val="0"/>
              <w:pageBreakBefore w:val="0"/>
              <w:kinsoku/>
              <w:wordWrap/>
              <w:overflowPunct/>
              <w:topLinePunct w:val="0"/>
              <w:bidi w:val="0"/>
              <w:snapToGrid/>
              <w:spacing w:line="440" w:lineRule="exact"/>
              <w:ind w:right="0"/>
              <w:jc w:val="center"/>
              <w:rPr>
                <w:rFonts w:hint="eastAsia" w:ascii="宋体" w:hAnsi="宋体" w:eastAsia="宋体" w:cs="宋体"/>
                <w:b/>
                <w:bCs/>
                <w:color w:val="auto"/>
                <w:spacing w:val="0"/>
                <w:position w:val="0"/>
                <w:sz w:val="24"/>
                <w:szCs w:val="24"/>
                <w:highlight w:val="none"/>
                <w:u w:val="none"/>
              </w:rPr>
            </w:pPr>
            <w:r>
              <w:rPr>
                <w:rFonts w:hint="eastAsia" w:ascii="宋体" w:hAnsi="宋体" w:eastAsia="宋体" w:cs="宋体"/>
                <w:b/>
                <w:bCs/>
                <w:color w:val="auto"/>
                <w:spacing w:val="0"/>
                <w:position w:val="0"/>
                <w:sz w:val="24"/>
                <w:szCs w:val="24"/>
                <w:highlight w:val="none"/>
                <w:u w:val="none"/>
              </w:rPr>
              <w:t>3.3.4</w:t>
            </w:r>
          </w:p>
        </w:tc>
        <w:tc>
          <w:tcPr>
            <w:tcW w:w="2073" w:type="dxa"/>
            <w:noWrap w:val="0"/>
            <w:vAlign w:val="center"/>
          </w:tcPr>
          <w:p w14:paraId="7E524E69">
            <w:pPr>
              <w:keepLines w:val="0"/>
              <w:pageBreakBefore w:val="0"/>
              <w:kinsoku/>
              <w:wordWrap/>
              <w:overflowPunct/>
              <w:topLinePunct w:val="0"/>
              <w:bidi w:val="0"/>
              <w:snapToGrid/>
              <w:spacing w:line="440" w:lineRule="exact"/>
              <w:ind w:right="0"/>
              <w:jc w:val="center"/>
              <w:rPr>
                <w:rFonts w:hint="eastAsia" w:ascii="宋体" w:hAnsi="宋体" w:eastAsia="宋体" w:cs="宋体"/>
                <w:b/>
                <w:bCs/>
                <w:color w:val="auto"/>
                <w:spacing w:val="0"/>
                <w:position w:val="0"/>
                <w:sz w:val="24"/>
                <w:szCs w:val="24"/>
                <w:highlight w:val="none"/>
                <w:u w:val="none"/>
              </w:rPr>
            </w:pPr>
            <w:r>
              <w:rPr>
                <w:rFonts w:hint="eastAsia" w:ascii="宋体" w:hAnsi="宋体" w:eastAsia="宋体" w:cs="宋体"/>
                <w:b/>
                <w:bCs/>
                <w:color w:val="auto"/>
                <w:spacing w:val="0"/>
                <w:position w:val="0"/>
                <w:sz w:val="24"/>
                <w:szCs w:val="24"/>
                <w:highlight w:val="none"/>
                <w:u w:val="none"/>
              </w:rPr>
              <w:t>最高限价</w:t>
            </w:r>
          </w:p>
        </w:tc>
        <w:tc>
          <w:tcPr>
            <w:tcW w:w="7024" w:type="dxa"/>
            <w:noWrap w:val="0"/>
            <w:vAlign w:val="top"/>
          </w:tcPr>
          <w:p w14:paraId="704B0940">
            <w:pPr>
              <w:keepNext w:val="0"/>
              <w:keepLines w:val="0"/>
              <w:pageBreakBefore w:val="0"/>
              <w:kinsoku/>
              <w:wordWrap/>
              <w:overflowPunct/>
              <w:topLinePunct w:val="0"/>
              <w:bidi w:val="0"/>
              <w:adjustRightInd w:val="0"/>
              <w:snapToGrid w:val="0"/>
              <w:spacing w:before="0" w:beforeAutospacing="0" w:afterAutospacing="0" w:line="440" w:lineRule="exact"/>
              <w:ind w:left="0" w:right="0" w:firstLine="0" w:firstLineChars="0"/>
              <w:jc w:val="left"/>
              <w:textAlignment w:val="baseline"/>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t>一标段：</w:t>
            </w:r>
            <w:r>
              <w:rPr>
                <w:rStyle w:val="56"/>
                <w:rFonts w:hint="eastAsia" w:ascii="宋体" w:hAnsi="宋体" w:cs="宋体"/>
                <w:b w:val="0"/>
                <w:i w:val="0"/>
                <w:caps w:val="0"/>
                <w:color w:val="auto"/>
                <w:spacing w:val="0"/>
                <w:w w:val="100"/>
                <w:kern w:val="0"/>
                <w:position w:val="0"/>
                <w:sz w:val="24"/>
                <w:szCs w:val="24"/>
                <w:highlight w:val="none"/>
                <w:lang w:val="en-US" w:eastAsia="zh-CN" w:bidi="ar-SA"/>
              </w:rPr>
              <w:t>7000000.00</w:t>
            </w:r>
            <w:r>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t>元；</w:t>
            </w:r>
          </w:p>
          <w:p w14:paraId="27E7D7F9">
            <w:pPr>
              <w:keepNext w:val="0"/>
              <w:keepLines w:val="0"/>
              <w:pageBreakBefore w:val="0"/>
              <w:kinsoku/>
              <w:wordWrap/>
              <w:overflowPunct/>
              <w:topLinePunct w:val="0"/>
              <w:bidi w:val="0"/>
              <w:adjustRightInd w:val="0"/>
              <w:snapToGrid w:val="0"/>
              <w:spacing w:before="0" w:beforeAutospacing="0" w:afterAutospacing="0" w:line="440" w:lineRule="exact"/>
              <w:ind w:left="0" w:right="0" w:firstLine="0" w:firstLineChars="0"/>
              <w:jc w:val="left"/>
              <w:textAlignment w:val="baseline"/>
              <w:rPr>
                <w:rStyle w:val="56"/>
                <w:rFonts w:hint="default" w:ascii="宋体" w:hAnsi="宋体" w:eastAsia="宋体" w:cs="宋体"/>
                <w:b w:val="0"/>
                <w:i w:val="0"/>
                <w:caps w:val="0"/>
                <w:color w:val="auto"/>
                <w:spacing w:val="0"/>
                <w:w w:val="100"/>
                <w:kern w:val="0"/>
                <w:position w:val="0"/>
                <w:sz w:val="24"/>
                <w:szCs w:val="24"/>
                <w:highlight w:val="none"/>
                <w:lang w:val="en-US" w:eastAsia="zh-CN" w:bidi="ar-SA"/>
              </w:rPr>
            </w:pPr>
            <w:r>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t>二标段：</w:t>
            </w:r>
            <w:r>
              <w:rPr>
                <w:rStyle w:val="56"/>
                <w:rFonts w:hint="eastAsia" w:ascii="宋体" w:hAnsi="宋体" w:cs="宋体"/>
                <w:b w:val="0"/>
                <w:i w:val="0"/>
                <w:caps w:val="0"/>
                <w:color w:val="auto"/>
                <w:spacing w:val="0"/>
                <w:w w:val="100"/>
                <w:kern w:val="0"/>
                <w:position w:val="0"/>
                <w:sz w:val="24"/>
                <w:szCs w:val="24"/>
                <w:highlight w:val="none"/>
                <w:lang w:val="en-US" w:eastAsia="zh-CN" w:bidi="ar-SA"/>
              </w:rPr>
              <w:t>3000000.00</w:t>
            </w:r>
            <w:r>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t>元。</w:t>
            </w:r>
          </w:p>
          <w:p w14:paraId="27A74EAE">
            <w:pPr>
              <w:keepNext w:val="0"/>
              <w:keepLines w:val="0"/>
              <w:pageBreakBefore w:val="0"/>
              <w:kinsoku/>
              <w:wordWrap/>
              <w:overflowPunct/>
              <w:topLinePunct w:val="0"/>
              <w:bidi w:val="0"/>
              <w:adjustRightInd w:val="0"/>
              <w:snapToGrid w:val="0"/>
              <w:spacing w:before="0" w:beforeAutospacing="0" w:afterAutospacing="0" w:line="440" w:lineRule="exact"/>
              <w:ind w:left="0" w:right="0" w:firstLine="0" w:firstLineChars="0"/>
              <w:jc w:val="left"/>
              <w:textAlignment w:val="baseline"/>
              <w:rPr>
                <w:rFonts w:hint="eastAsia" w:ascii="宋体" w:hAnsi="宋体" w:eastAsia="宋体" w:cs="宋体"/>
                <w:color w:val="auto"/>
                <w:spacing w:val="0"/>
                <w:position w:val="0"/>
                <w:sz w:val="24"/>
                <w:szCs w:val="24"/>
                <w:highlight w:val="none"/>
                <w:u w:val="none"/>
                <w:lang w:eastAsia="zh-CN"/>
              </w:rPr>
            </w:pPr>
            <w:r>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t>供应商投标报价不得超过最高限价。</w:t>
            </w:r>
          </w:p>
        </w:tc>
      </w:tr>
      <w:tr w14:paraId="4617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5" w:type="dxa"/>
            <w:noWrap w:val="0"/>
            <w:vAlign w:val="center"/>
          </w:tcPr>
          <w:p w14:paraId="6F588D26">
            <w:pPr>
              <w:keepLines w:val="0"/>
              <w:pageBreakBefore w:val="0"/>
              <w:kinsoku/>
              <w:wordWrap/>
              <w:overflowPunct/>
              <w:topLinePunct w:val="0"/>
              <w:bidi w:val="0"/>
              <w:snapToGrid/>
              <w:spacing w:line="440" w:lineRule="exact"/>
              <w:ind w:right="0"/>
              <w:jc w:val="center"/>
              <w:rPr>
                <w:rFonts w:hint="eastAsia" w:ascii="宋体" w:hAnsi="宋体" w:eastAsia="宋体" w:cs="宋体"/>
                <w:b/>
                <w:bCs/>
                <w:color w:val="auto"/>
                <w:spacing w:val="0"/>
                <w:position w:val="0"/>
                <w:sz w:val="24"/>
                <w:szCs w:val="24"/>
                <w:highlight w:val="none"/>
                <w:u w:val="none"/>
              </w:rPr>
            </w:pPr>
            <w:r>
              <w:rPr>
                <w:rFonts w:hint="eastAsia" w:ascii="宋体" w:hAnsi="宋体" w:eastAsia="宋体" w:cs="宋体"/>
                <w:b/>
                <w:bCs/>
                <w:color w:val="auto"/>
                <w:spacing w:val="0"/>
                <w:position w:val="0"/>
                <w:sz w:val="24"/>
                <w:szCs w:val="24"/>
                <w:highlight w:val="none"/>
                <w:u w:val="none"/>
              </w:rPr>
              <w:t>3.5.1</w:t>
            </w:r>
          </w:p>
        </w:tc>
        <w:tc>
          <w:tcPr>
            <w:tcW w:w="2073" w:type="dxa"/>
            <w:noWrap w:val="0"/>
            <w:vAlign w:val="center"/>
          </w:tcPr>
          <w:p w14:paraId="67CD9C83">
            <w:pPr>
              <w:keepLines w:val="0"/>
              <w:pageBreakBefore w:val="0"/>
              <w:kinsoku/>
              <w:wordWrap/>
              <w:overflowPunct/>
              <w:topLinePunct w:val="0"/>
              <w:bidi w:val="0"/>
              <w:snapToGrid/>
              <w:spacing w:line="440" w:lineRule="exact"/>
              <w:ind w:right="0"/>
              <w:jc w:val="center"/>
              <w:rPr>
                <w:rFonts w:hint="eastAsia" w:ascii="宋体" w:hAnsi="宋体" w:eastAsia="宋体" w:cs="宋体"/>
                <w:b/>
                <w:bCs/>
                <w:color w:val="auto"/>
                <w:spacing w:val="0"/>
                <w:position w:val="0"/>
                <w:sz w:val="24"/>
                <w:szCs w:val="24"/>
                <w:highlight w:val="none"/>
                <w:u w:val="none"/>
              </w:rPr>
            </w:pPr>
            <w:r>
              <w:rPr>
                <w:rFonts w:hint="eastAsia" w:ascii="宋体" w:hAnsi="宋体" w:eastAsia="宋体" w:cs="宋体"/>
                <w:b/>
                <w:bCs/>
                <w:color w:val="auto"/>
                <w:spacing w:val="0"/>
                <w:position w:val="0"/>
                <w:sz w:val="24"/>
                <w:szCs w:val="24"/>
                <w:highlight w:val="none"/>
                <w:u w:val="none"/>
              </w:rPr>
              <w:t>磋商保证金</w:t>
            </w:r>
          </w:p>
        </w:tc>
        <w:tc>
          <w:tcPr>
            <w:tcW w:w="7024" w:type="dxa"/>
            <w:noWrap w:val="0"/>
            <w:vAlign w:val="center"/>
          </w:tcPr>
          <w:p w14:paraId="53B5453B">
            <w:pPr>
              <w:keepLines w:val="0"/>
              <w:pageBreakBefore w:val="0"/>
              <w:kinsoku/>
              <w:wordWrap/>
              <w:overflowPunct/>
              <w:topLinePunct w:val="0"/>
              <w:bidi w:val="0"/>
              <w:snapToGrid/>
              <w:spacing w:line="440" w:lineRule="exact"/>
              <w:ind w:right="0"/>
              <w:rPr>
                <w:rFonts w:hint="default" w:ascii="宋体" w:hAnsi="宋体" w:eastAsia="宋体" w:cs="宋体"/>
                <w:bCs/>
                <w:color w:val="auto"/>
                <w:spacing w:val="0"/>
                <w:kern w:val="0"/>
                <w:position w:val="0"/>
                <w:sz w:val="24"/>
                <w:szCs w:val="24"/>
                <w:highlight w:val="none"/>
                <w:u w:val="none"/>
                <w:lang w:val="en-US" w:eastAsia="zh-CN"/>
              </w:rPr>
            </w:pPr>
            <w:r>
              <w:rPr>
                <w:rFonts w:hint="eastAsia" w:ascii="宋体" w:hAnsi="宋体" w:eastAsia="宋体" w:cs="宋体"/>
                <w:bCs/>
                <w:color w:val="auto"/>
                <w:spacing w:val="0"/>
                <w:kern w:val="0"/>
                <w:position w:val="0"/>
                <w:sz w:val="24"/>
                <w:szCs w:val="24"/>
                <w:highlight w:val="none"/>
                <w:u w:val="none"/>
              </w:rPr>
              <w:t>保证金额为</w:t>
            </w:r>
            <w:r>
              <w:rPr>
                <w:rFonts w:hint="eastAsia" w:ascii="宋体" w:hAnsi="宋体" w:eastAsia="宋体" w:cs="宋体"/>
                <w:color w:val="auto"/>
                <w:spacing w:val="0"/>
                <w:position w:val="0"/>
                <w:sz w:val="24"/>
                <w:szCs w:val="24"/>
                <w:highlight w:val="none"/>
                <w:u w:val="none"/>
                <w:lang w:val="en-US" w:eastAsia="zh-CN"/>
              </w:rPr>
              <w:t>：</w:t>
            </w:r>
            <w:r>
              <w:rPr>
                <w:rFonts w:hint="eastAsia" w:ascii="宋体" w:hAnsi="宋体" w:cs="宋体"/>
                <w:color w:val="auto"/>
                <w:spacing w:val="0"/>
                <w:position w:val="0"/>
                <w:sz w:val="24"/>
                <w:szCs w:val="24"/>
                <w:highlight w:val="none"/>
                <w:u w:val="none"/>
                <w:lang w:val="en-US" w:eastAsia="zh-CN"/>
              </w:rPr>
              <w:t>一标段65000.00元；二标段30000.00元.</w:t>
            </w:r>
          </w:p>
          <w:p w14:paraId="41CC3A32">
            <w:pPr>
              <w:keepNext w:val="0"/>
              <w:keepLines w:val="0"/>
              <w:pageBreakBefore w:val="0"/>
              <w:kinsoku/>
              <w:wordWrap/>
              <w:overflowPunct/>
              <w:topLinePunct w:val="0"/>
              <w:bidi w:val="0"/>
              <w:adjustRightInd w:val="0"/>
              <w:snapToGrid w:val="0"/>
              <w:spacing w:before="0" w:beforeAutospacing="0" w:afterAutospacing="0" w:line="440" w:lineRule="exact"/>
              <w:ind w:left="0" w:right="0" w:firstLine="0" w:firstLineChars="0"/>
              <w:jc w:val="left"/>
              <w:textAlignment w:val="baseline"/>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t>磋商保证金缴纳方式：银行汇票、银行电汇、转账、本票或者金融机构、担保机构出具的保函等非现金形式提交。</w:t>
            </w:r>
          </w:p>
          <w:p w14:paraId="0B00F3BE">
            <w:pPr>
              <w:keepNext w:val="0"/>
              <w:keepLines w:val="0"/>
              <w:pageBreakBefore w:val="0"/>
              <w:kinsoku/>
              <w:wordWrap/>
              <w:overflowPunct/>
              <w:topLinePunct w:val="0"/>
              <w:bidi w:val="0"/>
              <w:adjustRightInd w:val="0"/>
              <w:snapToGrid w:val="0"/>
              <w:spacing w:before="0" w:beforeAutospacing="0" w:afterAutospacing="0" w:line="440" w:lineRule="exact"/>
              <w:ind w:left="0" w:right="0" w:firstLine="0" w:firstLineChars="0"/>
              <w:jc w:val="left"/>
              <w:textAlignment w:val="baseline"/>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t>1、若采用银行汇票、银行电汇、转账、本票时，磋商保证金于</w:t>
            </w:r>
            <w:r>
              <w:rPr>
                <w:rFonts w:hint="eastAsia" w:ascii="宋体" w:hAnsi="宋体" w:eastAsia="宋体" w:cs="宋体"/>
                <w:color w:val="auto"/>
                <w:spacing w:val="0"/>
                <w:position w:val="0"/>
                <w:sz w:val="24"/>
                <w:szCs w:val="24"/>
                <w:highlight w:val="none"/>
              </w:rPr>
              <w:t>202</w:t>
            </w:r>
            <w:r>
              <w:rPr>
                <w:rFonts w:hint="eastAsia" w:ascii="宋体" w:hAnsi="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rPr>
              <w:t>年</w:t>
            </w:r>
            <w:r>
              <w:rPr>
                <w:rFonts w:hint="eastAsia" w:ascii="宋体" w:hAnsi="宋体" w:cs="宋体"/>
                <w:color w:val="auto"/>
                <w:spacing w:val="0"/>
                <w:position w:val="0"/>
                <w:sz w:val="24"/>
                <w:szCs w:val="24"/>
                <w:highlight w:val="none"/>
                <w:lang w:val="en-US" w:eastAsia="zh-CN"/>
              </w:rPr>
              <w:t>06</w:t>
            </w:r>
            <w:r>
              <w:rPr>
                <w:rFonts w:hint="eastAsia" w:ascii="宋体" w:hAnsi="宋体" w:eastAsia="宋体" w:cs="宋体"/>
                <w:color w:val="auto"/>
                <w:spacing w:val="0"/>
                <w:position w:val="0"/>
                <w:sz w:val="24"/>
                <w:szCs w:val="24"/>
                <w:highlight w:val="none"/>
              </w:rPr>
              <w:t>月</w:t>
            </w:r>
            <w:r>
              <w:rPr>
                <w:rFonts w:hint="eastAsia" w:ascii="宋体" w:hAnsi="宋体" w:cs="宋体"/>
                <w:color w:val="auto"/>
                <w:spacing w:val="0"/>
                <w:position w:val="0"/>
                <w:sz w:val="24"/>
                <w:szCs w:val="24"/>
                <w:highlight w:val="none"/>
                <w:lang w:val="en-US" w:eastAsia="zh-CN"/>
              </w:rPr>
              <w:t>18</w:t>
            </w:r>
            <w:r>
              <w:rPr>
                <w:rFonts w:hint="eastAsia" w:ascii="宋体" w:hAnsi="宋体" w:eastAsia="宋体" w:cs="宋体"/>
                <w:color w:val="auto"/>
                <w:spacing w:val="0"/>
                <w:position w:val="0"/>
                <w:sz w:val="24"/>
                <w:szCs w:val="24"/>
                <w:highlight w:val="none"/>
              </w:rPr>
              <w:t>日</w:t>
            </w:r>
            <w:r>
              <w:rPr>
                <w:rFonts w:hint="eastAsia" w:ascii="宋体" w:hAnsi="宋体" w:cs="宋体"/>
                <w:color w:val="auto"/>
                <w:spacing w:val="0"/>
                <w:position w:val="0"/>
                <w:sz w:val="24"/>
                <w:szCs w:val="24"/>
                <w:highlight w:val="none"/>
                <w:lang w:val="en-US" w:eastAsia="zh-CN"/>
              </w:rPr>
              <w:t>11</w:t>
            </w:r>
            <w:r>
              <w:rPr>
                <w:rFonts w:hint="eastAsia" w:ascii="宋体" w:hAnsi="宋体" w:eastAsia="宋体" w:cs="宋体"/>
                <w:color w:val="auto"/>
                <w:spacing w:val="0"/>
                <w:position w:val="0"/>
                <w:sz w:val="24"/>
                <w:szCs w:val="24"/>
                <w:highlight w:val="none"/>
              </w:rPr>
              <w:t>:</w:t>
            </w:r>
            <w:r>
              <w:rPr>
                <w:rFonts w:hint="eastAsia" w:ascii="宋体" w:hAnsi="宋体" w:cs="宋体"/>
                <w:color w:val="auto"/>
                <w:spacing w:val="0"/>
                <w:position w:val="0"/>
                <w:sz w:val="24"/>
                <w:szCs w:val="24"/>
                <w:highlight w:val="none"/>
                <w:lang w:val="en-US" w:eastAsia="zh-CN"/>
              </w:rPr>
              <w:t>00</w:t>
            </w:r>
            <w:r>
              <w:rPr>
                <w:rStyle w:val="56"/>
                <w:rFonts w:hint="eastAsia" w:ascii="宋体" w:hAnsi="宋体" w:eastAsia="宋体" w:cs="宋体"/>
                <w:b w:val="0"/>
                <w:i w:val="0"/>
                <w:iCs w:val="0"/>
                <w:caps w:val="0"/>
                <w:color w:val="auto"/>
                <w:spacing w:val="0"/>
                <w:w w:val="100"/>
                <w:kern w:val="2"/>
                <w:position w:val="0"/>
                <w:sz w:val="24"/>
                <w:szCs w:val="24"/>
                <w:highlight w:val="none"/>
                <w:lang w:val="en-US" w:eastAsia="zh-CN" w:bidi="ar-SA"/>
              </w:rPr>
              <w:t>（北京时间）</w:t>
            </w:r>
            <w:r>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t>（以到账时间为准）之前从供应商账户汇至</w:t>
            </w:r>
            <w:r>
              <w:rPr>
                <w:rStyle w:val="56"/>
                <w:rFonts w:hint="eastAsia" w:ascii="宋体" w:hAnsi="宋体" w:cs="宋体"/>
                <w:b w:val="0"/>
                <w:i w:val="0"/>
                <w:caps w:val="0"/>
                <w:color w:val="auto"/>
                <w:spacing w:val="0"/>
                <w:w w:val="100"/>
                <w:kern w:val="0"/>
                <w:position w:val="0"/>
                <w:sz w:val="24"/>
                <w:szCs w:val="24"/>
                <w:highlight w:val="none"/>
                <w:lang w:val="en-US" w:eastAsia="zh-CN" w:bidi="ar-SA"/>
              </w:rPr>
              <w:t>新疆悦隆项目管理有限公司</w:t>
            </w:r>
            <w:r>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t>账户，否则其投标文件将被拒绝评审，供应商提交磋商保证金应充分考虑资金在途时间。</w:t>
            </w:r>
          </w:p>
          <w:p w14:paraId="24ABE9CF">
            <w:pPr>
              <w:keepNext w:val="0"/>
              <w:keepLines w:val="0"/>
              <w:pageBreakBefore w:val="0"/>
              <w:kinsoku/>
              <w:wordWrap/>
              <w:overflowPunct/>
              <w:topLinePunct w:val="0"/>
              <w:bidi w:val="0"/>
              <w:adjustRightInd w:val="0"/>
              <w:snapToGrid w:val="0"/>
              <w:spacing w:before="0" w:beforeAutospacing="0" w:afterAutospacing="0" w:line="440" w:lineRule="exact"/>
              <w:ind w:left="0" w:right="0" w:firstLine="0" w:firstLineChars="0"/>
              <w:jc w:val="left"/>
              <w:textAlignment w:val="baseline"/>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t>注：供应商向银行办理磋商保证金汇（转）款时，应在用途栏（备注栏）准确注明"本项目招标编号（例如：</w:t>
            </w:r>
            <w:r>
              <w:rPr>
                <w:rStyle w:val="56"/>
                <w:rFonts w:hint="eastAsia" w:ascii="宋体" w:hAnsi="宋体" w:cs="宋体"/>
                <w:b w:val="0"/>
                <w:i w:val="0"/>
                <w:caps w:val="0"/>
                <w:color w:val="auto"/>
                <w:spacing w:val="0"/>
                <w:w w:val="100"/>
                <w:kern w:val="0"/>
                <w:position w:val="0"/>
                <w:sz w:val="24"/>
                <w:szCs w:val="24"/>
                <w:highlight w:val="none"/>
                <w:lang w:val="en-US" w:eastAsia="zh-CN" w:bidi="ar-SA"/>
              </w:rPr>
              <w:t>XJYL-2025-012</w:t>
            </w:r>
            <w:r>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t>招标编号磋商保证金）"字样（每个标段应分别汇款），由于未按要求准确注明信息而导致的一切后果由供应商承担。</w:t>
            </w:r>
          </w:p>
          <w:p w14:paraId="1221BB7D">
            <w:pPr>
              <w:keepNext w:val="0"/>
              <w:keepLines w:val="0"/>
              <w:pageBreakBefore w:val="0"/>
              <w:kinsoku/>
              <w:wordWrap/>
              <w:overflowPunct/>
              <w:topLinePunct w:val="0"/>
              <w:bidi w:val="0"/>
              <w:adjustRightInd w:val="0"/>
              <w:snapToGrid w:val="0"/>
              <w:spacing w:before="0" w:beforeAutospacing="0" w:afterAutospacing="0" w:line="440" w:lineRule="exact"/>
              <w:ind w:left="0" w:right="0" w:firstLine="0" w:firstLineChars="0"/>
              <w:jc w:val="left"/>
              <w:textAlignment w:val="baseline"/>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t>户名：</w:t>
            </w:r>
            <w:r>
              <w:rPr>
                <w:rStyle w:val="56"/>
                <w:rFonts w:hint="eastAsia" w:ascii="宋体" w:hAnsi="宋体" w:cs="宋体"/>
                <w:b w:val="0"/>
                <w:i w:val="0"/>
                <w:caps w:val="0"/>
                <w:color w:val="auto"/>
                <w:spacing w:val="0"/>
                <w:w w:val="100"/>
                <w:kern w:val="0"/>
                <w:position w:val="0"/>
                <w:sz w:val="24"/>
                <w:szCs w:val="24"/>
                <w:highlight w:val="none"/>
                <w:lang w:val="en-US" w:eastAsia="zh-CN" w:bidi="ar-SA"/>
              </w:rPr>
              <w:t>新疆悦隆项目管理有限公司</w:t>
            </w:r>
          </w:p>
          <w:p w14:paraId="2392CB80">
            <w:pPr>
              <w:keepNext w:val="0"/>
              <w:keepLines w:val="0"/>
              <w:pageBreakBefore w:val="0"/>
              <w:kinsoku/>
              <w:wordWrap/>
              <w:overflowPunct/>
              <w:topLinePunct w:val="0"/>
              <w:bidi w:val="0"/>
              <w:adjustRightInd w:val="0"/>
              <w:snapToGrid w:val="0"/>
              <w:spacing w:before="0" w:beforeAutospacing="0" w:afterAutospacing="0" w:line="440" w:lineRule="exact"/>
              <w:ind w:left="0" w:right="0" w:firstLine="0" w:firstLineChars="0"/>
              <w:jc w:val="left"/>
              <w:textAlignment w:val="baseline"/>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t>开户行名称：中信银行股份有限公司乌鲁木齐南湖北路支行</w:t>
            </w:r>
          </w:p>
          <w:p w14:paraId="1F973E07">
            <w:pPr>
              <w:keepNext w:val="0"/>
              <w:keepLines w:val="0"/>
              <w:pageBreakBefore w:val="0"/>
              <w:kinsoku/>
              <w:wordWrap/>
              <w:overflowPunct/>
              <w:topLinePunct w:val="0"/>
              <w:bidi w:val="0"/>
              <w:adjustRightInd w:val="0"/>
              <w:snapToGrid w:val="0"/>
              <w:spacing w:before="0" w:beforeAutospacing="0" w:afterAutospacing="0" w:line="440" w:lineRule="exact"/>
              <w:ind w:left="0" w:right="0" w:firstLine="0" w:firstLineChars="0"/>
              <w:jc w:val="left"/>
              <w:textAlignment w:val="baseline"/>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t>账号：8113701012700209297</w:t>
            </w:r>
          </w:p>
          <w:p w14:paraId="14E4EABE">
            <w:pPr>
              <w:keepNext w:val="0"/>
              <w:keepLines w:val="0"/>
              <w:pageBreakBefore w:val="0"/>
              <w:kinsoku/>
              <w:wordWrap/>
              <w:overflowPunct/>
              <w:topLinePunct w:val="0"/>
              <w:bidi w:val="0"/>
              <w:adjustRightInd w:val="0"/>
              <w:snapToGrid w:val="0"/>
              <w:spacing w:before="0" w:beforeAutospacing="0" w:afterAutospacing="0" w:line="440" w:lineRule="exact"/>
              <w:ind w:left="0" w:right="0" w:firstLine="0" w:firstLineChars="0"/>
              <w:jc w:val="left"/>
              <w:textAlignment w:val="baseline"/>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t>开户行号：</w:t>
            </w:r>
            <w:r>
              <w:rPr>
                <w:rFonts w:hint="eastAsia" w:ascii="宋体" w:eastAsia="宋体" w:cs="宋体"/>
                <w:color w:val="auto"/>
                <w:sz w:val="24"/>
                <w:highlight w:val="none"/>
                <w:lang w:eastAsia="zh-CN"/>
              </w:rPr>
              <w:t>302881000088</w:t>
            </w:r>
          </w:p>
          <w:p w14:paraId="59CD421E">
            <w:pPr>
              <w:keepNext w:val="0"/>
              <w:keepLines w:val="0"/>
              <w:pageBreakBefore w:val="0"/>
              <w:numPr>
                <w:ilvl w:val="0"/>
                <w:numId w:val="3"/>
              </w:numPr>
              <w:kinsoku/>
              <w:wordWrap/>
              <w:overflowPunct/>
              <w:topLinePunct w:val="0"/>
              <w:bidi w:val="0"/>
              <w:adjustRightInd w:val="0"/>
              <w:snapToGrid w:val="0"/>
              <w:spacing w:before="0" w:beforeAutospacing="0" w:afterAutospacing="0" w:line="440" w:lineRule="exact"/>
              <w:ind w:left="0" w:right="0" w:firstLine="0" w:firstLineChars="0"/>
              <w:jc w:val="left"/>
              <w:textAlignment w:val="baseline"/>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t>若采用金融机构、担保机构出具的保函形式递交时，须出具对本项目（项目名称）的保函，提供原件的扫描件于投标文件中，否则视为无效。保函有效期不少于投标有效期。</w:t>
            </w:r>
          </w:p>
          <w:p w14:paraId="4ADB0F2B">
            <w:pPr>
              <w:keepNext w:val="0"/>
              <w:keepLines w:val="0"/>
              <w:pageBreakBefore w:val="0"/>
              <w:kinsoku/>
              <w:wordWrap/>
              <w:overflowPunct/>
              <w:topLinePunct w:val="0"/>
              <w:bidi w:val="0"/>
              <w:adjustRightInd w:val="0"/>
              <w:snapToGrid w:val="0"/>
              <w:spacing w:before="0" w:beforeAutospacing="0" w:afterAutospacing="0" w:line="440" w:lineRule="exact"/>
              <w:ind w:left="0" w:right="0" w:firstLine="0" w:firstLineChars="0"/>
              <w:jc w:val="left"/>
              <w:textAlignment w:val="baseline"/>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t>3、如采用电子保函方式缴纳可按照新疆政府采购网-电子保函模块。采用电子保函形式应按以下要求办理：</w:t>
            </w:r>
          </w:p>
          <w:p w14:paraId="73E3F114">
            <w:pPr>
              <w:keepNext w:val="0"/>
              <w:keepLines w:val="0"/>
              <w:pageBreakBefore w:val="0"/>
              <w:kinsoku/>
              <w:wordWrap/>
              <w:overflowPunct/>
              <w:topLinePunct w:val="0"/>
              <w:bidi w:val="0"/>
              <w:adjustRightInd w:val="0"/>
              <w:snapToGrid w:val="0"/>
              <w:spacing w:before="0" w:beforeAutospacing="0" w:afterAutospacing="0" w:line="440" w:lineRule="exact"/>
              <w:ind w:left="0" w:right="0" w:firstLine="0" w:firstLineChars="0"/>
              <w:jc w:val="left"/>
              <w:textAlignment w:val="baseline"/>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t>（1）电子保函按照“一分包一保函”的原则。</w:t>
            </w:r>
          </w:p>
          <w:p w14:paraId="1348B7FE">
            <w:pPr>
              <w:keepNext w:val="0"/>
              <w:keepLines w:val="0"/>
              <w:pageBreakBefore w:val="0"/>
              <w:kinsoku/>
              <w:wordWrap/>
              <w:overflowPunct/>
              <w:topLinePunct w:val="0"/>
              <w:bidi w:val="0"/>
              <w:adjustRightInd w:val="0"/>
              <w:snapToGrid w:val="0"/>
              <w:spacing w:before="0" w:beforeAutospacing="0" w:afterAutospacing="0" w:line="440" w:lineRule="exact"/>
              <w:ind w:left="0" w:right="0" w:firstLine="0" w:firstLineChars="0"/>
              <w:jc w:val="left"/>
              <w:textAlignment w:val="baseline"/>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t>（2）电子保函须在招标文件规定的投标截止时间前办理完成。</w:t>
            </w:r>
          </w:p>
          <w:p w14:paraId="678A85DC">
            <w:pPr>
              <w:keepLines w:val="0"/>
              <w:pageBreakBefore w:val="0"/>
              <w:kinsoku/>
              <w:wordWrap/>
              <w:overflowPunct/>
              <w:topLinePunct w:val="0"/>
              <w:bidi w:val="0"/>
              <w:snapToGrid/>
              <w:spacing w:line="440" w:lineRule="exact"/>
              <w:ind w:right="0"/>
              <w:rPr>
                <w:rFonts w:hint="eastAsia" w:ascii="宋体" w:hAnsi="宋体" w:eastAsia="宋体" w:cs="宋体"/>
                <w:bCs/>
                <w:color w:val="auto"/>
                <w:spacing w:val="0"/>
                <w:kern w:val="0"/>
                <w:position w:val="0"/>
                <w:sz w:val="24"/>
                <w:szCs w:val="24"/>
                <w:highlight w:val="none"/>
                <w:u w:val="none"/>
              </w:rPr>
            </w:pPr>
            <w:r>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t>★备注：（1）磋商保证金保证金缴纳截止时间同开标时间一致。（2）供应商未按照采购文件上述要求提交磋商保证金的，投标将被否决。</w:t>
            </w:r>
          </w:p>
        </w:tc>
      </w:tr>
      <w:tr w14:paraId="0243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5" w:type="dxa"/>
            <w:noWrap w:val="0"/>
            <w:vAlign w:val="center"/>
          </w:tcPr>
          <w:p w14:paraId="39D8F248">
            <w:pPr>
              <w:keepLines w:val="0"/>
              <w:pageBreakBefore w:val="0"/>
              <w:kinsoku/>
              <w:wordWrap/>
              <w:overflowPunct/>
              <w:topLinePunct w:val="0"/>
              <w:bidi w:val="0"/>
              <w:snapToGrid/>
              <w:spacing w:line="440" w:lineRule="exact"/>
              <w:ind w:right="0"/>
              <w:jc w:val="center"/>
              <w:rPr>
                <w:rFonts w:hint="eastAsia" w:ascii="宋体" w:hAnsi="宋体" w:eastAsia="宋体" w:cs="宋体"/>
                <w:b/>
                <w:bCs/>
                <w:color w:val="auto"/>
                <w:spacing w:val="0"/>
                <w:position w:val="0"/>
                <w:sz w:val="24"/>
                <w:szCs w:val="24"/>
                <w:highlight w:val="none"/>
                <w:u w:val="none"/>
              </w:rPr>
            </w:pPr>
            <w:r>
              <w:rPr>
                <w:rFonts w:hint="eastAsia" w:ascii="宋体" w:hAnsi="宋体" w:eastAsia="宋体" w:cs="宋体"/>
                <w:b/>
                <w:bCs/>
                <w:color w:val="auto"/>
                <w:spacing w:val="0"/>
                <w:position w:val="0"/>
                <w:sz w:val="24"/>
                <w:szCs w:val="24"/>
                <w:highlight w:val="none"/>
                <w:u w:val="none"/>
              </w:rPr>
              <w:t>3.6.1</w:t>
            </w:r>
          </w:p>
        </w:tc>
        <w:tc>
          <w:tcPr>
            <w:tcW w:w="2073" w:type="dxa"/>
            <w:noWrap w:val="0"/>
            <w:vAlign w:val="center"/>
          </w:tcPr>
          <w:p w14:paraId="7C5DD0C4">
            <w:pPr>
              <w:keepLines w:val="0"/>
              <w:pageBreakBefore w:val="0"/>
              <w:kinsoku/>
              <w:wordWrap/>
              <w:overflowPunct/>
              <w:topLinePunct w:val="0"/>
              <w:bidi w:val="0"/>
              <w:snapToGrid/>
              <w:spacing w:line="440" w:lineRule="exact"/>
              <w:ind w:right="0"/>
              <w:jc w:val="center"/>
              <w:rPr>
                <w:rFonts w:hint="eastAsia" w:ascii="宋体" w:hAnsi="宋体" w:eastAsia="宋体" w:cs="宋体"/>
                <w:b/>
                <w:bCs/>
                <w:color w:val="auto"/>
                <w:spacing w:val="0"/>
                <w:position w:val="0"/>
                <w:sz w:val="24"/>
                <w:szCs w:val="24"/>
                <w:highlight w:val="none"/>
                <w:u w:val="none"/>
              </w:rPr>
            </w:pPr>
            <w:r>
              <w:rPr>
                <w:rFonts w:hint="eastAsia" w:ascii="宋体" w:hAnsi="宋体" w:eastAsia="宋体" w:cs="宋体"/>
                <w:b/>
                <w:bCs/>
                <w:color w:val="auto"/>
                <w:spacing w:val="0"/>
                <w:position w:val="0"/>
                <w:sz w:val="24"/>
                <w:szCs w:val="24"/>
                <w:highlight w:val="none"/>
                <w:u w:val="none"/>
              </w:rPr>
              <w:t>响应文件有效期</w:t>
            </w:r>
          </w:p>
        </w:tc>
        <w:tc>
          <w:tcPr>
            <w:tcW w:w="7024" w:type="dxa"/>
            <w:noWrap w:val="0"/>
            <w:vAlign w:val="top"/>
          </w:tcPr>
          <w:p w14:paraId="37B11316">
            <w:pPr>
              <w:keepLines w:val="0"/>
              <w:pageBreakBefore w:val="0"/>
              <w:kinsoku/>
              <w:wordWrap/>
              <w:overflowPunct/>
              <w:topLinePunct w:val="0"/>
              <w:bidi w:val="0"/>
              <w:snapToGrid/>
              <w:spacing w:line="440" w:lineRule="exact"/>
              <w:ind w:right="0"/>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自首次递交响应文件截止时间起计算</w:t>
            </w:r>
            <w:r>
              <w:rPr>
                <w:rFonts w:hint="eastAsia" w:ascii="宋体" w:hAnsi="宋体" w:eastAsia="宋体" w:cs="宋体"/>
                <w:color w:val="auto"/>
                <w:spacing w:val="0"/>
                <w:position w:val="0"/>
                <w:sz w:val="24"/>
                <w:szCs w:val="24"/>
                <w:highlight w:val="none"/>
                <w:u w:val="none"/>
                <w:lang w:val="en-US" w:eastAsia="zh-CN"/>
              </w:rPr>
              <w:t>90</w:t>
            </w:r>
            <w:r>
              <w:rPr>
                <w:rFonts w:hint="eastAsia" w:ascii="宋体" w:hAnsi="宋体" w:eastAsia="宋体" w:cs="宋体"/>
                <w:color w:val="auto"/>
                <w:spacing w:val="0"/>
                <w:position w:val="0"/>
                <w:sz w:val="24"/>
                <w:szCs w:val="24"/>
                <w:highlight w:val="none"/>
                <w:u w:val="none"/>
              </w:rPr>
              <w:t>个日历日。</w:t>
            </w:r>
          </w:p>
        </w:tc>
      </w:tr>
      <w:tr w14:paraId="252F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5" w:type="dxa"/>
            <w:noWrap w:val="0"/>
            <w:vAlign w:val="center"/>
          </w:tcPr>
          <w:p w14:paraId="384C9DEA">
            <w:pPr>
              <w:keepLines w:val="0"/>
              <w:pageBreakBefore w:val="0"/>
              <w:kinsoku/>
              <w:wordWrap/>
              <w:overflowPunct/>
              <w:topLinePunct w:val="0"/>
              <w:bidi w:val="0"/>
              <w:snapToGrid/>
              <w:spacing w:line="440" w:lineRule="exact"/>
              <w:ind w:right="0"/>
              <w:jc w:val="center"/>
              <w:rPr>
                <w:rFonts w:hint="eastAsia" w:ascii="宋体" w:hAnsi="宋体" w:eastAsia="宋体" w:cs="宋体"/>
                <w:b/>
                <w:bCs/>
                <w:color w:val="auto"/>
                <w:spacing w:val="0"/>
                <w:position w:val="0"/>
                <w:sz w:val="24"/>
                <w:szCs w:val="24"/>
                <w:highlight w:val="none"/>
                <w:u w:val="none"/>
              </w:rPr>
            </w:pPr>
            <w:r>
              <w:rPr>
                <w:rFonts w:hint="eastAsia" w:ascii="宋体" w:hAnsi="宋体" w:eastAsia="宋体" w:cs="宋体"/>
                <w:b/>
                <w:bCs/>
                <w:color w:val="auto"/>
                <w:spacing w:val="0"/>
                <w:position w:val="0"/>
                <w:sz w:val="24"/>
                <w:szCs w:val="24"/>
                <w:highlight w:val="none"/>
                <w:u w:val="none"/>
              </w:rPr>
              <w:t>3.7.1</w:t>
            </w:r>
          </w:p>
        </w:tc>
        <w:tc>
          <w:tcPr>
            <w:tcW w:w="2073" w:type="dxa"/>
            <w:noWrap w:val="0"/>
            <w:vAlign w:val="center"/>
          </w:tcPr>
          <w:p w14:paraId="63D32CEA">
            <w:pPr>
              <w:keepLines w:val="0"/>
              <w:pageBreakBefore w:val="0"/>
              <w:kinsoku/>
              <w:wordWrap/>
              <w:overflowPunct/>
              <w:topLinePunct w:val="0"/>
              <w:bidi w:val="0"/>
              <w:snapToGrid/>
              <w:spacing w:line="440" w:lineRule="exact"/>
              <w:ind w:right="0"/>
              <w:jc w:val="center"/>
              <w:rPr>
                <w:rFonts w:hint="eastAsia" w:ascii="宋体" w:hAnsi="宋体" w:eastAsia="宋体" w:cs="宋体"/>
                <w:b/>
                <w:bCs/>
                <w:color w:val="auto"/>
                <w:spacing w:val="0"/>
                <w:position w:val="0"/>
                <w:sz w:val="24"/>
                <w:szCs w:val="24"/>
                <w:highlight w:val="none"/>
                <w:u w:val="none"/>
              </w:rPr>
            </w:pPr>
            <w:r>
              <w:rPr>
                <w:rFonts w:hint="eastAsia" w:ascii="宋体" w:hAnsi="宋体" w:eastAsia="宋体" w:cs="宋体"/>
                <w:b/>
                <w:bCs/>
                <w:color w:val="auto"/>
                <w:spacing w:val="0"/>
                <w:position w:val="0"/>
                <w:sz w:val="24"/>
                <w:szCs w:val="24"/>
                <w:highlight w:val="none"/>
                <w:u w:val="none"/>
              </w:rPr>
              <w:t>响应文件</w:t>
            </w:r>
          </w:p>
        </w:tc>
        <w:tc>
          <w:tcPr>
            <w:tcW w:w="7024" w:type="dxa"/>
            <w:noWrap w:val="0"/>
            <w:vAlign w:val="top"/>
          </w:tcPr>
          <w:p w14:paraId="4CDF6EBC">
            <w:pPr>
              <w:keepLines w:val="0"/>
              <w:pageBreakBefore w:val="0"/>
              <w:kinsoku/>
              <w:wordWrap/>
              <w:overflowPunct/>
              <w:topLinePunct w:val="0"/>
              <w:bidi w:val="0"/>
              <w:snapToGrid/>
              <w:spacing w:before="0" w:beforeAutospacing="0" w:afterAutospacing="0" w:line="440" w:lineRule="exact"/>
              <w:ind w:left="0" w:right="0" w:firstLine="0" w:firstLineChars="0"/>
              <w:jc w:val="both"/>
              <w:textAlignment w:val="baseline"/>
              <w:rPr>
                <w:rStyle w:val="56"/>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6"/>
                <w:rFonts w:hint="eastAsia" w:ascii="宋体" w:hAnsi="宋体" w:eastAsia="宋体" w:cs="宋体"/>
                <w:b w:val="0"/>
                <w:i w:val="0"/>
                <w:caps w:val="0"/>
                <w:color w:val="auto"/>
                <w:spacing w:val="0"/>
                <w:w w:val="100"/>
                <w:kern w:val="2"/>
                <w:position w:val="0"/>
                <w:sz w:val="24"/>
                <w:szCs w:val="24"/>
                <w:highlight w:val="none"/>
                <w:lang w:val="en-US" w:eastAsia="zh-CN" w:bidi="ar-SA"/>
              </w:rPr>
              <w:t>1．本项目采用不见面开标、投标人需要递交电子响应文件，加密的电子响应文件，在投标截止时间前通过新疆政府采购云平台：https://www.zcygov.cn/上传到指定位置。无需递交纸质文件。</w:t>
            </w:r>
          </w:p>
          <w:p w14:paraId="3AA76B1E">
            <w:pPr>
              <w:keepLines w:val="0"/>
              <w:pageBreakBefore w:val="0"/>
              <w:kinsoku/>
              <w:wordWrap/>
              <w:overflowPunct/>
              <w:topLinePunct w:val="0"/>
              <w:bidi w:val="0"/>
              <w:snapToGrid/>
              <w:spacing w:before="0" w:beforeAutospacing="0" w:afterAutospacing="0" w:line="440" w:lineRule="exact"/>
              <w:ind w:left="0" w:right="0" w:firstLine="0" w:firstLineChars="0"/>
              <w:jc w:val="both"/>
              <w:textAlignment w:val="baseline"/>
              <w:rPr>
                <w:rStyle w:val="56"/>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6"/>
                <w:rFonts w:hint="eastAsia" w:ascii="宋体" w:hAnsi="宋体" w:eastAsia="宋体" w:cs="宋体"/>
                <w:b w:val="0"/>
                <w:i w:val="0"/>
                <w:caps w:val="0"/>
                <w:color w:val="auto"/>
                <w:spacing w:val="0"/>
                <w:w w:val="100"/>
                <w:kern w:val="2"/>
                <w:position w:val="0"/>
                <w:sz w:val="24"/>
                <w:szCs w:val="24"/>
                <w:highlight w:val="none"/>
                <w:lang w:val="en-US" w:eastAsia="zh-CN" w:bidi="ar-SA"/>
              </w:rPr>
              <w:t>2.本项目采用远程不见面交易的模式。开标当日，投标人无需到达开标现场，仅需在任意地点通过新疆政府采购云平台不见面开标系统（登录地址详见网站操作手册）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14:paraId="2336A0A1">
            <w:pPr>
              <w:keepLines w:val="0"/>
              <w:pageBreakBefore w:val="0"/>
              <w:kinsoku/>
              <w:wordWrap/>
              <w:overflowPunct/>
              <w:topLinePunct w:val="0"/>
              <w:bidi w:val="0"/>
              <w:snapToGrid/>
              <w:spacing w:line="440" w:lineRule="exact"/>
              <w:ind w:right="0"/>
              <w:rPr>
                <w:rFonts w:hint="eastAsia" w:ascii="宋体" w:hAnsi="宋体" w:eastAsia="宋体" w:cs="宋体"/>
                <w:color w:val="auto"/>
                <w:spacing w:val="0"/>
                <w:position w:val="0"/>
                <w:sz w:val="24"/>
                <w:szCs w:val="24"/>
                <w:highlight w:val="none"/>
                <w:u w:val="none"/>
              </w:rPr>
            </w:pPr>
            <w:r>
              <w:rPr>
                <w:rStyle w:val="56"/>
                <w:rFonts w:hint="eastAsia" w:ascii="宋体" w:hAnsi="宋体" w:eastAsia="宋体" w:cs="宋体"/>
                <w:b w:val="0"/>
                <w:i w:val="0"/>
                <w:caps w:val="0"/>
                <w:color w:val="auto"/>
                <w:spacing w:val="0"/>
                <w:w w:val="100"/>
                <w:kern w:val="2"/>
                <w:position w:val="0"/>
                <w:sz w:val="24"/>
                <w:szCs w:val="24"/>
                <w:highlight w:val="none"/>
                <w:lang w:val="en-US" w:eastAsia="zh-CN" w:bidi="ar-SA"/>
              </w:rPr>
              <w:t>3.远程开标前，投标人务必在新疆政府采购云平台：https://www.zcygov.cn/响应文件上传模块中使用“模拟解密”功能，验证本机远程自助解密环境。</w:t>
            </w:r>
          </w:p>
        </w:tc>
      </w:tr>
      <w:tr w14:paraId="068E1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5" w:type="dxa"/>
            <w:noWrap w:val="0"/>
            <w:vAlign w:val="center"/>
          </w:tcPr>
          <w:p w14:paraId="7E0DE053">
            <w:pPr>
              <w:keepLines w:val="0"/>
              <w:pageBreakBefore w:val="0"/>
              <w:kinsoku/>
              <w:wordWrap/>
              <w:overflowPunct/>
              <w:topLinePunct w:val="0"/>
              <w:bidi w:val="0"/>
              <w:snapToGrid/>
              <w:spacing w:line="440" w:lineRule="exact"/>
              <w:ind w:right="0"/>
              <w:jc w:val="center"/>
              <w:rPr>
                <w:rFonts w:hint="eastAsia" w:ascii="宋体" w:hAnsi="宋体" w:eastAsia="宋体" w:cs="宋体"/>
                <w:b/>
                <w:bCs/>
                <w:color w:val="auto"/>
                <w:spacing w:val="0"/>
                <w:position w:val="0"/>
                <w:sz w:val="24"/>
                <w:szCs w:val="24"/>
                <w:highlight w:val="none"/>
                <w:u w:val="none"/>
              </w:rPr>
            </w:pPr>
            <w:r>
              <w:rPr>
                <w:rFonts w:hint="eastAsia" w:ascii="宋体" w:hAnsi="宋体" w:eastAsia="宋体" w:cs="宋体"/>
                <w:b/>
                <w:bCs/>
                <w:color w:val="auto"/>
                <w:spacing w:val="0"/>
                <w:position w:val="0"/>
                <w:sz w:val="24"/>
                <w:szCs w:val="24"/>
                <w:highlight w:val="none"/>
                <w:u w:val="none"/>
              </w:rPr>
              <w:t>5.1.1</w:t>
            </w:r>
          </w:p>
        </w:tc>
        <w:tc>
          <w:tcPr>
            <w:tcW w:w="2073" w:type="dxa"/>
            <w:noWrap w:val="0"/>
            <w:vAlign w:val="center"/>
          </w:tcPr>
          <w:p w14:paraId="2344B287">
            <w:pPr>
              <w:keepLines w:val="0"/>
              <w:pageBreakBefore w:val="0"/>
              <w:kinsoku/>
              <w:wordWrap/>
              <w:overflowPunct/>
              <w:topLinePunct w:val="0"/>
              <w:bidi w:val="0"/>
              <w:snapToGrid/>
              <w:spacing w:line="440" w:lineRule="exact"/>
              <w:ind w:right="0"/>
              <w:jc w:val="center"/>
              <w:rPr>
                <w:rFonts w:hint="eastAsia" w:ascii="宋体" w:hAnsi="宋体" w:eastAsia="宋体" w:cs="宋体"/>
                <w:b/>
                <w:bCs/>
                <w:color w:val="auto"/>
                <w:spacing w:val="0"/>
                <w:position w:val="0"/>
                <w:sz w:val="24"/>
                <w:szCs w:val="24"/>
                <w:highlight w:val="none"/>
                <w:u w:val="none"/>
              </w:rPr>
            </w:pPr>
            <w:r>
              <w:rPr>
                <w:rFonts w:hint="eastAsia" w:ascii="宋体" w:hAnsi="宋体" w:eastAsia="宋体" w:cs="宋体"/>
                <w:b/>
                <w:bCs/>
                <w:color w:val="auto"/>
                <w:spacing w:val="0"/>
                <w:position w:val="0"/>
                <w:sz w:val="24"/>
                <w:szCs w:val="24"/>
                <w:highlight w:val="none"/>
                <w:u w:val="none"/>
              </w:rPr>
              <w:t>磋商时间、地点等要求</w:t>
            </w:r>
          </w:p>
        </w:tc>
        <w:tc>
          <w:tcPr>
            <w:tcW w:w="7024" w:type="dxa"/>
            <w:noWrap w:val="0"/>
            <w:vAlign w:val="center"/>
          </w:tcPr>
          <w:p w14:paraId="6761203E">
            <w:pPr>
              <w:pStyle w:val="111"/>
              <w:keepLines w:val="0"/>
              <w:pageBreakBefore w:val="0"/>
              <w:kinsoku/>
              <w:wordWrap/>
              <w:overflowPunct/>
              <w:topLinePunct w:val="0"/>
              <w:bidi w:val="0"/>
              <w:snapToGrid/>
              <w:spacing w:line="440" w:lineRule="exact"/>
              <w:ind w:right="0" w:firstLine="0" w:firstLineChars="0"/>
              <w:rPr>
                <w:rStyle w:val="56"/>
                <w:rFonts w:hint="eastAsia" w:ascii="宋体" w:hAnsi="宋体" w:eastAsia="宋体" w:cs="宋体"/>
                <w:b w:val="0"/>
                <w:i w:val="0"/>
                <w:caps w:val="0"/>
                <w:color w:val="auto"/>
                <w:spacing w:val="0"/>
                <w:w w:val="100"/>
                <w:kern w:val="2"/>
                <w:position w:val="0"/>
                <w:sz w:val="24"/>
                <w:szCs w:val="24"/>
                <w:highlight w:val="none"/>
                <w:u w:val="none"/>
                <w:lang w:val="en-US" w:eastAsia="zh-CN" w:bidi="ar-SA"/>
              </w:rPr>
            </w:pPr>
            <w:r>
              <w:rPr>
                <w:rStyle w:val="56"/>
                <w:rFonts w:hint="eastAsia" w:ascii="宋体" w:hAnsi="宋体" w:eastAsia="宋体" w:cs="宋体"/>
                <w:b w:val="0"/>
                <w:i w:val="0"/>
                <w:caps w:val="0"/>
                <w:color w:val="auto"/>
                <w:spacing w:val="0"/>
                <w:w w:val="100"/>
                <w:kern w:val="2"/>
                <w:position w:val="0"/>
                <w:sz w:val="24"/>
                <w:szCs w:val="24"/>
                <w:highlight w:val="none"/>
                <w:u w:val="none"/>
                <w:lang w:val="en-US" w:eastAsia="zh-CN" w:bidi="ar-SA"/>
              </w:rPr>
              <w:t>采用不见面开标</w:t>
            </w:r>
          </w:p>
          <w:p w14:paraId="1216C49D">
            <w:pPr>
              <w:keepLines w:val="0"/>
              <w:pageBreakBefore w:val="0"/>
              <w:kinsoku/>
              <w:wordWrap/>
              <w:overflowPunct/>
              <w:topLinePunct w:val="0"/>
              <w:bidi w:val="0"/>
              <w:snapToGrid/>
              <w:spacing w:before="0" w:beforeAutospacing="0" w:afterAutospacing="0" w:line="440" w:lineRule="exact"/>
              <w:ind w:left="0" w:right="0" w:firstLine="0" w:firstLineChars="0"/>
              <w:jc w:val="both"/>
              <w:textAlignment w:val="baseline"/>
              <w:rPr>
                <w:rStyle w:val="56"/>
                <w:rFonts w:hint="eastAsia" w:ascii="宋体" w:hAnsi="宋体" w:eastAsia="宋体" w:cs="宋体"/>
                <w:b w:val="0"/>
                <w:i w:val="0"/>
                <w:caps w:val="0"/>
                <w:color w:val="auto"/>
                <w:spacing w:val="0"/>
                <w:w w:val="100"/>
                <w:kern w:val="2"/>
                <w:position w:val="0"/>
                <w:sz w:val="24"/>
                <w:szCs w:val="24"/>
                <w:highlight w:val="none"/>
                <w:u w:val="none"/>
                <w:lang w:val="en-US" w:eastAsia="zh-CN" w:bidi="ar-SA"/>
              </w:rPr>
            </w:pPr>
            <w:r>
              <w:rPr>
                <w:rStyle w:val="56"/>
                <w:rFonts w:hint="eastAsia" w:ascii="宋体" w:hAnsi="宋体" w:eastAsia="宋体" w:cs="宋体"/>
                <w:b w:val="0"/>
                <w:i w:val="0"/>
                <w:caps w:val="0"/>
                <w:color w:val="auto"/>
                <w:spacing w:val="0"/>
                <w:w w:val="100"/>
                <w:kern w:val="2"/>
                <w:position w:val="0"/>
                <w:sz w:val="24"/>
                <w:szCs w:val="24"/>
                <w:highlight w:val="none"/>
                <w:u w:val="none"/>
                <w:lang w:val="en-US" w:eastAsia="zh-CN" w:bidi="ar-SA"/>
              </w:rPr>
              <w:t>磋商时间：</w:t>
            </w:r>
            <w:r>
              <w:rPr>
                <w:rFonts w:hint="eastAsia" w:ascii="宋体" w:hAnsi="宋体" w:eastAsia="宋体" w:cs="宋体"/>
                <w:color w:val="auto"/>
                <w:spacing w:val="0"/>
                <w:position w:val="0"/>
                <w:sz w:val="24"/>
                <w:szCs w:val="24"/>
                <w:highlight w:val="none"/>
              </w:rPr>
              <w:t>202</w:t>
            </w:r>
            <w:r>
              <w:rPr>
                <w:rFonts w:hint="eastAsia" w:ascii="宋体" w:hAnsi="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rPr>
              <w:t>年</w:t>
            </w:r>
            <w:r>
              <w:rPr>
                <w:rFonts w:hint="eastAsia" w:ascii="宋体" w:hAnsi="宋体" w:cs="宋体"/>
                <w:color w:val="auto"/>
                <w:spacing w:val="0"/>
                <w:position w:val="0"/>
                <w:sz w:val="24"/>
                <w:szCs w:val="24"/>
                <w:highlight w:val="none"/>
                <w:lang w:val="en-US" w:eastAsia="zh-CN"/>
              </w:rPr>
              <w:t>06</w:t>
            </w:r>
            <w:r>
              <w:rPr>
                <w:rFonts w:hint="eastAsia" w:ascii="宋体" w:hAnsi="宋体" w:eastAsia="宋体" w:cs="宋体"/>
                <w:color w:val="auto"/>
                <w:spacing w:val="0"/>
                <w:position w:val="0"/>
                <w:sz w:val="24"/>
                <w:szCs w:val="24"/>
                <w:highlight w:val="none"/>
              </w:rPr>
              <w:t>月</w:t>
            </w:r>
            <w:r>
              <w:rPr>
                <w:rFonts w:hint="eastAsia" w:ascii="宋体" w:hAnsi="宋体" w:cs="宋体"/>
                <w:color w:val="auto"/>
                <w:spacing w:val="0"/>
                <w:position w:val="0"/>
                <w:sz w:val="24"/>
                <w:szCs w:val="24"/>
                <w:highlight w:val="none"/>
                <w:lang w:val="en-US" w:eastAsia="zh-CN"/>
              </w:rPr>
              <w:t>18</w:t>
            </w:r>
            <w:r>
              <w:rPr>
                <w:rFonts w:hint="eastAsia" w:ascii="宋体" w:hAnsi="宋体" w:eastAsia="宋体" w:cs="宋体"/>
                <w:color w:val="auto"/>
                <w:spacing w:val="0"/>
                <w:position w:val="0"/>
                <w:sz w:val="24"/>
                <w:szCs w:val="24"/>
                <w:highlight w:val="none"/>
              </w:rPr>
              <w:t>日</w:t>
            </w:r>
            <w:r>
              <w:rPr>
                <w:rFonts w:hint="eastAsia" w:ascii="宋体" w:hAnsi="宋体" w:cs="宋体"/>
                <w:color w:val="auto"/>
                <w:spacing w:val="0"/>
                <w:position w:val="0"/>
                <w:sz w:val="24"/>
                <w:szCs w:val="24"/>
                <w:highlight w:val="none"/>
                <w:lang w:val="en-US" w:eastAsia="zh-CN"/>
              </w:rPr>
              <w:t>11</w:t>
            </w:r>
            <w:r>
              <w:rPr>
                <w:rFonts w:hint="eastAsia" w:ascii="宋体" w:hAnsi="宋体" w:eastAsia="宋体" w:cs="宋体"/>
                <w:color w:val="auto"/>
                <w:spacing w:val="0"/>
                <w:position w:val="0"/>
                <w:sz w:val="24"/>
                <w:szCs w:val="24"/>
                <w:highlight w:val="none"/>
              </w:rPr>
              <w:t>:</w:t>
            </w:r>
            <w:r>
              <w:rPr>
                <w:rFonts w:hint="eastAsia" w:ascii="宋体" w:hAnsi="宋体" w:cs="宋体"/>
                <w:color w:val="auto"/>
                <w:spacing w:val="0"/>
                <w:position w:val="0"/>
                <w:sz w:val="24"/>
                <w:szCs w:val="24"/>
                <w:highlight w:val="none"/>
                <w:lang w:val="en-US" w:eastAsia="zh-CN"/>
              </w:rPr>
              <w:t>0</w:t>
            </w:r>
            <w:r>
              <w:rPr>
                <w:rFonts w:hint="eastAsia" w:ascii="宋体" w:hAnsi="宋体" w:eastAsia="宋体" w:cs="宋体"/>
                <w:color w:val="auto"/>
                <w:spacing w:val="0"/>
                <w:position w:val="0"/>
                <w:sz w:val="24"/>
                <w:szCs w:val="24"/>
                <w:highlight w:val="none"/>
              </w:rPr>
              <w:t>0</w:t>
            </w:r>
            <w:r>
              <w:rPr>
                <w:rStyle w:val="56"/>
                <w:rFonts w:hint="eastAsia" w:ascii="宋体" w:hAnsi="宋体" w:eastAsia="宋体" w:cs="宋体"/>
                <w:b w:val="0"/>
                <w:i w:val="0"/>
                <w:caps w:val="0"/>
                <w:color w:val="auto"/>
                <w:spacing w:val="0"/>
                <w:w w:val="100"/>
                <w:kern w:val="2"/>
                <w:position w:val="0"/>
                <w:sz w:val="24"/>
                <w:szCs w:val="24"/>
                <w:highlight w:val="none"/>
                <w:u w:val="none"/>
                <w:lang w:val="en-US" w:eastAsia="zh-CN" w:bidi="ar-SA"/>
              </w:rPr>
              <w:t>（北京时间）</w:t>
            </w:r>
          </w:p>
          <w:p w14:paraId="3D869483">
            <w:pPr>
              <w:keepLines w:val="0"/>
              <w:pageBreakBefore w:val="0"/>
              <w:kinsoku/>
              <w:wordWrap/>
              <w:overflowPunct/>
              <w:topLinePunct w:val="0"/>
              <w:bidi w:val="0"/>
              <w:snapToGrid/>
              <w:spacing w:line="440" w:lineRule="exact"/>
              <w:ind w:right="0"/>
              <w:rPr>
                <w:rFonts w:hint="eastAsia" w:ascii="宋体" w:hAnsi="宋体" w:eastAsia="宋体" w:cs="宋体"/>
                <w:color w:val="auto"/>
                <w:spacing w:val="0"/>
                <w:position w:val="0"/>
                <w:sz w:val="24"/>
                <w:szCs w:val="24"/>
                <w:highlight w:val="none"/>
                <w:u w:val="none"/>
              </w:rPr>
            </w:pPr>
            <w:r>
              <w:rPr>
                <w:rStyle w:val="56"/>
                <w:rFonts w:hint="eastAsia" w:ascii="宋体" w:hAnsi="宋体" w:eastAsia="宋体" w:cs="宋体"/>
                <w:b w:val="0"/>
                <w:i w:val="0"/>
                <w:caps w:val="0"/>
                <w:color w:val="auto"/>
                <w:spacing w:val="0"/>
                <w:w w:val="100"/>
                <w:kern w:val="2"/>
                <w:position w:val="0"/>
                <w:sz w:val="24"/>
                <w:szCs w:val="24"/>
                <w:highlight w:val="none"/>
                <w:u w:val="none"/>
                <w:lang w:val="en-US" w:eastAsia="zh-CN" w:bidi="ar-SA"/>
              </w:rPr>
              <w:t>磋商地点：</w:t>
            </w:r>
            <w:r>
              <w:rPr>
                <w:rStyle w:val="56"/>
                <w:rFonts w:hint="eastAsia" w:ascii="宋体" w:hAnsi="宋体" w:eastAsia="宋体" w:cs="宋体"/>
                <w:b w:val="0"/>
                <w:i w:val="0"/>
                <w:caps w:val="0"/>
                <w:color w:val="auto"/>
                <w:spacing w:val="0"/>
                <w:w w:val="100"/>
                <w:kern w:val="2"/>
                <w:position w:val="0"/>
                <w:sz w:val="24"/>
                <w:szCs w:val="24"/>
                <w:highlight w:val="none"/>
                <w:lang w:val="en-US" w:eastAsia="zh-CN" w:bidi="ar-SA"/>
              </w:rPr>
              <w:t>本项目采用不见面开标，供应商需要递交加密的电子响应文件，在磋商截止时间前通过新疆政府采购云平台https://www.zcygov.cn/开标系统上传到指定位置。逾期未上传的或不符合规定的响应文件将被拒绝接收。</w:t>
            </w:r>
          </w:p>
        </w:tc>
      </w:tr>
      <w:tr w14:paraId="681F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5" w:type="dxa"/>
            <w:noWrap w:val="0"/>
            <w:vAlign w:val="center"/>
          </w:tcPr>
          <w:p w14:paraId="74D4FB78">
            <w:pPr>
              <w:keepLines w:val="0"/>
              <w:pageBreakBefore w:val="0"/>
              <w:kinsoku/>
              <w:wordWrap/>
              <w:overflowPunct/>
              <w:topLinePunct w:val="0"/>
              <w:bidi w:val="0"/>
              <w:snapToGrid/>
              <w:spacing w:line="440" w:lineRule="exact"/>
              <w:ind w:right="0"/>
              <w:jc w:val="center"/>
              <w:rPr>
                <w:rFonts w:hint="eastAsia" w:ascii="宋体" w:hAnsi="宋体" w:eastAsia="宋体" w:cs="宋体"/>
                <w:b/>
                <w:bCs/>
                <w:color w:val="auto"/>
                <w:spacing w:val="0"/>
                <w:position w:val="0"/>
                <w:sz w:val="24"/>
                <w:szCs w:val="24"/>
                <w:highlight w:val="none"/>
                <w:u w:val="none"/>
              </w:rPr>
            </w:pPr>
            <w:r>
              <w:rPr>
                <w:rFonts w:hint="eastAsia" w:ascii="宋体" w:hAnsi="宋体" w:eastAsia="宋体" w:cs="宋体"/>
                <w:b/>
                <w:bCs/>
                <w:color w:val="auto"/>
                <w:spacing w:val="0"/>
                <w:position w:val="0"/>
                <w:sz w:val="24"/>
                <w:szCs w:val="24"/>
                <w:highlight w:val="none"/>
                <w:u w:val="none"/>
              </w:rPr>
              <w:t>5.2</w:t>
            </w:r>
          </w:p>
        </w:tc>
        <w:tc>
          <w:tcPr>
            <w:tcW w:w="2073" w:type="dxa"/>
            <w:noWrap w:val="0"/>
            <w:vAlign w:val="center"/>
          </w:tcPr>
          <w:p w14:paraId="57D90AD0">
            <w:pPr>
              <w:keepLines w:val="0"/>
              <w:pageBreakBefore w:val="0"/>
              <w:kinsoku/>
              <w:wordWrap/>
              <w:overflowPunct/>
              <w:topLinePunct w:val="0"/>
              <w:bidi w:val="0"/>
              <w:snapToGrid/>
              <w:spacing w:line="440" w:lineRule="exact"/>
              <w:ind w:right="0"/>
              <w:jc w:val="center"/>
              <w:rPr>
                <w:rFonts w:hint="eastAsia" w:ascii="宋体" w:hAnsi="宋体" w:eastAsia="宋体" w:cs="宋体"/>
                <w:b/>
                <w:bCs/>
                <w:color w:val="auto"/>
                <w:spacing w:val="0"/>
                <w:position w:val="0"/>
                <w:sz w:val="24"/>
                <w:szCs w:val="24"/>
                <w:highlight w:val="none"/>
                <w:u w:val="none"/>
              </w:rPr>
            </w:pPr>
            <w:r>
              <w:rPr>
                <w:rFonts w:hint="eastAsia" w:ascii="宋体" w:hAnsi="宋体" w:eastAsia="宋体" w:cs="宋体"/>
                <w:b/>
                <w:bCs/>
                <w:color w:val="auto"/>
                <w:spacing w:val="0"/>
                <w:position w:val="0"/>
                <w:sz w:val="24"/>
                <w:szCs w:val="24"/>
                <w:highlight w:val="none"/>
                <w:u w:val="none"/>
              </w:rPr>
              <w:t>磋商小组的组成</w:t>
            </w:r>
          </w:p>
        </w:tc>
        <w:tc>
          <w:tcPr>
            <w:tcW w:w="7024" w:type="dxa"/>
            <w:noWrap w:val="0"/>
            <w:vAlign w:val="center"/>
          </w:tcPr>
          <w:p w14:paraId="41A79F8B">
            <w:pPr>
              <w:keepLines w:val="0"/>
              <w:pageBreakBefore w:val="0"/>
              <w:kinsoku/>
              <w:wordWrap/>
              <w:overflowPunct/>
              <w:topLinePunct w:val="0"/>
              <w:bidi w:val="0"/>
              <w:snapToGrid/>
              <w:spacing w:line="440" w:lineRule="exact"/>
              <w:ind w:right="0"/>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z w:val="24"/>
                <w:szCs w:val="24"/>
                <w:highlight w:val="none"/>
              </w:rPr>
              <w:t>磋商小组由采购人代表和评审专家共</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人以上单数组成，其中</w:t>
            </w:r>
            <w:r>
              <w:rPr>
                <w:rFonts w:hint="eastAsia" w:ascii="宋体" w:hAnsi="宋体" w:cs="宋体"/>
                <w:color w:val="auto"/>
                <w:sz w:val="24"/>
                <w:szCs w:val="24"/>
                <w:highlight w:val="none"/>
                <w:lang w:val="en-US" w:eastAsia="zh-CN"/>
              </w:rPr>
              <w:t>采购人代表：0人；</w:t>
            </w:r>
            <w:r>
              <w:rPr>
                <w:rFonts w:hint="eastAsia" w:ascii="宋体" w:hAnsi="宋体" w:eastAsia="宋体" w:cs="宋体"/>
                <w:color w:val="auto"/>
                <w:sz w:val="24"/>
                <w:szCs w:val="24"/>
                <w:highlight w:val="none"/>
              </w:rPr>
              <w:t>评审专家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5人；</w:t>
            </w:r>
          </w:p>
          <w:p w14:paraId="712D96ED">
            <w:pPr>
              <w:keepLines w:val="0"/>
              <w:pageBreakBefore w:val="0"/>
              <w:kinsoku/>
              <w:wordWrap/>
              <w:overflowPunct/>
              <w:topLinePunct w:val="0"/>
              <w:bidi w:val="0"/>
              <w:snapToGrid/>
              <w:spacing w:line="440" w:lineRule="exact"/>
              <w:ind w:right="0"/>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评审专家确定方式：从</w:t>
            </w:r>
            <w:r>
              <w:rPr>
                <w:rFonts w:hint="eastAsia" w:ascii="宋体" w:hAnsi="宋体" w:eastAsia="宋体" w:cs="宋体"/>
                <w:color w:val="auto"/>
                <w:spacing w:val="0"/>
                <w:position w:val="0"/>
                <w:sz w:val="24"/>
                <w:szCs w:val="24"/>
                <w:highlight w:val="none"/>
                <w:u w:val="none"/>
                <w:lang w:eastAsia="zh-CN"/>
              </w:rPr>
              <w:t>政采云</w:t>
            </w:r>
            <w:r>
              <w:rPr>
                <w:rFonts w:hint="eastAsia" w:ascii="宋体" w:hAnsi="宋体" w:eastAsia="宋体" w:cs="宋体"/>
                <w:color w:val="auto"/>
                <w:spacing w:val="0"/>
                <w:position w:val="0"/>
                <w:sz w:val="24"/>
                <w:szCs w:val="24"/>
                <w:highlight w:val="none"/>
                <w:u w:val="none"/>
              </w:rPr>
              <w:t>专家库中随机抽取确定。</w:t>
            </w:r>
          </w:p>
        </w:tc>
      </w:tr>
      <w:tr w14:paraId="5BE1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5" w:type="dxa"/>
            <w:noWrap w:val="0"/>
            <w:vAlign w:val="center"/>
          </w:tcPr>
          <w:p w14:paraId="49E76899">
            <w:pPr>
              <w:keepLines w:val="0"/>
              <w:pageBreakBefore w:val="0"/>
              <w:kinsoku/>
              <w:wordWrap/>
              <w:overflowPunct/>
              <w:topLinePunct w:val="0"/>
              <w:bidi w:val="0"/>
              <w:snapToGrid/>
              <w:spacing w:line="440" w:lineRule="exact"/>
              <w:ind w:right="0"/>
              <w:jc w:val="center"/>
              <w:rPr>
                <w:rFonts w:hint="eastAsia" w:ascii="宋体" w:hAnsi="宋体" w:eastAsia="宋体" w:cs="宋体"/>
                <w:b/>
                <w:bCs/>
                <w:color w:val="auto"/>
                <w:spacing w:val="0"/>
                <w:position w:val="0"/>
                <w:sz w:val="24"/>
                <w:szCs w:val="24"/>
                <w:highlight w:val="none"/>
                <w:u w:val="none"/>
              </w:rPr>
            </w:pPr>
            <w:r>
              <w:rPr>
                <w:rFonts w:hint="eastAsia" w:ascii="宋体" w:hAnsi="宋体" w:eastAsia="宋体" w:cs="宋体"/>
                <w:b/>
                <w:bCs/>
                <w:color w:val="auto"/>
                <w:spacing w:val="0"/>
                <w:position w:val="0"/>
                <w:sz w:val="24"/>
                <w:szCs w:val="24"/>
                <w:highlight w:val="none"/>
                <w:u w:val="none"/>
              </w:rPr>
              <w:t>5.4.4</w:t>
            </w:r>
          </w:p>
        </w:tc>
        <w:tc>
          <w:tcPr>
            <w:tcW w:w="2073" w:type="dxa"/>
            <w:noWrap w:val="0"/>
            <w:vAlign w:val="center"/>
          </w:tcPr>
          <w:p w14:paraId="3E2AEEFC">
            <w:pPr>
              <w:keepLines w:val="0"/>
              <w:pageBreakBefore w:val="0"/>
              <w:kinsoku/>
              <w:wordWrap/>
              <w:overflowPunct/>
              <w:topLinePunct w:val="0"/>
              <w:bidi w:val="0"/>
              <w:snapToGrid/>
              <w:spacing w:line="440" w:lineRule="exact"/>
              <w:ind w:right="0"/>
              <w:jc w:val="center"/>
              <w:rPr>
                <w:rFonts w:hint="eastAsia" w:ascii="宋体" w:hAnsi="宋体" w:eastAsia="宋体" w:cs="宋体"/>
                <w:b/>
                <w:bCs/>
                <w:color w:val="auto"/>
                <w:spacing w:val="0"/>
                <w:position w:val="0"/>
                <w:sz w:val="24"/>
                <w:szCs w:val="24"/>
                <w:highlight w:val="none"/>
                <w:u w:val="none"/>
              </w:rPr>
            </w:pPr>
            <w:r>
              <w:rPr>
                <w:rFonts w:hint="eastAsia" w:ascii="宋体" w:hAnsi="宋体" w:eastAsia="宋体" w:cs="宋体"/>
                <w:b/>
                <w:bCs/>
                <w:color w:val="auto"/>
                <w:spacing w:val="0"/>
                <w:position w:val="0"/>
                <w:sz w:val="24"/>
                <w:szCs w:val="24"/>
                <w:highlight w:val="none"/>
                <w:u w:val="none"/>
              </w:rPr>
              <w:t>磋商轮数和最后报价的其他要求</w:t>
            </w:r>
          </w:p>
        </w:tc>
        <w:tc>
          <w:tcPr>
            <w:tcW w:w="7024" w:type="dxa"/>
            <w:noWrap w:val="0"/>
            <w:vAlign w:val="center"/>
          </w:tcPr>
          <w:p w14:paraId="68F39C88">
            <w:pPr>
              <w:keepLines w:val="0"/>
              <w:pageBreakBefore w:val="0"/>
              <w:kinsoku/>
              <w:wordWrap/>
              <w:overflowPunct/>
              <w:topLinePunct w:val="0"/>
              <w:bidi w:val="0"/>
              <w:snapToGrid/>
              <w:spacing w:line="440" w:lineRule="exact"/>
              <w:ind w:right="0"/>
              <w:rPr>
                <w:rFonts w:hint="eastAsia" w:ascii="宋体" w:hAnsi="宋体" w:eastAsia="宋体" w:cs="宋体"/>
                <w:color w:val="auto"/>
                <w:spacing w:val="0"/>
                <w:position w:val="0"/>
                <w:sz w:val="24"/>
                <w:szCs w:val="24"/>
                <w:highlight w:val="none"/>
                <w:u w:val="none"/>
                <w:lang w:val="zh-CN"/>
              </w:rPr>
            </w:pPr>
            <w:r>
              <w:rPr>
                <w:rFonts w:hint="eastAsia" w:ascii="宋体" w:hAnsi="宋体" w:eastAsia="宋体" w:cs="宋体"/>
                <w:color w:val="auto"/>
                <w:spacing w:val="0"/>
                <w:position w:val="0"/>
                <w:sz w:val="24"/>
                <w:szCs w:val="24"/>
                <w:highlight w:val="none"/>
                <w:u w:val="none"/>
                <w:lang w:val="zh-CN"/>
              </w:rPr>
              <w:t>1、磋商轮数：不少于两轮；</w:t>
            </w:r>
          </w:p>
          <w:p w14:paraId="0A5FB05B">
            <w:pPr>
              <w:keepLines w:val="0"/>
              <w:pageBreakBefore w:val="0"/>
              <w:kinsoku/>
              <w:wordWrap/>
              <w:overflowPunct/>
              <w:topLinePunct w:val="0"/>
              <w:bidi w:val="0"/>
              <w:snapToGrid/>
              <w:spacing w:line="440" w:lineRule="exact"/>
              <w:ind w:right="0"/>
              <w:rPr>
                <w:rFonts w:hint="eastAsia" w:ascii="宋体" w:hAnsi="宋体" w:cs="宋体"/>
                <w:color w:val="auto"/>
                <w:spacing w:val="0"/>
                <w:position w:val="0"/>
                <w:sz w:val="24"/>
                <w:szCs w:val="24"/>
                <w:highlight w:val="none"/>
                <w:u w:val="none"/>
                <w:lang w:val="en-US" w:eastAsia="zh-CN"/>
              </w:rPr>
            </w:pPr>
            <w:r>
              <w:rPr>
                <w:rFonts w:hint="eastAsia" w:ascii="宋体" w:hAnsi="宋体" w:eastAsia="宋体" w:cs="宋体"/>
                <w:color w:val="auto"/>
                <w:spacing w:val="0"/>
                <w:position w:val="0"/>
                <w:sz w:val="24"/>
                <w:szCs w:val="24"/>
                <w:highlight w:val="none"/>
                <w:u w:val="none"/>
                <w:lang w:val="en-US" w:eastAsia="zh-CN"/>
              </w:rPr>
              <w:t>2、</w:t>
            </w:r>
            <w:r>
              <w:rPr>
                <w:rFonts w:hint="eastAsia" w:ascii="宋体" w:hAnsi="宋体" w:cs="宋体"/>
                <w:color w:val="auto"/>
                <w:spacing w:val="0"/>
                <w:position w:val="0"/>
                <w:sz w:val="24"/>
                <w:szCs w:val="24"/>
                <w:highlight w:val="none"/>
                <w:u w:val="none"/>
                <w:lang w:val="en-US" w:eastAsia="zh-CN"/>
              </w:rPr>
              <w:t>报价单位</w:t>
            </w:r>
            <w:r>
              <w:rPr>
                <w:rFonts w:hint="eastAsia" w:ascii="宋体" w:hAnsi="宋体" w:eastAsia="宋体" w:cs="宋体"/>
                <w:color w:val="auto"/>
                <w:spacing w:val="0"/>
                <w:position w:val="0"/>
                <w:sz w:val="24"/>
                <w:szCs w:val="24"/>
                <w:highlight w:val="none"/>
                <w:u w:val="none"/>
                <w:lang w:val="en-US" w:eastAsia="zh-CN"/>
              </w:rPr>
              <w:t>：</w:t>
            </w:r>
            <w:r>
              <w:rPr>
                <w:rFonts w:hint="eastAsia" w:ascii="宋体" w:hAnsi="宋体" w:cs="宋体"/>
                <w:color w:val="auto"/>
                <w:spacing w:val="0"/>
                <w:position w:val="0"/>
                <w:sz w:val="24"/>
                <w:szCs w:val="24"/>
                <w:highlight w:val="none"/>
                <w:u w:val="none"/>
                <w:lang w:val="en-US" w:eastAsia="zh-CN"/>
              </w:rPr>
              <w:t>元</w:t>
            </w:r>
          </w:p>
          <w:p w14:paraId="15CB16FB">
            <w:pPr>
              <w:keepLines w:val="0"/>
              <w:pageBreakBefore w:val="0"/>
              <w:kinsoku/>
              <w:wordWrap/>
              <w:overflowPunct/>
              <w:topLinePunct w:val="0"/>
              <w:bidi w:val="0"/>
              <w:snapToGrid/>
              <w:spacing w:line="440" w:lineRule="exact"/>
              <w:ind w:right="0"/>
              <w:rPr>
                <w:rFonts w:hint="eastAsia" w:ascii="宋体" w:hAnsi="宋体" w:cs="宋体"/>
                <w:color w:val="auto"/>
                <w:spacing w:val="0"/>
                <w:position w:val="0"/>
                <w:sz w:val="24"/>
                <w:szCs w:val="24"/>
                <w:highlight w:val="none"/>
                <w:u w:val="none"/>
                <w:lang w:val="en-US" w:eastAsia="zh-CN"/>
              </w:rPr>
            </w:pPr>
            <w:r>
              <w:rPr>
                <w:rFonts w:hint="eastAsia" w:ascii="宋体" w:hAnsi="宋体" w:cs="宋体"/>
                <w:color w:val="auto"/>
                <w:spacing w:val="0"/>
                <w:position w:val="0"/>
                <w:sz w:val="24"/>
                <w:szCs w:val="24"/>
                <w:highlight w:val="none"/>
                <w:u w:val="none"/>
                <w:lang w:val="en-US" w:eastAsia="zh-CN"/>
              </w:rPr>
              <w:t>3、时间：30分钟</w:t>
            </w:r>
          </w:p>
          <w:p w14:paraId="2A1DD38A">
            <w:pPr>
              <w:keepLines w:val="0"/>
              <w:pageBreakBefore w:val="0"/>
              <w:kinsoku/>
              <w:wordWrap/>
              <w:overflowPunct/>
              <w:topLinePunct w:val="0"/>
              <w:bidi w:val="0"/>
              <w:snapToGrid/>
              <w:spacing w:line="440" w:lineRule="exact"/>
              <w:ind w:right="0"/>
              <w:rPr>
                <w:rFonts w:hint="default" w:ascii="宋体" w:hAnsi="宋体" w:cs="宋体"/>
                <w:color w:val="auto"/>
                <w:spacing w:val="0"/>
                <w:position w:val="0"/>
                <w:sz w:val="24"/>
                <w:szCs w:val="24"/>
                <w:highlight w:val="none"/>
                <w:u w:val="none"/>
                <w:lang w:val="en-US" w:eastAsia="zh-CN"/>
              </w:rPr>
            </w:pPr>
            <w:r>
              <w:rPr>
                <w:rFonts w:hint="eastAsia" w:ascii="宋体" w:hAnsi="宋体" w:cs="宋体"/>
                <w:color w:val="auto"/>
                <w:spacing w:val="0"/>
                <w:position w:val="0"/>
                <w:sz w:val="24"/>
                <w:szCs w:val="24"/>
                <w:highlight w:val="none"/>
                <w:u w:val="none"/>
                <w:lang w:val="en-US" w:eastAsia="zh-CN"/>
              </w:rPr>
              <w:t>4、中标供应商须按最终报价提供新的报价清单。</w:t>
            </w:r>
          </w:p>
        </w:tc>
      </w:tr>
      <w:tr w14:paraId="3518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5" w:type="dxa"/>
            <w:noWrap w:val="0"/>
            <w:vAlign w:val="center"/>
          </w:tcPr>
          <w:p w14:paraId="5C0D2924">
            <w:pPr>
              <w:keepLines w:val="0"/>
              <w:pageBreakBefore w:val="0"/>
              <w:kinsoku/>
              <w:wordWrap/>
              <w:overflowPunct/>
              <w:topLinePunct w:val="0"/>
              <w:bidi w:val="0"/>
              <w:snapToGrid/>
              <w:spacing w:line="440" w:lineRule="exact"/>
              <w:ind w:right="0"/>
              <w:jc w:val="center"/>
              <w:rPr>
                <w:rFonts w:hint="eastAsia" w:ascii="宋体" w:hAnsi="宋体" w:eastAsia="宋体" w:cs="宋体"/>
                <w:b/>
                <w:bCs/>
                <w:color w:val="auto"/>
                <w:spacing w:val="0"/>
                <w:position w:val="0"/>
                <w:sz w:val="24"/>
                <w:szCs w:val="24"/>
                <w:highlight w:val="none"/>
                <w:u w:val="none"/>
              </w:rPr>
            </w:pPr>
            <w:r>
              <w:rPr>
                <w:rFonts w:hint="eastAsia" w:ascii="宋体" w:hAnsi="宋体" w:eastAsia="宋体" w:cs="宋体"/>
                <w:b/>
                <w:bCs/>
                <w:color w:val="auto"/>
                <w:spacing w:val="0"/>
                <w:position w:val="0"/>
                <w:sz w:val="24"/>
                <w:szCs w:val="24"/>
                <w:highlight w:val="none"/>
                <w:u w:val="none"/>
              </w:rPr>
              <w:t>5.6</w:t>
            </w:r>
          </w:p>
        </w:tc>
        <w:tc>
          <w:tcPr>
            <w:tcW w:w="2073" w:type="dxa"/>
            <w:noWrap w:val="0"/>
            <w:vAlign w:val="center"/>
          </w:tcPr>
          <w:p w14:paraId="3D684C2D">
            <w:pPr>
              <w:keepLines w:val="0"/>
              <w:pageBreakBefore w:val="0"/>
              <w:kinsoku/>
              <w:wordWrap/>
              <w:overflowPunct/>
              <w:topLinePunct w:val="0"/>
              <w:bidi w:val="0"/>
              <w:snapToGrid/>
              <w:spacing w:line="440" w:lineRule="exact"/>
              <w:ind w:right="0"/>
              <w:jc w:val="center"/>
              <w:rPr>
                <w:rFonts w:hint="eastAsia" w:ascii="宋体" w:hAnsi="宋体" w:eastAsia="宋体" w:cs="宋体"/>
                <w:b/>
                <w:bCs/>
                <w:color w:val="auto"/>
                <w:spacing w:val="0"/>
                <w:position w:val="0"/>
                <w:sz w:val="24"/>
                <w:szCs w:val="24"/>
                <w:highlight w:val="none"/>
                <w:u w:val="none"/>
              </w:rPr>
            </w:pPr>
            <w:r>
              <w:rPr>
                <w:rFonts w:hint="eastAsia" w:ascii="宋体" w:hAnsi="宋体" w:eastAsia="宋体" w:cs="宋体"/>
                <w:b/>
                <w:bCs/>
                <w:color w:val="auto"/>
                <w:spacing w:val="0"/>
                <w:position w:val="0"/>
                <w:sz w:val="24"/>
                <w:szCs w:val="24"/>
                <w:highlight w:val="none"/>
                <w:u w:val="none"/>
              </w:rPr>
              <w:t>推荐成交候选供应商的数量</w:t>
            </w:r>
          </w:p>
        </w:tc>
        <w:tc>
          <w:tcPr>
            <w:tcW w:w="7024" w:type="dxa"/>
            <w:noWrap w:val="0"/>
            <w:vAlign w:val="center"/>
          </w:tcPr>
          <w:p w14:paraId="46888ABC">
            <w:pPr>
              <w:keepLines w:val="0"/>
              <w:pageBreakBefore w:val="0"/>
              <w:kinsoku/>
              <w:wordWrap/>
              <w:overflowPunct/>
              <w:topLinePunct w:val="0"/>
              <w:bidi w:val="0"/>
              <w:snapToGrid/>
              <w:spacing w:line="440" w:lineRule="exact"/>
              <w:ind w:right="0"/>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lang w:val="en-US" w:eastAsia="zh-CN"/>
              </w:rPr>
              <w:t>3</w:t>
            </w:r>
            <w:r>
              <w:rPr>
                <w:rFonts w:hint="eastAsia" w:ascii="宋体" w:hAnsi="宋体" w:eastAsia="宋体" w:cs="宋体"/>
                <w:color w:val="auto"/>
                <w:spacing w:val="0"/>
                <w:position w:val="0"/>
                <w:sz w:val="24"/>
                <w:szCs w:val="24"/>
                <w:highlight w:val="none"/>
                <w:u w:val="none"/>
              </w:rPr>
              <w:t>家</w:t>
            </w:r>
          </w:p>
        </w:tc>
      </w:tr>
      <w:tr w14:paraId="27955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5" w:type="dxa"/>
            <w:noWrap w:val="0"/>
            <w:vAlign w:val="center"/>
          </w:tcPr>
          <w:p w14:paraId="0C74827E">
            <w:pPr>
              <w:keepLines w:val="0"/>
              <w:pageBreakBefore w:val="0"/>
              <w:kinsoku/>
              <w:wordWrap/>
              <w:overflowPunct/>
              <w:topLinePunct w:val="0"/>
              <w:bidi w:val="0"/>
              <w:snapToGrid/>
              <w:spacing w:line="440" w:lineRule="exact"/>
              <w:ind w:right="0"/>
              <w:jc w:val="center"/>
              <w:rPr>
                <w:rFonts w:hint="eastAsia" w:ascii="宋体" w:hAnsi="宋体" w:eastAsia="宋体" w:cs="宋体"/>
                <w:b/>
                <w:bCs/>
                <w:color w:val="auto"/>
                <w:spacing w:val="0"/>
                <w:position w:val="0"/>
                <w:sz w:val="24"/>
                <w:szCs w:val="24"/>
                <w:highlight w:val="none"/>
                <w:u w:val="none"/>
              </w:rPr>
            </w:pPr>
            <w:r>
              <w:rPr>
                <w:rFonts w:hint="eastAsia" w:ascii="宋体" w:hAnsi="宋体" w:eastAsia="宋体" w:cs="宋体"/>
                <w:b/>
                <w:bCs/>
                <w:color w:val="auto"/>
                <w:spacing w:val="0"/>
                <w:position w:val="0"/>
                <w:sz w:val="24"/>
                <w:szCs w:val="24"/>
                <w:highlight w:val="none"/>
                <w:u w:val="none"/>
              </w:rPr>
              <w:t>6.1</w:t>
            </w:r>
          </w:p>
        </w:tc>
        <w:tc>
          <w:tcPr>
            <w:tcW w:w="2073" w:type="dxa"/>
            <w:noWrap w:val="0"/>
            <w:vAlign w:val="center"/>
          </w:tcPr>
          <w:p w14:paraId="086A8B88">
            <w:pPr>
              <w:keepLines w:val="0"/>
              <w:pageBreakBefore w:val="0"/>
              <w:kinsoku/>
              <w:wordWrap/>
              <w:overflowPunct/>
              <w:topLinePunct w:val="0"/>
              <w:bidi w:val="0"/>
              <w:snapToGrid/>
              <w:spacing w:line="440" w:lineRule="exact"/>
              <w:ind w:right="0"/>
              <w:jc w:val="center"/>
              <w:rPr>
                <w:rFonts w:hint="eastAsia" w:ascii="宋体" w:hAnsi="宋体" w:eastAsia="宋体" w:cs="宋体"/>
                <w:b/>
                <w:bCs/>
                <w:color w:val="auto"/>
                <w:spacing w:val="0"/>
                <w:position w:val="0"/>
                <w:sz w:val="24"/>
                <w:szCs w:val="24"/>
                <w:highlight w:val="none"/>
                <w:u w:val="none"/>
              </w:rPr>
            </w:pPr>
            <w:r>
              <w:rPr>
                <w:rFonts w:hint="eastAsia" w:ascii="宋体" w:hAnsi="宋体" w:eastAsia="宋体" w:cs="宋体"/>
                <w:b/>
                <w:bCs/>
                <w:color w:val="auto"/>
                <w:spacing w:val="0"/>
                <w:position w:val="0"/>
                <w:sz w:val="24"/>
                <w:szCs w:val="24"/>
                <w:highlight w:val="none"/>
                <w:u w:val="none"/>
              </w:rPr>
              <w:t>成交结果公示媒体</w:t>
            </w:r>
          </w:p>
        </w:tc>
        <w:tc>
          <w:tcPr>
            <w:tcW w:w="7024" w:type="dxa"/>
            <w:noWrap w:val="0"/>
            <w:vAlign w:val="center"/>
          </w:tcPr>
          <w:p w14:paraId="38BB76D2">
            <w:pPr>
              <w:keepLines w:val="0"/>
              <w:pageBreakBefore w:val="0"/>
              <w:kinsoku/>
              <w:wordWrap/>
              <w:overflowPunct/>
              <w:topLinePunct w:val="0"/>
              <w:bidi w:val="0"/>
              <w:snapToGrid/>
              <w:spacing w:line="440" w:lineRule="exact"/>
              <w:ind w:right="0"/>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lang w:eastAsia="zh-CN"/>
              </w:rPr>
              <w:t>新疆政府采购网</w:t>
            </w:r>
          </w:p>
        </w:tc>
      </w:tr>
      <w:tr w14:paraId="5764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5" w:type="dxa"/>
            <w:noWrap w:val="0"/>
            <w:vAlign w:val="center"/>
          </w:tcPr>
          <w:p w14:paraId="44A18662">
            <w:pPr>
              <w:keepLines w:val="0"/>
              <w:pageBreakBefore w:val="0"/>
              <w:kinsoku/>
              <w:wordWrap/>
              <w:overflowPunct/>
              <w:topLinePunct w:val="0"/>
              <w:bidi w:val="0"/>
              <w:snapToGrid/>
              <w:spacing w:line="440" w:lineRule="exact"/>
              <w:ind w:right="0"/>
              <w:jc w:val="center"/>
              <w:rPr>
                <w:rFonts w:hint="eastAsia" w:ascii="宋体" w:hAnsi="宋体" w:eastAsia="宋体" w:cs="宋体"/>
                <w:b/>
                <w:color w:val="auto"/>
                <w:spacing w:val="0"/>
                <w:position w:val="0"/>
                <w:sz w:val="24"/>
                <w:szCs w:val="24"/>
                <w:highlight w:val="none"/>
                <w:u w:val="none"/>
              </w:rPr>
            </w:pPr>
            <w:r>
              <w:rPr>
                <w:rFonts w:hint="eastAsia" w:ascii="宋体" w:hAnsi="宋体" w:eastAsia="宋体" w:cs="宋体"/>
                <w:b/>
                <w:color w:val="auto"/>
                <w:spacing w:val="0"/>
                <w:position w:val="0"/>
                <w:sz w:val="24"/>
                <w:szCs w:val="24"/>
                <w:highlight w:val="none"/>
                <w:u w:val="none"/>
              </w:rPr>
              <w:t>8</w:t>
            </w:r>
          </w:p>
        </w:tc>
        <w:tc>
          <w:tcPr>
            <w:tcW w:w="2073" w:type="dxa"/>
            <w:noWrap w:val="0"/>
            <w:vAlign w:val="center"/>
          </w:tcPr>
          <w:p w14:paraId="4CB53D48">
            <w:pPr>
              <w:keepLines w:val="0"/>
              <w:pageBreakBefore w:val="0"/>
              <w:kinsoku/>
              <w:wordWrap/>
              <w:overflowPunct/>
              <w:topLinePunct w:val="0"/>
              <w:bidi w:val="0"/>
              <w:snapToGrid/>
              <w:spacing w:before="0" w:beforeAutospacing="0" w:afterAutospacing="0" w:line="440" w:lineRule="exact"/>
              <w:ind w:left="0" w:leftChars="0" w:right="0" w:rightChars="0" w:firstLine="0" w:firstLineChars="0"/>
              <w:jc w:val="center"/>
              <w:textAlignment w:val="baseline"/>
              <w:rPr>
                <w:rFonts w:hint="eastAsia" w:ascii="宋体" w:hAnsi="宋体" w:eastAsia="宋体" w:cs="宋体"/>
                <w:color w:val="auto"/>
                <w:spacing w:val="0"/>
                <w:position w:val="0"/>
                <w:sz w:val="24"/>
                <w:szCs w:val="24"/>
                <w:highlight w:val="none"/>
                <w:u w:val="none"/>
              </w:rPr>
            </w:pPr>
            <w:r>
              <w:rPr>
                <w:rFonts w:hint="eastAsia" w:ascii="宋体" w:hAnsi="宋体" w:eastAsia="宋体" w:cs="宋体"/>
                <w:b/>
                <w:i w:val="0"/>
                <w:caps w:val="0"/>
                <w:color w:val="auto"/>
                <w:spacing w:val="0"/>
                <w:w w:val="100"/>
                <w:kern w:val="0"/>
                <w:position w:val="0"/>
                <w:sz w:val="24"/>
                <w:szCs w:val="24"/>
                <w:highlight w:val="none"/>
                <w:u w:val="none"/>
                <w:lang w:val="en-US" w:eastAsia="zh-CN" w:bidi="ar-SA"/>
              </w:rPr>
              <w:t>政府采购政策落实</w:t>
            </w:r>
          </w:p>
        </w:tc>
        <w:tc>
          <w:tcPr>
            <w:tcW w:w="7024" w:type="dxa"/>
            <w:noWrap w:val="0"/>
            <w:vAlign w:val="center"/>
          </w:tcPr>
          <w:p w14:paraId="43CB75B1">
            <w:pPr>
              <w:keepLines w:val="0"/>
              <w:pageBreakBefore w:val="0"/>
              <w:kinsoku/>
              <w:wordWrap/>
              <w:overflowPunct/>
              <w:topLinePunct w:val="0"/>
              <w:bidi w:val="0"/>
              <w:snapToGrid/>
              <w:spacing w:before="0" w:beforeAutospacing="0" w:afterAutospacing="0" w:line="440" w:lineRule="exact"/>
              <w:ind w:left="0" w:right="0" w:firstLine="0" w:firstLineChars="0"/>
              <w:jc w:val="both"/>
              <w:textAlignment w:val="baseline"/>
              <w:rPr>
                <w:rStyle w:val="56"/>
                <w:rFonts w:hint="eastAsia" w:ascii="宋体" w:hAnsi="宋体" w:eastAsia="宋体" w:cs="宋体"/>
                <w:b w:val="0"/>
                <w:i w:val="0"/>
                <w:caps w:val="0"/>
                <w:color w:val="auto"/>
                <w:spacing w:val="0"/>
                <w:w w:val="100"/>
                <w:kern w:val="0"/>
                <w:position w:val="0"/>
                <w:sz w:val="24"/>
                <w:szCs w:val="24"/>
                <w:highlight w:val="none"/>
                <w:u w:val="none"/>
                <w:lang w:val="en-US" w:eastAsia="zh-CN" w:bidi="ar-SA"/>
              </w:rPr>
            </w:pPr>
            <w:r>
              <w:rPr>
                <w:rStyle w:val="56"/>
                <w:rFonts w:hint="eastAsia" w:ascii="宋体" w:hAnsi="宋体" w:eastAsia="宋体" w:cs="宋体"/>
                <w:b w:val="0"/>
                <w:i w:val="0"/>
                <w:caps w:val="0"/>
                <w:color w:val="auto"/>
                <w:spacing w:val="0"/>
                <w:w w:val="100"/>
                <w:kern w:val="0"/>
                <w:position w:val="0"/>
                <w:sz w:val="24"/>
                <w:szCs w:val="24"/>
                <w:highlight w:val="none"/>
                <w:u w:val="none"/>
                <w:lang w:val="en-US" w:eastAsia="zh-CN" w:bidi="ar-SA"/>
              </w:rPr>
              <w:t>1.（本项目专门面向中小企业，各供应商须提供《中小企业申明函》（由供应商声明其企业类型），否则视为无效投标。）</w:t>
            </w:r>
          </w:p>
          <w:p w14:paraId="7C43905C">
            <w:pPr>
              <w:keepLines w:val="0"/>
              <w:pageBreakBefore w:val="0"/>
              <w:kinsoku/>
              <w:wordWrap/>
              <w:overflowPunct/>
              <w:topLinePunct w:val="0"/>
              <w:bidi w:val="0"/>
              <w:snapToGrid/>
              <w:spacing w:before="0" w:beforeAutospacing="0" w:afterAutospacing="0" w:line="440" w:lineRule="exact"/>
              <w:ind w:left="0" w:leftChars="0" w:right="0" w:rightChars="0" w:firstLine="0" w:firstLineChars="0"/>
              <w:jc w:val="both"/>
              <w:textAlignment w:val="baseline"/>
              <w:rPr>
                <w:rFonts w:hint="eastAsia" w:ascii="宋体" w:hAnsi="宋体" w:eastAsia="宋体" w:cs="宋体"/>
                <w:color w:val="auto"/>
                <w:spacing w:val="0"/>
                <w:position w:val="0"/>
                <w:sz w:val="24"/>
                <w:szCs w:val="24"/>
                <w:highlight w:val="none"/>
                <w:u w:val="none"/>
              </w:rPr>
            </w:pPr>
            <w:r>
              <w:rPr>
                <w:rStyle w:val="56"/>
                <w:rFonts w:hint="eastAsia" w:ascii="宋体" w:hAnsi="宋体" w:eastAsia="宋体" w:cs="宋体"/>
                <w:b w:val="0"/>
                <w:i w:val="0"/>
                <w:caps w:val="0"/>
                <w:color w:val="auto"/>
                <w:spacing w:val="0"/>
                <w:w w:val="100"/>
                <w:kern w:val="0"/>
                <w:position w:val="0"/>
                <w:sz w:val="24"/>
                <w:szCs w:val="24"/>
                <w:highlight w:val="none"/>
                <w:u w:val="none"/>
                <w:lang w:val="en-US" w:eastAsia="zh-CN" w:bidi="ar-SA"/>
              </w:rPr>
              <w:t>2.根据工信部等部委发布的《关于印发中小企业划型标准规定的通知》（工信部联企业〔2011〕300号）、财政部、工业和信息化部《政府采购促进中小企业发展管理办法》（财库[2020]46号文）规定，本次采购标的所属行业为</w:t>
            </w:r>
            <w:r>
              <w:rPr>
                <w:rStyle w:val="56"/>
                <w:rFonts w:hint="eastAsia" w:ascii="宋体" w:hAnsi="宋体" w:eastAsia="宋体" w:cs="宋体"/>
                <w:b/>
                <w:bCs/>
                <w:i w:val="0"/>
                <w:caps w:val="0"/>
                <w:color w:val="auto"/>
                <w:spacing w:val="0"/>
                <w:w w:val="100"/>
                <w:kern w:val="0"/>
                <w:position w:val="0"/>
                <w:sz w:val="24"/>
                <w:szCs w:val="24"/>
                <w:highlight w:val="none"/>
                <w:u w:val="single"/>
                <w:lang w:val="en-US" w:eastAsia="zh-CN" w:bidi="ar-SA"/>
              </w:rPr>
              <w:t>建筑业</w:t>
            </w:r>
            <w:r>
              <w:rPr>
                <w:rStyle w:val="56"/>
                <w:rFonts w:hint="eastAsia" w:ascii="宋体" w:hAnsi="宋体" w:eastAsia="宋体" w:cs="宋体"/>
                <w:b w:val="0"/>
                <w:i w:val="0"/>
                <w:caps w:val="0"/>
                <w:color w:val="auto"/>
                <w:spacing w:val="0"/>
                <w:w w:val="100"/>
                <w:kern w:val="0"/>
                <w:position w:val="0"/>
                <w:sz w:val="24"/>
                <w:szCs w:val="24"/>
                <w:highlight w:val="none"/>
                <w:u w:val="none"/>
                <w:lang w:val="en-US" w:eastAsia="zh-CN" w:bidi="ar-SA"/>
              </w:rPr>
              <w:t>，符合条件的企业应按照招标文件格式要求提供《中小企业声明函》。</w:t>
            </w:r>
          </w:p>
        </w:tc>
      </w:tr>
      <w:tr w14:paraId="22264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5" w:type="dxa"/>
            <w:noWrap w:val="0"/>
            <w:vAlign w:val="center"/>
          </w:tcPr>
          <w:p w14:paraId="08EFACF1">
            <w:pPr>
              <w:keepLines w:val="0"/>
              <w:pageBreakBefore w:val="0"/>
              <w:kinsoku/>
              <w:wordWrap/>
              <w:overflowPunct/>
              <w:topLinePunct w:val="0"/>
              <w:bidi w:val="0"/>
              <w:snapToGrid/>
              <w:spacing w:before="0" w:beforeAutospacing="0" w:afterAutospacing="0" w:line="440" w:lineRule="exact"/>
              <w:ind w:left="0" w:leftChars="0" w:right="0" w:rightChars="0" w:firstLine="0" w:firstLineChars="0"/>
              <w:jc w:val="center"/>
              <w:textAlignment w:val="baseline"/>
              <w:rPr>
                <w:rFonts w:hint="eastAsia" w:ascii="宋体" w:hAnsi="宋体" w:eastAsia="宋体" w:cs="宋体"/>
                <w:b/>
                <w:i w:val="0"/>
                <w:caps w:val="0"/>
                <w:color w:val="auto"/>
                <w:spacing w:val="0"/>
                <w:w w:val="100"/>
                <w:kern w:val="0"/>
                <w:position w:val="0"/>
                <w:sz w:val="24"/>
                <w:szCs w:val="24"/>
                <w:highlight w:val="none"/>
                <w:u w:val="none"/>
                <w:lang w:val="en-US" w:eastAsia="zh-CN" w:bidi="ar-SA"/>
              </w:rPr>
            </w:pPr>
            <w:r>
              <w:rPr>
                <w:rFonts w:hint="eastAsia" w:ascii="宋体" w:hAnsi="宋体" w:eastAsia="宋体" w:cs="宋体"/>
                <w:b/>
                <w:i w:val="0"/>
                <w:caps w:val="0"/>
                <w:color w:val="auto"/>
                <w:spacing w:val="0"/>
                <w:w w:val="100"/>
                <w:kern w:val="0"/>
                <w:position w:val="0"/>
                <w:sz w:val="24"/>
                <w:szCs w:val="24"/>
                <w:highlight w:val="none"/>
                <w:u w:val="none"/>
                <w:lang w:val="en-US" w:eastAsia="zh-CN" w:bidi="ar-SA"/>
              </w:rPr>
              <w:t>9</w:t>
            </w:r>
          </w:p>
        </w:tc>
        <w:tc>
          <w:tcPr>
            <w:tcW w:w="2073" w:type="dxa"/>
            <w:noWrap w:val="0"/>
            <w:vAlign w:val="center"/>
          </w:tcPr>
          <w:p w14:paraId="2066A53E">
            <w:pPr>
              <w:keepLines w:val="0"/>
              <w:pageBreakBefore w:val="0"/>
              <w:kinsoku/>
              <w:wordWrap/>
              <w:overflowPunct/>
              <w:topLinePunct w:val="0"/>
              <w:bidi w:val="0"/>
              <w:snapToGrid/>
              <w:spacing w:before="0" w:beforeAutospacing="0" w:afterAutospacing="0" w:line="440" w:lineRule="exact"/>
              <w:ind w:left="0" w:leftChars="0" w:right="0" w:rightChars="0" w:firstLine="0" w:firstLineChars="0"/>
              <w:jc w:val="center"/>
              <w:textAlignment w:val="baseline"/>
              <w:rPr>
                <w:rFonts w:hint="eastAsia" w:ascii="宋体" w:hAnsi="宋体" w:eastAsia="宋体" w:cs="宋体"/>
                <w:b/>
                <w:i w:val="0"/>
                <w:caps w:val="0"/>
                <w:color w:val="auto"/>
                <w:spacing w:val="0"/>
                <w:w w:val="100"/>
                <w:kern w:val="0"/>
                <w:position w:val="0"/>
                <w:sz w:val="24"/>
                <w:szCs w:val="24"/>
                <w:highlight w:val="none"/>
                <w:u w:val="none"/>
                <w:lang w:val="en-US" w:eastAsia="zh-CN" w:bidi="ar-SA"/>
              </w:rPr>
            </w:pPr>
            <w:r>
              <w:rPr>
                <w:rFonts w:hint="eastAsia" w:ascii="宋体" w:hAnsi="宋体" w:eastAsia="宋体" w:cs="宋体"/>
                <w:b/>
                <w:i w:val="0"/>
                <w:caps w:val="0"/>
                <w:color w:val="auto"/>
                <w:spacing w:val="0"/>
                <w:w w:val="100"/>
                <w:kern w:val="0"/>
                <w:position w:val="0"/>
                <w:sz w:val="24"/>
                <w:szCs w:val="24"/>
                <w:highlight w:val="none"/>
                <w:u w:val="none"/>
                <w:lang w:val="en-US" w:eastAsia="zh-CN" w:bidi="ar-SA"/>
              </w:rPr>
              <w:t>磋商代理服务费</w:t>
            </w:r>
          </w:p>
        </w:tc>
        <w:tc>
          <w:tcPr>
            <w:tcW w:w="7024" w:type="dxa"/>
            <w:noWrap w:val="0"/>
            <w:vAlign w:val="top"/>
          </w:tcPr>
          <w:p w14:paraId="2BAA331B">
            <w:pPr>
              <w:pStyle w:val="17"/>
              <w:keepLines w:val="0"/>
              <w:pageBreakBefore w:val="0"/>
              <w:kinsoku/>
              <w:wordWrap/>
              <w:overflowPunct/>
              <w:topLinePunct w:val="0"/>
              <w:bidi w:val="0"/>
              <w:spacing w:after="0" w:afterLines="0" w:line="440" w:lineRule="exact"/>
              <w:rPr>
                <w:rFonts w:hint="eastAsia" w:ascii="宋体" w:hAnsi="宋体" w:eastAsia="宋体" w:cs="宋体"/>
                <w:highlight w:val="none"/>
              </w:rPr>
            </w:pPr>
            <w:r>
              <w:rPr>
                <w:rFonts w:hint="eastAsia" w:ascii="宋体" w:hAnsi="宋体" w:eastAsia="宋体" w:cs="宋体"/>
                <w:color w:val="auto"/>
                <w:spacing w:val="0"/>
                <w:position w:val="0"/>
                <w:sz w:val="24"/>
                <w:szCs w:val="24"/>
                <w:highlight w:val="none"/>
                <w:u w:val="none"/>
              </w:rPr>
              <w:t>根据采购代理机构与采购人的代理协议约定，成交服务费由成交供应商支付，在领取《成交通知书》时向采购代理机构一次性支付成交服务费。其计算标准和方法参照原发改计价[2002]1980号文件规定标准</w:t>
            </w:r>
            <w:r>
              <w:rPr>
                <w:rFonts w:hint="eastAsia" w:ascii="宋体" w:hAnsi="宋体" w:cs="宋体"/>
                <w:color w:val="auto"/>
                <w:spacing w:val="0"/>
                <w:position w:val="0"/>
                <w:sz w:val="24"/>
                <w:szCs w:val="24"/>
                <w:highlight w:val="none"/>
                <w:u w:val="none"/>
                <w:lang w:val="en-US" w:eastAsia="zh-CN"/>
              </w:rPr>
              <w:t>下浮15%</w:t>
            </w:r>
            <w:r>
              <w:rPr>
                <w:rFonts w:hint="eastAsia" w:ascii="宋体" w:hAnsi="宋体" w:eastAsia="宋体" w:cs="宋体"/>
                <w:color w:val="auto"/>
                <w:spacing w:val="0"/>
                <w:position w:val="0"/>
                <w:sz w:val="24"/>
                <w:szCs w:val="24"/>
                <w:highlight w:val="none"/>
                <w:u w:val="none"/>
              </w:rPr>
              <w:t>执行</w:t>
            </w:r>
            <w:r>
              <w:rPr>
                <w:rFonts w:hint="eastAsia" w:ascii="宋体" w:hAnsi="宋体" w:eastAsia="宋体" w:cs="宋体"/>
                <w:color w:val="auto"/>
                <w:spacing w:val="0"/>
                <w:position w:val="0"/>
                <w:sz w:val="24"/>
                <w:szCs w:val="24"/>
                <w:highlight w:val="none"/>
                <w:u w:val="none"/>
                <w:lang w:eastAsia="zh-CN"/>
              </w:rPr>
              <w:t>，</w:t>
            </w:r>
            <w:r>
              <w:rPr>
                <w:rFonts w:hint="eastAsia" w:ascii="宋体" w:hAnsi="宋体" w:eastAsia="宋体" w:cs="宋体"/>
                <w:color w:val="auto"/>
                <w:spacing w:val="0"/>
                <w:position w:val="0"/>
                <w:sz w:val="24"/>
                <w:szCs w:val="24"/>
                <w:highlight w:val="none"/>
                <w:u w:val="none"/>
              </w:rPr>
              <w:t>不足</w:t>
            </w:r>
            <w:r>
              <w:rPr>
                <w:rFonts w:hint="eastAsia" w:ascii="宋体" w:hAnsi="宋体" w:cs="宋体"/>
                <w:color w:val="auto"/>
                <w:spacing w:val="0"/>
                <w:position w:val="0"/>
                <w:sz w:val="24"/>
                <w:szCs w:val="24"/>
                <w:highlight w:val="none"/>
                <w:u w:val="none"/>
                <w:lang w:val="en-US" w:eastAsia="zh-CN"/>
              </w:rPr>
              <w:t>5</w:t>
            </w:r>
            <w:r>
              <w:rPr>
                <w:rFonts w:hint="eastAsia" w:ascii="宋体" w:hAnsi="宋体" w:eastAsia="宋体" w:cs="宋体"/>
                <w:color w:val="auto"/>
                <w:spacing w:val="0"/>
                <w:position w:val="0"/>
                <w:sz w:val="24"/>
                <w:szCs w:val="24"/>
                <w:highlight w:val="none"/>
                <w:u w:val="none"/>
              </w:rPr>
              <w:t>000元的，按</w:t>
            </w:r>
            <w:r>
              <w:rPr>
                <w:rFonts w:hint="eastAsia" w:ascii="宋体" w:hAnsi="宋体" w:cs="宋体"/>
                <w:color w:val="auto"/>
                <w:spacing w:val="0"/>
                <w:position w:val="0"/>
                <w:sz w:val="24"/>
                <w:szCs w:val="24"/>
                <w:highlight w:val="none"/>
                <w:u w:val="none"/>
                <w:lang w:val="en-US" w:eastAsia="zh-CN"/>
              </w:rPr>
              <w:t>5</w:t>
            </w:r>
            <w:r>
              <w:rPr>
                <w:rFonts w:hint="eastAsia" w:ascii="宋体" w:hAnsi="宋体" w:eastAsia="宋体" w:cs="宋体"/>
                <w:color w:val="auto"/>
                <w:spacing w:val="0"/>
                <w:position w:val="0"/>
                <w:sz w:val="24"/>
                <w:szCs w:val="24"/>
                <w:highlight w:val="none"/>
                <w:u w:val="none"/>
              </w:rPr>
              <w:t>000元收取。</w:t>
            </w:r>
          </w:p>
        </w:tc>
      </w:tr>
      <w:tr w14:paraId="14A6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5" w:type="dxa"/>
            <w:noWrap w:val="0"/>
            <w:vAlign w:val="center"/>
          </w:tcPr>
          <w:p w14:paraId="227A1CEF">
            <w:pPr>
              <w:keepLines w:val="0"/>
              <w:pageBreakBefore w:val="0"/>
              <w:kinsoku/>
              <w:wordWrap/>
              <w:overflowPunct/>
              <w:topLinePunct w:val="0"/>
              <w:bidi w:val="0"/>
              <w:snapToGrid/>
              <w:spacing w:before="0" w:beforeAutospacing="0" w:afterAutospacing="0" w:line="440" w:lineRule="exact"/>
              <w:ind w:left="0" w:leftChars="0" w:right="0" w:rightChars="0" w:firstLine="0" w:firstLineChars="0"/>
              <w:jc w:val="center"/>
              <w:textAlignment w:val="baseline"/>
              <w:rPr>
                <w:rFonts w:hint="eastAsia" w:ascii="宋体" w:hAnsi="宋体" w:eastAsia="宋体" w:cs="宋体"/>
                <w:b/>
                <w:i w:val="0"/>
                <w:caps w:val="0"/>
                <w:color w:val="auto"/>
                <w:spacing w:val="0"/>
                <w:w w:val="100"/>
                <w:kern w:val="0"/>
                <w:position w:val="0"/>
                <w:sz w:val="24"/>
                <w:szCs w:val="24"/>
                <w:highlight w:val="none"/>
                <w:u w:val="none"/>
                <w:lang w:val="en-US" w:eastAsia="zh-CN" w:bidi="ar-SA"/>
              </w:rPr>
            </w:pPr>
            <w:r>
              <w:rPr>
                <w:rFonts w:hint="eastAsia" w:ascii="宋体" w:hAnsi="宋体" w:cs="宋体"/>
                <w:b/>
                <w:i w:val="0"/>
                <w:caps w:val="0"/>
                <w:color w:val="auto"/>
                <w:spacing w:val="0"/>
                <w:w w:val="100"/>
                <w:kern w:val="0"/>
                <w:position w:val="0"/>
                <w:sz w:val="24"/>
                <w:szCs w:val="24"/>
                <w:highlight w:val="none"/>
                <w:u w:val="none"/>
                <w:lang w:val="en-US" w:eastAsia="zh-CN" w:bidi="ar-SA"/>
              </w:rPr>
              <w:t xml:space="preserve">  </w:t>
            </w:r>
            <w:r>
              <w:rPr>
                <w:rFonts w:hint="eastAsia" w:ascii="宋体" w:hAnsi="宋体" w:eastAsia="宋体" w:cs="宋体"/>
                <w:b/>
                <w:i w:val="0"/>
                <w:caps w:val="0"/>
                <w:color w:val="auto"/>
                <w:spacing w:val="0"/>
                <w:w w:val="100"/>
                <w:kern w:val="0"/>
                <w:position w:val="0"/>
                <w:sz w:val="24"/>
                <w:szCs w:val="24"/>
                <w:highlight w:val="none"/>
                <w:u w:val="none"/>
                <w:lang w:val="en-US" w:eastAsia="zh-CN" w:bidi="ar-SA"/>
              </w:rPr>
              <w:t>10</w:t>
            </w:r>
          </w:p>
        </w:tc>
        <w:tc>
          <w:tcPr>
            <w:tcW w:w="2073" w:type="dxa"/>
            <w:noWrap w:val="0"/>
            <w:vAlign w:val="center"/>
          </w:tcPr>
          <w:p w14:paraId="630D9BB9">
            <w:pPr>
              <w:keepLines w:val="0"/>
              <w:pageBreakBefore w:val="0"/>
              <w:kinsoku/>
              <w:wordWrap/>
              <w:overflowPunct/>
              <w:topLinePunct w:val="0"/>
              <w:bidi w:val="0"/>
              <w:snapToGrid/>
              <w:spacing w:before="0" w:beforeAutospacing="0" w:afterAutospacing="0" w:line="440" w:lineRule="exact"/>
              <w:ind w:left="0" w:leftChars="0" w:right="0" w:rightChars="0" w:firstLine="0" w:firstLineChars="0"/>
              <w:jc w:val="center"/>
              <w:textAlignment w:val="baseline"/>
              <w:rPr>
                <w:rFonts w:hint="eastAsia" w:ascii="宋体" w:hAnsi="宋体" w:eastAsia="宋体" w:cs="宋体"/>
                <w:b/>
                <w:i w:val="0"/>
                <w:caps w:val="0"/>
                <w:color w:val="auto"/>
                <w:spacing w:val="0"/>
                <w:w w:val="100"/>
                <w:kern w:val="0"/>
                <w:position w:val="0"/>
                <w:sz w:val="24"/>
                <w:szCs w:val="24"/>
                <w:highlight w:val="none"/>
                <w:u w:val="none"/>
                <w:lang w:val="en-US" w:eastAsia="zh-CN" w:bidi="ar-SA"/>
              </w:rPr>
            </w:pPr>
            <w:r>
              <w:rPr>
                <w:rFonts w:hint="eastAsia" w:ascii="宋体" w:hAnsi="宋体" w:eastAsia="宋体" w:cs="宋体"/>
                <w:b/>
                <w:i w:val="0"/>
                <w:caps w:val="0"/>
                <w:color w:val="auto"/>
                <w:spacing w:val="0"/>
                <w:w w:val="100"/>
                <w:kern w:val="0"/>
                <w:position w:val="0"/>
                <w:sz w:val="24"/>
                <w:szCs w:val="24"/>
                <w:highlight w:val="none"/>
                <w:u w:val="none"/>
                <w:lang w:val="en-US" w:eastAsia="zh-CN" w:bidi="ar-SA"/>
              </w:rPr>
              <w:t>解释权</w:t>
            </w:r>
          </w:p>
        </w:tc>
        <w:tc>
          <w:tcPr>
            <w:tcW w:w="7024" w:type="dxa"/>
            <w:noWrap w:val="0"/>
            <w:vAlign w:val="top"/>
          </w:tcPr>
          <w:p w14:paraId="43F035CC">
            <w:pPr>
              <w:keepLines w:val="0"/>
              <w:pageBreakBefore w:val="0"/>
              <w:kinsoku/>
              <w:wordWrap/>
              <w:overflowPunct/>
              <w:topLinePunct w:val="0"/>
              <w:bidi w:val="0"/>
              <w:snapToGrid/>
              <w:spacing w:line="440" w:lineRule="exact"/>
              <w:ind w:right="0"/>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构成磋商文件的各个组成文件应互为解释，互为说明；除磋商文件中有特别规定外，按磋商邀请、磋商须知、响应文件格式的先后顺序解释；同一组成文件中就同一事项的规定或约定不一致的，以编排顺序在后者为准；按本款前述规定仍不能形成结论的，由采购代理机构和采购人负责解释。</w:t>
            </w:r>
          </w:p>
        </w:tc>
      </w:tr>
      <w:tr w14:paraId="2227B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5" w:type="dxa"/>
            <w:noWrap w:val="0"/>
            <w:vAlign w:val="center"/>
          </w:tcPr>
          <w:p w14:paraId="54E67120">
            <w:pPr>
              <w:keepLines w:val="0"/>
              <w:pageBreakBefore w:val="0"/>
              <w:kinsoku/>
              <w:wordWrap/>
              <w:overflowPunct/>
              <w:topLinePunct w:val="0"/>
              <w:bidi w:val="0"/>
              <w:snapToGrid/>
              <w:spacing w:before="0" w:beforeAutospacing="0" w:afterAutospacing="0" w:line="440" w:lineRule="exact"/>
              <w:ind w:left="0" w:leftChars="0" w:right="0" w:rightChars="0" w:firstLine="0" w:firstLineChars="0"/>
              <w:jc w:val="center"/>
              <w:textAlignment w:val="baseline"/>
              <w:rPr>
                <w:rFonts w:hint="eastAsia" w:ascii="宋体" w:hAnsi="宋体" w:eastAsia="宋体" w:cs="宋体"/>
                <w:b/>
                <w:i w:val="0"/>
                <w:caps w:val="0"/>
                <w:color w:val="auto"/>
                <w:spacing w:val="0"/>
                <w:w w:val="100"/>
                <w:kern w:val="0"/>
                <w:position w:val="0"/>
                <w:sz w:val="24"/>
                <w:szCs w:val="24"/>
                <w:highlight w:val="none"/>
                <w:u w:val="none"/>
                <w:lang w:val="en-US" w:eastAsia="zh-CN" w:bidi="ar-SA"/>
              </w:rPr>
            </w:pPr>
            <w:r>
              <w:rPr>
                <w:rFonts w:hint="eastAsia" w:ascii="宋体" w:hAnsi="宋体" w:eastAsia="宋体" w:cs="宋体"/>
                <w:b/>
                <w:i w:val="0"/>
                <w:caps w:val="0"/>
                <w:color w:val="auto"/>
                <w:spacing w:val="0"/>
                <w:w w:val="100"/>
                <w:kern w:val="0"/>
                <w:position w:val="0"/>
                <w:sz w:val="24"/>
                <w:szCs w:val="24"/>
                <w:highlight w:val="none"/>
                <w:u w:val="none"/>
                <w:lang w:val="en-US" w:eastAsia="zh-CN" w:bidi="ar-SA"/>
              </w:rPr>
              <w:t>11</w:t>
            </w:r>
          </w:p>
        </w:tc>
        <w:tc>
          <w:tcPr>
            <w:tcW w:w="2073" w:type="dxa"/>
            <w:noWrap w:val="0"/>
            <w:vAlign w:val="center"/>
          </w:tcPr>
          <w:p w14:paraId="1D1E6445">
            <w:pPr>
              <w:keepLines w:val="0"/>
              <w:pageBreakBefore w:val="0"/>
              <w:kinsoku/>
              <w:wordWrap/>
              <w:overflowPunct/>
              <w:topLinePunct w:val="0"/>
              <w:bidi w:val="0"/>
              <w:snapToGrid/>
              <w:spacing w:before="0" w:beforeAutospacing="0" w:afterAutospacing="0" w:line="440" w:lineRule="exact"/>
              <w:ind w:left="0" w:leftChars="0" w:right="0" w:rightChars="0" w:firstLine="0" w:firstLineChars="0"/>
              <w:jc w:val="center"/>
              <w:textAlignment w:val="baseline"/>
              <w:rPr>
                <w:rFonts w:hint="eastAsia" w:ascii="宋体" w:hAnsi="宋体" w:eastAsia="宋体" w:cs="宋体"/>
                <w:b/>
                <w:i w:val="0"/>
                <w:caps w:val="0"/>
                <w:color w:val="auto"/>
                <w:spacing w:val="0"/>
                <w:w w:val="100"/>
                <w:kern w:val="0"/>
                <w:position w:val="0"/>
                <w:sz w:val="24"/>
                <w:szCs w:val="24"/>
                <w:highlight w:val="none"/>
                <w:u w:val="none"/>
                <w:lang w:val="en-US" w:eastAsia="zh-CN" w:bidi="ar-SA"/>
              </w:rPr>
            </w:pPr>
            <w:r>
              <w:rPr>
                <w:rFonts w:hint="eastAsia" w:ascii="宋体" w:hAnsi="宋体" w:eastAsia="宋体" w:cs="宋体"/>
                <w:b/>
                <w:i w:val="0"/>
                <w:caps w:val="0"/>
                <w:color w:val="auto"/>
                <w:spacing w:val="0"/>
                <w:w w:val="100"/>
                <w:kern w:val="0"/>
                <w:position w:val="0"/>
                <w:sz w:val="24"/>
                <w:szCs w:val="24"/>
                <w:highlight w:val="none"/>
                <w:u w:val="none"/>
                <w:lang w:val="en-US" w:eastAsia="zh-CN" w:bidi="ar-SA"/>
              </w:rPr>
              <w:t>付款方式</w:t>
            </w:r>
          </w:p>
        </w:tc>
        <w:tc>
          <w:tcPr>
            <w:tcW w:w="7024" w:type="dxa"/>
            <w:noWrap w:val="0"/>
            <w:vAlign w:val="top"/>
          </w:tcPr>
          <w:p w14:paraId="2AA0EAB7">
            <w:pPr>
              <w:keepLines w:val="0"/>
              <w:pageBreakBefore w:val="0"/>
              <w:kinsoku/>
              <w:wordWrap/>
              <w:overflowPunct/>
              <w:topLinePunct w:val="0"/>
              <w:bidi w:val="0"/>
              <w:snapToGrid/>
              <w:spacing w:line="440" w:lineRule="exact"/>
              <w:ind w:right="0"/>
              <w:rPr>
                <w:rFonts w:hint="default" w:ascii="宋体" w:hAnsi="宋体" w:eastAsia="宋体" w:cs="宋体"/>
                <w:color w:val="auto"/>
                <w:spacing w:val="0"/>
                <w:position w:val="0"/>
                <w:sz w:val="24"/>
                <w:szCs w:val="24"/>
                <w:highlight w:val="none"/>
                <w:u w:val="none"/>
                <w:lang w:val="en-US" w:eastAsia="zh-CN"/>
              </w:rPr>
            </w:pPr>
            <w:r>
              <w:rPr>
                <w:rFonts w:hint="eastAsia" w:ascii="宋体" w:hAnsi="宋体" w:cs="宋体"/>
                <w:color w:val="auto"/>
                <w:spacing w:val="0"/>
                <w:position w:val="0"/>
                <w:sz w:val="24"/>
                <w:szCs w:val="24"/>
                <w:highlight w:val="none"/>
                <w:u w:val="none"/>
                <w:lang w:val="en-US" w:eastAsia="zh-CN"/>
              </w:rPr>
              <w:t>按合同约定执行</w:t>
            </w:r>
          </w:p>
        </w:tc>
      </w:tr>
      <w:tr w14:paraId="18B33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5" w:type="dxa"/>
            <w:noWrap w:val="0"/>
            <w:vAlign w:val="center"/>
          </w:tcPr>
          <w:p w14:paraId="50414021">
            <w:pPr>
              <w:keepLines w:val="0"/>
              <w:pageBreakBefore w:val="0"/>
              <w:kinsoku/>
              <w:wordWrap/>
              <w:overflowPunct/>
              <w:topLinePunct w:val="0"/>
              <w:bidi w:val="0"/>
              <w:snapToGrid/>
              <w:spacing w:line="440" w:lineRule="exact"/>
              <w:ind w:right="0"/>
              <w:jc w:val="center"/>
              <w:rPr>
                <w:rFonts w:hint="eastAsia" w:ascii="宋体" w:hAnsi="宋体" w:eastAsia="宋体" w:cs="宋体"/>
                <w:b/>
                <w:bCs/>
                <w:color w:val="auto"/>
                <w:spacing w:val="0"/>
                <w:position w:val="0"/>
                <w:sz w:val="24"/>
                <w:szCs w:val="24"/>
                <w:highlight w:val="none"/>
                <w:u w:val="none"/>
              </w:rPr>
            </w:pPr>
            <w:r>
              <w:rPr>
                <w:rFonts w:hint="eastAsia" w:ascii="宋体" w:hAnsi="宋体" w:eastAsia="宋体" w:cs="宋体"/>
                <w:b/>
                <w:bCs/>
                <w:color w:val="auto"/>
                <w:spacing w:val="0"/>
                <w:kern w:val="0"/>
                <w:position w:val="0"/>
                <w:sz w:val="24"/>
                <w:szCs w:val="24"/>
                <w:highlight w:val="none"/>
                <w:u w:val="none"/>
              </w:rPr>
              <w:t>注意事项</w:t>
            </w:r>
          </w:p>
        </w:tc>
        <w:tc>
          <w:tcPr>
            <w:tcW w:w="9097" w:type="dxa"/>
            <w:gridSpan w:val="2"/>
            <w:noWrap w:val="0"/>
            <w:vAlign w:val="center"/>
          </w:tcPr>
          <w:p w14:paraId="280E9D96">
            <w:pPr>
              <w:pStyle w:val="19"/>
              <w:keepLines w:val="0"/>
              <w:pageBreakBefore w:val="0"/>
              <w:kinsoku/>
              <w:wordWrap/>
              <w:overflowPunct/>
              <w:topLinePunct w:val="0"/>
              <w:bidi w:val="0"/>
              <w:snapToGrid/>
              <w:spacing w:after="0" w:afterLines="0" w:line="440" w:lineRule="exact"/>
              <w:ind w:left="0" w:leftChars="0" w:right="0"/>
              <w:rPr>
                <w:rStyle w:val="56"/>
                <w:rFonts w:hint="eastAsia" w:ascii="宋体" w:hAnsi="宋体" w:eastAsia="宋体" w:cs="宋体"/>
                <w:b w:val="0"/>
                <w:bCs/>
                <w:i w:val="0"/>
                <w:caps w:val="0"/>
                <w:color w:val="auto"/>
                <w:spacing w:val="0"/>
                <w:w w:val="100"/>
                <w:kern w:val="2"/>
                <w:position w:val="0"/>
                <w:sz w:val="24"/>
                <w:szCs w:val="24"/>
                <w:highlight w:val="none"/>
                <w:u w:val="none"/>
                <w:lang w:val="en-US" w:eastAsia="zh-CN" w:bidi="ar-SA"/>
              </w:rPr>
            </w:pPr>
            <w:r>
              <w:rPr>
                <w:rStyle w:val="56"/>
                <w:rFonts w:hint="eastAsia" w:ascii="宋体" w:hAnsi="宋体" w:eastAsia="宋体" w:cs="宋体"/>
                <w:b w:val="0"/>
                <w:bCs/>
                <w:i w:val="0"/>
                <w:caps w:val="0"/>
                <w:color w:val="auto"/>
                <w:spacing w:val="0"/>
                <w:w w:val="100"/>
                <w:kern w:val="2"/>
                <w:position w:val="0"/>
                <w:sz w:val="24"/>
                <w:szCs w:val="24"/>
                <w:highlight w:val="none"/>
                <w:u w:val="none"/>
                <w:lang w:val="en-US" w:eastAsia="zh-CN" w:bidi="ar-SA"/>
              </w:rPr>
              <w:t>1、本项目实行网上投标，采用电子响应文件。2、各供应商应在开标前应确保成为新疆政府采购网正式注册入库供应商，并完成CA数字证书（符合国密标准）申领。因未注册入库、未办理CA数字证书等原因造成无法投标或投标失败等后果由供应商自行承担。有意向参与新疆维吾尔自治区区域电子开评标的供应商，可访问新疆数字证书认证中心官方网站（https://www.xjca.com.cn/）或下载“新疆政务通”APP自行进行申领。如需咨询，请联系新疆CA服务热线0991-2819290。</w:t>
            </w:r>
          </w:p>
          <w:p w14:paraId="40DBB983">
            <w:pPr>
              <w:pStyle w:val="19"/>
              <w:keepLines w:val="0"/>
              <w:pageBreakBefore w:val="0"/>
              <w:kinsoku/>
              <w:wordWrap/>
              <w:overflowPunct/>
              <w:topLinePunct w:val="0"/>
              <w:bidi w:val="0"/>
              <w:snapToGrid/>
              <w:spacing w:after="0" w:afterLines="0" w:line="440" w:lineRule="exact"/>
              <w:ind w:left="0" w:leftChars="0" w:right="0"/>
              <w:rPr>
                <w:rStyle w:val="56"/>
                <w:rFonts w:hint="eastAsia" w:ascii="宋体" w:hAnsi="宋体" w:eastAsia="宋体" w:cs="宋体"/>
                <w:b w:val="0"/>
                <w:bCs/>
                <w:i w:val="0"/>
                <w:caps w:val="0"/>
                <w:color w:val="auto"/>
                <w:spacing w:val="0"/>
                <w:w w:val="100"/>
                <w:kern w:val="2"/>
                <w:position w:val="0"/>
                <w:sz w:val="24"/>
                <w:szCs w:val="24"/>
                <w:highlight w:val="none"/>
                <w:u w:val="none"/>
                <w:lang w:val="en-US" w:eastAsia="zh-CN" w:bidi="ar-SA"/>
              </w:rPr>
            </w:pPr>
            <w:r>
              <w:rPr>
                <w:rStyle w:val="56"/>
                <w:rFonts w:hint="eastAsia" w:ascii="宋体" w:hAnsi="宋体" w:eastAsia="宋体" w:cs="宋体"/>
                <w:b w:val="0"/>
                <w:bCs/>
                <w:i w:val="0"/>
                <w:caps w:val="0"/>
                <w:color w:val="auto"/>
                <w:spacing w:val="0"/>
                <w:w w:val="100"/>
                <w:kern w:val="2"/>
                <w:position w:val="0"/>
                <w:sz w:val="24"/>
                <w:szCs w:val="24"/>
                <w:highlight w:val="none"/>
                <w:u w:val="none"/>
                <w:lang w:val="en-US" w:eastAsia="zh-CN" w:bidi="ar-SA"/>
              </w:rPr>
              <w:t>3、供应商将政采云电子交易客户端下载、安装完成后，可通过账号密码或CA登录客户端进行响应文件的制作。在使用政采云投标客户端时，建议使用WIN7及以上操作系统。客户端请至新疆政采云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7F7E0796">
            <w:pPr>
              <w:pStyle w:val="19"/>
              <w:keepLines w:val="0"/>
              <w:pageBreakBefore w:val="0"/>
              <w:kinsoku/>
              <w:wordWrap/>
              <w:overflowPunct/>
              <w:topLinePunct w:val="0"/>
              <w:bidi w:val="0"/>
              <w:snapToGrid/>
              <w:spacing w:after="0" w:afterLines="0" w:line="440" w:lineRule="exact"/>
              <w:ind w:left="0" w:leftChars="0" w:right="0"/>
              <w:rPr>
                <w:rFonts w:hint="eastAsia" w:ascii="宋体" w:hAnsi="宋体" w:eastAsia="宋体" w:cs="宋体"/>
                <w:color w:val="auto"/>
                <w:spacing w:val="0"/>
                <w:position w:val="0"/>
                <w:sz w:val="24"/>
                <w:szCs w:val="24"/>
                <w:highlight w:val="none"/>
                <w:u w:val="none"/>
              </w:rPr>
            </w:pPr>
            <w:r>
              <w:rPr>
                <w:rStyle w:val="56"/>
                <w:rFonts w:hint="eastAsia" w:ascii="宋体" w:hAnsi="宋体" w:eastAsia="宋体" w:cs="宋体"/>
                <w:b w:val="0"/>
                <w:bCs/>
                <w:i w:val="0"/>
                <w:caps w:val="0"/>
                <w:color w:val="auto"/>
                <w:spacing w:val="0"/>
                <w:w w:val="100"/>
                <w:kern w:val="2"/>
                <w:position w:val="0"/>
                <w:sz w:val="24"/>
                <w:szCs w:val="24"/>
                <w:highlight w:val="none"/>
                <w:u w:val="none"/>
                <w:lang w:val="en-US" w:eastAsia="zh-CN" w:bidi="ar-SA"/>
              </w:rPr>
              <w:t>4、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 </w:t>
            </w:r>
          </w:p>
        </w:tc>
      </w:tr>
    </w:tbl>
    <w:p w14:paraId="03ED1188">
      <w:pPr>
        <w:kinsoku/>
        <w:wordWrap/>
        <w:overflowPunct/>
        <w:bidi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pacing w:val="0"/>
          <w:kern w:val="0"/>
          <w:position w:val="0"/>
          <w:sz w:val="24"/>
          <w:highlight w:val="none"/>
        </w:rPr>
        <w:t>注：本表内容与</w:t>
      </w:r>
      <w:r>
        <w:rPr>
          <w:rFonts w:hint="eastAsia" w:ascii="宋体" w:hAnsi="宋体" w:eastAsia="宋体" w:cs="宋体"/>
          <w:color w:val="auto"/>
          <w:spacing w:val="0"/>
          <w:kern w:val="0"/>
          <w:position w:val="0"/>
          <w:sz w:val="24"/>
          <w:highlight w:val="none"/>
          <w:lang w:eastAsia="zh-CN"/>
        </w:rPr>
        <w:t>竞争性磋商文件</w:t>
      </w:r>
      <w:r>
        <w:rPr>
          <w:rFonts w:hint="eastAsia" w:ascii="宋体" w:hAnsi="宋体" w:eastAsia="宋体" w:cs="宋体"/>
          <w:color w:val="auto"/>
          <w:spacing w:val="0"/>
          <w:kern w:val="0"/>
          <w:position w:val="0"/>
          <w:sz w:val="24"/>
          <w:highlight w:val="none"/>
        </w:rPr>
        <w:t>其它内容不一致的，应当以本表内容为准。</w:t>
      </w:r>
      <w:bookmarkStart w:id="11" w:name="_Toc29995"/>
    </w:p>
    <w:p w14:paraId="18BF5388">
      <w:pPr>
        <w:pStyle w:val="3"/>
        <w:kinsoku/>
        <w:wordWrap/>
        <w:overflowPunct/>
        <w:bidi w:val="0"/>
        <w:jc w:val="center"/>
        <w:rPr>
          <w:rFonts w:hint="eastAsia" w:ascii="宋体" w:hAnsi="宋体" w:eastAsia="宋体" w:cs="宋体"/>
          <w:b/>
          <w:bCs/>
          <w:color w:val="auto"/>
          <w:spacing w:val="0"/>
          <w:kern w:val="2"/>
          <w:position w:val="0"/>
          <w:sz w:val="28"/>
          <w:szCs w:val="28"/>
          <w:highlight w:val="none"/>
          <w:lang w:val="en-US" w:eastAsia="zh-CN" w:bidi="ar-SA"/>
        </w:rPr>
      </w:pPr>
    </w:p>
    <w:p w14:paraId="51A95C2A">
      <w:pPr>
        <w:pStyle w:val="3"/>
        <w:kinsoku/>
        <w:wordWrap/>
        <w:overflowPunct/>
        <w:bidi w:val="0"/>
        <w:ind w:firstLine="3654" w:firstLineChars="1300"/>
        <w:jc w:val="both"/>
        <w:rPr>
          <w:rFonts w:hint="eastAsia" w:ascii="宋体" w:hAnsi="宋体" w:eastAsia="宋体" w:cs="宋体"/>
          <w:b/>
          <w:bCs/>
          <w:color w:val="auto"/>
          <w:spacing w:val="0"/>
          <w:kern w:val="2"/>
          <w:position w:val="0"/>
          <w:sz w:val="28"/>
          <w:szCs w:val="28"/>
          <w:highlight w:val="none"/>
          <w:lang w:val="en-US" w:eastAsia="zh-CN" w:bidi="ar-SA"/>
        </w:rPr>
      </w:pPr>
    </w:p>
    <w:p w14:paraId="659FC9FF">
      <w:pPr>
        <w:rPr>
          <w:rFonts w:hint="eastAsia" w:ascii="宋体" w:hAnsi="宋体" w:eastAsia="宋体" w:cs="宋体"/>
          <w:b/>
          <w:bCs/>
          <w:color w:val="auto"/>
          <w:spacing w:val="0"/>
          <w:kern w:val="2"/>
          <w:position w:val="0"/>
          <w:sz w:val="28"/>
          <w:szCs w:val="28"/>
          <w:highlight w:val="none"/>
          <w:lang w:val="en-US" w:eastAsia="zh-CN" w:bidi="ar-SA"/>
        </w:rPr>
      </w:pPr>
      <w:r>
        <w:rPr>
          <w:rFonts w:hint="eastAsia" w:ascii="宋体" w:hAnsi="宋体" w:eastAsia="宋体" w:cs="宋体"/>
          <w:b/>
          <w:bCs/>
          <w:color w:val="auto"/>
          <w:spacing w:val="0"/>
          <w:kern w:val="2"/>
          <w:position w:val="0"/>
          <w:sz w:val="28"/>
          <w:szCs w:val="28"/>
          <w:highlight w:val="none"/>
          <w:lang w:val="en-US" w:eastAsia="zh-CN" w:bidi="ar-SA"/>
        </w:rPr>
        <w:br w:type="page"/>
      </w:r>
    </w:p>
    <w:p w14:paraId="70729EDB">
      <w:pPr>
        <w:pStyle w:val="3"/>
        <w:kinsoku/>
        <w:wordWrap/>
        <w:overflowPunct/>
        <w:bidi w:val="0"/>
        <w:ind w:firstLine="3373" w:firstLineChars="1200"/>
        <w:jc w:val="both"/>
        <w:rPr>
          <w:rFonts w:hint="eastAsia" w:ascii="宋体" w:hAnsi="宋体" w:eastAsia="宋体" w:cs="宋体"/>
          <w:b/>
          <w:bCs/>
          <w:color w:val="auto"/>
          <w:spacing w:val="0"/>
          <w:kern w:val="2"/>
          <w:position w:val="0"/>
          <w:sz w:val="28"/>
          <w:szCs w:val="28"/>
          <w:highlight w:val="none"/>
          <w:lang w:val="en-US" w:eastAsia="zh-CN" w:bidi="ar-SA"/>
        </w:rPr>
      </w:pPr>
      <w:bookmarkStart w:id="12" w:name="_Toc2330"/>
      <w:r>
        <w:rPr>
          <w:rFonts w:hint="eastAsia" w:ascii="宋体" w:hAnsi="宋体" w:eastAsia="宋体" w:cs="宋体"/>
          <w:b/>
          <w:bCs/>
          <w:color w:val="auto"/>
          <w:spacing w:val="0"/>
          <w:kern w:val="2"/>
          <w:position w:val="0"/>
          <w:sz w:val="28"/>
          <w:szCs w:val="28"/>
          <w:highlight w:val="none"/>
          <w:lang w:val="en-US" w:eastAsia="zh-CN" w:bidi="ar-SA"/>
        </w:rPr>
        <w:t>磋商须知正文部分</w:t>
      </w:r>
      <w:bookmarkEnd w:id="11"/>
      <w:bookmarkEnd w:id="12"/>
    </w:p>
    <w:p w14:paraId="295C7969">
      <w:pPr>
        <w:pStyle w:val="3"/>
        <w:pageBreakBefore w:val="0"/>
        <w:kinsoku/>
        <w:wordWrap/>
        <w:overflowPunct/>
        <w:topLinePunct w:val="0"/>
        <w:bidi w:val="0"/>
        <w:spacing w:line="440" w:lineRule="exact"/>
        <w:ind w:left="0" w:right="0" w:rightChars="0"/>
        <w:jc w:val="center"/>
        <w:textAlignment w:val="auto"/>
        <w:rPr>
          <w:rFonts w:hint="eastAsia" w:ascii="宋体" w:hAnsi="宋体" w:eastAsia="宋体" w:cs="宋体"/>
          <w:color w:val="auto"/>
          <w:spacing w:val="0"/>
          <w:position w:val="0"/>
          <w:highlight w:val="none"/>
        </w:rPr>
      </w:pPr>
      <w:bookmarkStart w:id="13" w:name="_Toc2262"/>
      <w:bookmarkStart w:id="14" w:name="_Toc8418"/>
      <w:r>
        <w:rPr>
          <w:rFonts w:hint="eastAsia" w:ascii="宋体" w:hAnsi="宋体" w:eastAsia="宋体" w:cs="宋体"/>
          <w:color w:val="auto"/>
          <w:spacing w:val="0"/>
          <w:position w:val="0"/>
          <w:highlight w:val="none"/>
        </w:rPr>
        <w:t>一、说明</w:t>
      </w:r>
      <w:bookmarkEnd w:id="13"/>
      <w:bookmarkEnd w:id="14"/>
    </w:p>
    <w:p w14:paraId="1671FD5C">
      <w:pPr>
        <w:pageBreakBefore w:val="0"/>
        <w:kinsoku/>
        <w:wordWrap/>
        <w:overflowPunct/>
        <w:topLinePunct w:val="0"/>
        <w:bidi w:val="0"/>
        <w:adjustRightInd w:val="0"/>
        <w:snapToGrid w:val="0"/>
        <w:spacing w:line="440" w:lineRule="exact"/>
        <w:ind w:left="0" w:right="0" w:rightChars="0"/>
        <w:textAlignment w:val="auto"/>
        <w:rPr>
          <w:rFonts w:hint="eastAsia" w:ascii="宋体" w:hAnsi="宋体" w:eastAsia="宋体" w:cs="宋体"/>
          <w:b/>
          <w:bCs/>
          <w:color w:val="auto"/>
          <w:spacing w:val="0"/>
          <w:position w:val="0"/>
          <w:sz w:val="24"/>
          <w:highlight w:val="none"/>
        </w:rPr>
      </w:pPr>
      <w:r>
        <w:rPr>
          <w:rFonts w:hint="eastAsia" w:ascii="宋体" w:hAnsi="宋体" w:eastAsia="宋体" w:cs="宋体"/>
          <w:b/>
          <w:bCs/>
          <w:color w:val="auto"/>
          <w:spacing w:val="0"/>
          <w:position w:val="0"/>
          <w:sz w:val="24"/>
          <w:highlight w:val="none"/>
        </w:rPr>
        <w:t>1.1  适用范围</w:t>
      </w:r>
    </w:p>
    <w:p w14:paraId="2FB248B9">
      <w:pPr>
        <w:pageBreakBefore w:val="0"/>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1.1本磋商文件仅适用于本磋商邀请中所叙述的采购项目。</w:t>
      </w:r>
    </w:p>
    <w:p w14:paraId="715B939C">
      <w:pPr>
        <w:pageBreakBefore w:val="0"/>
        <w:kinsoku/>
        <w:wordWrap/>
        <w:overflowPunct/>
        <w:topLinePunct w:val="0"/>
        <w:bidi w:val="0"/>
        <w:adjustRightInd w:val="0"/>
        <w:snapToGrid w:val="0"/>
        <w:spacing w:line="440" w:lineRule="exact"/>
        <w:ind w:left="0" w:right="0" w:rightChars="0"/>
        <w:textAlignment w:val="auto"/>
        <w:rPr>
          <w:rFonts w:hint="eastAsia" w:ascii="宋体" w:hAnsi="宋体" w:eastAsia="宋体" w:cs="宋体"/>
          <w:b/>
          <w:bCs/>
          <w:color w:val="auto"/>
          <w:spacing w:val="0"/>
          <w:position w:val="0"/>
          <w:sz w:val="24"/>
          <w:highlight w:val="none"/>
        </w:rPr>
      </w:pPr>
      <w:r>
        <w:rPr>
          <w:rFonts w:hint="eastAsia" w:ascii="宋体" w:hAnsi="宋体" w:eastAsia="宋体" w:cs="宋体"/>
          <w:b/>
          <w:bCs/>
          <w:color w:val="auto"/>
          <w:spacing w:val="0"/>
          <w:position w:val="0"/>
          <w:sz w:val="24"/>
          <w:highlight w:val="none"/>
        </w:rPr>
        <w:t>1.2  项目概况</w:t>
      </w:r>
    </w:p>
    <w:p w14:paraId="44B9A200">
      <w:pPr>
        <w:pageBreakBefore w:val="0"/>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见</w:t>
      </w:r>
      <w:r>
        <w:rPr>
          <w:rFonts w:hint="eastAsia" w:ascii="宋体" w:hAnsi="宋体" w:eastAsia="宋体" w:cs="宋体"/>
          <w:b/>
          <w:color w:val="auto"/>
          <w:spacing w:val="0"/>
          <w:position w:val="0"/>
          <w:sz w:val="24"/>
          <w:highlight w:val="none"/>
        </w:rPr>
        <w:t>磋商须知前附表</w:t>
      </w:r>
      <w:r>
        <w:rPr>
          <w:rFonts w:hint="eastAsia" w:ascii="宋体" w:hAnsi="宋体" w:eastAsia="宋体" w:cs="宋体"/>
          <w:color w:val="auto"/>
          <w:spacing w:val="0"/>
          <w:position w:val="0"/>
          <w:sz w:val="24"/>
          <w:highlight w:val="none"/>
        </w:rPr>
        <w:t>。</w:t>
      </w:r>
    </w:p>
    <w:p w14:paraId="72F4762F">
      <w:pPr>
        <w:pageBreakBefore w:val="0"/>
        <w:kinsoku/>
        <w:wordWrap/>
        <w:overflowPunct/>
        <w:topLinePunct w:val="0"/>
        <w:bidi w:val="0"/>
        <w:adjustRightInd w:val="0"/>
        <w:snapToGrid w:val="0"/>
        <w:spacing w:line="440" w:lineRule="exact"/>
        <w:ind w:left="0" w:right="0" w:rightChars="0"/>
        <w:textAlignment w:val="auto"/>
        <w:rPr>
          <w:rFonts w:hint="eastAsia" w:ascii="宋体" w:hAnsi="宋体" w:eastAsia="宋体" w:cs="宋体"/>
          <w:b/>
          <w:bCs/>
          <w:color w:val="auto"/>
          <w:spacing w:val="0"/>
          <w:position w:val="0"/>
          <w:sz w:val="24"/>
          <w:highlight w:val="none"/>
        </w:rPr>
      </w:pPr>
      <w:r>
        <w:rPr>
          <w:rFonts w:hint="eastAsia" w:ascii="宋体" w:hAnsi="宋体" w:eastAsia="宋体" w:cs="宋体"/>
          <w:b/>
          <w:bCs/>
          <w:color w:val="auto"/>
          <w:spacing w:val="0"/>
          <w:position w:val="0"/>
          <w:sz w:val="24"/>
          <w:highlight w:val="none"/>
        </w:rPr>
        <w:t>1.3  合格的供应商</w:t>
      </w:r>
    </w:p>
    <w:p w14:paraId="1A3015F8">
      <w:pPr>
        <w:pageBreakBefore w:val="0"/>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b/>
          <w:bCs/>
          <w:color w:val="auto"/>
          <w:spacing w:val="0"/>
          <w:position w:val="0"/>
          <w:sz w:val="24"/>
          <w:highlight w:val="none"/>
        </w:rPr>
      </w:pPr>
      <w:r>
        <w:rPr>
          <w:rFonts w:hint="eastAsia" w:ascii="宋体" w:hAnsi="宋体" w:eastAsia="宋体" w:cs="宋体"/>
          <w:bCs/>
          <w:color w:val="auto"/>
          <w:spacing w:val="0"/>
          <w:position w:val="0"/>
          <w:sz w:val="24"/>
          <w:highlight w:val="none"/>
        </w:rPr>
        <w:t>1.3.1 供应商的资格要求见</w:t>
      </w:r>
      <w:r>
        <w:rPr>
          <w:rFonts w:hint="eastAsia" w:ascii="宋体" w:hAnsi="宋体" w:eastAsia="宋体" w:cs="宋体"/>
          <w:b/>
          <w:color w:val="auto"/>
          <w:spacing w:val="0"/>
          <w:position w:val="0"/>
          <w:sz w:val="24"/>
          <w:highlight w:val="none"/>
        </w:rPr>
        <w:t>磋商须知前附表</w:t>
      </w:r>
      <w:r>
        <w:rPr>
          <w:rFonts w:hint="eastAsia" w:ascii="宋体" w:hAnsi="宋体" w:eastAsia="宋体" w:cs="宋体"/>
          <w:color w:val="auto"/>
          <w:spacing w:val="0"/>
          <w:position w:val="0"/>
          <w:sz w:val="24"/>
          <w:highlight w:val="none"/>
        </w:rPr>
        <w:t>；</w:t>
      </w:r>
    </w:p>
    <w:p w14:paraId="599AEA14">
      <w:pPr>
        <w:pageBreakBefore w:val="0"/>
        <w:kinsoku/>
        <w:wordWrap/>
        <w:overflowPunct/>
        <w:topLinePunct w:val="0"/>
        <w:bidi w:val="0"/>
        <w:spacing w:line="440" w:lineRule="exact"/>
        <w:ind w:left="0" w:right="0" w:rightChars="0" w:firstLine="42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1.3.2凡为本采购项目提供整体设计、规范编制或者项目管理、监理、检测等服务的供应商，不得参加报价。</w:t>
      </w:r>
    </w:p>
    <w:p w14:paraId="42C6BA0D">
      <w:pPr>
        <w:pageBreakBefore w:val="0"/>
        <w:kinsoku/>
        <w:wordWrap/>
        <w:overflowPunct/>
        <w:topLinePunct w:val="0"/>
        <w:bidi w:val="0"/>
        <w:spacing w:line="440" w:lineRule="exact"/>
        <w:ind w:left="0" w:right="0" w:rightChars="0" w:firstLine="42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1.3.3一个供应商只能提交一个响应文件。但如果不同供应商之间的单位负责人为同一人或者存在直接控股、管理关系的，均作无效报价处理。</w:t>
      </w:r>
    </w:p>
    <w:p w14:paraId="225E51EE">
      <w:pPr>
        <w:pageBreakBefore w:val="0"/>
        <w:kinsoku/>
        <w:wordWrap/>
        <w:overflowPunct/>
        <w:topLinePunct w:val="0"/>
        <w:bidi w:val="0"/>
        <w:spacing w:line="440" w:lineRule="exact"/>
        <w:ind w:left="0" w:right="0" w:rightChars="0" w:firstLine="42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1.3.4供应商存在下列情形之一的，将被认定为串通报价行为并作无效报价处理：</w:t>
      </w:r>
    </w:p>
    <w:p w14:paraId="5251A83E">
      <w:pPr>
        <w:pageBreakBefore w:val="0"/>
        <w:kinsoku/>
        <w:wordWrap/>
        <w:overflowPunct/>
        <w:topLinePunct w:val="0"/>
        <w:bidi w:val="0"/>
        <w:spacing w:line="440" w:lineRule="exact"/>
        <w:ind w:left="0" w:right="0" w:rightChars="0" w:firstLine="42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（1）不同供应商的响应文件错、漏之处一致或雷同，且不能合理解释的；</w:t>
      </w:r>
    </w:p>
    <w:p w14:paraId="302E56FF">
      <w:pPr>
        <w:pageBreakBefore w:val="0"/>
        <w:kinsoku/>
        <w:wordWrap/>
        <w:overflowPunct/>
        <w:topLinePunct w:val="0"/>
        <w:bidi w:val="0"/>
        <w:spacing w:line="440" w:lineRule="exact"/>
        <w:ind w:left="0" w:right="0" w:rightChars="0" w:firstLine="42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（2）由同一人或分别由几个有利害关系的人携带两个以上（含两个）供应商的企业资料参与资格审查、领取磋商资料，或代表两个以上（含两个）供应商参加磋商答疑会、交纳或退还磋商保证金、开标的；</w:t>
      </w:r>
    </w:p>
    <w:p w14:paraId="47282262">
      <w:pPr>
        <w:pageBreakBefore w:val="0"/>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（3）有关法律、法规或规章规定的其他串通报价行为。</w:t>
      </w:r>
    </w:p>
    <w:p w14:paraId="40C8C213">
      <w:pPr>
        <w:pageBreakBefore w:val="0"/>
        <w:kinsoku/>
        <w:wordWrap/>
        <w:overflowPunct/>
        <w:topLinePunct w:val="0"/>
        <w:bidi w:val="0"/>
        <w:adjustRightInd w:val="0"/>
        <w:snapToGrid w:val="0"/>
        <w:spacing w:line="440" w:lineRule="exact"/>
        <w:ind w:left="0" w:right="0" w:rightChars="0"/>
        <w:textAlignment w:val="auto"/>
        <w:rPr>
          <w:rFonts w:hint="eastAsia" w:ascii="宋体" w:hAnsi="宋体" w:eastAsia="宋体" w:cs="宋体"/>
          <w:b/>
          <w:bCs/>
          <w:color w:val="auto"/>
          <w:spacing w:val="0"/>
          <w:position w:val="0"/>
          <w:sz w:val="24"/>
          <w:highlight w:val="none"/>
        </w:rPr>
      </w:pPr>
      <w:r>
        <w:rPr>
          <w:rFonts w:hint="eastAsia" w:ascii="宋体" w:hAnsi="宋体" w:eastAsia="宋体" w:cs="宋体"/>
          <w:b/>
          <w:bCs/>
          <w:color w:val="auto"/>
          <w:spacing w:val="0"/>
          <w:position w:val="0"/>
          <w:sz w:val="24"/>
          <w:highlight w:val="none"/>
        </w:rPr>
        <w:t xml:space="preserve">1.4 参与磋商的费用 </w:t>
      </w:r>
    </w:p>
    <w:p w14:paraId="1B06CDAA">
      <w:pPr>
        <w:pageBreakBefore w:val="0"/>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无论磋商的结果如何，供应商应自行承担所有与</w:t>
      </w:r>
      <w:r>
        <w:rPr>
          <w:rFonts w:hint="eastAsia" w:ascii="宋体" w:hAnsi="宋体" w:eastAsia="宋体" w:cs="宋体"/>
          <w:color w:val="auto"/>
          <w:spacing w:val="0"/>
          <w:kern w:val="0"/>
          <w:position w:val="0"/>
          <w:sz w:val="24"/>
          <w:highlight w:val="none"/>
        </w:rPr>
        <w:t>磋商</w:t>
      </w:r>
      <w:r>
        <w:rPr>
          <w:rFonts w:hint="eastAsia" w:ascii="宋体" w:hAnsi="宋体" w:eastAsia="宋体" w:cs="宋体"/>
          <w:color w:val="auto"/>
          <w:spacing w:val="0"/>
          <w:kern w:val="0"/>
          <w:position w:val="0"/>
          <w:sz w:val="24"/>
          <w:highlight w:val="none"/>
          <w:lang w:val="zh-CN"/>
        </w:rPr>
        <w:t>采购活动</w:t>
      </w:r>
      <w:r>
        <w:rPr>
          <w:rFonts w:hint="eastAsia" w:ascii="宋体" w:hAnsi="宋体" w:eastAsia="宋体" w:cs="宋体"/>
          <w:color w:val="auto"/>
          <w:spacing w:val="0"/>
          <w:position w:val="0"/>
          <w:sz w:val="24"/>
          <w:highlight w:val="none"/>
        </w:rPr>
        <w:t>有关的全部费用。</w:t>
      </w:r>
    </w:p>
    <w:p w14:paraId="44923514">
      <w:pPr>
        <w:pStyle w:val="3"/>
        <w:pageBreakBefore w:val="0"/>
        <w:kinsoku/>
        <w:wordWrap/>
        <w:overflowPunct/>
        <w:topLinePunct w:val="0"/>
        <w:bidi w:val="0"/>
        <w:spacing w:line="440" w:lineRule="exact"/>
        <w:ind w:left="0" w:right="0" w:rightChars="0"/>
        <w:jc w:val="center"/>
        <w:textAlignment w:val="auto"/>
        <w:rPr>
          <w:rFonts w:hint="eastAsia" w:ascii="宋体" w:hAnsi="宋体" w:eastAsia="宋体" w:cs="宋体"/>
          <w:color w:val="auto"/>
          <w:spacing w:val="0"/>
          <w:position w:val="0"/>
          <w:highlight w:val="none"/>
        </w:rPr>
      </w:pPr>
      <w:bookmarkStart w:id="15" w:name="_Toc4839"/>
      <w:bookmarkStart w:id="16" w:name="_Toc17142"/>
      <w:r>
        <w:rPr>
          <w:rFonts w:hint="eastAsia" w:ascii="宋体" w:hAnsi="宋体" w:eastAsia="宋体" w:cs="宋体"/>
          <w:color w:val="auto"/>
          <w:spacing w:val="0"/>
          <w:position w:val="0"/>
          <w:highlight w:val="none"/>
        </w:rPr>
        <w:t>二、磋商文件</w:t>
      </w:r>
      <w:bookmarkEnd w:id="15"/>
      <w:bookmarkEnd w:id="16"/>
    </w:p>
    <w:p w14:paraId="458B39E7">
      <w:pPr>
        <w:pageBreakBefore w:val="0"/>
        <w:kinsoku/>
        <w:wordWrap/>
        <w:overflowPunct/>
        <w:topLinePunct w:val="0"/>
        <w:bidi w:val="0"/>
        <w:adjustRightInd w:val="0"/>
        <w:snapToGrid w:val="0"/>
        <w:spacing w:line="440" w:lineRule="exact"/>
        <w:ind w:left="0" w:right="0" w:rightChars="0"/>
        <w:textAlignment w:val="auto"/>
        <w:rPr>
          <w:rFonts w:hint="eastAsia" w:ascii="宋体" w:hAnsi="宋体" w:eastAsia="宋体" w:cs="宋体"/>
          <w:b/>
          <w:bCs/>
          <w:color w:val="auto"/>
          <w:spacing w:val="0"/>
          <w:position w:val="0"/>
          <w:sz w:val="24"/>
          <w:highlight w:val="none"/>
        </w:rPr>
      </w:pPr>
      <w:r>
        <w:rPr>
          <w:rFonts w:hint="eastAsia" w:ascii="宋体" w:hAnsi="宋体" w:eastAsia="宋体" w:cs="宋体"/>
          <w:b/>
          <w:bCs/>
          <w:color w:val="auto"/>
          <w:spacing w:val="0"/>
          <w:position w:val="0"/>
          <w:sz w:val="24"/>
          <w:highlight w:val="none"/>
        </w:rPr>
        <w:t>2.1  磋商文件的组成</w:t>
      </w:r>
    </w:p>
    <w:p w14:paraId="67D80A18">
      <w:pPr>
        <w:pStyle w:val="23"/>
        <w:pageBreakBefore w:val="0"/>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（1）磋商邀请</w:t>
      </w:r>
    </w:p>
    <w:p w14:paraId="2033FD52">
      <w:pPr>
        <w:pStyle w:val="23"/>
        <w:pageBreakBefore w:val="0"/>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（2）磋商须知</w:t>
      </w:r>
    </w:p>
    <w:p w14:paraId="136621F3">
      <w:pPr>
        <w:pageBreakBefore w:val="0"/>
        <w:kinsoku/>
        <w:wordWrap/>
        <w:overflowPunct/>
        <w:topLinePunct w:val="0"/>
        <w:bidi w:val="0"/>
        <w:adjustRightInd w:val="0"/>
        <w:snapToGrid w:val="0"/>
        <w:spacing w:line="440" w:lineRule="exact"/>
        <w:ind w:left="0" w:right="0" w:rightChars="0" w:firstLine="480" w:firstLineChars="200"/>
        <w:jc w:val="left"/>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（3）评审方法（综合评分法）</w:t>
      </w:r>
    </w:p>
    <w:p w14:paraId="0430336C">
      <w:pPr>
        <w:pStyle w:val="23"/>
        <w:pageBreakBefore w:val="0"/>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（4）</w:t>
      </w:r>
      <w:r>
        <w:rPr>
          <w:rFonts w:hint="eastAsia" w:hAnsi="宋体" w:cs="宋体"/>
          <w:color w:val="auto"/>
          <w:spacing w:val="0"/>
          <w:position w:val="0"/>
          <w:sz w:val="24"/>
          <w:szCs w:val="24"/>
          <w:highlight w:val="none"/>
          <w:lang w:eastAsia="zh-CN"/>
        </w:rPr>
        <w:t>合同</w:t>
      </w:r>
    </w:p>
    <w:p w14:paraId="4ADAE077">
      <w:pPr>
        <w:pStyle w:val="23"/>
        <w:pageBreakBefore w:val="0"/>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bCs/>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（5）</w:t>
      </w:r>
      <w:r>
        <w:rPr>
          <w:rFonts w:hint="eastAsia" w:hAnsi="宋体" w:cs="宋体"/>
          <w:bCs/>
          <w:color w:val="auto"/>
          <w:spacing w:val="0"/>
          <w:position w:val="0"/>
          <w:sz w:val="24"/>
          <w:szCs w:val="24"/>
          <w:highlight w:val="none"/>
          <w:lang w:eastAsia="zh-CN"/>
        </w:rPr>
        <w:t>采购需求</w:t>
      </w:r>
    </w:p>
    <w:p w14:paraId="4729681C">
      <w:pPr>
        <w:pageBreakBefore w:val="0"/>
        <w:kinsoku/>
        <w:wordWrap/>
        <w:overflowPunct/>
        <w:topLinePunct w:val="0"/>
        <w:autoSpaceDE w:val="0"/>
        <w:autoSpaceDN w:val="0"/>
        <w:bidi w:val="0"/>
        <w:adjustRightInd w:val="0"/>
        <w:snapToGrid w:val="0"/>
        <w:spacing w:line="440" w:lineRule="exact"/>
        <w:ind w:left="0" w:right="0" w:righ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w:t>
      </w:r>
      <w:r>
        <w:rPr>
          <w:rFonts w:hint="eastAsia" w:ascii="宋体" w:hAnsi="宋体" w:eastAsia="宋体" w:cs="宋体"/>
          <w:color w:val="auto"/>
          <w:spacing w:val="0"/>
          <w:position w:val="0"/>
          <w:sz w:val="24"/>
          <w:szCs w:val="24"/>
          <w:highlight w:val="none"/>
        </w:rPr>
        <w:t>工程量清单</w:t>
      </w:r>
    </w:p>
    <w:p w14:paraId="230671DA">
      <w:pPr>
        <w:pageBreakBefore w:val="0"/>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（7）响应文件格式</w:t>
      </w:r>
    </w:p>
    <w:p w14:paraId="178A0171">
      <w:pPr>
        <w:pageBreakBefore w:val="0"/>
        <w:kinsoku/>
        <w:wordWrap/>
        <w:overflowPunct/>
        <w:topLinePunct w:val="0"/>
        <w:bidi w:val="0"/>
        <w:adjustRightInd w:val="0"/>
        <w:snapToGrid w:val="0"/>
        <w:spacing w:line="440" w:lineRule="exact"/>
        <w:ind w:left="0" w:right="0" w:rightChars="0"/>
        <w:textAlignment w:val="auto"/>
        <w:rPr>
          <w:rFonts w:hint="eastAsia" w:ascii="宋体" w:hAnsi="宋体" w:eastAsia="宋体" w:cs="宋体"/>
          <w:b/>
          <w:bCs/>
          <w:color w:val="auto"/>
          <w:spacing w:val="0"/>
          <w:position w:val="0"/>
          <w:sz w:val="24"/>
          <w:highlight w:val="none"/>
        </w:rPr>
      </w:pPr>
      <w:r>
        <w:rPr>
          <w:rFonts w:hint="eastAsia" w:ascii="宋体" w:hAnsi="宋体" w:eastAsia="宋体" w:cs="宋体"/>
          <w:b/>
          <w:bCs/>
          <w:color w:val="auto"/>
          <w:spacing w:val="0"/>
          <w:position w:val="0"/>
          <w:sz w:val="24"/>
          <w:highlight w:val="none"/>
        </w:rPr>
        <w:t>2.2 磋商文件的澄清</w:t>
      </w:r>
      <w:r>
        <w:rPr>
          <w:rFonts w:hint="eastAsia" w:ascii="宋体" w:hAnsi="宋体" w:eastAsia="宋体" w:cs="宋体"/>
          <w:b/>
          <w:color w:val="auto"/>
          <w:spacing w:val="0"/>
          <w:kern w:val="0"/>
          <w:position w:val="0"/>
          <w:sz w:val="24"/>
          <w:highlight w:val="none"/>
          <w:lang w:val="zh-CN"/>
        </w:rPr>
        <w:t>或者</w:t>
      </w:r>
      <w:r>
        <w:rPr>
          <w:rFonts w:hint="eastAsia" w:ascii="宋体" w:hAnsi="宋体" w:eastAsia="宋体" w:cs="宋体"/>
          <w:b/>
          <w:bCs/>
          <w:color w:val="auto"/>
          <w:spacing w:val="0"/>
          <w:position w:val="0"/>
          <w:sz w:val="24"/>
          <w:highlight w:val="none"/>
        </w:rPr>
        <w:t>修改</w:t>
      </w:r>
    </w:p>
    <w:p w14:paraId="315F7F93">
      <w:pPr>
        <w:pageBreakBefore w:val="0"/>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2.2.1</w:t>
      </w:r>
      <w:r>
        <w:rPr>
          <w:rFonts w:hint="eastAsia" w:ascii="宋体" w:hAnsi="宋体" w:eastAsia="宋体" w:cs="宋体"/>
          <w:color w:val="auto"/>
          <w:spacing w:val="0"/>
          <w:position w:val="0"/>
          <w:sz w:val="24"/>
          <w:highlight w:val="none"/>
          <w:lang w:val="zh-CN"/>
        </w:rPr>
        <w:t>供应商在收到</w:t>
      </w:r>
      <w:r>
        <w:rPr>
          <w:rFonts w:hint="eastAsia" w:ascii="宋体" w:hAnsi="宋体" w:eastAsia="宋体" w:cs="宋体"/>
          <w:color w:val="auto"/>
          <w:spacing w:val="0"/>
          <w:position w:val="0"/>
          <w:sz w:val="24"/>
          <w:highlight w:val="none"/>
        </w:rPr>
        <w:t>磋商</w:t>
      </w:r>
      <w:r>
        <w:rPr>
          <w:rFonts w:hint="eastAsia" w:ascii="宋体" w:hAnsi="宋体" w:eastAsia="宋体" w:cs="宋体"/>
          <w:color w:val="auto"/>
          <w:spacing w:val="0"/>
          <w:position w:val="0"/>
          <w:sz w:val="24"/>
          <w:highlight w:val="none"/>
          <w:lang w:val="zh-CN"/>
        </w:rPr>
        <w:t>文件后，若有疑问需要澄清，应于收到</w:t>
      </w:r>
      <w:r>
        <w:rPr>
          <w:rFonts w:hint="eastAsia" w:ascii="宋体" w:hAnsi="宋体" w:eastAsia="宋体" w:cs="宋体"/>
          <w:color w:val="auto"/>
          <w:spacing w:val="0"/>
          <w:position w:val="0"/>
          <w:sz w:val="24"/>
          <w:highlight w:val="none"/>
        </w:rPr>
        <w:t>磋商</w:t>
      </w:r>
      <w:r>
        <w:rPr>
          <w:rFonts w:hint="eastAsia" w:ascii="宋体" w:hAnsi="宋体" w:eastAsia="宋体" w:cs="宋体"/>
          <w:color w:val="auto"/>
          <w:spacing w:val="0"/>
          <w:position w:val="0"/>
          <w:sz w:val="24"/>
          <w:highlight w:val="none"/>
          <w:lang w:val="zh-CN"/>
        </w:rPr>
        <w:t>文件后二日内以书面形式（包括书面文字、传真、电子邮件等）向采购人或采购代理机构（以下统称采购机构）提出，采购机构将以书面形式予以解答，解答内容将送达所有参与</w:t>
      </w:r>
      <w:r>
        <w:rPr>
          <w:rFonts w:hint="eastAsia" w:ascii="宋体" w:hAnsi="宋体" w:eastAsia="宋体" w:cs="宋体"/>
          <w:color w:val="auto"/>
          <w:spacing w:val="0"/>
          <w:position w:val="0"/>
          <w:sz w:val="24"/>
          <w:highlight w:val="none"/>
        </w:rPr>
        <w:t>磋商采购活动</w:t>
      </w:r>
      <w:r>
        <w:rPr>
          <w:rFonts w:hint="eastAsia" w:ascii="宋体" w:hAnsi="宋体" w:eastAsia="宋体" w:cs="宋体"/>
          <w:color w:val="auto"/>
          <w:spacing w:val="0"/>
          <w:position w:val="0"/>
          <w:sz w:val="24"/>
          <w:highlight w:val="none"/>
          <w:lang w:val="zh-CN"/>
        </w:rPr>
        <w:t>的供应商。</w:t>
      </w:r>
    </w:p>
    <w:p w14:paraId="6899C7C6">
      <w:pPr>
        <w:pageBreakBefore w:val="0"/>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2.2.2提交首次响应文件截止之日前，采购机构或者磋商小组可以对已发出的磋商文件进行必要的澄清或者修改，澄清或者修改的内容作为磋商文件的组成部分。澄清或者修改的内容可能影响响应文件编制的，采购机构或者磋商小组应当在提交首次响应文件截止之日5日前，以书面形式通知所有接收磋商文件的供应商，不足5日的，应当顺延提交首次响应文件的截止日期。</w:t>
      </w:r>
    </w:p>
    <w:p w14:paraId="33D1A082">
      <w:pPr>
        <w:pStyle w:val="3"/>
        <w:pageBreakBefore w:val="0"/>
        <w:kinsoku/>
        <w:wordWrap/>
        <w:overflowPunct/>
        <w:topLinePunct w:val="0"/>
        <w:bidi w:val="0"/>
        <w:spacing w:line="440" w:lineRule="exact"/>
        <w:ind w:left="0" w:right="0" w:rightChars="0"/>
        <w:jc w:val="center"/>
        <w:textAlignment w:val="auto"/>
        <w:rPr>
          <w:rFonts w:hint="eastAsia" w:ascii="宋体" w:hAnsi="宋体" w:eastAsia="宋体" w:cs="宋体"/>
          <w:color w:val="auto"/>
          <w:spacing w:val="0"/>
          <w:position w:val="0"/>
          <w:highlight w:val="none"/>
        </w:rPr>
      </w:pPr>
      <w:bookmarkStart w:id="17" w:name="_Toc14399"/>
      <w:bookmarkStart w:id="18" w:name="_Toc6105"/>
      <w:r>
        <w:rPr>
          <w:rFonts w:hint="eastAsia" w:ascii="宋体" w:hAnsi="宋体" w:eastAsia="宋体" w:cs="宋体"/>
          <w:color w:val="auto"/>
          <w:spacing w:val="0"/>
          <w:position w:val="0"/>
          <w:highlight w:val="none"/>
        </w:rPr>
        <w:t>三、响应文件</w:t>
      </w:r>
      <w:bookmarkEnd w:id="17"/>
      <w:bookmarkEnd w:id="18"/>
    </w:p>
    <w:p w14:paraId="797FF40B">
      <w:pPr>
        <w:pageBreakBefore w:val="0"/>
        <w:kinsoku/>
        <w:wordWrap/>
        <w:overflowPunct/>
        <w:topLinePunct w:val="0"/>
        <w:bidi w:val="0"/>
        <w:adjustRightInd w:val="0"/>
        <w:snapToGrid w:val="0"/>
        <w:spacing w:line="440" w:lineRule="exact"/>
        <w:ind w:left="0" w:right="0" w:rightChars="0"/>
        <w:textAlignment w:val="auto"/>
        <w:rPr>
          <w:rFonts w:hint="eastAsia" w:ascii="宋体" w:hAnsi="宋体" w:eastAsia="宋体" w:cs="宋体"/>
          <w:b/>
          <w:bCs/>
          <w:color w:val="auto"/>
          <w:spacing w:val="0"/>
          <w:position w:val="0"/>
          <w:sz w:val="24"/>
          <w:highlight w:val="none"/>
        </w:rPr>
      </w:pPr>
      <w:r>
        <w:rPr>
          <w:rFonts w:hint="eastAsia" w:ascii="宋体" w:hAnsi="宋体" w:eastAsia="宋体" w:cs="宋体"/>
          <w:b/>
          <w:bCs/>
          <w:color w:val="auto"/>
          <w:spacing w:val="0"/>
          <w:position w:val="0"/>
          <w:sz w:val="24"/>
          <w:highlight w:val="none"/>
        </w:rPr>
        <w:t>3.1 一般要求</w:t>
      </w:r>
    </w:p>
    <w:p w14:paraId="156FE1FF">
      <w:pPr>
        <w:pageBreakBefore w:val="0"/>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3.1.1 供应商应按本文件第</w:t>
      </w:r>
      <w:r>
        <w:rPr>
          <w:rFonts w:hint="eastAsia" w:ascii="宋体" w:hAnsi="宋体" w:eastAsia="宋体" w:cs="宋体"/>
          <w:color w:val="auto"/>
          <w:spacing w:val="0"/>
          <w:position w:val="0"/>
          <w:sz w:val="24"/>
          <w:highlight w:val="none"/>
          <w:lang w:val="en-US" w:eastAsia="zh-CN"/>
        </w:rPr>
        <w:t>七</w:t>
      </w:r>
      <w:r>
        <w:rPr>
          <w:rFonts w:hint="eastAsia" w:ascii="宋体" w:hAnsi="宋体" w:eastAsia="宋体" w:cs="宋体"/>
          <w:color w:val="auto"/>
          <w:spacing w:val="0"/>
          <w:position w:val="0"/>
          <w:sz w:val="24"/>
          <w:highlight w:val="none"/>
        </w:rPr>
        <w:t>章“响应文件格式”的要求编制响应文件。</w:t>
      </w:r>
    </w:p>
    <w:p w14:paraId="1CDA02A8">
      <w:pPr>
        <w:pageBreakBefore w:val="0"/>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3.1.2计量单位应使用我国法定计量单位。</w:t>
      </w:r>
    </w:p>
    <w:p w14:paraId="1907EA93">
      <w:pPr>
        <w:pageBreakBefore w:val="0"/>
        <w:kinsoku/>
        <w:wordWrap/>
        <w:overflowPunct/>
        <w:topLinePunct w:val="0"/>
        <w:bidi w:val="0"/>
        <w:adjustRightInd w:val="0"/>
        <w:snapToGrid w:val="0"/>
        <w:spacing w:line="440" w:lineRule="exact"/>
        <w:ind w:left="0" w:right="0" w:rightChars="0"/>
        <w:textAlignment w:val="auto"/>
        <w:rPr>
          <w:rFonts w:hint="eastAsia" w:ascii="宋体" w:hAnsi="宋体" w:eastAsia="宋体" w:cs="宋体"/>
          <w:b/>
          <w:bCs/>
          <w:color w:val="auto"/>
          <w:spacing w:val="0"/>
          <w:position w:val="0"/>
          <w:sz w:val="24"/>
          <w:highlight w:val="none"/>
        </w:rPr>
      </w:pPr>
      <w:r>
        <w:rPr>
          <w:rFonts w:hint="eastAsia" w:ascii="宋体" w:hAnsi="宋体" w:eastAsia="宋体" w:cs="宋体"/>
          <w:b/>
          <w:bCs/>
          <w:color w:val="auto"/>
          <w:spacing w:val="0"/>
          <w:position w:val="0"/>
          <w:sz w:val="24"/>
          <w:highlight w:val="none"/>
        </w:rPr>
        <w:t xml:space="preserve">3.2 </w:t>
      </w:r>
      <w:r>
        <w:rPr>
          <w:rFonts w:hint="eastAsia" w:ascii="宋体" w:hAnsi="宋体" w:eastAsia="宋体" w:cs="宋体"/>
          <w:b/>
          <w:color w:val="auto"/>
          <w:spacing w:val="0"/>
          <w:position w:val="0"/>
          <w:sz w:val="24"/>
          <w:highlight w:val="none"/>
        </w:rPr>
        <w:t>响应文件</w:t>
      </w:r>
      <w:r>
        <w:rPr>
          <w:rFonts w:hint="eastAsia" w:ascii="宋体" w:hAnsi="宋体" w:eastAsia="宋体" w:cs="宋体"/>
          <w:b/>
          <w:bCs/>
          <w:color w:val="auto"/>
          <w:spacing w:val="0"/>
          <w:position w:val="0"/>
          <w:sz w:val="24"/>
          <w:highlight w:val="none"/>
        </w:rPr>
        <w:t>的组成</w:t>
      </w:r>
    </w:p>
    <w:p w14:paraId="7F72693E">
      <w:pPr>
        <w:pageBreakBefore w:val="0"/>
        <w:kinsoku/>
        <w:wordWrap/>
        <w:overflowPunct/>
        <w:topLinePunct w:val="0"/>
        <w:autoSpaceDE w:val="0"/>
        <w:autoSpaceDN w:val="0"/>
        <w:bidi w:val="0"/>
        <w:adjustRightInd w:val="0"/>
        <w:spacing w:line="440" w:lineRule="exact"/>
        <w:ind w:left="0" w:right="0" w:righ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lang w:val="zh-CN"/>
        </w:rPr>
        <w:t>（1）资格审查文件</w:t>
      </w:r>
    </w:p>
    <w:p w14:paraId="2EC1AC59">
      <w:pPr>
        <w:pageBreakBefore w:val="0"/>
        <w:kinsoku/>
        <w:wordWrap/>
        <w:overflowPunct/>
        <w:topLinePunct w:val="0"/>
        <w:autoSpaceDE w:val="0"/>
        <w:autoSpaceDN w:val="0"/>
        <w:bidi w:val="0"/>
        <w:adjustRightInd w:val="0"/>
        <w:spacing w:line="440" w:lineRule="exact"/>
        <w:ind w:left="0" w:right="0" w:rightChars="0" w:firstLine="480" w:firstLineChars="200"/>
        <w:jc w:val="left"/>
        <w:textAlignment w:val="auto"/>
        <w:rPr>
          <w:rFonts w:hint="eastAsia" w:ascii="宋体" w:hAnsi="宋体" w:eastAsia="宋体" w:cs="宋体"/>
          <w:color w:val="auto"/>
          <w:spacing w:val="0"/>
          <w:position w:val="0"/>
          <w:sz w:val="24"/>
          <w:highlight w:val="none"/>
          <w:lang w:val="zh-CN"/>
        </w:rPr>
      </w:pPr>
      <w:r>
        <w:rPr>
          <w:rFonts w:hint="eastAsia" w:ascii="宋体" w:hAnsi="宋体" w:eastAsia="宋体" w:cs="宋体"/>
          <w:color w:val="auto"/>
          <w:spacing w:val="0"/>
          <w:position w:val="0"/>
          <w:sz w:val="24"/>
          <w:highlight w:val="none"/>
          <w:lang w:val="zh-CN"/>
        </w:rPr>
        <w:t>（2）商务文件</w:t>
      </w:r>
    </w:p>
    <w:p w14:paraId="7CAC657E">
      <w:pPr>
        <w:pageBreakBefore w:val="0"/>
        <w:kinsoku/>
        <w:wordWrap/>
        <w:overflowPunct/>
        <w:topLinePunct w:val="0"/>
        <w:autoSpaceDE w:val="0"/>
        <w:autoSpaceDN w:val="0"/>
        <w:bidi w:val="0"/>
        <w:adjustRightInd w:val="0"/>
        <w:spacing w:line="440" w:lineRule="exact"/>
        <w:ind w:left="0" w:right="0" w:rightChars="0" w:firstLine="480" w:firstLineChars="200"/>
        <w:jc w:val="left"/>
        <w:textAlignment w:val="auto"/>
        <w:rPr>
          <w:rFonts w:hint="eastAsia" w:ascii="宋体" w:hAnsi="宋体" w:cs="宋体"/>
          <w:color w:val="auto"/>
          <w:spacing w:val="0"/>
          <w:position w:val="0"/>
          <w:sz w:val="24"/>
          <w:highlight w:val="none"/>
          <w:lang w:eastAsia="zh-CN"/>
        </w:rPr>
      </w:pPr>
      <w:r>
        <w:rPr>
          <w:rFonts w:hint="eastAsia" w:ascii="宋体" w:hAnsi="宋体" w:eastAsia="宋体" w:cs="宋体"/>
          <w:color w:val="auto"/>
          <w:spacing w:val="0"/>
          <w:position w:val="0"/>
          <w:sz w:val="24"/>
          <w:highlight w:val="none"/>
        </w:rPr>
        <w:t>（3）</w:t>
      </w:r>
      <w:r>
        <w:rPr>
          <w:rFonts w:hint="eastAsia" w:ascii="宋体" w:hAnsi="宋体" w:cs="宋体"/>
          <w:color w:val="auto"/>
          <w:spacing w:val="0"/>
          <w:position w:val="0"/>
          <w:sz w:val="24"/>
          <w:highlight w:val="none"/>
          <w:lang w:eastAsia="zh-CN"/>
        </w:rPr>
        <w:t>经济部分</w:t>
      </w:r>
    </w:p>
    <w:p w14:paraId="7CEE49CC">
      <w:pPr>
        <w:pageBreakBefore w:val="0"/>
        <w:kinsoku/>
        <w:wordWrap/>
        <w:overflowPunct/>
        <w:topLinePunct w:val="0"/>
        <w:autoSpaceDE w:val="0"/>
        <w:autoSpaceDN w:val="0"/>
        <w:bidi w:val="0"/>
        <w:adjustRightInd w:val="0"/>
        <w:spacing w:line="440" w:lineRule="exact"/>
        <w:ind w:left="0" w:right="0" w:rightChars="0" w:firstLine="480" w:firstLineChars="200"/>
        <w:jc w:val="left"/>
        <w:textAlignment w:val="auto"/>
        <w:rPr>
          <w:rFonts w:hint="eastAsia" w:ascii="宋体" w:hAnsi="宋体" w:eastAsia="宋体" w:cs="宋体"/>
          <w:color w:val="auto"/>
          <w:spacing w:val="0"/>
          <w:position w:val="0"/>
          <w:sz w:val="24"/>
          <w:highlight w:val="none"/>
          <w:lang w:eastAsia="zh-CN"/>
        </w:rPr>
      </w:pPr>
      <w:r>
        <w:rPr>
          <w:rFonts w:hint="eastAsia" w:ascii="宋体" w:hAnsi="宋体" w:cs="宋体"/>
          <w:color w:val="auto"/>
          <w:spacing w:val="0"/>
          <w:position w:val="0"/>
          <w:sz w:val="24"/>
          <w:highlight w:val="none"/>
          <w:lang w:eastAsia="zh-CN"/>
        </w:rPr>
        <w:t>（</w:t>
      </w:r>
      <w:r>
        <w:rPr>
          <w:rFonts w:hint="eastAsia" w:ascii="宋体" w:hAnsi="宋体" w:cs="宋体"/>
          <w:color w:val="auto"/>
          <w:spacing w:val="0"/>
          <w:position w:val="0"/>
          <w:sz w:val="24"/>
          <w:highlight w:val="none"/>
          <w:lang w:val="en-US" w:eastAsia="zh-CN"/>
        </w:rPr>
        <w:t>4</w:t>
      </w:r>
      <w:r>
        <w:rPr>
          <w:rFonts w:hint="eastAsia" w:ascii="宋体" w:hAnsi="宋体" w:cs="宋体"/>
          <w:color w:val="auto"/>
          <w:spacing w:val="0"/>
          <w:position w:val="0"/>
          <w:sz w:val="24"/>
          <w:highlight w:val="none"/>
          <w:lang w:eastAsia="zh-CN"/>
        </w:rPr>
        <w:t>）技术部分</w:t>
      </w:r>
    </w:p>
    <w:p w14:paraId="12AFF940">
      <w:pPr>
        <w:pageBreakBefore w:val="0"/>
        <w:kinsoku/>
        <w:wordWrap/>
        <w:overflowPunct/>
        <w:topLinePunct w:val="0"/>
        <w:bidi w:val="0"/>
        <w:adjustRightInd w:val="0"/>
        <w:snapToGrid w:val="0"/>
        <w:spacing w:line="440" w:lineRule="exact"/>
        <w:ind w:left="0" w:right="0" w:rightChars="0"/>
        <w:textAlignment w:val="auto"/>
        <w:rPr>
          <w:rFonts w:hint="eastAsia" w:ascii="宋体" w:hAnsi="宋体" w:eastAsia="宋体" w:cs="宋体"/>
          <w:b/>
          <w:bCs/>
          <w:color w:val="auto"/>
          <w:spacing w:val="0"/>
          <w:position w:val="0"/>
          <w:sz w:val="24"/>
          <w:highlight w:val="none"/>
        </w:rPr>
      </w:pPr>
      <w:r>
        <w:rPr>
          <w:rFonts w:hint="eastAsia" w:ascii="宋体" w:hAnsi="宋体" w:eastAsia="宋体" w:cs="宋体"/>
          <w:b/>
          <w:bCs/>
          <w:color w:val="auto"/>
          <w:spacing w:val="0"/>
          <w:position w:val="0"/>
          <w:sz w:val="24"/>
          <w:highlight w:val="none"/>
        </w:rPr>
        <w:t>3.3 报价要求</w:t>
      </w:r>
    </w:p>
    <w:p w14:paraId="20FB4469">
      <w:pPr>
        <w:pageBreakBefore w:val="0"/>
        <w:kinsoku/>
        <w:wordWrap/>
        <w:overflowPunct/>
        <w:topLinePunct w:val="0"/>
        <w:bidi w:val="0"/>
        <w:spacing w:line="440" w:lineRule="exact"/>
        <w:ind w:left="0" w:right="0" w:righ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3.3.1</w:t>
      </w:r>
      <w:r>
        <w:rPr>
          <w:rFonts w:hint="eastAsia" w:ascii="宋体" w:hAnsi="宋体" w:eastAsia="宋体" w:cs="宋体"/>
          <w:color w:val="auto"/>
          <w:spacing w:val="0"/>
          <w:position w:val="0"/>
          <w:sz w:val="24"/>
          <w:highlight w:val="none"/>
          <w:lang w:val="zh-CN"/>
        </w:rPr>
        <w:t>供应商应根据所提供的工程项目清单的要求编制单价、合价和总价</w:t>
      </w:r>
      <w:r>
        <w:rPr>
          <w:rFonts w:hint="eastAsia" w:ascii="宋体" w:hAnsi="宋体" w:eastAsia="宋体" w:cs="宋体"/>
          <w:color w:val="auto"/>
          <w:spacing w:val="0"/>
          <w:position w:val="0"/>
          <w:sz w:val="24"/>
          <w:highlight w:val="none"/>
        </w:rPr>
        <w:t>，且只允许有一个报价</w:t>
      </w:r>
      <w:r>
        <w:rPr>
          <w:rFonts w:hint="eastAsia" w:ascii="宋体" w:hAnsi="宋体" w:eastAsia="宋体" w:cs="宋体"/>
          <w:color w:val="auto"/>
          <w:spacing w:val="0"/>
          <w:position w:val="0"/>
          <w:sz w:val="24"/>
          <w:highlight w:val="none"/>
          <w:lang w:val="zh-CN"/>
        </w:rPr>
        <w:t>。</w:t>
      </w:r>
    </w:p>
    <w:p w14:paraId="217F24B2">
      <w:pPr>
        <w:pageBreakBefore w:val="0"/>
        <w:kinsoku/>
        <w:wordWrap/>
        <w:overflowPunct/>
        <w:topLinePunct w:val="0"/>
        <w:bidi w:val="0"/>
        <w:spacing w:line="440" w:lineRule="exact"/>
        <w:ind w:left="0" w:right="0" w:righ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3.3.2</w:t>
      </w:r>
      <w:r>
        <w:rPr>
          <w:rFonts w:hint="eastAsia" w:ascii="宋体" w:hAnsi="宋体" w:eastAsia="宋体" w:cs="宋体"/>
          <w:color w:val="auto"/>
          <w:spacing w:val="0"/>
          <w:position w:val="0"/>
          <w:sz w:val="24"/>
          <w:highlight w:val="none"/>
          <w:lang w:val="zh-CN"/>
        </w:rPr>
        <w:t>报价应是本磋商文件所确定的全部工作内容的价格体现。其应包括施工设备、劳务、管理、材料、安装、维护、检验、利润、税金及政策性文件规定的各项应有费用，以及施工中的水、电费、合同履行中人工及材料涨价因素和其它风险产生的各项费用。</w:t>
      </w:r>
    </w:p>
    <w:p w14:paraId="31FE5E81">
      <w:pPr>
        <w:pageBreakBefore w:val="0"/>
        <w:kinsoku/>
        <w:wordWrap/>
        <w:overflowPunct/>
        <w:topLinePunct w:val="0"/>
        <w:bidi w:val="0"/>
        <w:spacing w:line="440" w:lineRule="exact"/>
        <w:ind w:left="0" w:right="0" w:righ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3.3.3响应文件中标明的价格在合同执行过程中是固定不变的，不得以任何理由予以变更。以可变动价格提交的报价将被认为是非实质响应采购要求而被拒绝。</w:t>
      </w:r>
    </w:p>
    <w:p w14:paraId="34E737A0">
      <w:pPr>
        <w:pStyle w:val="23"/>
        <w:pageBreakBefore w:val="0"/>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3.3.4采购项目预算见</w:t>
      </w:r>
      <w:r>
        <w:rPr>
          <w:rFonts w:hint="eastAsia" w:ascii="宋体" w:hAnsi="宋体" w:eastAsia="宋体" w:cs="宋体"/>
          <w:b/>
          <w:color w:val="auto"/>
          <w:spacing w:val="0"/>
          <w:position w:val="0"/>
          <w:sz w:val="24"/>
          <w:szCs w:val="24"/>
          <w:highlight w:val="none"/>
        </w:rPr>
        <w:t>磋商须知前附表</w:t>
      </w: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spacing w:val="0"/>
          <w:kern w:val="0"/>
          <w:position w:val="0"/>
          <w:sz w:val="24"/>
          <w:szCs w:val="24"/>
          <w:highlight w:val="none"/>
          <w:lang w:val="zh-CN"/>
        </w:rPr>
        <w:t>供应商</w:t>
      </w:r>
      <w:r>
        <w:rPr>
          <w:rFonts w:hint="eastAsia" w:ascii="宋体" w:hAnsi="宋体" w:eastAsia="宋体" w:cs="宋体"/>
          <w:color w:val="auto"/>
          <w:spacing w:val="0"/>
          <w:position w:val="0"/>
          <w:sz w:val="24"/>
          <w:szCs w:val="24"/>
          <w:highlight w:val="none"/>
        </w:rPr>
        <w:t>的报价不得超过采购预算。否则，按无效报价处理。</w:t>
      </w:r>
    </w:p>
    <w:p w14:paraId="2844B6AE">
      <w:pPr>
        <w:pageBreakBefore w:val="0"/>
        <w:kinsoku/>
        <w:wordWrap/>
        <w:overflowPunct/>
        <w:topLinePunct w:val="0"/>
        <w:bidi w:val="0"/>
        <w:adjustRightInd w:val="0"/>
        <w:snapToGrid w:val="0"/>
        <w:spacing w:line="440" w:lineRule="exact"/>
        <w:ind w:left="0" w:right="0" w:rightChars="0"/>
        <w:textAlignment w:val="auto"/>
        <w:rPr>
          <w:rFonts w:hint="eastAsia" w:ascii="宋体" w:hAnsi="宋体" w:eastAsia="宋体" w:cs="宋体"/>
          <w:b/>
          <w:bCs/>
          <w:color w:val="auto"/>
          <w:spacing w:val="0"/>
          <w:position w:val="0"/>
          <w:sz w:val="24"/>
          <w:highlight w:val="none"/>
        </w:rPr>
      </w:pPr>
      <w:r>
        <w:rPr>
          <w:rFonts w:hint="eastAsia" w:ascii="宋体" w:hAnsi="宋体" w:eastAsia="宋体" w:cs="宋体"/>
          <w:b/>
          <w:bCs/>
          <w:color w:val="auto"/>
          <w:spacing w:val="0"/>
          <w:position w:val="0"/>
          <w:sz w:val="24"/>
          <w:highlight w:val="none"/>
        </w:rPr>
        <w:t>3.4 证明供应商资格的文件</w:t>
      </w:r>
    </w:p>
    <w:p w14:paraId="52CE05A1">
      <w:pPr>
        <w:pStyle w:val="23"/>
        <w:pageBreakBefore w:val="0"/>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color w:val="auto"/>
          <w:spacing w:val="0"/>
          <w:kern w:val="0"/>
          <w:position w:val="0"/>
          <w:sz w:val="24"/>
          <w:szCs w:val="24"/>
          <w:highlight w:val="none"/>
          <w:lang w:val="zh-CN"/>
        </w:rPr>
      </w:pPr>
      <w:r>
        <w:rPr>
          <w:rFonts w:hint="eastAsia" w:ascii="宋体" w:hAnsi="宋体" w:eastAsia="宋体" w:cs="宋体"/>
          <w:color w:val="auto"/>
          <w:spacing w:val="0"/>
          <w:kern w:val="0"/>
          <w:position w:val="0"/>
          <w:sz w:val="24"/>
          <w:szCs w:val="24"/>
          <w:highlight w:val="none"/>
          <w:lang w:val="zh-CN"/>
        </w:rPr>
        <w:t>供应商</w:t>
      </w:r>
      <w:r>
        <w:rPr>
          <w:rFonts w:hint="eastAsia" w:ascii="宋体" w:hAnsi="宋体" w:eastAsia="宋体" w:cs="宋体"/>
          <w:color w:val="auto"/>
          <w:spacing w:val="0"/>
          <w:position w:val="0"/>
          <w:sz w:val="24"/>
          <w:szCs w:val="24"/>
          <w:highlight w:val="none"/>
        </w:rPr>
        <w:t>应提交满足本章第1.3</w:t>
      </w:r>
      <w:r>
        <w:rPr>
          <w:rFonts w:hint="eastAsia" w:ascii="宋体" w:hAnsi="宋体" w:eastAsia="宋体" w:cs="宋体"/>
          <w:color w:val="auto"/>
          <w:spacing w:val="0"/>
          <w:kern w:val="0"/>
          <w:position w:val="0"/>
          <w:sz w:val="24"/>
          <w:szCs w:val="24"/>
          <w:highlight w:val="none"/>
          <w:lang w:val="zh-CN"/>
        </w:rPr>
        <w:t>款</w:t>
      </w:r>
      <w:r>
        <w:rPr>
          <w:rFonts w:hint="eastAsia" w:ascii="宋体" w:hAnsi="宋体" w:eastAsia="宋体" w:cs="宋体"/>
          <w:color w:val="auto"/>
          <w:spacing w:val="0"/>
          <w:position w:val="0"/>
          <w:sz w:val="24"/>
          <w:szCs w:val="24"/>
          <w:highlight w:val="none"/>
        </w:rPr>
        <w:t>规定的资格条件要求的证明文件,该证明文件作为响应文件的一部分。</w:t>
      </w:r>
    </w:p>
    <w:p w14:paraId="4EC147C1">
      <w:pPr>
        <w:pageBreakBefore w:val="0"/>
        <w:kinsoku/>
        <w:wordWrap/>
        <w:overflowPunct/>
        <w:topLinePunct w:val="0"/>
        <w:bidi w:val="0"/>
        <w:adjustRightInd w:val="0"/>
        <w:snapToGrid w:val="0"/>
        <w:spacing w:line="440" w:lineRule="exact"/>
        <w:ind w:left="0" w:right="0" w:rightChars="0"/>
        <w:textAlignment w:val="auto"/>
        <w:rPr>
          <w:rFonts w:hint="eastAsia" w:ascii="宋体" w:hAnsi="宋体" w:eastAsia="宋体" w:cs="宋体"/>
          <w:b/>
          <w:bCs/>
          <w:color w:val="auto"/>
          <w:spacing w:val="0"/>
          <w:position w:val="0"/>
          <w:sz w:val="24"/>
          <w:highlight w:val="none"/>
        </w:rPr>
      </w:pPr>
      <w:r>
        <w:rPr>
          <w:rFonts w:hint="eastAsia" w:ascii="宋体" w:hAnsi="宋体" w:eastAsia="宋体" w:cs="宋体"/>
          <w:b/>
          <w:bCs/>
          <w:color w:val="auto"/>
          <w:spacing w:val="0"/>
          <w:position w:val="0"/>
          <w:sz w:val="24"/>
          <w:highlight w:val="none"/>
        </w:rPr>
        <w:t>3.5磋商保证金</w:t>
      </w:r>
    </w:p>
    <w:p w14:paraId="1A64C221">
      <w:pPr>
        <w:pStyle w:val="23"/>
        <w:pageBreakBefore w:val="0"/>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3.5.1供应商应按</w:t>
      </w:r>
      <w:r>
        <w:rPr>
          <w:rFonts w:hint="eastAsia" w:ascii="宋体" w:hAnsi="宋体" w:eastAsia="宋体" w:cs="宋体"/>
          <w:b/>
          <w:color w:val="auto"/>
          <w:spacing w:val="0"/>
          <w:position w:val="0"/>
          <w:sz w:val="24"/>
          <w:szCs w:val="24"/>
          <w:highlight w:val="none"/>
        </w:rPr>
        <w:t>磋商须知前附表</w:t>
      </w:r>
      <w:r>
        <w:rPr>
          <w:rFonts w:hint="eastAsia" w:ascii="宋体" w:hAnsi="宋体" w:eastAsia="宋体" w:cs="宋体"/>
          <w:color w:val="auto"/>
          <w:spacing w:val="0"/>
          <w:position w:val="0"/>
          <w:sz w:val="24"/>
          <w:szCs w:val="24"/>
          <w:highlight w:val="none"/>
        </w:rPr>
        <w:t>的规定提交磋商保证金，并作为响应文件的一部分。供应商为联合体的，可以由联合体中的一方或者共同交纳磋商保证金，以一方名义交纳磋商保证金的，对联合体各方均具有约束力。</w:t>
      </w:r>
    </w:p>
    <w:p w14:paraId="50FBF735">
      <w:pPr>
        <w:pStyle w:val="23"/>
        <w:pageBreakBefore w:val="0"/>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3.5.2 未按磋商文件规定提交磋商保证金的响应文件，将被视为非实质响应而被拒绝。</w:t>
      </w:r>
    </w:p>
    <w:p w14:paraId="79022849">
      <w:pPr>
        <w:pStyle w:val="23"/>
        <w:pageBreakBefore w:val="0"/>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3.5.3 未成交供应商的磋商保证金在成交通知书发出后五个工作日内退还；成交供应商的磋商保证金在采购合同签定后五个工作日内退还。</w:t>
      </w:r>
    </w:p>
    <w:p w14:paraId="32662645">
      <w:pPr>
        <w:pStyle w:val="23"/>
        <w:pageBreakBefore w:val="0"/>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3.5.4发生以下情况磋商保证金将不予退还：</w:t>
      </w:r>
    </w:p>
    <w:p w14:paraId="4583A851">
      <w:pPr>
        <w:pStyle w:val="23"/>
        <w:pageBreakBefore w:val="0"/>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snapToGrid w:val="0"/>
          <w:color w:val="auto"/>
          <w:spacing w:val="0"/>
          <w:kern w:val="0"/>
          <w:position w:val="0"/>
          <w:sz w:val="24"/>
          <w:szCs w:val="24"/>
          <w:highlight w:val="none"/>
        </w:rPr>
      </w:pPr>
      <w:r>
        <w:rPr>
          <w:rFonts w:hint="eastAsia" w:ascii="宋体" w:hAnsi="宋体" w:eastAsia="宋体" w:cs="宋体"/>
          <w:snapToGrid w:val="0"/>
          <w:color w:val="auto"/>
          <w:spacing w:val="0"/>
          <w:kern w:val="0"/>
          <w:position w:val="0"/>
          <w:sz w:val="24"/>
          <w:szCs w:val="24"/>
          <w:highlight w:val="none"/>
        </w:rPr>
        <w:t>（一）供应商在提交响应文件截止时间后撤回响应文件的；</w:t>
      </w:r>
    </w:p>
    <w:p w14:paraId="5ACBBFDD">
      <w:pPr>
        <w:pStyle w:val="23"/>
        <w:pageBreakBefore w:val="0"/>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snapToGrid w:val="0"/>
          <w:color w:val="auto"/>
          <w:spacing w:val="0"/>
          <w:kern w:val="0"/>
          <w:position w:val="0"/>
          <w:sz w:val="24"/>
          <w:szCs w:val="24"/>
          <w:highlight w:val="none"/>
        </w:rPr>
      </w:pPr>
      <w:r>
        <w:rPr>
          <w:rFonts w:hint="eastAsia" w:ascii="宋体" w:hAnsi="宋体" w:eastAsia="宋体" w:cs="宋体"/>
          <w:snapToGrid w:val="0"/>
          <w:color w:val="auto"/>
          <w:spacing w:val="0"/>
          <w:kern w:val="0"/>
          <w:position w:val="0"/>
          <w:sz w:val="24"/>
          <w:szCs w:val="24"/>
          <w:highlight w:val="none"/>
        </w:rPr>
        <w:t>（二）供应商在响应文件中提供虚假材料的；</w:t>
      </w:r>
    </w:p>
    <w:p w14:paraId="78E111A3">
      <w:pPr>
        <w:pStyle w:val="23"/>
        <w:pageBreakBefore w:val="0"/>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snapToGrid w:val="0"/>
          <w:color w:val="auto"/>
          <w:spacing w:val="0"/>
          <w:kern w:val="0"/>
          <w:position w:val="0"/>
          <w:sz w:val="24"/>
          <w:szCs w:val="24"/>
          <w:highlight w:val="none"/>
        </w:rPr>
      </w:pPr>
      <w:r>
        <w:rPr>
          <w:rFonts w:hint="eastAsia" w:ascii="宋体" w:hAnsi="宋体" w:eastAsia="宋体" w:cs="宋体"/>
          <w:snapToGrid w:val="0"/>
          <w:color w:val="auto"/>
          <w:spacing w:val="0"/>
          <w:kern w:val="0"/>
          <w:position w:val="0"/>
          <w:sz w:val="24"/>
          <w:szCs w:val="24"/>
          <w:highlight w:val="none"/>
        </w:rPr>
        <w:t>（三）除因不可抗力或磋商文件认可的情形以外，成交供应商不与采购人签订合同的；</w:t>
      </w:r>
    </w:p>
    <w:p w14:paraId="654F9BC7">
      <w:pPr>
        <w:pStyle w:val="23"/>
        <w:pageBreakBefore w:val="0"/>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snapToGrid w:val="0"/>
          <w:color w:val="auto"/>
          <w:spacing w:val="0"/>
          <w:kern w:val="0"/>
          <w:position w:val="0"/>
          <w:sz w:val="24"/>
          <w:szCs w:val="24"/>
          <w:highlight w:val="none"/>
        </w:rPr>
      </w:pPr>
      <w:r>
        <w:rPr>
          <w:rFonts w:hint="eastAsia" w:ascii="宋体" w:hAnsi="宋体" w:eastAsia="宋体" w:cs="宋体"/>
          <w:snapToGrid w:val="0"/>
          <w:color w:val="auto"/>
          <w:spacing w:val="0"/>
          <w:kern w:val="0"/>
          <w:position w:val="0"/>
          <w:sz w:val="24"/>
          <w:szCs w:val="24"/>
          <w:highlight w:val="none"/>
        </w:rPr>
        <w:t>（四）供应商与采购人、其他供应商或者采购代理机构恶意串通的；</w:t>
      </w:r>
    </w:p>
    <w:p w14:paraId="237BB8EB">
      <w:pPr>
        <w:pStyle w:val="23"/>
        <w:pageBreakBefore w:val="0"/>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snapToGrid w:val="0"/>
          <w:color w:val="auto"/>
          <w:spacing w:val="0"/>
          <w:kern w:val="0"/>
          <w:position w:val="0"/>
          <w:sz w:val="24"/>
          <w:szCs w:val="24"/>
          <w:highlight w:val="none"/>
        </w:rPr>
        <w:t>（五）磋商文件规定的其他情形。</w:t>
      </w:r>
    </w:p>
    <w:p w14:paraId="60A96BC5">
      <w:pPr>
        <w:pageBreakBefore w:val="0"/>
        <w:kinsoku/>
        <w:wordWrap/>
        <w:overflowPunct/>
        <w:topLinePunct w:val="0"/>
        <w:bidi w:val="0"/>
        <w:adjustRightInd w:val="0"/>
        <w:snapToGrid w:val="0"/>
        <w:spacing w:line="440" w:lineRule="exact"/>
        <w:ind w:left="0" w:right="0" w:rightChars="0"/>
        <w:textAlignment w:val="auto"/>
        <w:rPr>
          <w:rFonts w:hint="eastAsia" w:ascii="宋体" w:hAnsi="宋体" w:eastAsia="宋体" w:cs="宋体"/>
          <w:b/>
          <w:bCs/>
          <w:color w:val="auto"/>
          <w:spacing w:val="0"/>
          <w:position w:val="0"/>
          <w:sz w:val="24"/>
          <w:highlight w:val="none"/>
        </w:rPr>
      </w:pPr>
      <w:r>
        <w:rPr>
          <w:rFonts w:hint="eastAsia" w:ascii="宋体" w:hAnsi="宋体" w:eastAsia="宋体" w:cs="宋体"/>
          <w:b/>
          <w:bCs/>
          <w:color w:val="auto"/>
          <w:spacing w:val="0"/>
          <w:position w:val="0"/>
          <w:sz w:val="24"/>
          <w:highlight w:val="none"/>
        </w:rPr>
        <w:t xml:space="preserve">3.6 </w:t>
      </w:r>
      <w:r>
        <w:rPr>
          <w:rFonts w:hint="eastAsia" w:ascii="宋体" w:hAnsi="宋体" w:eastAsia="宋体" w:cs="宋体"/>
          <w:color w:val="auto"/>
          <w:spacing w:val="0"/>
          <w:position w:val="0"/>
          <w:sz w:val="24"/>
          <w:highlight w:val="none"/>
        </w:rPr>
        <w:t xml:space="preserve"> </w:t>
      </w:r>
      <w:r>
        <w:rPr>
          <w:rFonts w:hint="eastAsia" w:ascii="宋体" w:hAnsi="宋体" w:eastAsia="宋体" w:cs="宋体"/>
          <w:b/>
          <w:color w:val="auto"/>
          <w:spacing w:val="0"/>
          <w:position w:val="0"/>
          <w:sz w:val="24"/>
          <w:highlight w:val="none"/>
        </w:rPr>
        <w:t>响应文件有效期</w:t>
      </w:r>
    </w:p>
    <w:p w14:paraId="45CC2953">
      <w:pPr>
        <w:pageBreakBefore w:val="0"/>
        <w:kinsoku/>
        <w:wordWrap/>
        <w:overflowPunct/>
        <w:topLinePunct w:val="0"/>
        <w:bidi w:val="0"/>
        <w:adjustRightInd w:val="0"/>
        <w:snapToGrid w:val="0"/>
        <w:spacing w:line="440" w:lineRule="exact"/>
        <w:ind w:left="0" w:right="0" w:rightChars="0" w:firstLine="480" w:firstLineChars="200"/>
        <w:jc w:val="left"/>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3.6.1响应文件有效期见</w:t>
      </w:r>
      <w:r>
        <w:rPr>
          <w:rFonts w:hint="eastAsia" w:ascii="宋体" w:hAnsi="宋体" w:eastAsia="宋体" w:cs="宋体"/>
          <w:b/>
          <w:color w:val="auto"/>
          <w:spacing w:val="0"/>
          <w:position w:val="0"/>
          <w:sz w:val="24"/>
          <w:highlight w:val="none"/>
        </w:rPr>
        <w:t>磋商须知前附表</w:t>
      </w:r>
      <w:r>
        <w:rPr>
          <w:rFonts w:hint="eastAsia" w:ascii="宋体" w:hAnsi="宋体" w:eastAsia="宋体" w:cs="宋体"/>
          <w:color w:val="auto"/>
          <w:spacing w:val="0"/>
          <w:position w:val="0"/>
          <w:sz w:val="24"/>
          <w:highlight w:val="none"/>
        </w:rPr>
        <w:t>，响应文件有效期不足的将被视为无效响应，并予以拒绝。</w:t>
      </w:r>
    </w:p>
    <w:p w14:paraId="534EBC10">
      <w:pPr>
        <w:pageBreakBefore w:val="0"/>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3.6.2特殊情况下，采购代理机构可于响应文件有效期满之前要求供应商同意延长有效期，要求与答复均应为书面形式。供应商可以拒绝上述要求而其磋商保证金不被没收。对于同意该要求的供应商，既不要求也不允许其修改响应文件，但将要求其相应延长磋商保证金的有效期。有关退还和没收磋商保证金的规定在响应文件有效期的延长期内继续有效。</w:t>
      </w:r>
    </w:p>
    <w:p w14:paraId="6BA55C42">
      <w:pPr>
        <w:pageBreakBefore w:val="0"/>
        <w:kinsoku/>
        <w:wordWrap/>
        <w:overflowPunct/>
        <w:topLinePunct w:val="0"/>
        <w:bidi w:val="0"/>
        <w:adjustRightInd w:val="0"/>
        <w:snapToGrid w:val="0"/>
        <w:spacing w:line="440" w:lineRule="exact"/>
        <w:ind w:left="0" w:right="0" w:rightChars="0"/>
        <w:textAlignment w:val="auto"/>
        <w:rPr>
          <w:rFonts w:hint="eastAsia" w:ascii="宋体" w:hAnsi="宋体" w:eastAsia="宋体" w:cs="宋体"/>
          <w:b/>
          <w:bCs/>
          <w:color w:val="auto"/>
          <w:spacing w:val="0"/>
          <w:position w:val="0"/>
          <w:sz w:val="24"/>
          <w:highlight w:val="none"/>
        </w:rPr>
      </w:pPr>
      <w:r>
        <w:rPr>
          <w:rFonts w:hint="eastAsia" w:ascii="宋体" w:hAnsi="宋体" w:eastAsia="宋体" w:cs="宋体"/>
          <w:b/>
          <w:bCs/>
          <w:color w:val="auto"/>
          <w:spacing w:val="0"/>
          <w:position w:val="0"/>
          <w:sz w:val="24"/>
          <w:highlight w:val="none"/>
        </w:rPr>
        <w:t>3.7 响应文件的签署及规定</w:t>
      </w:r>
    </w:p>
    <w:p w14:paraId="0939B68F">
      <w:pPr>
        <w:pStyle w:val="23"/>
        <w:pageBreakBefore w:val="0"/>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3.7.1供应商应提供响应文件份数见</w:t>
      </w:r>
      <w:r>
        <w:rPr>
          <w:rFonts w:hint="eastAsia" w:ascii="宋体" w:hAnsi="宋体" w:eastAsia="宋体" w:cs="宋体"/>
          <w:b/>
          <w:color w:val="auto"/>
          <w:spacing w:val="0"/>
          <w:position w:val="0"/>
          <w:sz w:val="24"/>
          <w:szCs w:val="24"/>
          <w:highlight w:val="none"/>
        </w:rPr>
        <w:t>磋商须知前附表</w:t>
      </w:r>
      <w:r>
        <w:rPr>
          <w:rFonts w:hint="eastAsia" w:ascii="宋体" w:hAnsi="宋体" w:eastAsia="宋体" w:cs="宋体"/>
          <w:color w:val="auto"/>
          <w:spacing w:val="0"/>
          <w:position w:val="0"/>
          <w:sz w:val="24"/>
          <w:szCs w:val="24"/>
          <w:highlight w:val="none"/>
        </w:rPr>
        <w:t>。</w:t>
      </w:r>
    </w:p>
    <w:p w14:paraId="24086D3E">
      <w:pPr>
        <w:pageBreakBefore w:val="0"/>
        <w:kinsoku/>
        <w:wordWrap/>
        <w:overflowPunct/>
        <w:topLinePunct w:val="0"/>
        <w:bidi w:val="0"/>
        <w:spacing w:line="440" w:lineRule="exact"/>
        <w:ind w:left="0" w:right="0" w:rightChars="0" w:firstLine="480" w:firstLineChars="200"/>
        <w:textAlignment w:val="auto"/>
        <w:rPr>
          <w:rFonts w:hint="eastAsia" w:ascii="宋体" w:hAnsi="宋体" w:eastAsia="宋体" w:cs="宋体"/>
          <w:b/>
          <w:color w:val="auto"/>
          <w:spacing w:val="0"/>
          <w:position w:val="0"/>
          <w:sz w:val="24"/>
          <w:highlight w:val="none"/>
        </w:rPr>
      </w:pPr>
      <w:r>
        <w:rPr>
          <w:rFonts w:hint="eastAsia" w:ascii="宋体" w:hAnsi="宋体" w:eastAsia="宋体" w:cs="宋体"/>
          <w:color w:val="auto"/>
          <w:spacing w:val="0"/>
          <w:position w:val="0"/>
          <w:sz w:val="24"/>
          <w:highlight w:val="none"/>
          <w:lang w:val="zh-CN"/>
        </w:rPr>
        <w:t xml:space="preserve">3.7.2 </w:t>
      </w:r>
      <w:r>
        <w:rPr>
          <w:rFonts w:hint="eastAsia" w:ascii="宋体" w:hAnsi="宋体" w:eastAsia="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在</w:t>
      </w:r>
      <w:r>
        <w:rPr>
          <w:rFonts w:hint="eastAsia" w:ascii="宋体" w:hAnsi="宋体" w:eastAsia="宋体" w:cs="宋体"/>
          <w:color w:val="auto"/>
          <w:spacing w:val="0"/>
          <w:position w:val="0"/>
          <w:sz w:val="24"/>
          <w:highlight w:val="none"/>
          <w:lang w:eastAsia="zh-CN"/>
        </w:rPr>
        <w:t>响应文件</w:t>
      </w:r>
      <w:r>
        <w:rPr>
          <w:rFonts w:hint="eastAsia" w:ascii="宋体" w:hAnsi="宋体" w:eastAsia="宋体" w:cs="宋体"/>
          <w:color w:val="auto"/>
          <w:spacing w:val="0"/>
          <w:position w:val="0"/>
          <w:sz w:val="24"/>
          <w:highlight w:val="none"/>
        </w:rPr>
        <w:t>及相关文件的签订、履行、通知等事项的文件中的单位盖章、印章、公章等处均指与当事人全称相一致的电子签章或标准公章，不得使用其他形式（如带有“专用章”等字样的印章）。不符合本条规定的按无效投标处理。</w:t>
      </w:r>
    </w:p>
    <w:p w14:paraId="3B19BD7F">
      <w:pPr>
        <w:pStyle w:val="3"/>
        <w:pageBreakBefore w:val="0"/>
        <w:kinsoku/>
        <w:wordWrap/>
        <w:overflowPunct/>
        <w:topLinePunct w:val="0"/>
        <w:bidi w:val="0"/>
        <w:spacing w:line="440" w:lineRule="exact"/>
        <w:ind w:left="0" w:right="0" w:rightChars="0"/>
        <w:jc w:val="center"/>
        <w:textAlignment w:val="auto"/>
        <w:rPr>
          <w:rFonts w:hint="eastAsia" w:ascii="宋体" w:hAnsi="宋体" w:eastAsia="宋体" w:cs="宋体"/>
          <w:color w:val="auto"/>
          <w:spacing w:val="0"/>
          <w:position w:val="0"/>
          <w:highlight w:val="none"/>
        </w:rPr>
      </w:pPr>
      <w:bookmarkStart w:id="19" w:name="_Toc8894"/>
      <w:bookmarkStart w:id="20" w:name="_Toc9286"/>
      <w:r>
        <w:rPr>
          <w:rFonts w:hint="eastAsia" w:ascii="宋体" w:hAnsi="宋体" w:eastAsia="宋体" w:cs="宋体"/>
          <w:color w:val="auto"/>
          <w:spacing w:val="0"/>
          <w:position w:val="0"/>
          <w:highlight w:val="none"/>
        </w:rPr>
        <w:t>四、响应文件的递交</w:t>
      </w:r>
      <w:bookmarkEnd w:id="19"/>
      <w:bookmarkEnd w:id="20"/>
    </w:p>
    <w:p w14:paraId="2558F0FF">
      <w:pPr>
        <w:pageBreakBefore w:val="0"/>
        <w:kinsoku/>
        <w:wordWrap/>
        <w:overflowPunct/>
        <w:topLinePunct w:val="0"/>
        <w:bidi w:val="0"/>
        <w:adjustRightInd w:val="0"/>
        <w:snapToGrid w:val="0"/>
        <w:spacing w:line="440" w:lineRule="exact"/>
        <w:ind w:left="0" w:right="0" w:rightChars="0"/>
        <w:textAlignment w:val="auto"/>
        <w:rPr>
          <w:rFonts w:hint="eastAsia" w:ascii="宋体" w:hAnsi="宋体" w:eastAsia="宋体" w:cs="宋体"/>
          <w:b/>
          <w:bCs/>
          <w:color w:val="auto"/>
          <w:spacing w:val="0"/>
          <w:position w:val="0"/>
          <w:sz w:val="24"/>
          <w:highlight w:val="none"/>
        </w:rPr>
      </w:pPr>
      <w:r>
        <w:rPr>
          <w:rFonts w:hint="eastAsia" w:ascii="宋体" w:hAnsi="宋体" w:eastAsia="宋体" w:cs="宋体"/>
          <w:b/>
          <w:bCs/>
          <w:color w:val="auto"/>
          <w:spacing w:val="0"/>
          <w:position w:val="0"/>
          <w:sz w:val="24"/>
          <w:highlight w:val="none"/>
        </w:rPr>
        <w:t xml:space="preserve">4.1 </w:t>
      </w:r>
      <w:r>
        <w:rPr>
          <w:rFonts w:hint="eastAsia" w:ascii="宋体" w:hAnsi="宋体" w:eastAsia="宋体" w:cs="宋体"/>
          <w:b/>
          <w:color w:val="auto"/>
          <w:spacing w:val="0"/>
          <w:position w:val="0"/>
          <w:sz w:val="24"/>
          <w:highlight w:val="none"/>
        </w:rPr>
        <w:t>响应文件</w:t>
      </w:r>
      <w:r>
        <w:rPr>
          <w:rFonts w:hint="eastAsia" w:ascii="宋体" w:hAnsi="宋体" w:eastAsia="宋体" w:cs="宋体"/>
          <w:b/>
          <w:bCs/>
          <w:color w:val="auto"/>
          <w:spacing w:val="0"/>
          <w:position w:val="0"/>
          <w:sz w:val="24"/>
          <w:highlight w:val="none"/>
        </w:rPr>
        <w:t>的密封和标记</w:t>
      </w:r>
    </w:p>
    <w:p w14:paraId="59AB62DF">
      <w:pPr>
        <w:pageBreakBefore w:val="0"/>
        <w:kinsoku/>
        <w:wordWrap/>
        <w:overflowPunct/>
        <w:topLinePunct w:val="0"/>
        <w:bidi w:val="0"/>
        <w:spacing w:line="440" w:lineRule="exact"/>
        <w:ind w:left="0" w:right="0" w:righ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4.1.1</w:t>
      </w:r>
      <w:r>
        <w:rPr>
          <w:rFonts w:hint="eastAsia" w:ascii="宋体" w:hAnsi="宋体" w:eastAsia="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应通过电子</w:t>
      </w:r>
      <w:r>
        <w:rPr>
          <w:rFonts w:hint="eastAsia" w:ascii="宋体" w:hAnsi="宋体" w:eastAsia="宋体" w:cs="宋体"/>
          <w:color w:val="auto"/>
          <w:spacing w:val="0"/>
          <w:position w:val="0"/>
          <w:sz w:val="24"/>
          <w:highlight w:val="none"/>
          <w:lang w:eastAsia="zh-CN"/>
        </w:rPr>
        <w:t>响应文件</w:t>
      </w:r>
      <w:r>
        <w:rPr>
          <w:rFonts w:hint="eastAsia" w:ascii="宋体" w:hAnsi="宋体" w:eastAsia="宋体" w:cs="宋体"/>
          <w:color w:val="auto"/>
          <w:spacing w:val="0"/>
          <w:position w:val="0"/>
          <w:sz w:val="24"/>
          <w:highlight w:val="none"/>
        </w:rPr>
        <w:t>制作工具严格按</w:t>
      </w:r>
      <w:r>
        <w:rPr>
          <w:rFonts w:hint="eastAsia" w:ascii="宋体" w:hAnsi="宋体" w:eastAsia="宋体" w:cs="宋体"/>
          <w:color w:val="auto"/>
          <w:spacing w:val="0"/>
          <w:position w:val="0"/>
          <w:sz w:val="24"/>
          <w:highlight w:val="none"/>
          <w:lang w:eastAsia="zh-CN"/>
        </w:rPr>
        <w:t>竞争性磋商文件</w:t>
      </w:r>
      <w:r>
        <w:rPr>
          <w:rFonts w:hint="eastAsia" w:ascii="宋体" w:hAnsi="宋体" w:eastAsia="宋体" w:cs="宋体"/>
          <w:color w:val="auto"/>
          <w:spacing w:val="0"/>
          <w:position w:val="0"/>
          <w:sz w:val="24"/>
          <w:highlight w:val="none"/>
        </w:rPr>
        <w:t>要求制作</w:t>
      </w:r>
      <w:r>
        <w:rPr>
          <w:rFonts w:hint="eastAsia" w:ascii="宋体" w:hAnsi="宋体" w:eastAsia="宋体" w:cs="宋体"/>
          <w:color w:val="auto"/>
          <w:spacing w:val="0"/>
          <w:position w:val="0"/>
          <w:sz w:val="24"/>
          <w:highlight w:val="none"/>
          <w:lang w:eastAsia="zh-CN"/>
        </w:rPr>
        <w:t>响应文件</w:t>
      </w:r>
      <w:r>
        <w:rPr>
          <w:rFonts w:hint="eastAsia" w:ascii="宋体" w:hAnsi="宋体" w:eastAsia="宋体" w:cs="宋体"/>
          <w:color w:val="auto"/>
          <w:spacing w:val="0"/>
          <w:position w:val="0"/>
          <w:sz w:val="24"/>
          <w:highlight w:val="none"/>
        </w:rPr>
        <w:t>，在投标截止时间前完成上传经过数字证书电子签章并加密的</w:t>
      </w:r>
      <w:r>
        <w:rPr>
          <w:rFonts w:hint="eastAsia" w:ascii="宋体" w:hAnsi="宋体" w:eastAsia="宋体" w:cs="宋体"/>
          <w:color w:val="auto"/>
          <w:spacing w:val="0"/>
          <w:position w:val="0"/>
          <w:sz w:val="24"/>
          <w:highlight w:val="none"/>
          <w:lang w:eastAsia="zh-CN"/>
        </w:rPr>
        <w:t>响应文件</w:t>
      </w:r>
      <w:r>
        <w:rPr>
          <w:rFonts w:hint="eastAsia" w:ascii="宋体" w:hAnsi="宋体" w:eastAsia="宋体" w:cs="宋体"/>
          <w:color w:val="auto"/>
          <w:spacing w:val="0"/>
          <w:position w:val="0"/>
          <w:sz w:val="24"/>
          <w:highlight w:val="none"/>
        </w:rPr>
        <w:t>（加密和解密须用同一把数字证书）。</w:t>
      </w:r>
      <w:r>
        <w:rPr>
          <w:rFonts w:hint="eastAsia" w:ascii="宋体" w:hAnsi="宋体" w:eastAsia="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在投标截止时间前，可以对其所递交的</w:t>
      </w:r>
      <w:r>
        <w:rPr>
          <w:rFonts w:hint="eastAsia" w:ascii="宋体" w:hAnsi="宋体" w:eastAsia="宋体" w:cs="宋体"/>
          <w:color w:val="auto"/>
          <w:spacing w:val="0"/>
          <w:position w:val="0"/>
          <w:sz w:val="24"/>
          <w:highlight w:val="none"/>
          <w:lang w:eastAsia="zh-CN"/>
        </w:rPr>
        <w:t>响应文件</w:t>
      </w:r>
      <w:r>
        <w:rPr>
          <w:rFonts w:hint="eastAsia" w:ascii="宋体" w:hAnsi="宋体" w:eastAsia="宋体" w:cs="宋体"/>
          <w:color w:val="auto"/>
          <w:spacing w:val="0"/>
          <w:position w:val="0"/>
          <w:sz w:val="24"/>
          <w:highlight w:val="none"/>
        </w:rPr>
        <w:t>进行修改并重新上传，但以投标截止时间前最后一次上传的</w:t>
      </w:r>
      <w:r>
        <w:rPr>
          <w:rFonts w:hint="eastAsia" w:ascii="宋体" w:hAnsi="宋体" w:eastAsia="宋体" w:cs="宋体"/>
          <w:color w:val="auto"/>
          <w:spacing w:val="0"/>
          <w:position w:val="0"/>
          <w:sz w:val="24"/>
          <w:highlight w:val="none"/>
          <w:lang w:eastAsia="zh-CN"/>
        </w:rPr>
        <w:t>响应文件</w:t>
      </w:r>
      <w:r>
        <w:rPr>
          <w:rFonts w:hint="eastAsia" w:ascii="宋体" w:hAnsi="宋体" w:eastAsia="宋体" w:cs="宋体"/>
          <w:color w:val="auto"/>
          <w:spacing w:val="0"/>
          <w:position w:val="0"/>
          <w:sz w:val="24"/>
          <w:highlight w:val="none"/>
        </w:rPr>
        <w:t>为有效</w:t>
      </w:r>
      <w:r>
        <w:rPr>
          <w:rFonts w:hint="eastAsia" w:ascii="宋体" w:hAnsi="宋体" w:eastAsia="宋体" w:cs="宋体"/>
          <w:color w:val="auto"/>
          <w:spacing w:val="0"/>
          <w:position w:val="0"/>
          <w:sz w:val="24"/>
          <w:highlight w:val="none"/>
          <w:lang w:eastAsia="zh-CN"/>
        </w:rPr>
        <w:t>响应文件</w:t>
      </w:r>
      <w:r>
        <w:rPr>
          <w:rFonts w:hint="eastAsia" w:ascii="宋体" w:hAnsi="宋体" w:eastAsia="宋体" w:cs="宋体"/>
          <w:color w:val="auto"/>
          <w:spacing w:val="0"/>
          <w:position w:val="0"/>
          <w:sz w:val="24"/>
          <w:highlight w:val="none"/>
        </w:rPr>
        <w:t>。</w:t>
      </w:r>
    </w:p>
    <w:p w14:paraId="5FD9278A">
      <w:pPr>
        <w:pageBreakBefore w:val="0"/>
        <w:kinsoku/>
        <w:wordWrap/>
        <w:overflowPunct/>
        <w:topLinePunct w:val="0"/>
        <w:bidi w:val="0"/>
        <w:spacing w:line="440" w:lineRule="exact"/>
        <w:ind w:left="0" w:right="0" w:righ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投标截止时间以</w:t>
      </w:r>
      <w:r>
        <w:rPr>
          <w:rFonts w:hint="eastAsia" w:ascii="宋体" w:hAnsi="宋体" w:eastAsia="宋体" w:cs="宋体"/>
          <w:color w:val="auto"/>
          <w:spacing w:val="0"/>
          <w:position w:val="0"/>
          <w:sz w:val="24"/>
          <w:highlight w:val="none"/>
          <w:lang w:eastAsia="zh-CN"/>
        </w:rPr>
        <w:t>政采云</w:t>
      </w:r>
      <w:r>
        <w:rPr>
          <w:rFonts w:hint="eastAsia" w:ascii="宋体" w:hAnsi="宋体" w:eastAsia="宋体" w:cs="宋体"/>
          <w:color w:val="auto"/>
          <w:spacing w:val="0"/>
          <w:position w:val="0"/>
          <w:sz w:val="24"/>
          <w:highlight w:val="none"/>
        </w:rPr>
        <w:t>平台显示的时间为准，逾期系统将自动关闭，未完成上传的</w:t>
      </w:r>
      <w:r>
        <w:rPr>
          <w:rFonts w:hint="eastAsia" w:ascii="宋体" w:hAnsi="宋体" w:eastAsia="宋体" w:cs="宋体"/>
          <w:color w:val="auto"/>
          <w:spacing w:val="0"/>
          <w:position w:val="0"/>
          <w:sz w:val="24"/>
          <w:highlight w:val="none"/>
          <w:lang w:eastAsia="zh-CN"/>
        </w:rPr>
        <w:t>响应文件</w:t>
      </w:r>
      <w:r>
        <w:rPr>
          <w:rFonts w:hint="eastAsia" w:ascii="宋体" w:hAnsi="宋体" w:eastAsia="宋体" w:cs="宋体"/>
          <w:color w:val="auto"/>
          <w:spacing w:val="0"/>
          <w:position w:val="0"/>
          <w:sz w:val="24"/>
          <w:highlight w:val="none"/>
        </w:rPr>
        <w:t>视为逾期送达，将被拒绝。</w:t>
      </w:r>
    </w:p>
    <w:p w14:paraId="6E3534BD">
      <w:pPr>
        <w:pageBreakBefore w:val="0"/>
        <w:kinsoku/>
        <w:wordWrap/>
        <w:overflowPunct/>
        <w:topLinePunct w:val="0"/>
        <w:bidi w:val="0"/>
        <w:spacing w:line="440" w:lineRule="exact"/>
        <w:ind w:left="0" w:right="0" w:righ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认为有必要提交的其他资料请于投标截止时间前一并提交。</w:t>
      </w:r>
    </w:p>
    <w:p w14:paraId="38EE0921">
      <w:pPr>
        <w:pageBreakBefore w:val="0"/>
        <w:kinsoku/>
        <w:wordWrap/>
        <w:overflowPunct/>
        <w:topLinePunct w:val="0"/>
        <w:bidi w:val="0"/>
        <w:adjustRightInd w:val="0"/>
        <w:snapToGrid w:val="0"/>
        <w:spacing w:line="440" w:lineRule="exact"/>
        <w:ind w:left="0" w:right="0" w:rightChars="0"/>
        <w:textAlignment w:val="auto"/>
        <w:rPr>
          <w:rFonts w:hint="eastAsia" w:ascii="宋体" w:hAnsi="宋体" w:eastAsia="宋体" w:cs="宋体"/>
          <w:b/>
          <w:bCs/>
          <w:color w:val="auto"/>
          <w:spacing w:val="0"/>
          <w:position w:val="0"/>
          <w:sz w:val="24"/>
          <w:highlight w:val="none"/>
        </w:rPr>
      </w:pPr>
      <w:r>
        <w:rPr>
          <w:rFonts w:hint="eastAsia" w:ascii="宋体" w:hAnsi="宋体" w:eastAsia="宋体" w:cs="宋体"/>
          <w:b/>
          <w:bCs/>
          <w:color w:val="auto"/>
          <w:spacing w:val="0"/>
          <w:position w:val="0"/>
          <w:sz w:val="24"/>
          <w:highlight w:val="none"/>
        </w:rPr>
        <w:t>4.2响应文件的递交</w:t>
      </w:r>
    </w:p>
    <w:p w14:paraId="66004600">
      <w:pPr>
        <w:pageBreakBefore w:val="0"/>
        <w:kinsoku/>
        <w:wordWrap/>
        <w:overflowPunct/>
        <w:topLinePunct w:val="0"/>
        <w:bidi w:val="0"/>
        <w:spacing w:line="440" w:lineRule="exact"/>
        <w:ind w:left="0" w:right="0" w:righ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4.2.1供应商应在磋商文件规定的响应文件递交截止时间前将电子响应文件上传到指定网站的指定栏目。未在响应文件递交截止时间前完成上传的电子响应文件视为逾期送达。逾期上传或未按规定方式上传的电子响应文件，采购单位不予受理。</w:t>
      </w:r>
    </w:p>
    <w:p w14:paraId="39E654DE">
      <w:pPr>
        <w:pageBreakBefore w:val="0"/>
        <w:kinsoku/>
        <w:wordWrap/>
        <w:overflowPunct/>
        <w:topLinePunct w:val="0"/>
        <w:bidi w:val="0"/>
        <w:adjustRightInd w:val="0"/>
        <w:snapToGrid w:val="0"/>
        <w:spacing w:line="440" w:lineRule="exact"/>
        <w:ind w:left="0" w:right="0" w:rightChars="0"/>
        <w:textAlignment w:val="auto"/>
        <w:rPr>
          <w:rFonts w:hint="eastAsia" w:ascii="宋体" w:hAnsi="宋体" w:eastAsia="宋体" w:cs="宋体"/>
          <w:b/>
          <w:bCs/>
          <w:color w:val="auto"/>
          <w:spacing w:val="0"/>
          <w:position w:val="0"/>
          <w:sz w:val="24"/>
          <w:highlight w:val="none"/>
        </w:rPr>
      </w:pPr>
      <w:r>
        <w:rPr>
          <w:rFonts w:hint="eastAsia" w:ascii="宋体" w:hAnsi="宋体" w:eastAsia="宋体" w:cs="宋体"/>
          <w:b/>
          <w:bCs/>
          <w:color w:val="auto"/>
          <w:spacing w:val="0"/>
          <w:position w:val="0"/>
          <w:sz w:val="24"/>
          <w:highlight w:val="none"/>
        </w:rPr>
        <w:t>4.3响应文件的</w:t>
      </w:r>
      <w:r>
        <w:rPr>
          <w:rFonts w:hint="eastAsia" w:ascii="宋体" w:hAnsi="宋体" w:eastAsia="宋体" w:cs="宋体"/>
          <w:b/>
          <w:color w:val="auto"/>
          <w:spacing w:val="0"/>
          <w:kern w:val="0"/>
          <w:position w:val="0"/>
          <w:sz w:val="24"/>
          <w:highlight w:val="none"/>
          <w:lang w:val="zh-CN"/>
        </w:rPr>
        <w:t>补充、修改或者撤回</w:t>
      </w:r>
    </w:p>
    <w:p w14:paraId="797C23DC">
      <w:pPr>
        <w:pStyle w:val="23"/>
        <w:pageBreakBefore w:val="0"/>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color w:val="auto"/>
          <w:spacing w:val="0"/>
          <w:kern w:val="0"/>
          <w:position w:val="0"/>
          <w:sz w:val="24"/>
          <w:szCs w:val="24"/>
          <w:highlight w:val="none"/>
          <w:lang w:val="zh-CN"/>
        </w:rPr>
      </w:pPr>
      <w:r>
        <w:rPr>
          <w:rFonts w:hint="eastAsia" w:ascii="宋体" w:hAnsi="宋体" w:eastAsia="宋体" w:cs="宋体"/>
          <w:color w:val="auto"/>
          <w:spacing w:val="0"/>
          <w:position w:val="0"/>
          <w:sz w:val="24"/>
          <w:szCs w:val="24"/>
          <w:highlight w:val="none"/>
        </w:rPr>
        <w:t xml:space="preserve">4.3.1 </w:t>
      </w:r>
      <w:r>
        <w:rPr>
          <w:rFonts w:hint="eastAsia" w:ascii="宋体" w:hAnsi="宋体" w:eastAsia="宋体" w:cs="宋体"/>
          <w:color w:val="auto"/>
          <w:spacing w:val="0"/>
          <w:position w:val="0"/>
          <w:sz w:val="24"/>
          <w:szCs w:val="24"/>
          <w:highlight w:val="none"/>
          <w:lang w:eastAsia="zh-CN"/>
        </w:rPr>
        <w:t>供应商</w:t>
      </w:r>
      <w:r>
        <w:rPr>
          <w:rFonts w:hint="eastAsia" w:ascii="宋体" w:hAnsi="宋体" w:eastAsia="宋体" w:cs="宋体"/>
          <w:color w:val="auto"/>
          <w:spacing w:val="0"/>
          <w:position w:val="0"/>
          <w:sz w:val="24"/>
          <w:szCs w:val="24"/>
          <w:highlight w:val="none"/>
        </w:rPr>
        <w:t>在递交</w:t>
      </w:r>
      <w:r>
        <w:rPr>
          <w:rFonts w:hint="eastAsia" w:ascii="宋体" w:hAnsi="宋体" w:eastAsia="宋体" w:cs="宋体"/>
          <w:color w:val="auto"/>
          <w:spacing w:val="0"/>
          <w:position w:val="0"/>
          <w:sz w:val="24"/>
          <w:szCs w:val="24"/>
          <w:highlight w:val="none"/>
          <w:lang w:eastAsia="zh-CN"/>
        </w:rPr>
        <w:t>响应文件</w:t>
      </w:r>
      <w:r>
        <w:rPr>
          <w:rFonts w:hint="eastAsia" w:ascii="宋体" w:hAnsi="宋体" w:eastAsia="宋体" w:cs="宋体"/>
          <w:color w:val="auto"/>
          <w:spacing w:val="0"/>
          <w:position w:val="0"/>
          <w:sz w:val="24"/>
          <w:szCs w:val="24"/>
          <w:highlight w:val="none"/>
        </w:rPr>
        <w:t>后，可以修改或撤回其投标，但这种修改和撤回，必须在规定的投标截止时间前。在投标截止时间后，</w:t>
      </w:r>
      <w:r>
        <w:rPr>
          <w:rFonts w:hint="eastAsia" w:ascii="宋体" w:hAnsi="宋体" w:eastAsia="宋体" w:cs="宋体"/>
          <w:color w:val="auto"/>
          <w:spacing w:val="0"/>
          <w:position w:val="0"/>
          <w:sz w:val="24"/>
          <w:szCs w:val="24"/>
          <w:highlight w:val="none"/>
          <w:lang w:eastAsia="zh-CN"/>
        </w:rPr>
        <w:t>供应商</w:t>
      </w:r>
      <w:r>
        <w:rPr>
          <w:rFonts w:hint="eastAsia" w:ascii="宋体" w:hAnsi="宋体" w:eastAsia="宋体" w:cs="宋体"/>
          <w:color w:val="auto"/>
          <w:spacing w:val="0"/>
          <w:position w:val="0"/>
          <w:sz w:val="24"/>
          <w:szCs w:val="24"/>
          <w:highlight w:val="none"/>
        </w:rPr>
        <w:t>不得要求修改或撤回其</w:t>
      </w:r>
      <w:r>
        <w:rPr>
          <w:rFonts w:hint="eastAsia" w:ascii="宋体" w:hAnsi="宋体" w:eastAsia="宋体" w:cs="宋体"/>
          <w:color w:val="auto"/>
          <w:spacing w:val="0"/>
          <w:position w:val="0"/>
          <w:sz w:val="24"/>
          <w:szCs w:val="24"/>
          <w:highlight w:val="none"/>
          <w:lang w:eastAsia="zh-CN"/>
        </w:rPr>
        <w:t>响应文件</w:t>
      </w:r>
      <w:r>
        <w:rPr>
          <w:rFonts w:hint="eastAsia" w:ascii="宋体" w:hAnsi="宋体" w:eastAsia="宋体" w:cs="宋体"/>
          <w:color w:val="auto"/>
          <w:spacing w:val="0"/>
          <w:position w:val="0"/>
          <w:sz w:val="24"/>
          <w:szCs w:val="24"/>
          <w:highlight w:val="none"/>
        </w:rPr>
        <w:t>。</w:t>
      </w:r>
    </w:p>
    <w:p w14:paraId="09D4ABCA">
      <w:pPr>
        <w:pStyle w:val="23"/>
        <w:pageBreakBefore w:val="0"/>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4.3.2 在递交响应文件截止时间后，供应商不得对响应文件</w:t>
      </w:r>
      <w:r>
        <w:rPr>
          <w:rFonts w:hint="eastAsia" w:ascii="宋体" w:hAnsi="宋体" w:eastAsia="宋体" w:cs="宋体"/>
          <w:color w:val="auto"/>
          <w:spacing w:val="0"/>
          <w:kern w:val="0"/>
          <w:position w:val="0"/>
          <w:sz w:val="24"/>
          <w:szCs w:val="24"/>
          <w:highlight w:val="none"/>
          <w:lang w:val="zh-CN"/>
        </w:rPr>
        <w:t>补充、修改或者撤回，但属于本须知5.4.2款规定的情形除外</w:t>
      </w:r>
      <w:r>
        <w:rPr>
          <w:rFonts w:hint="eastAsia" w:ascii="宋体" w:hAnsi="宋体" w:eastAsia="宋体" w:cs="宋体"/>
          <w:color w:val="auto"/>
          <w:spacing w:val="0"/>
          <w:position w:val="0"/>
          <w:sz w:val="24"/>
          <w:szCs w:val="24"/>
          <w:highlight w:val="none"/>
        </w:rPr>
        <w:t>。</w:t>
      </w:r>
    </w:p>
    <w:p w14:paraId="0EF176E6">
      <w:pPr>
        <w:pStyle w:val="3"/>
        <w:pageBreakBefore w:val="0"/>
        <w:kinsoku/>
        <w:wordWrap/>
        <w:overflowPunct/>
        <w:topLinePunct w:val="0"/>
        <w:bidi w:val="0"/>
        <w:spacing w:line="440" w:lineRule="exact"/>
        <w:ind w:left="0" w:right="0" w:rightChars="0"/>
        <w:jc w:val="center"/>
        <w:textAlignment w:val="auto"/>
        <w:rPr>
          <w:rFonts w:hint="eastAsia" w:ascii="宋体" w:hAnsi="宋体" w:eastAsia="宋体" w:cs="宋体"/>
          <w:color w:val="auto"/>
          <w:spacing w:val="0"/>
          <w:position w:val="0"/>
          <w:highlight w:val="none"/>
        </w:rPr>
      </w:pPr>
      <w:bookmarkStart w:id="21" w:name="_Toc8509"/>
      <w:bookmarkStart w:id="22" w:name="_Toc27472"/>
      <w:r>
        <w:rPr>
          <w:rFonts w:hint="eastAsia" w:ascii="宋体" w:hAnsi="宋体" w:eastAsia="宋体" w:cs="宋体"/>
          <w:color w:val="auto"/>
          <w:spacing w:val="0"/>
          <w:position w:val="0"/>
          <w:highlight w:val="none"/>
        </w:rPr>
        <w:t>五、磋商和评审</w:t>
      </w:r>
      <w:bookmarkEnd w:id="21"/>
      <w:bookmarkEnd w:id="22"/>
    </w:p>
    <w:p w14:paraId="62464E3A">
      <w:pPr>
        <w:pageBreakBefore w:val="0"/>
        <w:kinsoku/>
        <w:wordWrap/>
        <w:overflowPunct/>
        <w:topLinePunct w:val="0"/>
        <w:bidi w:val="0"/>
        <w:adjustRightInd w:val="0"/>
        <w:snapToGrid w:val="0"/>
        <w:spacing w:line="440" w:lineRule="exact"/>
        <w:ind w:left="0" w:right="0" w:rightChars="0"/>
        <w:textAlignment w:val="auto"/>
        <w:rPr>
          <w:rFonts w:hint="eastAsia" w:ascii="宋体" w:hAnsi="宋体" w:eastAsia="宋体" w:cs="宋体"/>
          <w:b/>
          <w:bCs/>
          <w:color w:val="auto"/>
          <w:spacing w:val="0"/>
          <w:position w:val="0"/>
          <w:sz w:val="24"/>
          <w:highlight w:val="none"/>
          <w:lang w:eastAsia="zh-CN"/>
        </w:rPr>
      </w:pPr>
      <w:r>
        <w:rPr>
          <w:rFonts w:hint="eastAsia" w:ascii="宋体" w:hAnsi="宋体" w:eastAsia="宋体" w:cs="宋体"/>
          <w:b/>
          <w:bCs/>
          <w:color w:val="auto"/>
          <w:spacing w:val="0"/>
          <w:position w:val="0"/>
          <w:sz w:val="24"/>
          <w:highlight w:val="none"/>
        </w:rPr>
        <w:t>5.1 磋商</w:t>
      </w:r>
      <w:r>
        <w:rPr>
          <w:rFonts w:hint="eastAsia" w:ascii="宋体" w:hAnsi="宋体" w:eastAsia="宋体" w:cs="宋体"/>
          <w:b/>
          <w:bCs/>
          <w:color w:val="auto"/>
          <w:spacing w:val="0"/>
          <w:position w:val="0"/>
          <w:sz w:val="24"/>
          <w:highlight w:val="none"/>
          <w:lang w:eastAsia="zh-CN"/>
        </w:rPr>
        <w:t>会议</w:t>
      </w:r>
    </w:p>
    <w:p w14:paraId="4BDD695A">
      <w:pPr>
        <w:pageBreakBefore w:val="0"/>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bCs/>
          <w:color w:val="auto"/>
          <w:spacing w:val="0"/>
          <w:position w:val="0"/>
          <w:sz w:val="24"/>
          <w:highlight w:val="none"/>
        </w:rPr>
        <w:t>5.1.1采购机构在</w:t>
      </w:r>
      <w:r>
        <w:rPr>
          <w:rFonts w:hint="eastAsia" w:ascii="宋体" w:hAnsi="宋体" w:eastAsia="宋体" w:cs="宋体"/>
          <w:b/>
          <w:color w:val="auto"/>
          <w:spacing w:val="0"/>
          <w:position w:val="0"/>
          <w:sz w:val="24"/>
          <w:highlight w:val="none"/>
        </w:rPr>
        <w:t>磋商须知前附表</w:t>
      </w:r>
      <w:r>
        <w:rPr>
          <w:rFonts w:hint="eastAsia" w:ascii="宋体" w:hAnsi="宋体" w:eastAsia="宋体" w:cs="宋体"/>
          <w:color w:val="auto"/>
          <w:spacing w:val="0"/>
          <w:position w:val="0"/>
          <w:sz w:val="24"/>
          <w:highlight w:val="none"/>
        </w:rPr>
        <w:t>规定的日期、时间和地点组织磋商仪式。</w:t>
      </w:r>
    </w:p>
    <w:p w14:paraId="707D7228">
      <w:pPr>
        <w:pStyle w:val="23"/>
        <w:pageBreakBefore w:val="0"/>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kern w:val="0"/>
          <w:position w:val="0"/>
          <w:sz w:val="24"/>
          <w:szCs w:val="24"/>
          <w:highlight w:val="none"/>
        </w:rPr>
        <w:t>5.1.2磋商开始时，</w:t>
      </w:r>
      <w:r>
        <w:rPr>
          <w:rFonts w:hint="eastAsia" w:ascii="宋体" w:hAnsi="宋体" w:eastAsia="宋体" w:cs="宋体"/>
          <w:color w:val="auto"/>
          <w:spacing w:val="0"/>
          <w:position w:val="0"/>
          <w:sz w:val="24"/>
          <w:szCs w:val="24"/>
          <w:highlight w:val="none"/>
        </w:rPr>
        <w:t>由</w:t>
      </w:r>
      <w:r>
        <w:rPr>
          <w:rFonts w:hint="eastAsia" w:ascii="宋体" w:hAnsi="宋体" w:eastAsia="宋体" w:cs="宋体"/>
          <w:bCs/>
          <w:color w:val="auto"/>
          <w:spacing w:val="0"/>
          <w:position w:val="0"/>
          <w:sz w:val="24"/>
          <w:szCs w:val="24"/>
          <w:highlight w:val="none"/>
        </w:rPr>
        <w:t>供应商</w:t>
      </w:r>
      <w:r>
        <w:rPr>
          <w:rFonts w:hint="eastAsia" w:ascii="宋体" w:hAnsi="宋体" w:eastAsia="宋体" w:cs="宋体"/>
          <w:bCs/>
          <w:color w:val="auto"/>
          <w:spacing w:val="0"/>
          <w:position w:val="0"/>
          <w:sz w:val="24"/>
          <w:szCs w:val="24"/>
          <w:highlight w:val="none"/>
          <w:lang w:eastAsia="zh-CN"/>
        </w:rPr>
        <w:t>解密</w:t>
      </w:r>
      <w:r>
        <w:rPr>
          <w:rFonts w:hint="eastAsia" w:ascii="宋体" w:hAnsi="宋体" w:eastAsia="宋体" w:cs="宋体"/>
          <w:color w:val="auto"/>
          <w:spacing w:val="0"/>
          <w:position w:val="0"/>
          <w:sz w:val="24"/>
          <w:szCs w:val="24"/>
          <w:highlight w:val="none"/>
        </w:rPr>
        <w:t>，</w:t>
      </w:r>
      <w:r>
        <w:rPr>
          <w:rFonts w:hint="eastAsia" w:ascii="宋体" w:hAnsi="宋体" w:eastAsia="宋体" w:cs="宋体"/>
          <w:bCs/>
          <w:color w:val="auto"/>
          <w:spacing w:val="0"/>
          <w:position w:val="0"/>
          <w:sz w:val="24"/>
          <w:szCs w:val="24"/>
          <w:highlight w:val="none"/>
        </w:rPr>
        <w:t>公布供应商名称等相关信息</w:t>
      </w:r>
      <w:r>
        <w:rPr>
          <w:rFonts w:hint="eastAsia" w:ascii="宋体" w:hAnsi="宋体" w:eastAsia="宋体" w:cs="宋体"/>
          <w:color w:val="auto"/>
          <w:spacing w:val="0"/>
          <w:position w:val="0"/>
          <w:sz w:val="24"/>
          <w:szCs w:val="24"/>
          <w:highlight w:val="none"/>
        </w:rPr>
        <w:t>。</w:t>
      </w:r>
    </w:p>
    <w:p w14:paraId="268177A0">
      <w:pPr>
        <w:pageBreakBefore w:val="0"/>
        <w:kinsoku/>
        <w:wordWrap/>
        <w:overflowPunct/>
        <w:topLinePunct w:val="0"/>
        <w:bidi w:val="0"/>
        <w:spacing w:line="440" w:lineRule="exact"/>
        <w:ind w:left="0" w:right="0" w:righ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5.1.3 除了存在以下情形的响应文件之外，磋商开始时将不得拒绝任何报价。</w:t>
      </w:r>
    </w:p>
    <w:p w14:paraId="0A0ABAC9">
      <w:pPr>
        <w:pageBreakBefore w:val="0"/>
        <w:kinsoku/>
        <w:wordWrap/>
        <w:overflowPunct/>
        <w:topLinePunct w:val="0"/>
        <w:bidi w:val="0"/>
        <w:spacing w:line="440" w:lineRule="exact"/>
        <w:ind w:left="0" w:right="0" w:righ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(1)未按磋商邀请要求报名和获取磋商文件，并提交相关资料的；</w:t>
      </w:r>
    </w:p>
    <w:p w14:paraId="2A0F8BE7">
      <w:pPr>
        <w:pageBreakBefore w:val="0"/>
        <w:kinsoku/>
        <w:wordWrap/>
        <w:overflowPunct/>
        <w:topLinePunct w:val="0"/>
        <w:bidi w:val="0"/>
        <w:spacing w:line="440" w:lineRule="exact"/>
        <w:ind w:left="0" w:right="0" w:righ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(2)未按磋商须知第5.1.1项规定提交响应文件，并出席磋商仪式的；</w:t>
      </w:r>
    </w:p>
    <w:p w14:paraId="6D36A211">
      <w:pPr>
        <w:pageBreakBefore w:val="0"/>
        <w:kinsoku/>
        <w:wordWrap/>
        <w:overflowPunct/>
        <w:topLinePunct w:val="0"/>
        <w:bidi w:val="0"/>
        <w:spacing w:line="440" w:lineRule="exact"/>
        <w:ind w:left="0" w:right="0" w:righ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(3)未按磋商须知第4.1项要求对响应文件进行密封和加写标记的；</w:t>
      </w:r>
    </w:p>
    <w:p w14:paraId="5019C0DE">
      <w:pPr>
        <w:pageBreakBefore w:val="0"/>
        <w:kinsoku/>
        <w:wordWrap/>
        <w:overflowPunct/>
        <w:topLinePunct w:val="0"/>
        <w:bidi w:val="0"/>
        <w:spacing w:line="440" w:lineRule="exact"/>
        <w:ind w:left="0" w:right="0" w:righ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(4)响应文件的递交、修改或撤回不符合磋商须知第4.2、4.3项规定的。</w:t>
      </w:r>
    </w:p>
    <w:p w14:paraId="1AB9C2D3">
      <w:pPr>
        <w:pageBreakBefore w:val="0"/>
        <w:kinsoku/>
        <w:wordWrap/>
        <w:overflowPunct/>
        <w:topLinePunct w:val="0"/>
        <w:bidi w:val="0"/>
        <w:adjustRightInd w:val="0"/>
        <w:snapToGrid w:val="0"/>
        <w:spacing w:line="440" w:lineRule="exact"/>
        <w:ind w:left="0" w:right="0" w:rightChars="0"/>
        <w:textAlignment w:val="auto"/>
        <w:rPr>
          <w:rFonts w:hint="eastAsia" w:ascii="宋体" w:hAnsi="宋体" w:eastAsia="宋体" w:cs="宋体"/>
          <w:b/>
          <w:bCs/>
          <w:color w:val="auto"/>
          <w:spacing w:val="0"/>
          <w:position w:val="0"/>
          <w:sz w:val="24"/>
          <w:highlight w:val="none"/>
        </w:rPr>
      </w:pPr>
      <w:r>
        <w:rPr>
          <w:rFonts w:hint="eastAsia" w:ascii="宋体" w:hAnsi="宋体" w:eastAsia="宋体" w:cs="宋体"/>
          <w:b/>
          <w:bCs/>
          <w:color w:val="auto"/>
          <w:spacing w:val="0"/>
          <w:position w:val="0"/>
          <w:sz w:val="24"/>
          <w:highlight w:val="none"/>
        </w:rPr>
        <w:t>5.2 磋商小组</w:t>
      </w:r>
    </w:p>
    <w:p w14:paraId="61F54A31">
      <w:pPr>
        <w:pageBreakBefore w:val="0"/>
        <w:kinsoku/>
        <w:wordWrap/>
        <w:overflowPunct/>
        <w:topLinePunct w:val="0"/>
        <w:bidi w:val="0"/>
        <w:adjustRightInd w:val="0"/>
        <w:snapToGrid w:val="0"/>
        <w:spacing w:line="440" w:lineRule="exact"/>
        <w:ind w:left="0" w:right="0" w:rightChars="0" w:firstLine="480" w:firstLineChars="200"/>
        <w:jc w:val="left"/>
        <w:textAlignment w:val="auto"/>
        <w:rPr>
          <w:rFonts w:hint="eastAsia" w:ascii="宋体" w:hAnsi="宋体" w:eastAsia="宋体" w:cs="宋体"/>
          <w:color w:val="auto"/>
          <w:spacing w:val="0"/>
          <w:position w:val="0"/>
          <w:sz w:val="24"/>
          <w:highlight w:val="none"/>
        </w:rPr>
      </w:pPr>
      <w:r>
        <w:rPr>
          <w:rFonts w:hint="eastAsia" w:ascii="宋体" w:hAnsi="宋体" w:eastAsia="宋体" w:cs="宋体"/>
          <w:bCs/>
          <w:color w:val="auto"/>
          <w:spacing w:val="0"/>
          <w:position w:val="0"/>
          <w:sz w:val="24"/>
          <w:highlight w:val="none"/>
        </w:rPr>
        <w:t>磋商小组将根据采购项目的特点依法组建，磋商小组的组成见</w:t>
      </w:r>
      <w:r>
        <w:rPr>
          <w:rFonts w:hint="eastAsia" w:ascii="宋体" w:hAnsi="宋体" w:eastAsia="宋体" w:cs="宋体"/>
          <w:b/>
          <w:color w:val="auto"/>
          <w:spacing w:val="0"/>
          <w:position w:val="0"/>
          <w:sz w:val="24"/>
          <w:highlight w:val="none"/>
        </w:rPr>
        <w:t>磋商须知前附表</w:t>
      </w:r>
      <w:r>
        <w:rPr>
          <w:rFonts w:hint="eastAsia" w:ascii="宋体" w:hAnsi="宋体" w:eastAsia="宋体" w:cs="宋体"/>
          <w:color w:val="auto"/>
          <w:spacing w:val="0"/>
          <w:position w:val="0"/>
          <w:sz w:val="24"/>
          <w:highlight w:val="none"/>
        </w:rPr>
        <w:t>。</w:t>
      </w:r>
    </w:p>
    <w:p w14:paraId="1EC77050">
      <w:pPr>
        <w:pageBreakBefore w:val="0"/>
        <w:kinsoku/>
        <w:wordWrap/>
        <w:overflowPunct/>
        <w:topLinePunct w:val="0"/>
        <w:bidi w:val="0"/>
        <w:spacing w:line="440" w:lineRule="exact"/>
        <w:ind w:left="0" w:right="0" w:rightChars="0"/>
        <w:textAlignment w:val="auto"/>
        <w:rPr>
          <w:rFonts w:hint="eastAsia" w:ascii="宋体" w:hAnsi="宋体" w:eastAsia="宋体" w:cs="宋体"/>
          <w:color w:val="auto"/>
          <w:spacing w:val="0"/>
          <w:position w:val="0"/>
          <w:sz w:val="24"/>
          <w:highlight w:val="none"/>
        </w:rPr>
      </w:pPr>
      <w:r>
        <w:rPr>
          <w:rFonts w:hint="eastAsia" w:ascii="宋体" w:hAnsi="宋体" w:eastAsia="宋体" w:cs="宋体"/>
          <w:b/>
          <w:bCs/>
          <w:color w:val="auto"/>
          <w:spacing w:val="0"/>
          <w:position w:val="0"/>
          <w:sz w:val="24"/>
          <w:highlight w:val="none"/>
        </w:rPr>
        <w:t xml:space="preserve">5.3  </w:t>
      </w:r>
      <w:r>
        <w:rPr>
          <w:rFonts w:hint="eastAsia" w:ascii="宋体" w:hAnsi="宋体" w:eastAsia="宋体" w:cs="宋体"/>
          <w:b/>
          <w:color w:val="auto"/>
          <w:spacing w:val="0"/>
          <w:position w:val="0"/>
          <w:sz w:val="24"/>
          <w:highlight w:val="none"/>
        </w:rPr>
        <w:t>响应文件的</w:t>
      </w:r>
      <w:r>
        <w:rPr>
          <w:rFonts w:hint="eastAsia" w:ascii="宋体" w:hAnsi="宋体" w:eastAsia="宋体" w:cs="宋体"/>
          <w:b/>
          <w:color w:val="auto"/>
          <w:spacing w:val="0"/>
          <w:position w:val="0"/>
          <w:sz w:val="24"/>
          <w:highlight w:val="none"/>
          <w:lang w:eastAsia="zh-CN"/>
        </w:rPr>
        <w:t>资格审查</w:t>
      </w:r>
      <w:r>
        <w:rPr>
          <w:rFonts w:hint="eastAsia" w:ascii="宋体" w:hAnsi="宋体" w:eastAsia="宋体" w:cs="宋体"/>
          <w:b/>
          <w:color w:val="auto"/>
          <w:spacing w:val="0"/>
          <w:position w:val="0"/>
          <w:sz w:val="24"/>
          <w:highlight w:val="none"/>
        </w:rPr>
        <w:t>与澄清</w:t>
      </w:r>
    </w:p>
    <w:p w14:paraId="33E92DE8">
      <w:pPr>
        <w:pageBreakBefore w:val="0"/>
        <w:kinsoku/>
        <w:wordWrap/>
        <w:overflowPunct/>
        <w:topLinePunct w:val="0"/>
        <w:bidi w:val="0"/>
        <w:spacing w:line="440" w:lineRule="exact"/>
        <w:ind w:left="0" w:right="0" w:righ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5.3.1响应文件的资格性检查。</w:t>
      </w:r>
    </w:p>
    <w:p w14:paraId="564E065C">
      <w:pPr>
        <w:pageBreakBefore w:val="0"/>
        <w:kinsoku/>
        <w:wordWrap/>
        <w:overflowPunct/>
        <w:topLinePunct w:val="0"/>
        <w:bidi w:val="0"/>
        <w:spacing w:line="440" w:lineRule="exact"/>
        <w:ind w:left="0" w:right="0" w:rightChars="0" w:firstLine="480" w:firstLineChars="200"/>
        <w:textAlignment w:val="auto"/>
        <w:rPr>
          <w:rFonts w:hint="eastAsia" w:ascii="宋体" w:hAnsi="宋体" w:eastAsia="宋体" w:cs="宋体"/>
          <w:color w:val="auto"/>
          <w:spacing w:val="0"/>
          <w:position w:val="0"/>
          <w:sz w:val="24"/>
          <w:highlight w:val="none"/>
          <w:lang w:eastAsia="zh-CN"/>
        </w:rPr>
      </w:pPr>
      <w:r>
        <w:rPr>
          <w:rFonts w:hint="eastAsia" w:ascii="宋体" w:hAnsi="宋体" w:eastAsia="宋体" w:cs="宋体"/>
          <w:color w:val="auto"/>
          <w:spacing w:val="0"/>
          <w:position w:val="0"/>
          <w:sz w:val="24"/>
          <w:highlight w:val="none"/>
        </w:rPr>
        <w:t>（1）资格性检查指依据法律、法规和磋商文件的规定，</w:t>
      </w:r>
      <w:r>
        <w:rPr>
          <w:rFonts w:hint="eastAsia" w:ascii="宋体" w:hAnsi="宋体" w:eastAsia="宋体" w:cs="宋体"/>
          <w:color w:val="auto"/>
          <w:spacing w:val="0"/>
          <w:position w:val="0"/>
          <w:sz w:val="24"/>
          <w:highlight w:val="none"/>
          <w:lang w:eastAsia="zh-CN"/>
        </w:rPr>
        <w:t>由</w:t>
      </w:r>
      <w:r>
        <w:rPr>
          <w:rFonts w:hint="eastAsia" w:ascii="宋体" w:hAnsi="宋体" w:eastAsia="宋体" w:cs="宋体"/>
          <w:color w:val="auto"/>
          <w:spacing w:val="0"/>
          <w:position w:val="0"/>
          <w:sz w:val="24"/>
          <w:highlight w:val="none"/>
          <w:lang w:val="en-US" w:eastAsia="zh-CN"/>
        </w:rPr>
        <w:t>磋商小组</w:t>
      </w:r>
      <w:r>
        <w:rPr>
          <w:rFonts w:hint="eastAsia" w:ascii="宋体" w:hAnsi="宋体" w:eastAsia="宋体" w:cs="宋体"/>
          <w:color w:val="auto"/>
          <w:spacing w:val="0"/>
          <w:position w:val="0"/>
          <w:sz w:val="24"/>
          <w:highlight w:val="none"/>
        </w:rPr>
        <w:t>对响应文件资格证明、磋商保证金等进行审查，以确定供应商是否具备报价资格。</w:t>
      </w:r>
      <w:r>
        <w:rPr>
          <w:rFonts w:hint="eastAsia" w:ascii="宋体" w:hAnsi="宋体" w:eastAsia="宋体" w:cs="宋体"/>
          <w:color w:val="auto"/>
          <w:spacing w:val="0"/>
          <w:position w:val="0"/>
          <w:sz w:val="24"/>
          <w:highlight w:val="none"/>
          <w:lang w:eastAsia="zh-CN"/>
        </w:rPr>
        <w:t>见下表：</w:t>
      </w:r>
    </w:p>
    <w:p w14:paraId="71A128E9">
      <w:pPr>
        <w:pageBreakBefore w:val="0"/>
        <w:kinsoku/>
        <w:wordWrap/>
        <w:overflowPunct/>
        <w:topLinePunct w:val="0"/>
        <w:bidi w:val="0"/>
        <w:spacing w:line="440" w:lineRule="exact"/>
        <w:ind w:left="0" w:right="0" w:rightChars="0" w:firstLine="495"/>
        <w:jc w:val="center"/>
        <w:textAlignment w:val="auto"/>
        <w:rPr>
          <w:rFonts w:hint="eastAsia" w:ascii="宋体" w:hAnsi="宋体" w:eastAsia="宋体" w:cs="宋体"/>
          <w:b/>
          <w:color w:val="auto"/>
          <w:spacing w:val="0"/>
          <w:position w:val="0"/>
          <w:sz w:val="24"/>
          <w:highlight w:val="none"/>
          <w:lang w:eastAsia="zh-CN"/>
        </w:rPr>
      </w:pPr>
      <w:r>
        <w:rPr>
          <w:rFonts w:hint="eastAsia" w:ascii="宋体" w:hAnsi="宋体" w:eastAsia="宋体" w:cs="宋体"/>
          <w:b/>
          <w:color w:val="auto"/>
          <w:spacing w:val="0"/>
          <w:position w:val="0"/>
          <w:sz w:val="24"/>
          <w:highlight w:val="none"/>
        </w:rPr>
        <w:t>资格性检查表</w:t>
      </w:r>
      <w:r>
        <w:rPr>
          <w:rFonts w:hint="eastAsia" w:ascii="宋体" w:hAnsi="宋体" w:cs="宋体"/>
          <w:b/>
          <w:color w:val="auto"/>
          <w:spacing w:val="0"/>
          <w:position w:val="0"/>
          <w:sz w:val="24"/>
          <w:highlight w:val="none"/>
          <w:lang w:eastAsia="zh-CN"/>
        </w:rPr>
        <w:t>（一标段、二标段）</w:t>
      </w:r>
    </w:p>
    <w:tbl>
      <w:tblPr>
        <w:tblStyle w:val="39"/>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3609"/>
        <w:gridCol w:w="5315"/>
      </w:tblGrid>
      <w:tr w14:paraId="3F48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 w:hRule="atLeast"/>
          <w:jc w:val="center"/>
        </w:trPr>
        <w:tc>
          <w:tcPr>
            <w:tcW w:w="955" w:type="dxa"/>
            <w:tcBorders>
              <w:top w:val="single" w:color="auto" w:sz="4" w:space="0"/>
              <w:left w:val="single" w:color="auto" w:sz="4" w:space="0"/>
              <w:bottom w:val="single" w:color="auto" w:sz="4" w:space="0"/>
              <w:right w:val="single" w:color="auto" w:sz="4" w:space="0"/>
            </w:tcBorders>
            <w:noWrap w:val="0"/>
            <w:vAlign w:val="center"/>
          </w:tcPr>
          <w:p w14:paraId="7D897B42">
            <w:pPr>
              <w:keepNext w:val="0"/>
              <w:keepLines w:val="0"/>
              <w:pageBreakBefore w:val="0"/>
              <w:widowControl w:val="0"/>
              <w:kinsoku/>
              <w:wordWrap/>
              <w:overflowPunct/>
              <w:topLinePunct w:val="0"/>
              <w:autoSpaceDE/>
              <w:autoSpaceDN/>
              <w:bidi w:val="0"/>
              <w:adjustRightInd/>
              <w:snapToGrid/>
              <w:spacing w:line="440" w:lineRule="exact"/>
              <w:ind w:left="0" w:right="0" w:rightChars="0" w:firstLine="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条款号</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257E9321">
            <w:pPr>
              <w:keepNext w:val="0"/>
              <w:keepLines w:val="0"/>
              <w:pageBreakBefore w:val="0"/>
              <w:widowControl w:val="0"/>
              <w:kinsoku/>
              <w:wordWrap/>
              <w:overflowPunct/>
              <w:topLinePunct w:val="0"/>
              <w:autoSpaceDE/>
              <w:autoSpaceDN/>
              <w:bidi w:val="0"/>
              <w:adjustRightInd/>
              <w:snapToGrid/>
              <w:spacing w:line="440" w:lineRule="exact"/>
              <w:ind w:left="0" w:right="0" w:rightChars="0" w:firstLine="0"/>
              <w:jc w:val="center"/>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评审因素</w:t>
            </w:r>
          </w:p>
        </w:tc>
        <w:tc>
          <w:tcPr>
            <w:tcW w:w="5315" w:type="dxa"/>
            <w:tcBorders>
              <w:top w:val="single" w:color="auto" w:sz="4" w:space="0"/>
              <w:left w:val="single" w:color="auto" w:sz="4" w:space="0"/>
              <w:bottom w:val="single" w:color="auto" w:sz="4" w:space="0"/>
              <w:right w:val="single" w:color="auto" w:sz="4" w:space="0"/>
            </w:tcBorders>
            <w:noWrap w:val="0"/>
            <w:vAlign w:val="center"/>
          </w:tcPr>
          <w:p w14:paraId="75ED66AA">
            <w:pPr>
              <w:keepNext w:val="0"/>
              <w:keepLines w:val="0"/>
              <w:pageBreakBefore w:val="0"/>
              <w:widowControl w:val="0"/>
              <w:kinsoku/>
              <w:wordWrap/>
              <w:overflowPunct/>
              <w:topLinePunct w:val="0"/>
              <w:autoSpaceDE/>
              <w:autoSpaceDN/>
              <w:bidi w:val="0"/>
              <w:adjustRightInd/>
              <w:snapToGrid/>
              <w:spacing w:line="440" w:lineRule="exact"/>
              <w:ind w:left="0" w:right="0" w:rightChars="0" w:firstLine="0"/>
              <w:jc w:val="center"/>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评审标准</w:t>
            </w:r>
          </w:p>
        </w:tc>
      </w:tr>
      <w:tr w14:paraId="56DAD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55" w:type="dxa"/>
            <w:vMerge w:val="restart"/>
            <w:tcBorders>
              <w:left w:val="single" w:color="auto" w:sz="4" w:space="0"/>
              <w:right w:val="single" w:color="auto" w:sz="4" w:space="0"/>
            </w:tcBorders>
            <w:noWrap w:val="0"/>
            <w:vAlign w:val="center"/>
          </w:tcPr>
          <w:p w14:paraId="438611A1">
            <w:pPr>
              <w:keepNext w:val="0"/>
              <w:keepLines w:val="0"/>
              <w:pageBreakBefore w:val="0"/>
              <w:widowControl w:val="0"/>
              <w:kinsoku/>
              <w:wordWrap/>
              <w:overflowPunct/>
              <w:topLinePunct w:val="0"/>
              <w:autoSpaceDE/>
              <w:autoSpaceDN/>
              <w:bidi w:val="0"/>
              <w:adjustRightInd/>
              <w:snapToGrid/>
              <w:spacing w:line="440" w:lineRule="exact"/>
              <w:ind w:left="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5.3.1（1）</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3A0B360C">
            <w:pPr>
              <w:keepNext w:val="0"/>
              <w:keepLines w:val="0"/>
              <w:pageBreakBefore w:val="0"/>
              <w:widowControl w:val="0"/>
              <w:kinsoku/>
              <w:wordWrap/>
              <w:overflowPunct/>
              <w:topLinePunct w:val="0"/>
              <w:autoSpaceDE/>
              <w:autoSpaceDN/>
              <w:bidi w:val="0"/>
              <w:adjustRightInd/>
              <w:snapToGrid/>
              <w:spacing w:line="440" w:lineRule="exact"/>
              <w:ind w:left="0" w:right="0" w:rightChars="0" w:firstLine="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具有独立承担民事责任的能力</w:t>
            </w:r>
          </w:p>
        </w:tc>
        <w:tc>
          <w:tcPr>
            <w:tcW w:w="5315" w:type="dxa"/>
            <w:tcBorders>
              <w:top w:val="single" w:color="auto" w:sz="4" w:space="0"/>
              <w:left w:val="single" w:color="auto" w:sz="4" w:space="0"/>
              <w:bottom w:val="single" w:color="auto" w:sz="4" w:space="0"/>
              <w:right w:val="single" w:color="auto" w:sz="4" w:space="0"/>
            </w:tcBorders>
            <w:noWrap w:val="0"/>
            <w:vAlign w:val="center"/>
          </w:tcPr>
          <w:p w14:paraId="13ACF43B">
            <w:pPr>
              <w:keepNext w:val="0"/>
              <w:keepLines w:val="0"/>
              <w:pageBreakBefore w:val="0"/>
              <w:widowControl w:val="0"/>
              <w:kinsoku/>
              <w:wordWrap/>
              <w:overflowPunct/>
              <w:topLinePunct w:val="0"/>
              <w:autoSpaceDE/>
              <w:autoSpaceDN/>
              <w:bidi w:val="0"/>
              <w:adjustRightInd/>
              <w:snapToGrid/>
              <w:spacing w:line="440" w:lineRule="exact"/>
              <w:ind w:left="0" w:right="0" w:rightChars="0" w:firstLine="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提供法人或者其他组织的营业执照等证明文件；自然人需提供身份证明</w:t>
            </w:r>
          </w:p>
        </w:tc>
      </w:tr>
      <w:tr w14:paraId="563A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955" w:type="dxa"/>
            <w:vMerge w:val="continue"/>
            <w:tcBorders>
              <w:left w:val="single" w:color="auto" w:sz="4" w:space="0"/>
              <w:right w:val="single" w:color="auto" w:sz="4" w:space="0"/>
            </w:tcBorders>
            <w:noWrap w:val="0"/>
            <w:vAlign w:val="center"/>
          </w:tcPr>
          <w:p w14:paraId="29B5D146">
            <w:pPr>
              <w:keepNext w:val="0"/>
              <w:keepLines w:val="0"/>
              <w:pageBreakBefore w:val="0"/>
              <w:widowControl w:val="0"/>
              <w:kinsoku/>
              <w:wordWrap/>
              <w:overflowPunct/>
              <w:topLinePunct w:val="0"/>
              <w:autoSpaceDE/>
              <w:autoSpaceDN/>
              <w:bidi w:val="0"/>
              <w:adjustRightInd/>
              <w:snapToGrid/>
              <w:spacing w:line="440" w:lineRule="exact"/>
              <w:ind w:left="0" w:right="0" w:rightChars="0" w:firstLine="0"/>
              <w:jc w:val="center"/>
              <w:textAlignment w:val="auto"/>
              <w:rPr>
                <w:rFonts w:hint="eastAsia" w:ascii="宋体" w:hAnsi="宋体" w:eastAsia="宋体" w:cs="宋体"/>
                <w:color w:val="auto"/>
                <w:spacing w:val="0"/>
                <w:position w:val="0"/>
                <w:sz w:val="24"/>
                <w:szCs w:val="24"/>
                <w:highlight w:val="none"/>
              </w:rPr>
            </w:pPr>
          </w:p>
        </w:tc>
        <w:tc>
          <w:tcPr>
            <w:tcW w:w="3609" w:type="dxa"/>
            <w:tcBorders>
              <w:top w:val="single" w:color="auto" w:sz="4" w:space="0"/>
              <w:left w:val="single" w:color="auto" w:sz="4" w:space="0"/>
              <w:bottom w:val="single" w:color="auto" w:sz="4" w:space="0"/>
              <w:right w:val="single" w:color="auto" w:sz="4" w:space="0"/>
            </w:tcBorders>
            <w:noWrap w:val="0"/>
            <w:vAlign w:val="center"/>
          </w:tcPr>
          <w:p w14:paraId="6E185D25">
            <w:pPr>
              <w:keepNext w:val="0"/>
              <w:keepLines w:val="0"/>
              <w:pageBreakBefore w:val="0"/>
              <w:widowControl w:val="0"/>
              <w:kinsoku/>
              <w:wordWrap/>
              <w:overflowPunct/>
              <w:topLinePunct w:val="0"/>
              <w:autoSpaceDE/>
              <w:autoSpaceDN/>
              <w:bidi w:val="0"/>
              <w:adjustRightInd/>
              <w:snapToGrid/>
              <w:spacing w:line="440" w:lineRule="exact"/>
              <w:ind w:left="0" w:right="0" w:rightChars="0" w:firstLine="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具有良好的商业信誉和健全的财务会计制度</w:t>
            </w:r>
          </w:p>
        </w:tc>
        <w:tc>
          <w:tcPr>
            <w:tcW w:w="5315" w:type="dxa"/>
            <w:tcBorders>
              <w:top w:val="single" w:color="auto" w:sz="4" w:space="0"/>
              <w:left w:val="single" w:color="auto" w:sz="4" w:space="0"/>
              <w:bottom w:val="single" w:color="auto" w:sz="4" w:space="0"/>
              <w:right w:val="single" w:color="auto" w:sz="4" w:space="0"/>
            </w:tcBorders>
            <w:noWrap w:val="0"/>
            <w:vAlign w:val="center"/>
          </w:tcPr>
          <w:p w14:paraId="68068754">
            <w:pPr>
              <w:keepNext w:val="0"/>
              <w:keepLines w:val="0"/>
              <w:pageBreakBefore w:val="0"/>
              <w:widowControl w:val="0"/>
              <w:kinsoku/>
              <w:wordWrap/>
              <w:overflowPunct/>
              <w:topLinePunct w:val="0"/>
              <w:autoSpaceDE/>
              <w:autoSpaceDN/>
              <w:bidi w:val="0"/>
              <w:adjustRightInd/>
              <w:snapToGrid/>
              <w:spacing w:line="440" w:lineRule="exact"/>
              <w:ind w:left="0" w:right="0" w:rightChars="0" w:firstLine="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提供</w:t>
            </w:r>
            <w:r>
              <w:rPr>
                <w:rStyle w:val="56"/>
                <w:rFonts w:hint="eastAsia" w:ascii="宋体" w:hAnsi="宋体" w:eastAsia="宋体" w:cs="宋体"/>
                <w:b w:val="0"/>
                <w:bCs/>
                <w:i w:val="0"/>
                <w:caps w:val="0"/>
                <w:color w:val="auto"/>
                <w:spacing w:val="0"/>
                <w:w w:val="100"/>
                <w:position w:val="0"/>
                <w:sz w:val="24"/>
                <w:szCs w:val="24"/>
                <w:highlight w:val="none"/>
                <w:lang w:bidi="ar-SA"/>
              </w:rPr>
              <w:t>近两年度（</w:t>
            </w:r>
            <w:r>
              <w:rPr>
                <w:rStyle w:val="56"/>
                <w:rFonts w:hint="eastAsia" w:ascii="宋体" w:hAnsi="宋体" w:cs="宋体"/>
                <w:b w:val="0"/>
                <w:bCs/>
                <w:i w:val="0"/>
                <w:caps w:val="0"/>
                <w:color w:val="auto"/>
                <w:spacing w:val="0"/>
                <w:w w:val="100"/>
                <w:position w:val="0"/>
                <w:sz w:val="24"/>
                <w:szCs w:val="24"/>
                <w:highlight w:val="none"/>
                <w:lang w:val="en-US" w:eastAsia="zh-CN" w:bidi="ar-SA"/>
              </w:rPr>
              <w:t>2023年度或2024年度</w:t>
            </w:r>
            <w:r>
              <w:rPr>
                <w:rStyle w:val="56"/>
                <w:rFonts w:hint="eastAsia" w:ascii="宋体" w:hAnsi="宋体" w:eastAsia="宋体" w:cs="宋体"/>
                <w:b w:val="0"/>
                <w:bCs/>
                <w:i w:val="0"/>
                <w:caps w:val="0"/>
                <w:color w:val="auto"/>
                <w:spacing w:val="0"/>
                <w:w w:val="100"/>
                <w:position w:val="0"/>
                <w:sz w:val="24"/>
                <w:szCs w:val="24"/>
                <w:highlight w:val="none"/>
                <w:lang w:bidi="ar-SA"/>
              </w:rPr>
              <w:t>任意一年）</w:t>
            </w:r>
            <w:r>
              <w:rPr>
                <w:rFonts w:hint="eastAsia" w:ascii="宋体" w:hAnsi="宋体" w:eastAsia="宋体" w:cs="宋体"/>
                <w:color w:val="auto"/>
                <w:spacing w:val="0"/>
                <w:position w:val="0"/>
                <w:sz w:val="24"/>
                <w:szCs w:val="24"/>
                <w:highlight w:val="none"/>
              </w:rPr>
              <w:t>经审计的财务审计报告复印件（报告中须包括资产负债表、利润表、现金流量表等），或其基本</w:t>
            </w:r>
            <w:r>
              <w:rPr>
                <w:rFonts w:hint="eastAsia" w:ascii="宋体" w:hAnsi="宋体" w:cs="宋体"/>
                <w:color w:val="auto"/>
                <w:spacing w:val="0"/>
                <w:position w:val="0"/>
                <w:sz w:val="24"/>
                <w:szCs w:val="24"/>
                <w:highlight w:val="none"/>
                <w:lang w:val="en-US" w:eastAsia="zh-CN"/>
              </w:rPr>
              <w:t>户</w:t>
            </w:r>
            <w:r>
              <w:rPr>
                <w:rFonts w:hint="eastAsia" w:ascii="宋体" w:hAnsi="宋体" w:eastAsia="宋体" w:cs="宋体"/>
                <w:color w:val="auto"/>
                <w:spacing w:val="0"/>
                <w:position w:val="0"/>
                <w:sz w:val="24"/>
                <w:szCs w:val="24"/>
                <w:highlight w:val="none"/>
              </w:rPr>
              <w:t>银行在开标日期前三个月内开具的资信证明</w:t>
            </w:r>
          </w:p>
        </w:tc>
      </w:tr>
      <w:tr w14:paraId="18EC9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55" w:type="dxa"/>
            <w:vMerge w:val="continue"/>
            <w:tcBorders>
              <w:left w:val="single" w:color="auto" w:sz="4" w:space="0"/>
              <w:right w:val="single" w:color="auto" w:sz="4" w:space="0"/>
            </w:tcBorders>
            <w:noWrap w:val="0"/>
            <w:vAlign w:val="center"/>
          </w:tcPr>
          <w:p w14:paraId="12039097">
            <w:pPr>
              <w:keepNext w:val="0"/>
              <w:keepLines w:val="0"/>
              <w:pageBreakBefore w:val="0"/>
              <w:widowControl w:val="0"/>
              <w:kinsoku/>
              <w:wordWrap/>
              <w:overflowPunct/>
              <w:topLinePunct w:val="0"/>
              <w:autoSpaceDE/>
              <w:autoSpaceDN/>
              <w:bidi w:val="0"/>
              <w:adjustRightInd/>
              <w:snapToGrid/>
              <w:spacing w:line="440" w:lineRule="exact"/>
              <w:ind w:left="0" w:right="0" w:rightChars="0" w:firstLine="0"/>
              <w:jc w:val="center"/>
              <w:textAlignment w:val="auto"/>
              <w:rPr>
                <w:rFonts w:hint="eastAsia" w:ascii="宋体" w:hAnsi="宋体" w:eastAsia="宋体" w:cs="宋体"/>
                <w:color w:val="auto"/>
                <w:spacing w:val="0"/>
                <w:position w:val="0"/>
                <w:sz w:val="24"/>
                <w:szCs w:val="24"/>
                <w:highlight w:val="none"/>
              </w:rPr>
            </w:pPr>
          </w:p>
        </w:tc>
        <w:tc>
          <w:tcPr>
            <w:tcW w:w="3609" w:type="dxa"/>
            <w:tcBorders>
              <w:top w:val="single" w:color="auto" w:sz="4" w:space="0"/>
              <w:left w:val="single" w:color="auto" w:sz="4" w:space="0"/>
              <w:bottom w:val="single" w:color="auto" w:sz="4" w:space="0"/>
              <w:right w:val="single" w:color="auto" w:sz="4" w:space="0"/>
            </w:tcBorders>
            <w:noWrap w:val="0"/>
            <w:vAlign w:val="center"/>
          </w:tcPr>
          <w:p w14:paraId="129093A0">
            <w:pPr>
              <w:keepNext w:val="0"/>
              <w:keepLines w:val="0"/>
              <w:pageBreakBefore w:val="0"/>
              <w:widowControl w:val="0"/>
              <w:kinsoku/>
              <w:wordWrap/>
              <w:overflowPunct/>
              <w:topLinePunct w:val="0"/>
              <w:autoSpaceDE/>
              <w:autoSpaceDN/>
              <w:bidi w:val="0"/>
              <w:adjustRightInd/>
              <w:snapToGrid/>
              <w:spacing w:line="440" w:lineRule="exact"/>
              <w:ind w:left="0" w:right="0" w:rightChars="0" w:firstLine="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aps w:val="0"/>
                <w:smallCaps w:val="0"/>
                <w:color w:val="auto"/>
                <w:spacing w:val="0"/>
                <w:sz w:val="24"/>
                <w:szCs w:val="24"/>
                <w:highlight w:val="none"/>
              </w:rPr>
              <w:t>具有履行合同所必需的设备和专业技术能力</w:t>
            </w:r>
          </w:p>
        </w:tc>
        <w:tc>
          <w:tcPr>
            <w:tcW w:w="5315" w:type="dxa"/>
            <w:tcBorders>
              <w:top w:val="single" w:color="auto" w:sz="4" w:space="0"/>
              <w:left w:val="single" w:color="auto" w:sz="4" w:space="0"/>
              <w:bottom w:val="single" w:color="auto" w:sz="4" w:space="0"/>
              <w:right w:val="single" w:color="auto" w:sz="4" w:space="0"/>
            </w:tcBorders>
            <w:noWrap w:val="0"/>
            <w:vAlign w:val="center"/>
          </w:tcPr>
          <w:p w14:paraId="0D50494E">
            <w:pPr>
              <w:keepNext w:val="0"/>
              <w:keepLines w:val="0"/>
              <w:pageBreakBefore w:val="0"/>
              <w:widowControl w:val="0"/>
              <w:kinsoku/>
              <w:wordWrap/>
              <w:overflowPunct/>
              <w:topLinePunct w:val="0"/>
              <w:autoSpaceDE/>
              <w:autoSpaceDN/>
              <w:bidi w:val="0"/>
              <w:adjustRightInd/>
              <w:snapToGrid/>
              <w:spacing w:line="440" w:lineRule="exact"/>
              <w:ind w:left="0" w:right="0" w:rightChars="0" w:firstLine="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提供具有履行合同所必需的设备和专业技术能力相关证明材料或声明</w:t>
            </w:r>
          </w:p>
        </w:tc>
      </w:tr>
      <w:tr w14:paraId="090E7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955" w:type="dxa"/>
            <w:vMerge w:val="continue"/>
            <w:tcBorders>
              <w:left w:val="single" w:color="auto" w:sz="4" w:space="0"/>
              <w:right w:val="single" w:color="auto" w:sz="4" w:space="0"/>
            </w:tcBorders>
            <w:noWrap w:val="0"/>
            <w:vAlign w:val="center"/>
          </w:tcPr>
          <w:p w14:paraId="0F352EAE">
            <w:pPr>
              <w:keepNext w:val="0"/>
              <w:keepLines w:val="0"/>
              <w:pageBreakBefore w:val="0"/>
              <w:widowControl w:val="0"/>
              <w:kinsoku/>
              <w:wordWrap/>
              <w:overflowPunct/>
              <w:topLinePunct w:val="0"/>
              <w:autoSpaceDE/>
              <w:autoSpaceDN/>
              <w:bidi w:val="0"/>
              <w:adjustRightInd/>
              <w:snapToGrid/>
              <w:spacing w:line="440" w:lineRule="exact"/>
              <w:ind w:left="0" w:right="0" w:rightChars="0" w:firstLine="0"/>
              <w:jc w:val="center"/>
              <w:textAlignment w:val="auto"/>
              <w:rPr>
                <w:rFonts w:hint="eastAsia" w:ascii="宋体" w:hAnsi="宋体" w:eastAsia="宋体" w:cs="宋体"/>
                <w:color w:val="auto"/>
                <w:spacing w:val="0"/>
                <w:position w:val="0"/>
                <w:sz w:val="24"/>
                <w:szCs w:val="24"/>
                <w:highlight w:val="none"/>
              </w:rPr>
            </w:pPr>
          </w:p>
        </w:tc>
        <w:tc>
          <w:tcPr>
            <w:tcW w:w="3609" w:type="dxa"/>
            <w:tcBorders>
              <w:top w:val="single" w:color="auto" w:sz="4" w:space="0"/>
              <w:left w:val="single" w:color="auto" w:sz="4" w:space="0"/>
              <w:bottom w:val="single" w:color="auto" w:sz="4" w:space="0"/>
              <w:right w:val="single" w:color="auto" w:sz="4" w:space="0"/>
            </w:tcBorders>
            <w:noWrap w:val="0"/>
            <w:vAlign w:val="center"/>
          </w:tcPr>
          <w:p w14:paraId="200C0D84">
            <w:pPr>
              <w:keepNext w:val="0"/>
              <w:keepLines w:val="0"/>
              <w:pageBreakBefore w:val="0"/>
              <w:widowControl w:val="0"/>
              <w:kinsoku/>
              <w:wordWrap/>
              <w:overflowPunct/>
              <w:topLinePunct w:val="0"/>
              <w:autoSpaceDE/>
              <w:autoSpaceDN/>
              <w:bidi w:val="0"/>
              <w:adjustRightInd/>
              <w:snapToGrid/>
              <w:spacing w:line="440" w:lineRule="exact"/>
              <w:ind w:left="0" w:right="0" w:rightChars="0" w:firstLine="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aps w:val="0"/>
                <w:smallCaps w:val="0"/>
                <w:color w:val="auto"/>
                <w:spacing w:val="0"/>
                <w:sz w:val="24"/>
                <w:szCs w:val="24"/>
                <w:highlight w:val="none"/>
              </w:rPr>
              <w:t>有依法缴纳税收和社会保障资金的良好记录</w:t>
            </w:r>
          </w:p>
        </w:tc>
        <w:tc>
          <w:tcPr>
            <w:tcW w:w="5315" w:type="dxa"/>
            <w:tcBorders>
              <w:top w:val="single" w:color="auto" w:sz="4" w:space="0"/>
              <w:left w:val="single" w:color="auto" w:sz="4" w:space="0"/>
              <w:bottom w:val="single" w:color="auto" w:sz="4" w:space="0"/>
              <w:right w:val="single" w:color="auto" w:sz="4" w:space="0"/>
            </w:tcBorders>
            <w:noWrap w:val="0"/>
            <w:vAlign w:val="center"/>
          </w:tcPr>
          <w:p w14:paraId="43CBE82D">
            <w:pPr>
              <w:keepNext w:val="0"/>
              <w:keepLines w:val="0"/>
              <w:pageBreakBefore w:val="0"/>
              <w:widowControl w:val="0"/>
              <w:kinsoku/>
              <w:wordWrap/>
              <w:overflowPunct/>
              <w:topLinePunct w:val="0"/>
              <w:autoSpaceDE/>
              <w:autoSpaceDN/>
              <w:bidi w:val="0"/>
              <w:adjustRightInd/>
              <w:snapToGrid/>
              <w:spacing w:line="440" w:lineRule="exact"/>
              <w:ind w:left="0" w:right="0" w:rightChars="0" w:firstLine="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提供近半年内任意一月依法缴纳税收证明，当月新成立公司不需提供；无需纳税或免税的也需提供相应证明材料；提供依法缴纳社会保障资金证明（近半年内任意一月缴纳社会保障资金证明，当月新成立公司不需提供）</w:t>
            </w:r>
          </w:p>
        </w:tc>
      </w:tr>
      <w:tr w14:paraId="73CB6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55" w:type="dxa"/>
            <w:vMerge w:val="continue"/>
            <w:tcBorders>
              <w:left w:val="single" w:color="auto" w:sz="4" w:space="0"/>
              <w:right w:val="single" w:color="auto" w:sz="4" w:space="0"/>
            </w:tcBorders>
            <w:noWrap w:val="0"/>
            <w:vAlign w:val="center"/>
          </w:tcPr>
          <w:p w14:paraId="775A9390">
            <w:pPr>
              <w:keepNext w:val="0"/>
              <w:keepLines w:val="0"/>
              <w:pageBreakBefore w:val="0"/>
              <w:widowControl w:val="0"/>
              <w:kinsoku/>
              <w:wordWrap/>
              <w:overflowPunct/>
              <w:topLinePunct w:val="0"/>
              <w:autoSpaceDE/>
              <w:autoSpaceDN/>
              <w:bidi w:val="0"/>
              <w:adjustRightInd/>
              <w:snapToGrid/>
              <w:spacing w:line="440" w:lineRule="exact"/>
              <w:ind w:left="0" w:right="0" w:rightChars="0" w:firstLine="0"/>
              <w:jc w:val="center"/>
              <w:textAlignment w:val="auto"/>
              <w:rPr>
                <w:rFonts w:hint="eastAsia" w:ascii="宋体" w:hAnsi="宋体" w:eastAsia="宋体" w:cs="宋体"/>
                <w:color w:val="auto"/>
                <w:spacing w:val="0"/>
                <w:position w:val="0"/>
                <w:sz w:val="24"/>
                <w:szCs w:val="24"/>
                <w:highlight w:val="none"/>
              </w:rPr>
            </w:pPr>
          </w:p>
        </w:tc>
        <w:tc>
          <w:tcPr>
            <w:tcW w:w="3609" w:type="dxa"/>
            <w:tcBorders>
              <w:top w:val="single" w:color="auto" w:sz="4" w:space="0"/>
              <w:left w:val="single" w:color="auto" w:sz="4" w:space="0"/>
              <w:bottom w:val="single" w:color="auto" w:sz="4" w:space="0"/>
              <w:right w:val="single" w:color="auto" w:sz="4" w:space="0"/>
            </w:tcBorders>
            <w:noWrap w:val="0"/>
            <w:vAlign w:val="center"/>
          </w:tcPr>
          <w:p w14:paraId="09196E3B">
            <w:pPr>
              <w:keepNext w:val="0"/>
              <w:keepLines w:val="0"/>
              <w:pageBreakBefore w:val="0"/>
              <w:widowControl w:val="0"/>
              <w:kinsoku/>
              <w:wordWrap/>
              <w:overflowPunct/>
              <w:topLinePunct w:val="0"/>
              <w:autoSpaceDE/>
              <w:autoSpaceDN/>
              <w:bidi w:val="0"/>
              <w:adjustRightInd/>
              <w:snapToGrid/>
              <w:spacing w:line="440" w:lineRule="exact"/>
              <w:ind w:left="0" w:right="0" w:rightChars="0" w:firstLine="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aps w:val="0"/>
                <w:smallCaps w:val="0"/>
                <w:color w:val="auto"/>
                <w:spacing w:val="0"/>
                <w:sz w:val="24"/>
                <w:szCs w:val="24"/>
                <w:highlight w:val="none"/>
              </w:rPr>
              <w:t>参加政府采购活动前三年内，在经营活动中没有重大违法记录</w:t>
            </w:r>
          </w:p>
        </w:tc>
        <w:tc>
          <w:tcPr>
            <w:tcW w:w="5315" w:type="dxa"/>
            <w:tcBorders>
              <w:top w:val="single" w:color="auto" w:sz="4" w:space="0"/>
              <w:left w:val="single" w:color="auto" w:sz="4" w:space="0"/>
              <w:bottom w:val="single" w:color="auto" w:sz="4" w:space="0"/>
              <w:right w:val="single" w:color="auto" w:sz="4" w:space="0"/>
            </w:tcBorders>
            <w:noWrap w:val="0"/>
            <w:vAlign w:val="center"/>
          </w:tcPr>
          <w:p w14:paraId="1D66D431">
            <w:pPr>
              <w:keepNext w:val="0"/>
              <w:keepLines w:val="0"/>
              <w:pageBreakBefore w:val="0"/>
              <w:widowControl w:val="0"/>
              <w:kinsoku/>
              <w:wordWrap/>
              <w:overflowPunct/>
              <w:topLinePunct w:val="0"/>
              <w:autoSpaceDE/>
              <w:autoSpaceDN/>
              <w:bidi w:val="0"/>
              <w:adjustRightInd/>
              <w:snapToGrid/>
              <w:spacing w:line="440" w:lineRule="exact"/>
              <w:ind w:left="0" w:right="0" w:rightChars="0" w:firstLine="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aps w:val="0"/>
                <w:smallCaps w:val="0"/>
                <w:color w:val="auto"/>
                <w:spacing w:val="0"/>
                <w:sz w:val="24"/>
                <w:szCs w:val="24"/>
                <w:highlight w:val="none"/>
                <w:lang w:eastAsia="zh-CN"/>
              </w:rPr>
              <w:t>提供无重大违法记录声明书</w:t>
            </w:r>
          </w:p>
        </w:tc>
      </w:tr>
      <w:tr w14:paraId="2FF3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55" w:type="dxa"/>
            <w:vMerge w:val="continue"/>
            <w:tcBorders>
              <w:left w:val="single" w:color="auto" w:sz="4" w:space="0"/>
              <w:right w:val="single" w:color="auto" w:sz="4" w:space="0"/>
            </w:tcBorders>
            <w:noWrap w:val="0"/>
            <w:vAlign w:val="center"/>
          </w:tcPr>
          <w:p w14:paraId="6E3BE622">
            <w:pPr>
              <w:keepNext w:val="0"/>
              <w:keepLines w:val="0"/>
              <w:pageBreakBefore w:val="0"/>
              <w:widowControl w:val="0"/>
              <w:kinsoku/>
              <w:wordWrap/>
              <w:overflowPunct/>
              <w:topLinePunct w:val="0"/>
              <w:autoSpaceDE/>
              <w:autoSpaceDN/>
              <w:bidi w:val="0"/>
              <w:adjustRightInd/>
              <w:snapToGrid/>
              <w:spacing w:line="440" w:lineRule="exact"/>
              <w:ind w:left="0" w:right="0" w:rightChars="0" w:firstLine="0"/>
              <w:textAlignment w:val="auto"/>
              <w:rPr>
                <w:rFonts w:hint="eastAsia" w:ascii="宋体" w:hAnsi="宋体" w:eastAsia="宋体" w:cs="宋体"/>
                <w:color w:val="auto"/>
                <w:spacing w:val="0"/>
                <w:position w:val="0"/>
                <w:sz w:val="24"/>
                <w:szCs w:val="24"/>
                <w:highlight w:val="none"/>
              </w:rPr>
            </w:pPr>
          </w:p>
        </w:tc>
        <w:tc>
          <w:tcPr>
            <w:tcW w:w="3609" w:type="dxa"/>
            <w:tcBorders>
              <w:top w:val="single" w:color="auto" w:sz="4" w:space="0"/>
              <w:left w:val="single" w:color="auto" w:sz="4" w:space="0"/>
              <w:bottom w:val="single" w:color="auto" w:sz="4" w:space="0"/>
              <w:right w:val="single" w:color="auto" w:sz="4" w:space="0"/>
            </w:tcBorders>
            <w:noWrap w:val="0"/>
            <w:vAlign w:val="center"/>
          </w:tcPr>
          <w:p w14:paraId="3B0BB86C">
            <w:pPr>
              <w:keepNext w:val="0"/>
              <w:keepLines w:val="0"/>
              <w:pageBreakBefore w:val="0"/>
              <w:widowControl w:val="0"/>
              <w:kinsoku/>
              <w:wordWrap/>
              <w:overflowPunct/>
              <w:topLinePunct w:val="0"/>
              <w:autoSpaceDE/>
              <w:autoSpaceDN/>
              <w:bidi w:val="0"/>
              <w:adjustRightInd/>
              <w:snapToGrid/>
              <w:spacing w:line="440" w:lineRule="exact"/>
              <w:ind w:left="0" w:right="0" w:rightChars="0" w:firstLine="0"/>
              <w:jc w:val="left"/>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供应商资质要求</w:t>
            </w:r>
          </w:p>
        </w:tc>
        <w:tc>
          <w:tcPr>
            <w:tcW w:w="5315" w:type="dxa"/>
            <w:tcBorders>
              <w:top w:val="single" w:color="auto" w:sz="4" w:space="0"/>
              <w:left w:val="single" w:color="auto" w:sz="4" w:space="0"/>
              <w:bottom w:val="single" w:color="auto" w:sz="4" w:space="0"/>
              <w:right w:val="single" w:color="auto" w:sz="4" w:space="0"/>
            </w:tcBorders>
            <w:noWrap w:val="0"/>
            <w:vAlign w:val="center"/>
          </w:tcPr>
          <w:p w14:paraId="74ABF508">
            <w:pPr>
              <w:keepNext w:val="0"/>
              <w:keepLines w:val="0"/>
              <w:pageBreakBefore w:val="0"/>
              <w:widowControl w:val="0"/>
              <w:kinsoku/>
              <w:wordWrap/>
              <w:overflowPunct/>
              <w:topLinePunct w:val="0"/>
              <w:autoSpaceDE/>
              <w:autoSpaceDN/>
              <w:bidi w:val="0"/>
              <w:adjustRightInd/>
              <w:snapToGrid/>
              <w:spacing w:line="440" w:lineRule="exact"/>
              <w:textAlignment w:val="auto"/>
              <w:rPr>
                <w:rStyle w:val="42"/>
                <w:rFonts w:hint="eastAsia" w:ascii="宋体" w:hAnsi="宋体" w:cs="宋体"/>
                <w:b w:val="0"/>
                <w:bCs w:val="0"/>
                <w:i w:val="0"/>
                <w:caps w:val="0"/>
                <w:color w:val="auto"/>
                <w:spacing w:val="0"/>
                <w:w w:val="100"/>
                <w:kern w:val="2"/>
                <w:position w:val="0"/>
                <w:sz w:val="24"/>
                <w:szCs w:val="24"/>
                <w:highlight w:val="none"/>
                <w:lang w:val="en-US" w:eastAsia="zh-CN" w:bidi="ar-SA"/>
              </w:rPr>
            </w:pPr>
            <w:r>
              <w:rPr>
                <w:rStyle w:val="42"/>
                <w:rFonts w:hint="eastAsia" w:ascii="宋体" w:hAnsi="宋体" w:cs="宋体"/>
                <w:b w:val="0"/>
                <w:bCs w:val="0"/>
                <w:i w:val="0"/>
                <w:caps w:val="0"/>
                <w:color w:val="auto"/>
                <w:spacing w:val="0"/>
                <w:w w:val="100"/>
                <w:kern w:val="2"/>
                <w:position w:val="0"/>
                <w:sz w:val="24"/>
                <w:szCs w:val="24"/>
                <w:highlight w:val="none"/>
                <w:lang w:val="en-US" w:eastAsia="zh-CN" w:bidi="ar-SA"/>
              </w:rPr>
              <w:t>（1）供应商应具备市政工程施工总承包三级及以上资质；</w:t>
            </w:r>
          </w:p>
          <w:p w14:paraId="40749FA9">
            <w:pPr>
              <w:keepNext w:val="0"/>
              <w:keepLines w:val="0"/>
              <w:pageBreakBefore w:val="0"/>
              <w:widowControl w:val="0"/>
              <w:kinsoku/>
              <w:wordWrap/>
              <w:overflowPunct/>
              <w:topLinePunct w:val="0"/>
              <w:autoSpaceDE/>
              <w:autoSpaceDN/>
              <w:bidi w:val="0"/>
              <w:adjustRightInd/>
              <w:snapToGrid/>
              <w:spacing w:line="440" w:lineRule="exact"/>
              <w:textAlignment w:val="auto"/>
              <w:rPr>
                <w:rStyle w:val="42"/>
                <w:rFonts w:hint="eastAsia" w:ascii="宋体" w:hAnsi="宋体" w:cs="宋体"/>
                <w:b w:val="0"/>
                <w:bCs w:val="0"/>
                <w:i w:val="0"/>
                <w:caps w:val="0"/>
                <w:color w:val="auto"/>
                <w:spacing w:val="0"/>
                <w:w w:val="100"/>
                <w:kern w:val="2"/>
                <w:position w:val="0"/>
                <w:sz w:val="24"/>
                <w:szCs w:val="24"/>
                <w:highlight w:val="none"/>
                <w:lang w:val="en-US" w:eastAsia="zh-CN" w:bidi="ar-SA"/>
              </w:rPr>
            </w:pPr>
            <w:r>
              <w:rPr>
                <w:rStyle w:val="42"/>
                <w:rFonts w:hint="eastAsia" w:ascii="宋体" w:hAnsi="宋体" w:cs="宋体"/>
                <w:b w:val="0"/>
                <w:bCs w:val="0"/>
                <w:i w:val="0"/>
                <w:caps w:val="0"/>
                <w:color w:val="auto"/>
                <w:spacing w:val="0"/>
                <w:w w:val="100"/>
                <w:kern w:val="2"/>
                <w:position w:val="0"/>
                <w:sz w:val="24"/>
                <w:szCs w:val="24"/>
                <w:highlight w:val="none"/>
                <w:lang w:val="en-US" w:eastAsia="zh-CN" w:bidi="ar-SA"/>
              </w:rPr>
              <w:t>（2）供应商应具备有效的安全生产许可证；</w:t>
            </w:r>
          </w:p>
          <w:p w14:paraId="159E9BF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0"/>
                <w:position w:val="0"/>
                <w:sz w:val="24"/>
                <w:szCs w:val="24"/>
                <w:highlight w:val="none"/>
                <w:lang w:eastAsia="zh-CN"/>
              </w:rPr>
            </w:pPr>
            <w:r>
              <w:rPr>
                <w:rStyle w:val="42"/>
                <w:rFonts w:hint="eastAsia" w:ascii="宋体" w:hAnsi="宋体" w:cs="宋体"/>
                <w:b w:val="0"/>
                <w:bCs w:val="0"/>
                <w:i w:val="0"/>
                <w:caps w:val="0"/>
                <w:color w:val="auto"/>
                <w:spacing w:val="0"/>
                <w:w w:val="100"/>
                <w:kern w:val="2"/>
                <w:position w:val="0"/>
                <w:sz w:val="24"/>
                <w:szCs w:val="24"/>
                <w:highlight w:val="none"/>
                <w:lang w:val="en-US" w:eastAsia="zh-CN" w:bidi="ar-SA"/>
              </w:rPr>
              <w:t>（3）项目负责人应为注册建造师贰级及以上（市政工程专业）资格。</w:t>
            </w:r>
          </w:p>
        </w:tc>
      </w:tr>
      <w:tr w14:paraId="2E14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55" w:type="dxa"/>
            <w:vMerge w:val="continue"/>
            <w:tcBorders>
              <w:left w:val="single" w:color="auto" w:sz="4" w:space="0"/>
              <w:right w:val="single" w:color="auto" w:sz="4" w:space="0"/>
            </w:tcBorders>
            <w:noWrap w:val="0"/>
            <w:vAlign w:val="center"/>
          </w:tcPr>
          <w:p w14:paraId="353BF329">
            <w:pPr>
              <w:keepNext w:val="0"/>
              <w:keepLines w:val="0"/>
              <w:pageBreakBefore w:val="0"/>
              <w:widowControl w:val="0"/>
              <w:kinsoku/>
              <w:wordWrap/>
              <w:overflowPunct/>
              <w:topLinePunct w:val="0"/>
              <w:autoSpaceDE/>
              <w:autoSpaceDN/>
              <w:bidi w:val="0"/>
              <w:adjustRightInd/>
              <w:snapToGrid/>
              <w:spacing w:line="440" w:lineRule="exact"/>
              <w:ind w:left="0" w:right="0" w:rightChars="0" w:firstLine="0"/>
              <w:textAlignment w:val="auto"/>
              <w:rPr>
                <w:rFonts w:hint="eastAsia" w:ascii="宋体" w:hAnsi="宋体" w:eastAsia="宋体" w:cs="宋体"/>
                <w:color w:val="auto"/>
                <w:spacing w:val="0"/>
                <w:position w:val="0"/>
                <w:sz w:val="24"/>
                <w:szCs w:val="24"/>
                <w:highlight w:val="none"/>
              </w:rPr>
            </w:pPr>
          </w:p>
        </w:tc>
        <w:tc>
          <w:tcPr>
            <w:tcW w:w="3609" w:type="dxa"/>
            <w:tcBorders>
              <w:top w:val="single" w:color="auto" w:sz="4" w:space="0"/>
              <w:left w:val="single" w:color="auto" w:sz="4" w:space="0"/>
              <w:bottom w:val="single" w:color="auto" w:sz="4" w:space="0"/>
              <w:right w:val="single" w:color="auto" w:sz="4" w:space="0"/>
            </w:tcBorders>
            <w:noWrap w:val="0"/>
            <w:vAlign w:val="center"/>
          </w:tcPr>
          <w:p w14:paraId="6E87CA8A">
            <w:pPr>
              <w:keepNext w:val="0"/>
              <w:keepLines w:val="0"/>
              <w:pageBreakBefore w:val="0"/>
              <w:widowControl w:val="0"/>
              <w:kinsoku/>
              <w:wordWrap/>
              <w:overflowPunct/>
              <w:topLinePunct w:val="0"/>
              <w:autoSpaceDE/>
              <w:autoSpaceDN/>
              <w:bidi w:val="0"/>
              <w:adjustRightInd/>
              <w:snapToGrid/>
              <w:spacing w:afterAutospacing="0" w:line="440" w:lineRule="exact"/>
              <w:ind w:left="0" w:right="0" w:rightChars="0" w:firstLine="0" w:firstLineChars="0"/>
              <w:jc w:val="left"/>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磋商保证金</w:t>
            </w:r>
          </w:p>
        </w:tc>
        <w:tc>
          <w:tcPr>
            <w:tcW w:w="5315" w:type="dxa"/>
            <w:tcBorders>
              <w:top w:val="single" w:color="auto" w:sz="4" w:space="0"/>
              <w:left w:val="single" w:color="auto" w:sz="4" w:space="0"/>
              <w:bottom w:val="single" w:color="auto" w:sz="4" w:space="0"/>
              <w:right w:val="single" w:color="auto" w:sz="4" w:space="0"/>
            </w:tcBorders>
            <w:noWrap w:val="0"/>
            <w:vAlign w:val="center"/>
          </w:tcPr>
          <w:p w14:paraId="4B0D1D4B">
            <w:pPr>
              <w:keepNext w:val="0"/>
              <w:keepLines w:val="0"/>
              <w:pageBreakBefore w:val="0"/>
              <w:widowControl w:val="0"/>
              <w:kinsoku/>
              <w:wordWrap/>
              <w:overflowPunct/>
              <w:topLinePunct w:val="0"/>
              <w:autoSpaceDE/>
              <w:autoSpaceDN/>
              <w:bidi w:val="0"/>
              <w:adjustRightInd/>
              <w:snapToGrid/>
              <w:spacing w:afterAutospacing="0" w:line="440" w:lineRule="exact"/>
              <w:ind w:left="0" w:right="0" w:righ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是否按照投标须知要求金额递交了</w:t>
            </w:r>
            <w:r>
              <w:rPr>
                <w:rFonts w:hint="eastAsia" w:ascii="宋体" w:hAnsi="宋体" w:eastAsia="宋体" w:cs="宋体"/>
                <w:color w:val="auto"/>
                <w:spacing w:val="0"/>
                <w:position w:val="0"/>
                <w:sz w:val="24"/>
                <w:szCs w:val="24"/>
                <w:highlight w:val="none"/>
                <w:lang w:eastAsia="zh-CN"/>
              </w:rPr>
              <w:t>磋商保证金</w:t>
            </w:r>
            <w:r>
              <w:rPr>
                <w:rFonts w:hint="eastAsia" w:ascii="宋体" w:hAnsi="宋体" w:eastAsia="宋体" w:cs="宋体"/>
                <w:color w:val="auto"/>
                <w:spacing w:val="0"/>
                <w:position w:val="0"/>
                <w:sz w:val="24"/>
                <w:szCs w:val="24"/>
                <w:highlight w:val="none"/>
              </w:rPr>
              <w:t>，并提供了</w:t>
            </w:r>
            <w:r>
              <w:rPr>
                <w:rFonts w:hint="eastAsia" w:ascii="宋体" w:hAnsi="宋体" w:eastAsia="宋体" w:cs="宋体"/>
                <w:color w:val="auto"/>
                <w:spacing w:val="0"/>
                <w:position w:val="0"/>
                <w:sz w:val="24"/>
                <w:szCs w:val="24"/>
                <w:highlight w:val="none"/>
                <w:lang w:eastAsia="zh-CN"/>
              </w:rPr>
              <w:t>磋商保证金</w:t>
            </w:r>
            <w:r>
              <w:rPr>
                <w:rFonts w:hint="eastAsia" w:ascii="宋体" w:hAnsi="宋体" w:eastAsia="宋体" w:cs="宋体"/>
                <w:color w:val="auto"/>
                <w:spacing w:val="0"/>
                <w:position w:val="0"/>
                <w:sz w:val="24"/>
                <w:szCs w:val="24"/>
                <w:highlight w:val="none"/>
              </w:rPr>
              <w:t>缴纳凭证</w:t>
            </w:r>
          </w:p>
        </w:tc>
      </w:tr>
      <w:tr w14:paraId="28A10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55" w:type="dxa"/>
            <w:vMerge w:val="continue"/>
            <w:tcBorders>
              <w:left w:val="single" w:color="auto" w:sz="4" w:space="0"/>
              <w:right w:val="single" w:color="auto" w:sz="4" w:space="0"/>
            </w:tcBorders>
            <w:noWrap w:val="0"/>
            <w:vAlign w:val="center"/>
          </w:tcPr>
          <w:p w14:paraId="7502E1B5">
            <w:pPr>
              <w:keepNext w:val="0"/>
              <w:keepLines w:val="0"/>
              <w:pageBreakBefore w:val="0"/>
              <w:widowControl w:val="0"/>
              <w:kinsoku/>
              <w:wordWrap/>
              <w:overflowPunct/>
              <w:topLinePunct w:val="0"/>
              <w:autoSpaceDE/>
              <w:autoSpaceDN/>
              <w:bidi w:val="0"/>
              <w:adjustRightInd/>
              <w:snapToGrid/>
              <w:spacing w:line="440" w:lineRule="exact"/>
              <w:ind w:left="0" w:right="0" w:rightChars="0" w:firstLine="0"/>
              <w:textAlignment w:val="auto"/>
              <w:rPr>
                <w:rFonts w:hint="eastAsia" w:ascii="宋体" w:hAnsi="宋体" w:eastAsia="宋体" w:cs="宋体"/>
                <w:color w:val="auto"/>
                <w:spacing w:val="0"/>
                <w:position w:val="0"/>
                <w:sz w:val="24"/>
                <w:szCs w:val="24"/>
                <w:highlight w:val="none"/>
              </w:rPr>
            </w:pPr>
          </w:p>
        </w:tc>
        <w:tc>
          <w:tcPr>
            <w:tcW w:w="3609" w:type="dxa"/>
            <w:tcBorders>
              <w:top w:val="single" w:color="auto" w:sz="4" w:space="0"/>
              <w:left w:val="single" w:color="auto" w:sz="4" w:space="0"/>
              <w:bottom w:val="single" w:color="auto" w:sz="4" w:space="0"/>
              <w:right w:val="single" w:color="auto" w:sz="4" w:space="0"/>
            </w:tcBorders>
            <w:noWrap w:val="0"/>
            <w:vAlign w:val="center"/>
          </w:tcPr>
          <w:p w14:paraId="46CF92A8">
            <w:pPr>
              <w:keepNext w:val="0"/>
              <w:keepLines w:val="0"/>
              <w:pageBreakBefore w:val="0"/>
              <w:widowControl w:val="0"/>
              <w:kinsoku/>
              <w:wordWrap/>
              <w:overflowPunct/>
              <w:topLinePunct w:val="0"/>
              <w:autoSpaceDE/>
              <w:autoSpaceDN/>
              <w:bidi w:val="0"/>
              <w:adjustRightInd/>
              <w:snapToGrid/>
              <w:spacing w:afterAutospacing="0" w:line="440" w:lineRule="exact"/>
              <w:ind w:left="0" w:right="0" w:rightChars="0" w:firstLine="0" w:firstLineChars="0"/>
              <w:jc w:val="left"/>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信用查询</w:t>
            </w:r>
          </w:p>
        </w:tc>
        <w:tc>
          <w:tcPr>
            <w:tcW w:w="5315" w:type="dxa"/>
            <w:tcBorders>
              <w:top w:val="single" w:color="auto" w:sz="4" w:space="0"/>
              <w:left w:val="single" w:color="auto" w:sz="4" w:space="0"/>
              <w:bottom w:val="single" w:color="auto" w:sz="4" w:space="0"/>
              <w:right w:val="single" w:color="auto" w:sz="4" w:space="0"/>
            </w:tcBorders>
            <w:noWrap w:val="0"/>
            <w:vAlign w:val="center"/>
          </w:tcPr>
          <w:p w14:paraId="67AB2462">
            <w:pPr>
              <w:keepNext w:val="0"/>
              <w:keepLines w:val="0"/>
              <w:pageBreakBefore w:val="0"/>
              <w:widowControl w:val="0"/>
              <w:kinsoku/>
              <w:wordWrap/>
              <w:overflowPunct/>
              <w:topLinePunct w:val="0"/>
              <w:autoSpaceDE/>
              <w:autoSpaceDN/>
              <w:bidi w:val="0"/>
              <w:adjustRightInd/>
              <w:snapToGrid/>
              <w:spacing w:afterAutospacing="0" w:line="440" w:lineRule="exact"/>
              <w:ind w:left="0" w:right="0" w:rightChars="0" w:firstLine="0" w:firstLineChars="0"/>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供应商未被列入“失信被执行人”、“重大税收违法案件当事人名单”、“政府采购严重违法失信行为记录名单”（现场查询各参标供应商信用情况）</w:t>
            </w:r>
          </w:p>
          <w:p w14:paraId="70A75B00">
            <w:pPr>
              <w:keepNext w:val="0"/>
              <w:keepLines w:val="0"/>
              <w:pageBreakBefore w:val="0"/>
              <w:widowControl w:val="0"/>
              <w:kinsoku/>
              <w:wordWrap/>
              <w:overflowPunct/>
              <w:topLinePunct w:val="0"/>
              <w:autoSpaceDE/>
              <w:autoSpaceDN/>
              <w:bidi w:val="0"/>
              <w:adjustRightInd/>
              <w:snapToGrid/>
              <w:spacing w:afterAutospacing="0" w:line="440" w:lineRule="exact"/>
              <w:ind w:left="0" w:right="0" w:rightChars="0" w:firstLine="0" w:firstLineChars="0"/>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val="en-US" w:eastAsia="zh-CN"/>
              </w:rPr>
              <w:t>（1）</w:t>
            </w:r>
            <w:r>
              <w:rPr>
                <w:rFonts w:hint="eastAsia" w:ascii="宋体" w:hAnsi="宋体" w:eastAsia="宋体" w:cs="宋体"/>
                <w:color w:val="auto"/>
                <w:spacing w:val="0"/>
                <w:position w:val="0"/>
                <w:sz w:val="24"/>
                <w:szCs w:val="24"/>
                <w:highlight w:val="none"/>
                <w:lang w:eastAsia="zh-CN"/>
              </w:rPr>
              <w:t>查询渠道：“信用中国”网站（www.creditchina.gov.cn）、中国政府采购网（</w:t>
            </w:r>
            <w:r>
              <w:rPr>
                <w:rFonts w:hint="eastAsia" w:ascii="宋体" w:hAnsi="宋体" w:eastAsia="宋体" w:cs="宋体"/>
                <w:color w:val="auto"/>
                <w:spacing w:val="0"/>
                <w:position w:val="0"/>
                <w:sz w:val="24"/>
                <w:szCs w:val="24"/>
                <w:highlight w:val="none"/>
                <w:lang w:eastAsia="zh-CN"/>
              </w:rPr>
              <w:fldChar w:fldCharType="begin"/>
            </w:r>
            <w:r>
              <w:rPr>
                <w:rFonts w:hint="eastAsia" w:ascii="宋体" w:hAnsi="宋体" w:eastAsia="宋体" w:cs="宋体"/>
                <w:color w:val="auto"/>
                <w:spacing w:val="0"/>
                <w:position w:val="0"/>
                <w:sz w:val="24"/>
                <w:szCs w:val="24"/>
                <w:highlight w:val="none"/>
                <w:lang w:eastAsia="zh-CN"/>
              </w:rPr>
              <w:instrText xml:space="preserve"> HYPERLINK "http://www.ccgp.gov.cn）】" </w:instrText>
            </w:r>
            <w:r>
              <w:rPr>
                <w:rFonts w:hint="eastAsia" w:ascii="宋体" w:hAnsi="宋体" w:eastAsia="宋体" w:cs="宋体"/>
                <w:color w:val="auto"/>
                <w:spacing w:val="0"/>
                <w:position w:val="0"/>
                <w:sz w:val="24"/>
                <w:szCs w:val="24"/>
                <w:highlight w:val="none"/>
                <w:lang w:eastAsia="zh-CN"/>
              </w:rPr>
              <w:fldChar w:fldCharType="separate"/>
            </w:r>
            <w:r>
              <w:rPr>
                <w:rFonts w:hint="eastAsia" w:ascii="宋体" w:hAnsi="宋体" w:eastAsia="宋体" w:cs="宋体"/>
                <w:color w:val="auto"/>
                <w:spacing w:val="0"/>
                <w:position w:val="0"/>
                <w:sz w:val="24"/>
                <w:szCs w:val="24"/>
                <w:highlight w:val="none"/>
                <w:lang w:eastAsia="zh-CN"/>
              </w:rPr>
              <w:t>www.ccgp.gov.cn）</w:t>
            </w:r>
            <w:r>
              <w:rPr>
                <w:rFonts w:hint="eastAsia" w:ascii="宋体" w:hAnsi="宋体" w:eastAsia="宋体" w:cs="宋体"/>
                <w:color w:val="auto"/>
                <w:spacing w:val="0"/>
                <w:position w:val="0"/>
                <w:sz w:val="24"/>
                <w:szCs w:val="24"/>
                <w:highlight w:val="none"/>
                <w:lang w:eastAsia="zh-CN"/>
              </w:rPr>
              <w:fldChar w:fldCharType="end"/>
            </w:r>
          </w:p>
          <w:p w14:paraId="006F572B">
            <w:pPr>
              <w:keepNext w:val="0"/>
              <w:keepLines w:val="0"/>
              <w:pageBreakBefore w:val="0"/>
              <w:widowControl w:val="0"/>
              <w:kinsoku/>
              <w:wordWrap/>
              <w:overflowPunct/>
              <w:topLinePunct w:val="0"/>
              <w:autoSpaceDE/>
              <w:autoSpaceDN/>
              <w:bidi w:val="0"/>
              <w:adjustRightInd/>
              <w:snapToGrid/>
              <w:spacing w:afterAutospacing="0" w:line="440" w:lineRule="exact"/>
              <w:ind w:left="0" w:right="0" w:rightChars="0" w:firstLine="0" w:firstLineChars="0"/>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lang w:eastAsia="zh-CN"/>
              </w:rPr>
              <w:t>如网站查询信息中失信记录已失效，供应商需提供相关证明资料，否则其资格审查不合格。</w:t>
            </w:r>
          </w:p>
          <w:p w14:paraId="22EC1A1E">
            <w:pPr>
              <w:keepNext w:val="0"/>
              <w:keepLines w:val="0"/>
              <w:pageBreakBefore w:val="0"/>
              <w:widowControl w:val="0"/>
              <w:kinsoku/>
              <w:wordWrap/>
              <w:overflowPunct/>
              <w:topLinePunct w:val="0"/>
              <w:autoSpaceDE/>
              <w:autoSpaceDN/>
              <w:bidi w:val="0"/>
              <w:adjustRightInd/>
              <w:snapToGrid/>
              <w:spacing w:afterAutospacing="0" w:line="440" w:lineRule="exact"/>
              <w:ind w:left="0" w:right="0" w:righ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（3）如以上网站</w:t>
            </w:r>
            <w:r>
              <w:rPr>
                <w:rFonts w:hint="eastAsia" w:ascii="宋体" w:hAnsi="宋体" w:eastAsia="宋体" w:cs="宋体"/>
                <w:color w:val="auto"/>
                <w:spacing w:val="0"/>
                <w:position w:val="0"/>
                <w:sz w:val="24"/>
                <w:szCs w:val="24"/>
                <w:highlight w:val="none"/>
                <w:lang w:eastAsia="zh-CN"/>
              </w:rPr>
              <w:t>查询不到供应商企业信息，供应商提供声明函。</w:t>
            </w:r>
          </w:p>
        </w:tc>
      </w:tr>
      <w:tr w14:paraId="4581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55" w:type="dxa"/>
            <w:vMerge w:val="continue"/>
            <w:tcBorders>
              <w:left w:val="single" w:color="auto" w:sz="4" w:space="0"/>
              <w:right w:val="single" w:color="auto" w:sz="4" w:space="0"/>
            </w:tcBorders>
            <w:noWrap w:val="0"/>
            <w:vAlign w:val="center"/>
          </w:tcPr>
          <w:p w14:paraId="641369E6">
            <w:pPr>
              <w:keepNext w:val="0"/>
              <w:keepLines w:val="0"/>
              <w:pageBreakBefore w:val="0"/>
              <w:widowControl w:val="0"/>
              <w:kinsoku/>
              <w:wordWrap/>
              <w:overflowPunct/>
              <w:topLinePunct w:val="0"/>
              <w:autoSpaceDE/>
              <w:autoSpaceDN/>
              <w:bidi w:val="0"/>
              <w:adjustRightInd/>
              <w:snapToGrid/>
              <w:spacing w:line="440" w:lineRule="exact"/>
              <w:ind w:left="0" w:right="0" w:rightChars="0" w:firstLine="0"/>
              <w:textAlignment w:val="auto"/>
              <w:rPr>
                <w:rFonts w:hint="eastAsia" w:ascii="宋体" w:hAnsi="宋体" w:eastAsia="宋体" w:cs="宋体"/>
                <w:color w:val="auto"/>
                <w:spacing w:val="0"/>
                <w:position w:val="0"/>
                <w:sz w:val="24"/>
                <w:szCs w:val="24"/>
                <w:highlight w:val="none"/>
              </w:rPr>
            </w:pPr>
          </w:p>
        </w:tc>
        <w:tc>
          <w:tcPr>
            <w:tcW w:w="3609" w:type="dxa"/>
            <w:tcBorders>
              <w:top w:val="single" w:color="auto" w:sz="4" w:space="0"/>
              <w:left w:val="single" w:color="auto" w:sz="4" w:space="0"/>
              <w:right w:val="single" w:color="auto" w:sz="4" w:space="0"/>
            </w:tcBorders>
            <w:noWrap w:val="0"/>
            <w:vAlign w:val="center"/>
          </w:tcPr>
          <w:p w14:paraId="46463CF3">
            <w:pPr>
              <w:keepNext w:val="0"/>
              <w:keepLines w:val="0"/>
              <w:pageBreakBefore w:val="0"/>
              <w:widowControl w:val="0"/>
              <w:kinsoku/>
              <w:wordWrap/>
              <w:overflowPunct/>
              <w:topLinePunct w:val="0"/>
              <w:autoSpaceDE/>
              <w:autoSpaceDN/>
              <w:bidi w:val="0"/>
              <w:adjustRightInd/>
              <w:snapToGrid/>
              <w:spacing w:afterAutospacing="0" w:line="440" w:lineRule="exact"/>
              <w:ind w:left="0" w:right="0" w:rightChars="0" w:firstLine="0" w:firstLineChars="0"/>
              <w:jc w:val="left"/>
              <w:textAlignment w:val="auto"/>
              <w:rPr>
                <w:rFonts w:hint="eastAsia" w:ascii="宋体" w:hAnsi="宋体" w:eastAsia="宋体" w:cs="宋体"/>
                <w:color w:val="auto"/>
                <w:spacing w:val="0"/>
                <w:position w:val="0"/>
                <w:sz w:val="24"/>
                <w:szCs w:val="24"/>
                <w:highlight w:val="none"/>
              </w:rPr>
            </w:pPr>
            <w:r>
              <w:rPr>
                <w:rFonts w:hint="eastAsia" w:ascii="宋体" w:hAnsi="宋体" w:cs="宋体"/>
                <w:color w:val="auto"/>
                <w:spacing w:val="0"/>
                <w:position w:val="0"/>
                <w:sz w:val="24"/>
                <w:szCs w:val="24"/>
                <w:highlight w:val="none"/>
                <w:lang w:val="en-US" w:eastAsia="zh-CN"/>
              </w:rPr>
              <w:t>中小企业声明函</w:t>
            </w:r>
          </w:p>
        </w:tc>
        <w:tc>
          <w:tcPr>
            <w:tcW w:w="5315" w:type="dxa"/>
            <w:tcBorders>
              <w:top w:val="single" w:color="auto" w:sz="4" w:space="0"/>
              <w:left w:val="single" w:color="auto" w:sz="4" w:space="0"/>
              <w:bottom w:val="single" w:color="auto" w:sz="4" w:space="0"/>
              <w:right w:val="single" w:color="auto" w:sz="4" w:space="0"/>
            </w:tcBorders>
            <w:noWrap w:val="0"/>
            <w:vAlign w:val="center"/>
          </w:tcPr>
          <w:p w14:paraId="238CC97D">
            <w:pPr>
              <w:keepNext w:val="0"/>
              <w:keepLines w:val="0"/>
              <w:pageBreakBefore w:val="0"/>
              <w:widowControl w:val="0"/>
              <w:kinsoku/>
              <w:wordWrap/>
              <w:overflowPunct/>
              <w:topLinePunct w:val="0"/>
              <w:autoSpaceDE/>
              <w:autoSpaceDN/>
              <w:bidi w:val="0"/>
              <w:adjustRightInd/>
              <w:snapToGrid/>
              <w:spacing w:afterAutospacing="0" w:line="440" w:lineRule="exact"/>
              <w:ind w:left="0" w:right="0" w:righ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请根据要求</w:t>
            </w:r>
            <w:r>
              <w:rPr>
                <w:rFonts w:hint="eastAsia" w:ascii="宋体" w:hAnsi="宋体" w:cs="宋体"/>
                <w:color w:val="auto"/>
                <w:spacing w:val="0"/>
                <w:position w:val="0"/>
                <w:sz w:val="24"/>
                <w:szCs w:val="24"/>
                <w:highlight w:val="none"/>
                <w:lang w:val="en-US" w:eastAsia="zh-CN"/>
              </w:rPr>
              <w:t>提供</w:t>
            </w:r>
            <w:r>
              <w:rPr>
                <w:rFonts w:hint="eastAsia" w:ascii="宋体" w:hAnsi="宋体" w:eastAsia="宋体" w:cs="宋体"/>
                <w:color w:val="auto"/>
                <w:spacing w:val="0"/>
                <w:position w:val="0"/>
                <w:sz w:val="24"/>
                <w:szCs w:val="24"/>
                <w:highlight w:val="none"/>
                <w:lang w:eastAsia="zh-CN"/>
              </w:rPr>
              <w:t>《中小企业声明函》。</w:t>
            </w:r>
          </w:p>
        </w:tc>
      </w:tr>
    </w:tbl>
    <w:p w14:paraId="270E2CBE">
      <w:pPr>
        <w:pageBreakBefore w:val="0"/>
        <w:kinsoku/>
        <w:wordWrap/>
        <w:overflowPunct/>
        <w:topLinePunct w:val="0"/>
        <w:bidi w:val="0"/>
        <w:spacing w:line="440" w:lineRule="exact"/>
        <w:ind w:left="0" w:right="0" w:righ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5.3.2 响应文件的澄清</w:t>
      </w:r>
    </w:p>
    <w:p w14:paraId="63D0D9AA">
      <w:pPr>
        <w:pageBreakBefore w:val="0"/>
        <w:kinsoku/>
        <w:wordWrap/>
        <w:overflowPunct/>
        <w:topLinePunct w:val="0"/>
        <w:autoSpaceDE w:val="0"/>
        <w:autoSpaceDN w:val="0"/>
        <w:bidi w:val="0"/>
        <w:adjustRightInd w:val="0"/>
        <w:snapToGrid w:val="0"/>
        <w:spacing w:line="440" w:lineRule="exact"/>
        <w:ind w:left="0" w:right="0" w:rightChars="0" w:firstLine="480" w:firstLineChars="200"/>
        <w:textAlignment w:val="auto"/>
        <w:rPr>
          <w:rFonts w:hint="eastAsia" w:ascii="宋体" w:hAnsi="宋体" w:eastAsia="宋体" w:cs="宋体"/>
          <w:color w:val="auto"/>
          <w:spacing w:val="0"/>
          <w:kern w:val="0"/>
          <w:position w:val="0"/>
          <w:sz w:val="24"/>
          <w:highlight w:val="none"/>
          <w:lang w:val="zh-CN"/>
        </w:rPr>
      </w:pPr>
      <w:r>
        <w:rPr>
          <w:rFonts w:hint="eastAsia" w:ascii="宋体" w:hAnsi="宋体" w:eastAsia="宋体" w:cs="宋体"/>
          <w:bCs/>
          <w:color w:val="auto"/>
          <w:spacing w:val="0"/>
          <w:position w:val="0"/>
          <w:sz w:val="24"/>
          <w:highlight w:val="none"/>
        </w:rPr>
        <w:t>（1）</w:t>
      </w:r>
      <w:r>
        <w:rPr>
          <w:rFonts w:hint="eastAsia" w:ascii="宋体" w:hAnsi="宋体" w:eastAsia="宋体" w:cs="宋体"/>
          <w:color w:val="auto"/>
          <w:spacing w:val="0"/>
          <w:kern w:val="0"/>
          <w:position w:val="0"/>
          <w:sz w:val="24"/>
          <w:highlight w:val="none"/>
          <w:lang w:val="zh-CN"/>
        </w:rPr>
        <w:t>磋商小组在对响应文件的有效性、完整性和对磋商文件的响应程度进行审查时，可以要求供应商对响应文件中含义不明</w:t>
      </w:r>
      <w:r>
        <w:rPr>
          <w:rFonts w:hint="eastAsia" w:ascii="宋体" w:hAnsi="宋体" w:eastAsia="宋体" w:cs="宋体"/>
          <w:bCs/>
          <w:color w:val="auto"/>
          <w:spacing w:val="0"/>
          <w:position w:val="0"/>
          <w:sz w:val="24"/>
          <w:highlight w:val="none"/>
        </w:rPr>
        <w:t>确</w:t>
      </w:r>
      <w:r>
        <w:rPr>
          <w:rFonts w:hint="eastAsia" w:ascii="宋体" w:hAnsi="宋体" w:eastAsia="宋体" w:cs="宋体"/>
          <w:color w:val="auto"/>
          <w:spacing w:val="0"/>
          <w:kern w:val="0"/>
          <w:position w:val="0"/>
          <w:sz w:val="24"/>
          <w:highlight w:val="none"/>
          <w:lang w:val="zh-CN"/>
        </w:rPr>
        <w:t>、同类问题表述不一致或者有明显文字和计算错误的内容等作出必要的澄清、说明或者纠正。该要求</w:t>
      </w:r>
      <w:r>
        <w:rPr>
          <w:rFonts w:hint="eastAsia" w:ascii="宋体" w:hAnsi="宋体" w:eastAsia="宋体" w:cs="宋体"/>
          <w:color w:val="auto"/>
          <w:spacing w:val="0"/>
          <w:position w:val="0"/>
          <w:sz w:val="24"/>
          <w:highlight w:val="none"/>
        </w:rPr>
        <w:t>应当以</w:t>
      </w:r>
      <w:r>
        <w:rPr>
          <w:rFonts w:hint="eastAsia" w:ascii="宋体" w:hAnsi="宋体" w:eastAsia="宋体" w:cs="宋体"/>
          <w:color w:val="auto"/>
          <w:spacing w:val="0"/>
          <w:kern w:val="0"/>
          <w:position w:val="0"/>
          <w:sz w:val="24"/>
          <w:highlight w:val="none"/>
          <w:lang w:val="zh-CN"/>
        </w:rPr>
        <w:t>书面形式作出。供应商的澄清、说明或者补正应当采用书面形式，由其</w:t>
      </w:r>
      <w:r>
        <w:rPr>
          <w:rFonts w:hint="eastAsia" w:ascii="宋体" w:hAnsi="宋体" w:eastAsia="宋体" w:cs="宋体"/>
          <w:color w:val="auto"/>
          <w:spacing w:val="0"/>
          <w:position w:val="0"/>
          <w:sz w:val="24"/>
          <w:highlight w:val="none"/>
        </w:rPr>
        <w:t>法定代表人或其授权代表</w:t>
      </w:r>
      <w:r>
        <w:rPr>
          <w:rFonts w:hint="eastAsia" w:ascii="宋体" w:hAnsi="宋体" w:eastAsia="宋体" w:cs="宋体"/>
          <w:bCs/>
          <w:color w:val="auto"/>
          <w:spacing w:val="0"/>
          <w:position w:val="0"/>
          <w:sz w:val="24"/>
          <w:highlight w:val="none"/>
        </w:rPr>
        <w:t>签字</w:t>
      </w:r>
      <w:r>
        <w:rPr>
          <w:rFonts w:hint="eastAsia" w:ascii="宋体" w:hAnsi="宋体" w:eastAsia="宋体" w:cs="宋体"/>
          <w:color w:val="auto"/>
          <w:spacing w:val="0"/>
          <w:kern w:val="0"/>
          <w:position w:val="0"/>
          <w:sz w:val="24"/>
          <w:highlight w:val="none"/>
          <w:lang w:val="zh-CN"/>
        </w:rPr>
        <w:t>。供应商的澄清、说明或者更正不得超出磋商文件的范围或者改变响应文件的实质性内容。</w:t>
      </w:r>
    </w:p>
    <w:p w14:paraId="24FE6897">
      <w:pPr>
        <w:pageBreakBefore w:val="0"/>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bCs/>
          <w:color w:val="auto"/>
          <w:spacing w:val="0"/>
          <w:position w:val="0"/>
          <w:sz w:val="24"/>
          <w:highlight w:val="none"/>
        </w:rPr>
        <w:t>（2）</w:t>
      </w:r>
      <w:r>
        <w:rPr>
          <w:rFonts w:hint="eastAsia" w:ascii="宋体" w:hAnsi="宋体" w:eastAsia="宋体" w:cs="宋体"/>
          <w:color w:val="auto"/>
          <w:spacing w:val="0"/>
          <w:kern w:val="0"/>
          <w:position w:val="0"/>
          <w:sz w:val="24"/>
          <w:highlight w:val="none"/>
          <w:lang w:val="zh-CN"/>
        </w:rPr>
        <w:t>计算</w:t>
      </w:r>
      <w:r>
        <w:rPr>
          <w:rFonts w:hint="eastAsia" w:ascii="宋体" w:hAnsi="宋体" w:eastAsia="宋体" w:cs="宋体"/>
          <w:color w:val="auto"/>
          <w:spacing w:val="0"/>
          <w:position w:val="0"/>
          <w:sz w:val="24"/>
          <w:highlight w:val="none"/>
        </w:rPr>
        <w:t>错误修正的原则：单价与总价有出入,以单价为准；大、小写有出入，以大写为准；响应文件正本与副本有出入，以正本为准。按上述原则修正的响应文件，对供应商起约束作用，供应商不接受修正的，其响应文件将被拒绝。</w:t>
      </w:r>
    </w:p>
    <w:p w14:paraId="4C879431">
      <w:pPr>
        <w:pageBreakBefore w:val="0"/>
        <w:tabs>
          <w:tab w:val="left" w:pos="0"/>
        </w:tabs>
        <w:kinsoku/>
        <w:wordWrap/>
        <w:overflowPunct/>
        <w:topLinePunct w:val="0"/>
        <w:bidi w:val="0"/>
        <w:adjustRightInd w:val="0"/>
        <w:snapToGrid w:val="0"/>
        <w:spacing w:line="440" w:lineRule="exact"/>
        <w:ind w:left="0" w:right="0" w:rightChars="0"/>
        <w:textAlignment w:val="auto"/>
        <w:rPr>
          <w:rFonts w:hint="eastAsia" w:ascii="宋体" w:hAnsi="宋体" w:eastAsia="宋体" w:cs="宋体"/>
          <w:bCs/>
          <w:color w:val="auto"/>
          <w:spacing w:val="0"/>
          <w:position w:val="0"/>
          <w:sz w:val="24"/>
          <w:highlight w:val="none"/>
        </w:rPr>
      </w:pPr>
      <w:r>
        <w:rPr>
          <w:rFonts w:hint="eastAsia" w:ascii="宋体" w:hAnsi="宋体" w:eastAsia="宋体" w:cs="宋体"/>
          <w:b/>
          <w:bCs/>
          <w:color w:val="auto"/>
          <w:spacing w:val="0"/>
          <w:position w:val="0"/>
          <w:sz w:val="24"/>
          <w:highlight w:val="none"/>
        </w:rPr>
        <w:t>5.4 磋商、最后报价</w:t>
      </w:r>
    </w:p>
    <w:p w14:paraId="4F2E19B9">
      <w:pPr>
        <w:pageBreakBefore w:val="0"/>
        <w:tabs>
          <w:tab w:val="left" w:pos="0"/>
        </w:tabs>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color w:val="auto"/>
          <w:spacing w:val="0"/>
          <w:kern w:val="0"/>
          <w:position w:val="0"/>
          <w:sz w:val="24"/>
          <w:highlight w:val="none"/>
          <w:lang w:val="zh-CN"/>
        </w:rPr>
      </w:pPr>
      <w:r>
        <w:rPr>
          <w:rFonts w:hint="eastAsia" w:ascii="宋体" w:hAnsi="宋体" w:eastAsia="宋体" w:cs="宋体"/>
          <w:color w:val="auto"/>
          <w:spacing w:val="0"/>
          <w:position w:val="0"/>
          <w:sz w:val="24"/>
          <w:highlight w:val="none"/>
        </w:rPr>
        <w:t>5.4.1</w:t>
      </w:r>
      <w:r>
        <w:rPr>
          <w:rFonts w:hint="eastAsia" w:ascii="宋体" w:hAnsi="宋体" w:eastAsia="宋体" w:cs="宋体"/>
          <w:color w:val="auto"/>
          <w:spacing w:val="0"/>
          <w:kern w:val="0"/>
          <w:position w:val="0"/>
          <w:sz w:val="24"/>
          <w:highlight w:val="none"/>
          <w:lang w:val="zh-CN"/>
        </w:rPr>
        <w:t>磋商小组所有成员按以下两种情况和程序集中与单一供应商分别进行磋商。并给予所有参加</w:t>
      </w:r>
      <w:r>
        <w:rPr>
          <w:rFonts w:hint="eastAsia" w:ascii="宋体" w:hAnsi="宋体" w:eastAsia="宋体" w:cs="宋体"/>
          <w:bCs/>
          <w:color w:val="auto"/>
          <w:spacing w:val="0"/>
          <w:position w:val="0"/>
          <w:sz w:val="24"/>
          <w:highlight w:val="none"/>
        </w:rPr>
        <w:t>磋商</w:t>
      </w:r>
      <w:r>
        <w:rPr>
          <w:rFonts w:hint="eastAsia" w:ascii="宋体" w:hAnsi="宋体" w:eastAsia="宋体" w:cs="宋体"/>
          <w:color w:val="auto"/>
          <w:spacing w:val="0"/>
          <w:kern w:val="0"/>
          <w:position w:val="0"/>
          <w:sz w:val="24"/>
          <w:highlight w:val="none"/>
          <w:lang w:val="zh-CN"/>
        </w:rPr>
        <w:t>的供应商相同的磋商机会。</w:t>
      </w:r>
    </w:p>
    <w:p w14:paraId="2B662452">
      <w:pPr>
        <w:pageBreakBefore w:val="0"/>
        <w:tabs>
          <w:tab w:val="left" w:pos="0"/>
        </w:tabs>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color w:val="auto"/>
          <w:spacing w:val="0"/>
          <w:kern w:val="0"/>
          <w:position w:val="0"/>
          <w:sz w:val="24"/>
          <w:highlight w:val="none"/>
          <w:lang w:val="zh-CN"/>
        </w:rPr>
      </w:pPr>
      <w:r>
        <w:rPr>
          <w:rFonts w:hint="eastAsia" w:ascii="宋体" w:hAnsi="宋体" w:eastAsia="宋体" w:cs="宋体"/>
          <w:color w:val="auto"/>
          <w:spacing w:val="0"/>
          <w:kern w:val="0"/>
          <w:position w:val="0"/>
          <w:sz w:val="24"/>
          <w:highlight w:val="none"/>
          <w:lang w:val="zh-CN"/>
        </w:rPr>
        <w:t>（1）第一种情况</w:t>
      </w:r>
    </w:p>
    <w:p w14:paraId="5B95158F">
      <w:pPr>
        <w:pageBreakBefore w:val="0"/>
        <w:tabs>
          <w:tab w:val="left" w:pos="0"/>
        </w:tabs>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color w:val="auto"/>
          <w:spacing w:val="0"/>
          <w:kern w:val="0"/>
          <w:position w:val="0"/>
          <w:sz w:val="24"/>
          <w:highlight w:val="none"/>
          <w:lang w:val="zh-CN"/>
        </w:rPr>
      </w:pPr>
      <w:r>
        <w:rPr>
          <w:rFonts w:hint="eastAsia" w:ascii="宋体" w:hAnsi="宋体" w:eastAsia="宋体" w:cs="宋体"/>
          <w:color w:val="auto"/>
          <w:spacing w:val="0"/>
          <w:position w:val="0"/>
          <w:sz w:val="24"/>
          <w:highlight w:val="none"/>
        </w:rPr>
        <w:t>磋商文件能够详细列明采购标的的技术、服务要求的，磋商结束后，磋商小组将要求所有实质性响应的供应商在规定时间内提交最后报价。最后报价是供应商响应文件的有效组成部分。</w:t>
      </w:r>
      <w:r>
        <w:rPr>
          <w:rFonts w:hint="eastAsia" w:ascii="宋体" w:hAnsi="宋体" w:eastAsia="宋体" w:cs="宋体"/>
          <w:snapToGrid w:val="0"/>
          <w:color w:val="auto"/>
          <w:spacing w:val="0"/>
          <w:kern w:val="0"/>
          <w:position w:val="0"/>
          <w:sz w:val="24"/>
          <w:highlight w:val="none"/>
        </w:rPr>
        <w:t>提交最后报价的供应商不得少于3家。</w:t>
      </w:r>
    </w:p>
    <w:p w14:paraId="12872BE9">
      <w:pPr>
        <w:pageBreakBefore w:val="0"/>
        <w:tabs>
          <w:tab w:val="left" w:pos="0"/>
        </w:tabs>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color w:val="auto"/>
          <w:spacing w:val="0"/>
          <w:kern w:val="0"/>
          <w:position w:val="0"/>
          <w:sz w:val="24"/>
          <w:highlight w:val="none"/>
          <w:lang w:val="zh-CN"/>
        </w:rPr>
      </w:pPr>
      <w:r>
        <w:rPr>
          <w:rFonts w:hint="eastAsia" w:ascii="宋体" w:hAnsi="宋体" w:eastAsia="宋体" w:cs="宋体"/>
          <w:color w:val="auto"/>
          <w:spacing w:val="0"/>
          <w:kern w:val="0"/>
          <w:position w:val="0"/>
          <w:sz w:val="24"/>
          <w:highlight w:val="none"/>
          <w:lang w:val="zh-CN"/>
        </w:rPr>
        <w:t>（2）第二种情况</w:t>
      </w:r>
    </w:p>
    <w:p w14:paraId="6E69E8FA">
      <w:pPr>
        <w:pageBreakBefore w:val="0"/>
        <w:tabs>
          <w:tab w:val="left" w:pos="0"/>
        </w:tabs>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color w:val="auto"/>
          <w:spacing w:val="0"/>
          <w:kern w:val="0"/>
          <w:position w:val="0"/>
          <w:sz w:val="24"/>
          <w:highlight w:val="none"/>
          <w:lang w:val="zh-CN"/>
        </w:rPr>
      </w:pPr>
      <w:r>
        <w:rPr>
          <w:rFonts w:hint="eastAsia" w:ascii="宋体" w:hAnsi="宋体" w:eastAsia="宋体" w:cs="宋体"/>
          <w:snapToGrid w:val="0"/>
          <w:color w:val="auto"/>
          <w:spacing w:val="0"/>
          <w:kern w:val="0"/>
          <w:position w:val="0"/>
          <w:sz w:val="24"/>
          <w:highlight w:val="none"/>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hint="eastAsia" w:ascii="宋体" w:hAnsi="宋体" w:eastAsia="宋体" w:cs="宋体"/>
          <w:color w:val="auto"/>
          <w:spacing w:val="0"/>
          <w:position w:val="0"/>
          <w:sz w:val="24"/>
          <w:highlight w:val="none"/>
        </w:rPr>
        <w:t>最后报价是供应商响应文件的有效组成部分。</w:t>
      </w:r>
    </w:p>
    <w:p w14:paraId="6EFB7382">
      <w:pPr>
        <w:pageBreakBefore w:val="0"/>
        <w:tabs>
          <w:tab w:val="left" w:pos="0"/>
        </w:tabs>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kern w:val="0"/>
          <w:position w:val="0"/>
          <w:sz w:val="24"/>
          <w:highlight w:val="none"/>
          <w:lang w:val="zh-CN"/>
        </w:rPr>
        <w:t>5.4.2</w:t>
      </w:r>
      <w:r>
        <w:rPr>
          <w:rFonts w:hint="eastAsia" w:ascii="宋体" w:hAnsi="宋体" w:eastAsia="宋体" w:cs="宋体"/>
          <w:color w:val="auto"/>
          <w:spacing w:val="0"/>
          <w:position w:val="0"/>
          <w:sz w:val="24"/>
          <w:highlight w:val="none"/>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12D81E9F">
      <w:pPr>
        <w:pageBreakBefore w:val="0"/>
        <w:tabs>
          <w:tab w:val="left" w:pos="0"/>
        </w:tabs>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5.4.3已提交响应文件的供应商，在提交最后报价之前，可以根据磋商情况退出磋商。采购机构将退还退出磋商的供应商的磋商保证金。</w:t>
      </w:r>
    </w:p>
    <w:p w14:paraId="499CD1E3">
      <w:pPr>
        <w:pageBreakBefore w:val="0"/>
        <w:tabs>
          <w:tab w:val="left" w:pos="0"/>
        </w:tabs>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color w:val="auto"/>
          <w:spacing w:val="0"/>
          <w:kern w:val="0"/>
          <w:position w:val="0"/>
          <w:sz w:val="24"/>
          <w:highlight w:val="none"/>
          <w:lang w:val="zh-CN"/>
        </w:rPr>
      </w:pPr>
      <w:r>
        <w:rPr>
          <w:rFonts w:hint="eastAsia" w:ascii="宋体" w:hAnsi="宋体" w:eastAsia="宋体" w:cs="宋体"/>
          <w:color w:val="auto"/>
          <w:spacing w:val="0"/>
          <w:kern w:val="0"/>
          <w:position w:val="0"/>
          <w:sz w:val="24"/>
          <w:highlight w:val="none"/>
          <w:lang w:val="zh-CN"/>
        </w:rPr>
        <w:t>5.4.4磋商轮数和最后</w:t>
      </w:r>
      <w:r>
        <w:rPr>
          <w:rFonts w:hint="eastAsia" w:ascii="宋体" w:hAnsi="宋体" w:eastAsia="宋体" w:cs="宋体"/>
          <w:color w:val="auto"/>
          <w:spacing w:val="0"/>
          <w:position w:val="0"/>
          <w:sz w:val="24"/>
          <w:highlight w:val="none"/>
        </w:rPr>
        <w:t>报价的要求</w:t>
      </w:r>
      <w:r>
        <w:rPr>
          <w:rFonts w:hint="eastAsia" w:ascii="宋体" w:hAnsi="宋体" w:eastAsia="宋体" w:cs="宋体"/>
          <w:color w:val="auto"/>
          <w:spacing w:val="0"/>
          <w:position w:val="0"/>
          <w:sz w:val="24"/>
          <w:highlight w:val="none"/>
          <w:lang w:val="zh-CN"/>
        </w:rPr>
        <w:t>见</w:t>
      </w:r>
      <w:r>
        <w:rPr>
          <w:rFonts w:hint="eastAsia" w:ascii="宋体" w:hAnsi="宋体" w:eastAsia="宋体" w:cs="宋体"/>
          <w:b/>
          <w:color w:val="auto"/>
          <w:spacing w:val="0"/>
          <w:position w:val="0"/>
          <w:sz w:val="24"/>
          <w:highlight w:val="none"/>
          <w:lang w:val="zh-CN"/>
        </w:rPr>
        <w:t>磋商须知前附表。</w:t>
      </w:r>
    </w:p>
    <w:p w14:paraId="4A749FE2">
      <w:pPr>
        <w:pageBreakBefore w:val="0"/>
        <w:tabs>
          <w:tab w:val="left" w:pos="0"/>
        </w:tabs>
        <w:kinsoku/>
        <w:wordWrap/>
        <w:overflowPunct/>
        <w:topLinePunct w:val="0"/>
        <w:bidi w:val="0"/>
        <w:adjustRightInd w:val="0"/>
        <w:snapToGrid w:val="0"/>
        <w:spacing w:line="440" w:lineRule="exact"/>
        <w:ind w:left="0" w:right="0" w:rightChars="0"/>
        <w:textAlignment w:val="auto"/>
        <w:rPr>
          <w:rFonts w:hint="eastAsia" w:ascii="宋体" w:hAnsi="宋体" w:eastAsia="宋体" w:cs="宋体"/>
          <w:b/>
          <w:bCs/>
          <w:color w:val="auto"/>
          <w:spacing w:val="0"/>
          <w:position w:val="0"/>
          <w:sz w:val="24"/>
          <w:highlight w:val="none"/>
        </w:rPr>
      </w:pPr>
      <w:r>
        <w:rPr>
          <w:rFonts w:hint="eastAsia" w:ascii="宋体" w:hAnsi="宋体" w:eastAsia="宋体" w:cs="宋体"/>
          <w:b/>
          <w:bCs/>
          <w:color w:val="auto"/>
          <w:spacing w:val="0"/>
          <w:position w:val="0"/>
          <w:sz w:val="24"/>
          <w:highlight w:val="none"/>
        </w:rPr>
        <w:t>5.5综合评审</w:t>
      </w:r>
    </w:p>
    <w:p w14:paraId="45BDD534">
      <w:pPr>
        <w:pageBreakBefore w:val="0"/>
        <w:tabs>
          <w:tab w:val="left" w:pos="0"/>
        </w:tabs>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bCs/>
          <w:color w:val="auto"/>
          <w:spacing w:val="0"/>
          <w:position w:val="0"/>
          <w:sz w:val="24"/>
          <w:highlight w:val="none"/>
        </w:rPr>
      </w:pPr>
      <w:r>
        <w:rPr>
          <w:rFonts w:hint="eastAsia" w:ascii="宋体" w:hAnsi="宋体" w:eastAsia="宋体" w:cs="宋体"/>
          <w:color w:val="auto"/>
          <w:spacing w:val="0"/>
          <w:position w:val="0"/>
          <w:sz w:val="24"/>
          <w:highlight w:val="none"/>
        </w:rPr>
        <w:t>5.5.1</w:t>
      </w:r>
      <w:r>
        <w:rPr>
          <w:rFonts w:hint="eastAsia" w:ascii="宋体" w:hAnsi="宋体" w:eastAsia="宋体" w:cs="宋体"/>
          <w:bCs/>
          <w:color w:val="auto"/>
          <w:spacing w:val="0"/>
          <w:position w:val="0"/>
          <w:sz w:val="24"/>
          <w:highlight w:val="none"/>
        </w:rPr>
        <w:t>评审方法</w:t>
      </w:r>
      <w:r>
        <w:rPr>
          <w:rFonts w:hint="eastAsia" w:ascii="宋体" w:hAnsi="宋体" w:eastAsia="宋体" w:cs="宋体"/>
          <w:color w:val="auto"/>
          <w:spacing w:val="0"/>
          <w:position w:val="0"/>
          <w:sz w:val="24"/>
          <w:highlight w:val="none"/>
        </w:rPr>
        <w:t>：综合评分法，是指响应文件满足磋商文件全部实质性要求且按评审因素的量化指标评审得分最高的供应商为成交候选供应商的评审方法。</w:t>
      </w:r>
    </w:p>
    <w:p w14:paraId="53752395">
      <w:pPr>
        <w:pageBreakBefore w:val="0"/>
        <w:tabs>
          <w:tab w:val="left" w:pos="0"/>
        </w:tabs>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bCs/>
          <w:color w:val="auto"/>
          <w:spacing w:val="0"/>
          <w:position w:val="0"/>
          <w:sz w:val="24"/>
          <w:highlight w:val="none"/>
        </w:rPr>
        <w:t>5.5.2磋商小组依据磋商文件及供应商的响应文件</w:t>
      </w:r>
      <w:r>
        <w:rPr>
          <w:rFonts w:hint="eastAsia" w:ascii="宋体" w:hAnsi="宋体" w:eastAsia="宋体" w:cs="宋体"/>
          <w:color w:val="auto"/>
          <w:spacing w:val="0"/>
          <w:position w:val="0"/>
          <w:sz w:val="24"/>
          <w:highlight w:val="none"/>
        </w:rPr>
        <w:t>和</w:t>
      </w:r>
      <w:r>
        <w:rPr>
          <w:rFonts w:hint="eastAsia" w:ascii="宋体" w:hAnsi="宋体" w:eastAsia="宋体" w:cs="宋体"/>
          <w:color w:val="auto"/>
          <w:spacing w:val="0"/>
          <w:kern w:val="0"/>
          <w:position w:val="0"/>
          <w:sz w:val="24"/>
          <w:highlight w:val="none"/>
          <w:lang w:val="zh-CN"/>
        </w:rPr>
        <w:t>最后报价</w:t>
      </w:r>
      <w:r>
        <w:rPr>
          <w:rFonts w:hint="eastAsia" w:ascii="宋体" w:hAnsi="宋体" w:eastAsia="宋体" w:cs="宋体"/>
          <w:bCs/>
          <w:color w:val="auto"/>
          <w:spacing w:val="0"/>
          <w:position w:val="0"/>
          <w:sz w:val="24"/>
          <w:highlight w:val="none"/>
        </w:rPr>
        <w:t>，对响应文件的商务和技术部分进行进一步的比较和评价，详细</w:t>
      </w:r>
      <w:r>
        <w:rPr>
          <w:rFonts w:hint="eastAsia" w:ascii="宋体" w:hAnsi="宋体" w:eastAsia="宋体" w:cs="宋体"/>
          <w:color w:val="auto"/>
          <w:spacing w:val="0"/>
          <w:position w:val="0"/>
          <w:sz w:val="24"/>
          <w:highlight w:val="none"/>
        </w:rPr>
        <w:t>评审标准见</w:t>
      </w:r>
      <w:r>
        <w:rPr>
          <w:rFonts w:hint="eastAsia" w:ascii="宋体" w:hAnsi="宋体" w:eastAsia="宋体" w:cs="宋体"/>
          <w:b/>
          <w:bCs/>
          <w:color w:val="auto"/>
          <w:spacing w:val="0"/>
          <w:position w:val="0"/>
          <w:sz w:val="24"/>
          <w:highlight w:val="none"/>
        </w:rPr>
        <w:t>第三章 评审方法</w:t>
      </w:r>
      <w:r>
        <w:rPr>
          <w:rFonts w:hint="eastAsia" w:ascii="宋体" w:hAnsi="宋体" w:eastAsia="宋体" w:cs="宋体"/>
          <w:bCs/>
          <w:color w:val="auto"/>
          <w:spacing w:val="0"/>
          <w:position w:val="0"/>
          <w:sz w:val="24"/>
          <w:highlight w:val="none"/>
        </w:rPr>
        <w:t>。</w:t>
      </w:r>
    </w:p>
    <w:p w14:paraId="3423BB24">
      <w:pPr>
        <w:pageBreakBefore w:val="0"/>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5.5.3若供应商的报价明显低于其他报价，使得其报价可能低于其个别成本的，有可能影响商品质量或不能诚信履约的，供应商应按磋商小组的要求作出书面说明并提供相关证明材料，不能合理说明或不能提供相关证明材料的，可作无效报价处理。</w:t>
      </w:r>
    </w:p>
    <w:p w14:paraId="336FAC5E">
      <w:pPr>
        <w:pageBreakBefore w:val="0"/>
        <w:tabs>
          <w:tab w:val="left" w:pos="0"/>
        </w:tabs>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color w:val="auto"/>
          <w:spacing w:val="0"/>
          <w:kern w:val="0"/>
          <w:position w:val="0"/>
          <w:sz w:val="24"/>
          <w:highlight w:val="none"/>
          <w:lang w:val="zh-CN"/>
        </w:rPr>
      </w:pPr>
      <w:r>
        <w:rPr>
          <w:rFonts w:hint="eastAsia" w:ascii="宋体" w:hAnsi="宋体" w:eastAsia="宋体" w:cs="宋体"/>
          <w:color w:val="auto"/>
          <w:spacing w:val="0"/>
          <w:position w:val="0"/>
          <w:sz w:val="24"/>
          <w:highlight w:val="none"/>
        </w:rPr>
        <w:t>5.5.4  对漏（缺）报项的处理：磋商文件中要求列入报价的费用（含配置、功能）漏报的，以及“已标价的工程量清单”中供应商没有填入单价（价格）或漏（缺）报的项目视同已含在总报价中，不予调整。对多报项及赠送项的价格评审时不予核减，全部进入评标价评议。</w:t>
      </w:r>
    </w:p>
    <w:p w14:paraId="6B161502">
      <w:pPr>
        <w:pageBreakBefore w:val="0"/>
        <w:tabs>
          <w:tab w:val="left" w:pos="0"/>
        </w:tabs>
        <w:kinsoku/>
        <w:wordWrap/>
        <w:overflowPunct/>
        <w:topLinePunct w:val="0"/>
        <w:bidi w:val="0"/>
        <w:adjustRightInd w:val="0"/>
        <w:snapToGrid w:val="0"/>
        <w:spacing w:line="440" w:lineRule="exact"/>
        <w:ind w:left="0" w:right="0" w:rightChars="0"/>
        <w:textAlignment w:val="auto"/>
        <w:rPr>
          <w:rFonts w:hint="eastAsia" w:ascii="宋体" w:hAnsi="宋体" w:eastAsia="宋体" w:cs="宋体"/>
          <w:b/>
          <w:bCs/>
          <w:color w:val="auto"/>
          <w:spacing w:val="0"/>
          <w:position w:val="0"/>
          <w:sz w:val="24"/>
          <w:highlight w:val="none"/>
        </w:rPr>
      </w:pPr>
      <w:r>
        <w:rPr>
          <w:rFonts w:hint="eastAsia" w:ascii="宋体" w:hAnsi="宋体" w:eastAsia="宋体" w:cs="宋体"/>
          <w:b/>
          <w:bCs/>
          <w:color w:val="auto"/>
          <w:spacing w:val="0"/>
          <w:position w:val="0"/>
          <w:sz w:val="24"/>
          <w:highlight w:val="none"/>
        </w:rPr>
        <w:t>5.6成交原则</w:t>
      </w:r>
    </w:p>
    <w:p w14:paraId="1595AC7A">
      <w:pPr>
        <w:pageBreakBefore w:val="0"/>
        <w:tabs>
          <w:tab w:val="left" w:pos="0"/>
        </w:tabs>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对经比较和评价符合磋商文件要求的供应商，按照综合评审得分由高到低顺序推荐</w:t>
      </w:r>
      <w:r>
        <w:rPr>
          <w:rFonts w:hint="eastAsia" w:ascii="宋体" w:hAnsi="宋体" w:eastAsia="宋体" w:cs="宋体"/>
          <w:b/>
          <w:bCs/>
          <w:color w:val="auto"/>
          <w:spacing w:val="0"/>
          <w:position w:val="0"/>
          <w:sz w:val="24"/>
          <w:highlight w:val="none"/>
        </w:rPr>
        <w:t>磋商须知前附表</w:t>
      </w:r>
      <w:r>
        <w:rPr>
          <w:rFonts w:hint="eastAsia" w:ascii="宋体" w:hAnsi="宋体" w:eastAsia="宋体" w:cs="宋体"/>
          <w:bCs/>
          <w:color w:val="auto"/>
          <w:spacing w:val="0"/>
          <w:position w:val="0"/>
          <w:sz w:val="24"/>
          <w:highlight w:val="none"/>
        </w:rPr>
        <w:t>规定数量的成交候选</w:t>
      </w:r>
      <w:r>
        <w:rPr>
          <w:rFonts w:hint="eastAsia" w:ascii="宋体" w:hAnsi="宋体" w:eastAsia="宋体" w:cs="宋体"/>
          <w:color w:val="auto"/>
          <w:spacing w:val="0"/>
          <w:kern w:val="0"/>
          <w:position w:val="0"/>
          <w:sz w:val="24"/>
          <w:highlight w:val="none"/>
        </w:rPr>
        <w:t>供应商</w:t>
      </w:r>
      <w:r>
        <w:rPr>
          <w:rFonts w:hint="eastAsia" w:ascii="宋体" w:hAnsi="宋体" w:eastAsia="宋体" w:cs="宋体"/>
          <w:color w:val="auto"/>
          <w:spacing w:val="0"/>
          <w:kern w:val="0"/>
          <w:position w:val="0"/>
          <w:sz w:val="24"/>
          <w:highlight w:val="none"/>
          <w:lang w:val="zh-CN"/>
        </w:rPr>
        <w:t>，</w:t>
      </w:r>
      <w:r>
        <w:rPr>
          <w:rFonts w:hint="eastAsia" w:ascii="宋体" w:hAnsi="宋体" w:eastAsia="宋体" w:cs="宋体"/>
          <w:color w:val="auto"/>
          <w:spacing w:val="0"/>
          <w:kern w:val="0"/>
          <w:position w:val="0"/>
          <w:sz w:val="24"/>
          <w:highlight w:val="none"/>
        </w:rPr>
        <w:t>并确定排名第一的</w:t>
      </w:r>
      <w:r>
        <w:rPr>
          <w:rFonts w:hint="eastAsia" w:ascii="宋体" w:hAnsi="宋体" w:eastAsia="宋体" w:cs="宋体"/>
          <w:color w:val="auto"/>
          <w:spacing w:val="0"/>
          <w:kern w:val="0"/>
          <w:position w:val="0"/>
          <w:sz w:val="24"/>
          <w:highlight w:val="none"/>
          <w:lang w:val="zh-CN"/>
        </w:rPr>
        <w:t>成交候选</w:t>
      </w:r>
      <w:r>
        <w:rPr>
          <w:rFonts w:hint="eastAsia" w:ascii="宋体" w:hAnsi="宋体" w:eastAsia="宋体" w:cs="宋体"/>
          <w:bCs/>
          <w:color w:val="auto"/>
          <w:spacing w:val="0"/>
          <w:position w:val="0"/>
          <w:sz w:val="24"/>
          <w:highlight w:val="none"/>
        </w:rPr>
        <w:t>供应商为成交供应商</w:t>
      </w:r>
      <w:r>
        <w:rPr>
          <w:rFonts w:hint="eastAsia" w:ascii="宋体" w:hAnsi="宋体" w:eastAsia="宋体" w:cs="宋体"/>
          <w:color w:val="auto"/>
          <w:spacing w:val="0"/>
          <w:kern w:val="0"/>
          <w:position w:val="0"/>
          <w:sz w:val="24"/>
          <w:highlight w:val="none"/>
          <w:lang w:val="zh-CN"/>
        </w:rPr>
        <w:t>。</w:t>
      </w:r>
      <w:r>
        <w:rPr>
          <w:rFonts w:hint="eastAsia" w:ascii="宋体" w:hAnsi="宋体" w:eastAsia="宋体" w:cs="宋体"/>
          <w:color w:val="auto"/>
          <w:spacing w:val="0"/>
          <w:position w:val="0"/>
          <w:sz w:val="24"/>
          <w:highlight w:val="none"/>
          <w:lang w:val="zh-CN"/>
        </w:rPr>
        <w:t>如报价</w:t>
      </w:r>
      <w:r>
        <w:rPr>
          <w:rFonts w:hint="eastAsia" w:ascii="宋体" w:hAnsi="宋体" w:eastAsia="宋体" w:cs="宋体"/>
          <w:color w:val="auto"/>
          <w:spacing w:val="0"/>
          <w:position w:val="0"/>
          <w:sz w:val="24"/>
          <w:highlight w:val="none"/>
        </w:rPr>
        <w:t>相同，由磋商小组按技术指标、实力等综合因素优劣排列。</w:t>
      </w:r>
    </w:p>
    <w:p w14:paraId="4F1DEAEC">
      <w:pPr>
        <w:pStyle w:val="23"/>
        <w:pageBreakBefore w:val="0"/>
        <w:kinsoku/>
        <w:wordWrap/>
        <w:overflowPunct/>
        <w:topLinePunct w:val="0"/>
        <w:bidi w:val="0"/>
        <w:adjustRightInd w:val="0"/>
        <w:snapToGrid w:val="0"/>
        <w:spacing w:line="440" w:lineRule="exact"/>
        <w:ind w:left="0" w:right="0" w:rightChars="0" w:hanging="723" w:hangingChars="3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5.7 磋商的特殊情形</w:t>
      </w:r>
    </w:p>
    <w:p w14:paraId="035E19D8">
      <w:pPr>
        <w:pStyle w:val="23"/>
        <w:pageBreakBefore w:val="0"/>
        <w:kinsoku/>
        <w:wordWrap/>
        <w:overflowPunct/>
        <w:topLinePunct w:val="0"/>
        <w:bidi w:val="0"/>
        <w:adjustRightInd w:val="0"/>
        <w:snapToGrid w:val="0"/>
        <w:spacing w:line="440" w:lineRule="exact"/>
        <w:ind w:left="0" w:right="0" w:rightChars="0" w:firstLine="352" w:firstLineChars="147"/>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5.7.1递交响应文件的供应商不足三家的，不开标唱标，除采购任务取消外，如磋商文件没有不合理条款，发布项目延期公告，延长三个工作日，延长期满后，仍不足三家的，继续进入磋商程序。</w:t>
      </w:r>
    </w:p>
    <w:p w14:paraId="76AEAB57">
      <w:pPr>
        <w:pageBreakBefore w:val="0"/>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kern w:val="0"/>
          <w:position w:val="0"/>
          <w:sz w:val="24"/>
          <w:highlight w:val="none"/>
          <w:lang w:val="zh-CN"/>
        </w:rPr>
        <w:t>5.7.2对磋商文件</w:t>
      </w:r>
      <w:r>
        <w:rPr>
          <w:rFonts w:hint="eastAsia" w:ascii="宋体" w:hAnsi="宋体" w:eastAsia="宋体" w:cs="宋体"/>
          <w:color w:val="auto"/>
          <w:spacing w:val="0"/>
          <w:position w:val="0"/>
          <w:sz w:val="24"/>
          <w:highlight w:val="none"/>
        </w:rPr>
        <w:t>作出实质性响应的供应商不足三家，但</w:t>
      </w:r>
      <w:r>
        <w:rPr>
          <w:rFonts w:hint="eastAsia" w:ascii="宋体" w:hAnsi="宋体" w:eastAsia="宋体" w:cs="宋体"/>
          <w:snapToGrid w:val="0"/>
          <w:color w:val="auto"/>
          <w:spacing w:val="0"/>
          <w:kern w:val="0"/>
          <w:position w:val="0"/>
          <w:sz w:val="24"/>
          <w:highlight w:val="none"/>
        </w:rPr>
        <w:t>符合《</w:t>
      </w:r>
      <w:r>
        <w:rPr>
          <w:rFonts w:hint="eastAsia" w:ascii="宋体" w:hAnsi="宋体" w:eastAsia="宋体" w:cs="宋体"/>
          <w:color w:val="auto"/>
          <w:spacing w:val="0"/>
          <w:position w:val="0"/>
          <w:sz w:val="24"/>
          <w:highlight w:val="none"/>
        </w:rPr>
        <w:t>政府采购竞争性磋商采购方式管理暂行办法</w:t>
      </w:r>
      <w:r>
        <w:rPr>
          <w:rFonts w:hint="eastAsia" w:ascii="宋体" w:hAnsi="宋体" w:eastAsia="宋体" w:cs="宋体"/>
          <w:snapToGrid w:val="0"/>
          <w:color w:val="auto"/>
          <w:spacing w:val="0"/>
          <w:kern w:val="0"/>
          <w:position w:val="0"/>
          <w:sz w:val="24"/>
          <w:highlight w:val="none"/>
        </w:rPr>
        <w:t>》第二十一条规定的属于本办法第三条第四项“市场竞争不充分的科研项目，以及需要扶持的科技成果转化项目”情形的，提交最后报价的供应商可以为2家。</w:t>
      </w:r>
    </w:p>
    <w:p w14:paraId="0731E354">
      <w:pPr>
        <w:pStyle w:val="3"/>
        <w:pageBreakBefore w:val="0"/>
        <w:kinsoku/>
        <w:wordWrap/>
        <w:overflowPunct/>
        <w:topLinePunct w:val="0"/>
        <w:bidi w:val="0"/>
        <w:spacing w:line="440" w:lineRule="exact"/>
        <w:ind w:left="0" w:right="0" w:rightChars="0"/>
        <w:jc w:val="center"/>
        <w:textAlignment w:val="auto"/>
        <w:rPr>
          <w:rFonts w:hint="eastAsia" w:ascii="宋体" w:hAnsi="宋体" w:eastAsia="宋体" w:cs="宋体"/>
          <w:color w:val="auto"/>
          <w:spacing w:val="0"/>
          <w:position w:val="0"/>
          <w:szCs w:val="24"/>
          <w:highlight w:val="none"/>
        </w:rPr>
      </w:pPr>
      <w:bookmarkStart w:id="23" w:name="_Toc29324"/>
      <w:bookmarkStart w:id="24" w:name="_Toc14629"/>
      <w:r>
        <w:rPr>
          <w:rFonts w:hint="eastAsia" w:ascii="宋体" w:hAnsi="宋体" w:eastAsia="宋体" w:cs="宋体"/>
          <w:color w:val="auto"/>
          <w:spacing w:val="0"/>
          <w:position w:val="0"/>
          <w:szCs w:val="24"/>
          <w:highlight w:val="none"/>
        </w:rPr>
        <w:t>六、成交结果及合同授予</w:t>
      </w:r>
      <w:bookmarkEnd w:id="23"/>
      <w:bookmarkEnd w:id="24"/>
    </w:p>
    <w:p w14:paraId="7B2A9BA3">
      <w:pPr>
        <w:pageBreakBefore w:val="0"/>
        <w:kinsoku/>
        <w:wordWrap/>
        <w:overflowPunct/>
        <w:topLinePunct w:val="0"/>
        <w:bidi w:val="0"/>
        <w:adjustRightInd w:val="0"/>
        <w:snapToGrid w:val="0"/>
        <w:spacing w:line="440" w:lineRule="exact"/>
        <w:ind w:left="0" w:right="0" w:rightChars="0"/>
        <w:textAlignment w:val="auto"/>
        <w:rPr>
          <w:rFonts w:hint="eastAsia" w:ascii="宋体" w:hAnsi="宋体" w:eastAsia="宋体" w:cs="宋体"/>
          <w:b/>
          <w:bCs/>
          <w:color w:val="auto"/>
          <w:spacing w:val="0"/>
          <w:position w:val="0"/>
          <w:sz w:val="24"/>
          <w:highlight w:val="none"/>
        </w:rPr>
      </w:pPr>
      <w:r>
        <w:rPr>
          <w:rFonts w:hint="eastAsia" w:ascii="宋体" w:hAnsi="宋体" w:eastAsia="宋体" w:cs="宋体"/>
          <w:b/>
          <w:bCs/>
          <w:color w:val="auto"/>
          <w:spacing w:val="0"/>
          <w:position w:val="0"/>
          <w:sz w:val="24"/>
          <w:highlight w:val="none"/>
        </w:rPr>
        <w:t>6.1成交结果</w:t>
      </w:r>
    </w:p>
    <w:p w14:paraId="73975260">
      <w:pPr>
        <w:pStyle w:val="23"/>
        <w:pageBreakBefore w:val="0"/>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磋商结束后，成交结果信息将在</w:t>
      </w:r>
      <w:r>
        <w:rPr>
          <w:rFonts w:hint="eastAsia" w:ascii="宋体" w:hAnsi="宋体" w:eastAsia="宋体" w:cs="宋体"/>
          <w:b/>
          <w:color w:val="auto"/>
          <w:spacing w:val="0"/>
          <w:position w:val="0"/>
          <w:sz w:val="24"/>
          <w:szCs w:val="24"/>
          <w:highlight w:val="none"/>
        </w:rPr>
        <w:t>磋商须知前附表</w:t>
      </w:r>
      <w:r>
        <w:rPr>
          <w:rFonts w:hint="eastAsia" w:ascii="宋体" w:hAnsi="宋体" w:eastAsia="宋体" w:cs="宋体"/>
          <w:color w:val="auto"/>
          <w:spacing w:val="0"/>
          <w:position w:val="0"/>
          <w:sz w:val="24"/>
          <w:szCs w:val="24"/>
          <w:highlight w:val="none"/>
        </w:rPr>
        <w:t>规定的媒体上公布。</w:t>
      </w:r>
      <w:r>
        <w:rPr>
          <w:rFonts w:hint="eastAsia" w:ascii="宋体" w:hAnsi="宋体" w:eastAsia="宋体" w:cs="宋体"/>
          <w:color w:val="auto"/>
          <w:spacing w:val="0"/>
          <w:position w:val="0"/>
          <w:sz w:val="24"/>
          <w:szCs w:val="24"/>
          <w:highlight w:val="none"/>
          <w:lang w:val="zh-CN"/>
        </w:rPr>
        <w:t>同时向成交供应商发出成交通知书，该通知书将是合同的组成部分。</w:t>
      </w:r>
    </w:p>
    <w:p w14:paraId="4B0C43F0">
      <w:pPr>
        <w:pageBreakBefore w:val="0"/>
        <w:kinsoku/>
        <w:wordWrap/>
        <w:overflowPunct/>
        <w:topLinePunct w:val="0"/>
        <w:bidi w:val="0"/>
        <w:adjustRightInd w:val="0"/>
        <w:snapToGrid w:val="0"/>
        <w:spacing w:line="440" w:lineRule="exact"/>
        <w:ind w:left="0" w:right="0" w:rightChars="0"/>
        <w:textAlignment w:val="auto"/>
        <w:rPr>
          <w:rFonts w:hint="eastAsia" w:ascii="宋体" w:hAnsi="宋体" w:eastAsia="宋体" w:cs="宋体"/>
          <w:b/>
          <w:bCs/>
          <w:color w:val="auto"/>
          <w:spacing w:val="0"/>
          <w:position w:val="0"/>
          <w:sz w:val="24"/>
          <w:highlight w:val="none"/>
        </w:rPr>
      </w:pPr>
      <w:r>
        <w:rPr>
          <w:rFonts w:hint="eastAsia" w:ascii="宋体" w:hAnsi="宋体" w:eastAsia="宋体" w:cs="宋体"/>
          <w:b/>
          <w:bCs/>
          <w:color w:val="auto"/>
          <w:spacing w:val="0"/>
          <w:position w:val="0"/>
          <w:sz w:val="24"/>
          <w:highlight w:val="none"/>
        </w:rPr>
        <w:t>6.2签订合同</w:t>
      </w:r>
    </w:p>
    <w:p w14:paraId="704A4AD0">
      <w:pPr>
        <w:pageBreakBefore w:val="0"/>
        <w:kinsoku/>
        <w:wordWrap/>
        <w:overflowPunct/>
        <w:topLinePunct w:val="0"/>
        <w:autoSpaceDE w:val="0"/>
        <w:autoSpaceDN w:val="0"/>
        <w:bidi w:val="0"/>
        <w:adjustRightInd w:val="0"/>
        <w:spacing w:line="440" w:lineRule="exact"/>
        <w:ind w:left="0" w:right="0" w:rightChars="0" w:firstLine="480" w:firstLineChars="200"/>
        <w:textAlignment w:val="auto"/>
        <w:rPr>
          <w:rFonts w:hint="eastAsia" w:ascii="宋体" w:hAnsi="宋体" w:eastAsia="宋体" w:cs="宋体"/>
          <w:color w:val="auto"/>
          <w:spacing w:val="0"/>
          <w:position w:val="0"/>
          <w:sz w:val="24"/>
          <w:highlight w:val="none"/>
          <w:lang w:val="zh-CN"/>
        </w:rPr>
      </w:pPr>
      <w:r>
        <w:rPr>
          <w:rFonts w:hint="eastAsia" w:ascii="宋体" w:hAnsi="宋体" w:eastAsia="宋体" w:cs="宋体"/>
          <w:color w:val="auto"/>
          <w:spacing w:val="0"/>
          <w:position w:val="0"/>
          <w:sz w:val="24"/>
          <w:highlight w:val="none"/>
          <w:lang w:val="zh-CN"/>
        </w:rPr>
        <w:t>6.2.1 成交供应商应按成交通知书规定的时间、地点与采购人签订书面合同。</w:t>
      </w:r>
    </w:p>
    <w:p w14:paraId="4CDB13E9">
      <w:pPr>
        <w:pageBreakBefore w:val="0"/>
        <w:kinsoku/>
        <w:wordWrap/>
        <w:overflowPunct/>
        <w:topLinePunct w:val="0"/>
        <w:autoSpaceDE w:val="0"/>
        <w:autoSpaceDN w:val="0"/>
        <w:bidi w:val="0"/>
        <w:adjustRightInd w:val="0"/>
        <w:spacing w:line="440" w:lineRule="exact"/>
        <w:ind w:left="0" w:right="0" w:rightChars="0" w:firstLine="480" w:firstLineChars="200"/>
        <w:textAlignment w:val="auto"/>
        <w:rPr>
          <w:rFonts w:hint="eastAsia" w:ascii="宋体" w:hAnsi="宋体" w:eastAsia="宋体" w:cs="宋体"/>
          <w:color w:val="auto"/>
          <w:spacing w:val="0"/>
          <w:position w:val="0"/>
          <w:sz w:val="24"/>
          <w:highlight w:val="none"/>
          <w:lang w:val="zh-CN"/>
        </w:rPr>
      </w:pPr>
      <w:r>
        <w:rPr>
          <w:rFonts w:hint="eastAsia" w:ascii="宋体" w:hAnsi="宋体" w:eastAsia="宋体" w:cs="宋体"/>
          <w:color w:val="auto"/>
          <w:spacing w:val="0"/>
          <w:position w:val="0"/>
          <w:sz w:val="24"/>
          <w:highlight w:val="none"/>
          <w:lang w:val="zh-CN"/>
        </w:rPr>
        <w:t xml:space="preserve">6.2.2 </w:t>
      </w:r>
      <w:r>
        <w:rPr>
          <w:rFonts w:hint="eastAsia" w:ascii="宋体" w:hAnsi="宋体" w:eastAsia="宋体" w:cs="宋体"/>
          <w:color w:val="auto"/>
          <w:spacing w:val="0"/>
          <w:position w:val="0"/>
          <w:sz w:val="24"/>
          <w:highlight w:val="none"/>
        </w:rPr>
        <w:t>成交供应商因不可抗力或者自身原因拒绝与采购人签订合同，或不能履行合同的。采购人可以按照评审报告推荐的成交候选供应商名单排序，确定下一候选供应商为成交供应商，也可以重新开展政府采购活动。</w:t>
      </w:r>
    </w:p>
    <w:p w14:paraId="20616A0C">
      <w:pPr>
        <w:pageBreakBefore w:val="0"/>
        <w:kinsoku/>
        <w:wordWrap/>
        <w:overflowPunct/>
        <w:topLinePunct w:val="0"/>
        <w:bidi w:val="0"/>
        <w:spacing w:line="440" w:lineRule="exact"/>
        <w:ind w:left="0" w:right="0" w:rightChars="0" w:firstLine="480" w:firstLineChars="200"/>
        <w:textAlignment w:val="auto"/>
        <w:rPr>
          <w:rFonts w:hint="eastAsia" w:ascii="宋体" w:hAnsi="宋体" w:eastAsia="宋体" w:cs="宋体"/>
          <w:bCs/>
          <w:color w:val="auto"/>
          <w:spacing w:val="0"/>
          <w:position w:val="0"/>
          <w:sz w:val="24"/>
          <w:highlight w:val="none"/>
        </w:rPr>
      </w:pPr>
      <w:r>
        <w:rPr>
          <w:rFonts w:hint="eastAsia" w:ascii="宋体" w:hAnsi="宋体" w:eastAsia="宋体" w:cs="宋体"/>
          <w:bCs/>
          <w:color w:val="auto"/>
          <w:spacing w:val="0"/>
          <w:position w:val="0"/>
          <w:sz w:val="24"/>
          <w:highlight w:val="none"/>
        </w:rPr>
        <w:t>6.2.3政府采购合同履行中，采购人需追加与合同标的相同的工程的，在不改变合同其他条款的前提下，可以与成交供应商协商签订补充合同，但所有补充合同的采购金额不得超过原合同采购金额的百分之十。</w:t>
      </w:r>
    </w:p>
    <w:p w14:paraId="62A56812">
      <w:pPr>
        <w:pStyle w:val="3"/>
        <w:pageBreakBefore w:val="0"/>
        <w:kinsoku/>
        <w:wordWrap/>
        <w:overflowPunct/>
        <w:topLinePunct w:val="0"/>
        <w:bidi w:val="0"/>
        <w:spacing w:line="440" w:lineRule="exact"/>
        <w:ind w:left="0" w:right="0" w:rightChars="0"/>
        <w:jc w:val="center"/>
        <w:textAlignment w:val="auto"/>
        <w:rPr>
          <w:rFonts w:hint="eastAsia" w:ascii="宋体" w:hAnsi="宋体" w:eastAsia="宋体" w:cs="宋体"/>
          <w:color w:val="auto"/>
          <w:spacing w:val="0"/>
          <w:position w:val="0"/>
          <w:szCs w:val="24"/>
          <w:highlight w:val="none"/>
        </w:rPr>
      </w:pPr>
      <w:bookmarkStart w:id="25" w:name="_Toc3894"/>
      <w:bookmarkStart w:id="26" w:name="_Toc9201"/>
      <w:r>
        <w:rPr>
          <w:rFonts w:hint="eastAsia" w:ascii="宋体" w:hAnsi="宋体" w:eastAsia="宋体" w:cs="宋体"/>
          <w:color w:val="auto"/>
          <w:spacing w:val="0"/>
          <w:position w:val="0"/>
          <w:szCs w:val="24"/>
          <w:highlight w:val="none"/>
        </w:rPr>
        <w:t>七、质疑与投诉</w:t>
      </w:r>
      <w:bookmarkEnd w:id="25"/>
      <w:bookmarkEnd w:id="26"/>
    </w:p>
    <w:p w14:paraId="67CE2766">
      <w:pPr>
        <w:pageBreakBefore w:val="0"/>
        <w:kinsoku/>
        <w:wordWrap/>
        <w:overflowPunct/>
        <w:topLinePunct w:val="0"/>
        <w:bidi w:val="0"/>
        <w:adjustRightInd w:val="0"/>
        <w:snapToGrid w:val="0"/>
        <w:spacing w:line="440" w:lineRule="exact"/>
        <w:ind w:left="0" w:right="0" w:rightChars="0" w:firstLine="480" w:firstLineChars="200"/>
        <w:jc w:val="left"/>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7.1 供应商认为采购文件、采购过程、中标或者成交结果使自己的权益受到损害的，可以在知道或者应知其权益受到损害之日起7个工作日内，以书面形式向采购人、采购代理机构提出质疑。</w:t>
      </w:r>
    </w:p>
    <w:p w14:paraId="5A1D8C2E">
      <w:pPr>
        <w:pageBreakBefore w:val="0"/>
        <w:kinsoku/>
        <w:wordWrap/>
        <w:overflowPunct/>
        <w:topLinePunct w:val="0"/>
        <w:bidi w:val="0"/>
        <w:adjustRightInd w:val="0"/>
        <w:snapToGrid w:val="0"/>
        <w:spacing w:line="440" w:lineRule="exact"/>
        <w:ind w:left="0" w:right="0" w:rightChars="0" w:firstLine="480" w:firstLineChars="200"/>
        <w:jc w:val="left"/>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7.2供应商若认为磋商文件、磋商过程和成交结果使自己的权益受到损害，应在以下规定时间内以书面形式向采购机构提出：</w:t>
      </w:r>
    </w:p>
    <w:p w14:paraId="4348602E">
      <w:pPr>
        <w:pageBreakBefore w:val="0"/>
        <w:kinsoku/>
        <w:wordWrap/>
        <w:overflowPunct/>
        <w:topLinePunct w:val="0"/>
        <w:bidi w:val="0"/>
        <w:adjustRightInd w:val="0"/>
        <w:snapToGrid w:val="0"/>
        <w:spacing w:line="440" w:lineRule="exact"/>
        <w:ind w:left="0" w:right="0" w:rightChars="0" w:firstLine="480" w:firstLineChars="200"/>
        <w:jc w:val="left"/>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（1）对可以质疑的磋商文件提出质疑的，应当自收到磋商文件之日或者磋商文件公告期限届满之日起七个工作日内；</w:t>
      </w:r>
    </w:p>
    <w:p w14:paraId="743122A9">
      <w:pPr>
        <w:pageBreakBefore w:val="0"/>
        <w:kinsoku/>
        <w:wordWrap/>
        <w:overflowPunct/>
        <w:topLinePunct w:val="0"/>
        <w:bidi w:val="0"/>
        <w:adjustRightInd w:val="0"/>
        <w:snapToGrid w:val="0"/>
        <w:spacing w:line="440" w:lineRule="exact"/>
        <w:ind w:left="0" w:right="0" w:rightChars="0" w:firstLine="480" w:firstLineChars="200"/>
        <w:jc w:val="left"/>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（2）对磋商过程提出质疑的，应当在各磋商程序环节结束之日起七个工作日内；</w:t>
      </w:r>
    </w:p>
    <w:p w14:paraId="272AB08D">
      <w:pPr>
        <w:pageBreakBefore w:val="0"/>
        <w:kinsoku/>
        <w:wordWrap/>
        <w:overflowPunct/>
        <w:topLinePunct w:val="0"/>
        <w:bidi w:val="0"/>
        <w:adjustRightInd w:val="0"/>
        <w:snapToGrid w:val="0"/>
        <w:spacing w:line="440" w:lineRule="exact"/>
        <w:ind w:left="0" w:right="0" w:rightChars="0" w:firstLine="480" w:firstLineChars="200"/>
        <w:jc w:val="left"/>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（3）对成交结果提出质疑的，应当在成交结果公告期限届满之日起七个工作日内提出；</w:t>
      </w:r>
    </w:p>
    <w:p w14:paraId="4D4330F1">
      <w:pPr>
        <w:pageBreakBefore w:val="0"/>
        <w:kinsoku/>
        <w:wordWrap/>
        <w:overflowPunct/>
        <w:topLinePunct w:val="0"/>
        <w:bidi w:val="0"/>
        <w:adjustRightInd w:val="0"/>
        <w:snapToGrid w:val="0"/>
        <w:spacing w:line="440" w:lineRule="exact"/>
        <w:ind w:left="0" w:right="0" w:rightChars="0" w:firstLine="480" w:firstLineChars="200"/>
        <w:jc w:val="left"/>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（4）磋商文件或法律法规规定的其他时间内。</w:t>
      </w:r>
    </w:p>
    <w:p w14:paraId="25706A68">
      <w:pPr>
        <w:pageBreakBefore w:val="0"/>
        <w:kinsoku/>
        <w:wordWrap/>
        <w:overflowPunct/>
        <w:topLinePunct w:val="0"/>
        <w:bidi w:val="0"/>
        <w:adjustRightInd w:val="0"/>
        <w:snapToGrid w:val="0"/>
        <w:spacing w:line="440" w:lineRule="exact"/>
        <w:ind w:left="0" w:right="0" w:rightChars="0" w:firstLine="480" w:firstLineChars="200"/>
        <w:jc w:val="left"/>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7.3 供应商提出质疑的，应当有明确的请求和必要的证明材料，并提供质疑书原件。招标采购单位向质疑供应商签收回执。</w:t>
      </w:r>
    </w:p>
    <w:p w14:paraId="23501DA8">
      <w:pPr>
        <w:pageBreakBefore w:val="0"/>
        <w:kinsoku/>
        <w:wordWrap/>
        <w:overflowPunct/>
        <w:topLinePunct w:val="0"/>
        <w:bidi w:val="0"/>
        <w:adjustRightInd w:val="0"/>
        <w:snapToGrid w:val="0"/>
        <w:spacing w:line="440" w:lineRule="exact"/>
        <w:ind w:left="0" w:right="0" w:rightChars="0" w:firstLine="480" w:firstLineChars="200"/>
        <w:jc w:val="left"/>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7.4 质疑书应当由质疑供应商法定代表人或授权代表人签字并加盖公章，质疑书由授权代表人签字的应附法定代表人授权书。</w:t>
      </w:r>
    </w:p>
    <w:p w14:paraId="3F544C26">
      <w:pPr>
        <w:pageBreakBefore w:val="0"/>
        <w:kinsoku/>
        <w:wordWrap/>
        <w:overflowPunct/>
        <w:topLinePunct w:val="0"/>
        <w:bidi w:val="0"/>
        <w:adjustRightInd w:val="0"/>
        <w:snapToGrid w:val="0"/>
        <w:spacing w:line="440" w:lineRule="exact"/>
        <w:ind w:left="0" w:right="0" w:rightChars="0" w:firstLine="480" w:firstLineChars="200"/>
        <w:jc w:val="left"/>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7.5 采购机构将在签收回执之日起七个工作日内作出书面答复，并以书面形式通知与质疑处理结果有关的供应商。</w:t>
      </w:r>
    </w:p>
    <w:p w14:paraId="3AA25620">
      <w:pPr>
        <w:pageBreakBefore w:val="0"/>
        <w:kinsoku/>
        <w:wordWrap/>
        <w:overflowPunct/>
        <w:topLinePunct w:val="0"/>
        <w:bidi w:val="0"/>
        <w:adjustRightInd w:val="0"/>
        <w:snapToGrid w:val="0"/>
        <w:spacing w:line="440" w:lineRule="exact"/>
        <w:ind w:left="0" w:right="0" w:rightChars="0" w:firstLine="480" w:firstLineChars="200"/>
        <w:jc w:val="left"/>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7.6 供应商对采购机构的答复不满意，或采购机构未在规定的期限作出答复的，可在答复期满后十五个工作日内，按政府采购相关法律法规规章的规定及程序，向相关行政监督部门提出投诉，投诉的事项不得超出已质疑事项的范围。</w:t>
      </w:r>
    </w:p>
    <w:p w14:paraId="3577BBAA">
      <w:pPr>
        <w:pStyle w:val="3"/>
        <w:pageBreakBefore w:val="0"/>
        <w:kinsoku/>
        <w:wordWrap/>
        <w:overflowPunct/>
        <w:topLinePunct w:val="0"/>
        <w:bidi w:val="0"/>
        <w:spacing w:line="440" w:lineRule="exact"/>
        <w:ind w:left="0" w:right="0" w:rightChars="0"/>
        <w:jc w:val="center"/>
        <w:textAlignment w:val="auto"/>
        <w:rPr>
          <w:rFonts w:hint="eastAsia" w:ascii="宋体" w:hAnsi="宋体" w:eastAsia="宋体" w:cs="宋体"/>
          <w:color w:val="auto"/>
          <w:spacing w:val="0"/>
          <w:position w:val="0"/>
          <w:szCs w:val="24"/>
          <w:highlight w:val="none"/>
        </w:rPr>
      </w:pPr>
      <w:bookmarkStart w:id="27" w:name="_Toc5399"/>
      <w:bookmarkStart w:id="28" w:name="_Toc15522"/>
      <w:r>
        <w:rPr>
          <w:rFonts w:hint="eastAsia" w:ascii="宋体" w:hAnsi="宋体" w:eastAsia="宋体" w:cs="宋体"/>
          <w:color w:val="auto"/>
          <w:spacing w:val="0"/>
          <w:position w:val="0"/>
          <w:szCs w:val="24"/>
          <w:highlight w:val="none"/>
        </w:rPr>
        <w:t>八、其他规定</w:t>
      </w:r>
      <w:bookmarkEnd w:id="27"/>
      <w:bookmarkEnd w:id="28"/>
    </w:p>
    <w:p w14:paraId="091CDCF4">
      <w:pPr>
        <w:pageBreakBefore w:val="0"/>
        <w:tabs>
          <w:tab w:val="left" w:pos="420"/>
          <w:tab w:val="left" w:pos="7560"/>
          <w:tab w:val="left" w:pos="7740"/>
          <w:tab w:val="left" w:pos="7920"/>
        </w:tabs>
        <w:kinsoku/>
        <w:wordWrap/>
        <w:overflowPunct/>
        <w:topLinePunct w:val="0"/>
        <w:bidi w:val="0"/>
        <w:adjustRightInd w:val="0"/>
        <w:snapToGrid w:val="0"/>
        <w:spacing w:line="440" w:lineRule="exact"/>
        <w:ind w:left="0" w:right="0" w:rightChars="0" w:firstLine="480" w:firstLineChars="200"/>
        <w:textAlignment w:val="auto"/>
        <w:rPr>
          <w:rFonts w:hint="eastAsia" w:ascii="宋体" w:hAnsi="宋体" w:eastAsia="宋体" w:cs="宋体"/>
          <w:b/>
          <w:color w:val="auto"/>
          <w:spacing w:val="0"/>
          <w:position w:val="0"/>
          <w:sz w:val="24"/>
          <w:highlight w:val="none"/>
        </w:rPr>
      </w:pPr>
      <w:r>
        <w:rPr>
          <w:rFonts w:hint="eastAsia" w:ascii="宋体" w:hAnsi="宋体" w:eastAsia="宋体" w:cs="宋体"/>
          <w:color w:val="auto"/>
          <w:spacing w:val="0"/>
          <w:position w:val="0"/>
          <w:sz w:val="24"/>
          <w:highlight w:val="none"/>
        </w:rPr>
        <w:t>磋商文件的其他规定见</w:t>
      </w:r>
      <w:r>
        <w:rPr>
          <w:rFonts w:hint="eastAsia" w:ascii="宋体" w:hAnsi="宋体" w:eastAsia="宋体" w:cs="宋体"/>
          <w:b/>
          <w:color w:val="auto"/>
          <w:spacing w:val="0"/>
          <w:position w:val="0"/>
          <w:sz w:val="24"/>
          <w:highlight w:val="none"/>
        </w:rPr>
        <w:t>磋商须知前附</w:t>
      </w:r>
    </w:p>
    <w:p w14:paraId="3B7874E7">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br w:type="page"/>
      </w:r>
    </w:p>
    <w:p w14:paraId="0ACD8515">
      <w:pPr>
        <w:pStyle w:val="2"/>
        <w:kinsoku/>
        <w:wordWrap/>
        <w:overflowPunct/>
        <w:bidi w:val="0"/>
        <w:rPr>
          <w:rFonts w:hint="eastAsia" w:ascii="宋体" w:hAnsi="宋体" w:eastAsia="宋体" w:cs="宋体"/>
          <w:color w:val="auto"/>
          <w:sz w:val="28"/>
          <w:szCs w:val="28"/>
          <w:highlight w:val="none"/>
          <w:lang w:val="en-US" w:eastAsia="zh-CN"/>
        </w:rPr>
      </w:pPr>
      <w:bookmarkStart w:id="29" w:name="_Toc9570"/>
      <w:r>
        <w:rPr>
          <w:rFonts w:hint="eastAsia" w:ascii="宋体" w:hAnsi="宋体" w:eastAsia="宋体" w:cs="宋体"/>
          <w:color w:val="auto"/>
          <w:sz w:val="28"/>
          <w:szCs w:val="28"/>
          <w:highlight w:val="none"/>
          <w:lang w:val="en-US" w:eastAsia="zh-CN"/>
        </w:rPr>
        <w:t>第三章</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评审方法（综合评分法）</w:t>
      </w:r>
      <w:bookmarkEnd w:id="29"/>
    </w:p>
    <w:p w14:paraId="629EEA38">
      <w:pPr>
        <w:tabs>
          <w:tab w:val="left" w:pos="420"/>
          <w:tab w:val="left" w:pos="7560"/>
          <w:tab w:val="left" w:pos="7740"/>
          <w:tab w:val="left" w:pos="7920"/>
        </w:tabs>
        <w:kinsoku/>
        <w:wordWrap/>
        <w:overflowPunct/>
        <w:bidi w:val="0"/>
        <w:adjustRightInd w:val="0"/>
        <w:snapToGrid w:val="0"/>
        <w:spacing w:line="360" w:lineRule="exact"/>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一、综合评分</w:t>
      </w:r>
    </w:p>
    <w:p w14:paraId="45925BB7">
      <w:pPr>
        <w:kinsoku/>
        <w:wordWrap/>
        <w:overflowPunct/>
        <w:bidi w:val="0"/>
        <w:spacing w:line="360" w:lineRule="auto"/>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1.经磋商确定最终采购需求和提交最后报价的供应商后，由磋商小组采用综合评分法对提交最后报价的供应商的响应文件和最后报价进行综合评分。</w:t>
      </w:r>
    </w:p>
    <w:p w14:paraId="32F711CF">
      <w:pPr>
        <w:kinsoku/>
        <w:wordWrap/>
        <w:overflowPunct/>
        <w:bidi w:val="0"/>
        <w:spacing w:line="360" w:lineRule="auto"/>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综合评分法，是指响应文件满足磋商文件全部实质性要求且按评审因素的量化指标评审得分最高的供应商为成交候选供应商的评审方法。</w:t>
      </w:r>
    </w:p>
    <w:p w14:paraId="2B6FC9D1">
      <w:pPr>
        <w:kinsoku/>
        <w:wordWrap/>
        <w:overflowPunct/>
        <w:bidi w:val="0"/>
        <w:spacing w:line="360" w:lineRule="auto"/>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2.评审时，磋商小组各成员应当独立对每个有效响应的文件进行评价、打分，然后汇总每个供应商每项评分因素的得分。</w:t>
      </w:r>
    </w:p>
    <w:p w14:paraId="385BB6D4">
      <w:pPr>
        <w:kinsoku/>
        <w:wordWrap/>
        <w:overflowPunct/>
        <w:bidi w:val="0"/>
        <w:spacing w:line="360" w:lineRule="auto"/>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14:paraId="49BFE803">
      <w:pPr>
        <w:pStyle w:val="17"/>
        <w:kinsoku/>
        <w:wordWrap/>
        <w:overflowPunct/>
        <w:bidi w:val="0"/>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pacing w:val="0"/>
          <w:position w:val="0"/>
          <w:sz w:val="24"/>
          <w:szCs w:val="24"/>
          <w:highlight w:val="none"/>
          <w:lang w:val="en-US" w:eastAsia="zh-CN"/>
        </w:rPr>
        <w:t>4.最低价不是中标的唯一标准。</w:t>
      </w:r>
    </w:p>
    <w:p w14:paraId="21472023">
      <w:pPr>
        <w:kinsoku/>
        <w:wordWrap/>
        <w:overflowPunct/>
        <w:bidi w:val="0"/>
        <w:spacing w:line="36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二.综合评分细则表</w:t>
      </w:r>
      <w:r>
        <w:rPr>
          <w:rFonts w:hint="eastAsia" w:ascii="宋体" w:hAnsi="宋体" w:cs="宋体"/>
          <w:b/>
          <w:color w:val="auto"/>
          <w:spacing w:val="0"/>
          <w:position w:val="0"/>
          <w:sz w:val="24"/>
          <w:highlight w:val="none"/>
          <w:lang w:eastAsia="zh-CN"/>
        </w:rPr>
        <w:t>（一标段、二标段）</w:t>
      </w:r>
    </w:p>
    <w:tbl>
      <w:tblPr>
        <w:tblStyle w:val="39"/>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3"/>
        <w:gridCol w:w="807"/>
        <w:gridCol w:w="1986"/>
        <w:gridCol w:w="5625"/>
        <w:gridCol w:w="460"/>
        <w:gridCol w:w="569"/>
      </w:tblGrid>
      <w:tr w14:paraId="5EE29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50" w:type="dxa"/>
            <w:gridSpan w:val="2"/>
            <w:vMerge w:val="restart"/>
            <w:noWrap w:val="0"/>
            <w:vAlign w:val="center"/>
          </w:tcPr>
          <w:p w14:paraId="7B7346E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color w:val="auto"/>
                <w:spacing w:val="0"/>
                <w:position w:val="0"/>
                <w:sz w:val="24"/>
                <w:szCs w:val="24"/>
                <w:highlight w:val="none"/>
              </w:rPr>
            </w:pPr>
            <w:bookmarkStart w:id="30" w:name="EBf97f626d7f2349dc98726a51f37130cf"/>
            <w:r>
              <w:rPr>
                <w:rFonts w:hint="eastAsia" w:ascii="宋体" w:hAnsi="宋体" w:eastAsia="宋体" w:cs="宋体"/>
                <w:b/>
                <w:color w:val="auto"/>
                <w:spacing w:val="0"/>
                <w:position w:val="0"/>
                <w:sz w:val="24"/>
                <w:szCs w:val="24"/>
                <w:highlight w:val="none"/>
              </w:rPr>
              <w:t>评分因素</w:t>
            </w:r>
          </w:p>
        </w:tc>
        <w:tc>
          <w:tcPr>
            <w:tcW w:w="1986" w:type="dxa"/>
            <w:vMerge w:val="restart"/>
            <w:noWrap w:val="0"/>
            <w:vAlign w:val="center"/>
          </w:tcPr>
          <w:p w14:paraId="5045EE3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评分点</w:t>
            </w:r>
          </w:p>
        </w:tc>
        <w:tc>
          <w:tcPr>
            <w:tcW w:w="5625" w:type="dxa"/>
            <w:vMerge w:val="restart"/>
            <w:noWrap w:val="0"/>
            <w:vAlign w:val="center"/>
          </w:tcPr>
          <w:p w14:paraId="6654F19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评分标准</w:t>
            </w:r>
          </w:p>
        </w:tc>
        <w:tc>
          <w:tcPr>
            <w:tcW w:w="1029" w:type="dxa"/>
            <w:gridSpan w:val="2"/>
            <w:noWrap w:val="0"/>
            <w:vAlign w:val="center"/>
          </w:tcPr>
          <w:p w14:paraId="21E120A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评审意见</w:t>
            </w:r>
          </w:p>
        </w:tc>
      </w:tr>
      <w:tr w14:paraId="2C75D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50" w:type="dxa"/>
            <w:gridSpan w:val="2"/>
            <w:vMerge w:val="continue"/>
            <w:noWrap w:val="0"/>
            <w:vAlign w:val="center"/>
          </w:tcPr>
          <w:p w14:paraId="33CF071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color w:val="auto"/>
                <w:spacing w:val="0"/>
                <w:position w:val="0"/>
                <w:sz w:val="24"/>
                <w:szCs w:val="24"/>
                <w:highlight w:val="none"/>
              </w:rPr>
            </w:pPr>
          </w:p>
        </w:tc>
        <w:tc>
          <w:tcPr>
            <w:tcW w:w="1986" w:type="dxa"/>
            <w:vMerge w:val="continue"/>
            <w:noWrap w:val="0"/>
            <w:vAlign w:val="center"/>
          </w:tcPr>
          <w:p w14:paraId="6C0C89F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color w:val="auto"/>
                <w:spacing w:val="0"/>
                <w:position w:val="0"/>
                <w:sz w:val="24"/>
                <w:szCs w:val="24"/>
                <w:highlight w:val="none"/>
              </w:rPr>
            </w:pPr>
          </w:p>
        </w:tc>
        <w:tc>
          <w:tcPr>
            <w:tcW w:w="5625" w:type="dxa"/>
            <w:vMerge w:val="continue"/>
            <w:noWrap w:val="0"/>
            <w:vAlign w:val="center"/>
          </w:tcPr>
          <w:p w14:paraId="450014C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color w:val="auto"/>
                <w:spacing w:val="0"/>
                <w:position w:val="0"/>
                <w:sz w:val="24"/>
                <w:szCs w:val="24"/>
                <w:highlight w:val="none"/>
              </w:rPr>
            </w:pPr>
          </w:p>
        </w:tc>
        <w:tc>
          <w:tcPr>
            <w:tcW w:w="460" w:type="dxa"/>
            <w:noWrap w:val="0"/>
            <w:vAlign w:val="center"/>
          </w:tcPr>
          <w:p w14:paraId="1B3521E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是</w:t>
            </w:r>
          </w:p>
        </w:tc>
        <w:tc>
          <w:tcPr>
            <w:tcW w:w="569" w:type="dxa"/>
            <w:noWrap w:val="0"/>
            <w:vAlign w:val="center"/>
          </w:tcPr>
          <w:p w14:paraId="6A23581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否</w:t>
            </w:r>
          </w:p>
        </w:tc>
      </w:tr>
      <w:tr w14:paraId="2951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3" w:type="dxa"/>
            <w:vMerge w:val="restart"/>
            <w:noWrap w:val="0"/>
            <w:vAlign w:val="center"/>
          </w:tcPr>
          <w:p w14:paraId="04101DA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初步评审</w:t>
            </w:r>
          </w:p>
        </w:tc>
        <w:tc>
          <w:tcPr>
            <w:tcW w:w="807" w:type="dxa"/>
            <w:vMerge w:val="restart"/>
            <w:noWrap w:val="0"/>
            <w:vAlign w:val="center"/>
          </w:tcPr>
          <w:p w14:paraId="0A0D438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符合性审查</w:t>
            </w:r>
          </w:p>
        </w:tc>
        <w:tc>
          <w:tcPr>
            <w:tcW w:w="1986" w:type="dxa"/>
            <w:noWrap w:val="0"/>
            <w:vAlign w:val="center"/>
          </w:tcPr>
          <w:p w14:paraId="606B427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工期、质量标准</w:t>
            </w:r>
          </w:p>
        </w:tc>
        <w:tc>
          <w:tcPr>
            <w:tcW w:w="5625" w:type="dxa"/>
            <w:noWrap w:val="0"/>
            <w:vAlign w:val="center"/>
          </w:tcPr>
          <w:p w14:paraId="31C4598E">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响应文件</w:t>
            </w:r>
            <w:r>
              <w:rPr>
                <w:rFonts w:hint="eastAsia" w:ascii="宋体" w:hAnsi="宋体" w:eastAsia="宋体" w:cs="宋体"/>
                <w:color w:val="auto"/>
                <w:spacing w:val="0"/>
                <w:position w:val="0"/>
                <w:sz w:val="24"/>
                <w:szCs w:val="24"/>
                <w:highlight w:val="none"/>
              </w:rPr>
              <w:t>中所报工期、质量标准</w:t>
            </w:r>
            <w:r>
              <w:rPr>
                <w:rFonts w:hint="eastAsia" w:ascii="宋体" w:hAnsi="宋体" w:eastAsia="宋体" w:cs="宋体"/>
                <w:color w:val="auto"/>
                <w:spacing w:val="0"/>
                <w:position w:val="0"/>
                <w:sz w:val="24"/>
                <w:szCs w:val="24"/>
                <w:highlight w:val="none"/>
                <w:lang w:eastAsia="zh-CN"/>
              </w:rPr>
              <w:t>是否</w:t>
            </w:r>
            <w:r>
              <w:rPr>
                <w:rFonts w:hint="eastAsia" w:ascii="宋体" w:hAnsi="宋体" w:eastAsia="宋体" w:cs="宋体"/>
                <w:color w:val="auto"/>
                <w:spacing w:val="0"/>
                <w:position w:val="0"/>
                <w:sz w:val="24"/>
                <w:szCs w:val="24"/>
                <w:highlight w:val="none"/>
              </w:rPr>
              <w:t>要满足</w:t>
            </w:r>
            <w:r>
              <w:rPr>
                <w:rFonts w:hint="eastAsia" w:ascii="宋体" w:hAnsi="宋体" w:eastAsia="宋体" w:cs="宋体"/>
                <w:color w:val="auto"/>
                <w:spacing w:val="0"/>
                <w:position w:val="0"/>
                <w:sz w:val="24"/>
                <w:szCs w:val="24"/>
                <w:highlight w:val="none"/>
                <w:lang w:eastAsia="zh-CN"/>
              </w:rPr>
              <w:t>要求</w:t>
            </w:r>
          </w:p>
        </w:tc>
        <w:tc>
          <w:tcPr>
            <w:tcW w:w="460" w:type="dxa"/>
            <w:noWrap w:val="0"/>
            <w:vAlign w:val="top"/>
          </w:tcPr>
          <w:p w14:paraId="5BCEDEE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569" w:type="dxa"/>
            <w:noWrap w:val="0"/>
            <w:vAlign w:val="center"/>
          </w:tcPr>
          <w:p w14:paraId="1DB2BB5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r>
      <w:tr w14:paraId="160A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3" w:type="dxa"/>
            <w:vMerge w:val="continue"/>
            <w:noWrap w:val="0"/>
            <w:vAlign w:val="top"/>
          </w:tcPr>
          <w:p w14:paraId="569CEE4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pacing w:val="0"/>
                <w:position w:val="0"/>
                <w:sz w:val="24"/>
                <w:szCs w:val="24"/>
                <w:highlight w:val="none"/>
              </w:rPr>
            </w:pPr>
          </w:p>
        </w:tc>
        <w:tc>
          <w:tcPr>
            <w:tcW w:w="807" w:type="dxa"/>
            <w:vMerge w:val="continue"/>
            <w:noWrap w:val="0"/>
            <w:vAlign w:val="center"/>
          </w:tcPr>
          <w:p w14:paraId="53FD0C8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pacing w:val="0"/>
                <w:position w:val="0"/>
                <w:sz w:val="24"/>
                <w:szCs w:val="24"/>
                <w:highlight w:val="none"/>
              </w:rPr>
            </w:pPr>
          </w:p>
        </w:tc>
        <w:tc>
          <w:tcPr>
            <w:tcW w:w="1986" w:type="dxa"/>
            <w:noWrap w:val="0"/>
            <w:vAlign w:val="center"/>
          </w:tcPr>
          <w:p w14:paraId="086528E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响应文件</w:t>
            </w:r>
            <w:r>
              <w:rPr>
                <w:rFonts w:hint="eastAsia" w:ascii="宋体" w:hAnsi="宋体" w:eastAsia="宋体" w:cs="宋体"/>
                <w:color w:val="auto"/>
                <w:spacing w:val="0"/>
                <w:position w:val="0"/>
                <w:sz w:val="24"/>
                <w:szCs w:val="24"/>
                <w:highlight w:val="none"/>
                <w:lang w:eastAsia="zh-CN"/>
              </w:rPr>
              <w:t>及盖章</w:t>
            </w:r>
          </w:p>
        </w:tc>
        <w:tc>
          <w:tcPr>
            <w:tcW w:w="5625" w:type="dxa"/>
            <w:noWrap w:val="0"/>
            <w:vAlign w:val="center"/>
          </w:tcPr>
          <w:p w14:paraId="6AB22D1B">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响应文件是否按规定的格式填写，并要盖供应商章、法定代表人或委托代理人签字或盖章</w:t>
            </w:r>
          </w:p>
        </w:tc>
        <w:tc>
          <w:tcPr>
            <w:tcW w:w="460" w:type="dxa"/>
            <w:noWrap w:val="0"/>
            <w:vAlign w:val="top"/>
          </w:tcPr>
          <w:p w14:paraId="24AC1C4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569" w:type="dxa"/>
            <w:noWrap w:val="0"/>
            <w:vAlign w:val="center"/>
          </w:tcPr>
          <w:p w14:paraId="4A7358F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r>
      <w:tr w14:paraId="33AF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3" w:type="dxa"/>
            <w:vMerge w:val="continue"/>
            <w:noWrap w:val="0"/>
            <w:vAlign w:val="top"/>
          </w:tcPr>
          <w:p w14:paraId="447B19B2">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pacing w:val="0"/>
                <w:position w:val="0"/>
                <w:sz w:val="24"/>
                <w:szCs w:val="24"/>
                <w:highlight w:val="none"/>
              </w:rPr>
            </w:pPr>
          </w:p>
        </w:tc>
        <w:tc>
          <w:tcPr>
            <w:tcW w:w="807" w:type="dxa"/>
            <w:vMerge w:val="continue"/>
            <w:noWrap w:val="0"/>
            <w:vAlign w:val="center"/>
          </w:tcPr>
          <w:p w14:paraId="64238C10">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pacing w:val="0"/>
                <w:position w:val="0"/>
                <w:sz w:val="24"/>
                <w:szCs w:val="24"/>
                <w:highlight w:val="none"/>
              </w:rPr>
            </w:pPr>
          </w:p>
        </w:tc>
        <w:tc>
          <w:tcPr>
            <w:tcW w:w="1986" w:type="dxa"/>
            <w:noWrap w:val="0"/>
            <w:vAlign w:val="center"/>
          </w:tcPr>
          <w:p w14:paraId="0477619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投标有效期</w:t>
            </w:r>
          </w:p>
        </w:tc>
        <w:tc>
          <w:tcPr>
            <w:tcW w:w="5625" w:type="dxa"/>
            <w:noWrap w:val="0"/>
            <w:vAlign w:val="center"/>
          </w:tcPr>
          <w:p w14:paraId="546108CD">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投标有效期是否满足</w:t>
            </w:r>
            <w:r>
              <w:rPr>
                <w:rFonts w:hint="eastAsia" w:ascii="宋体" w:hAnsi="宋体" w:eastAsia="宋体" w:cs="宋体"/>
                <w:color w:val="auto"/>
                <w:spacing w:val="0"/>
                <w:position w:val="0"/>
                <w:sz w:val="24"/>
                <w:szCs w:val="24"/>
                <w:highlight w:val="none"/>
                <w:lang w:eastAsia="zh-CN"/>
              </w:rPr>
              <w:t>磋商</w:t>
            </w:r>
            <w:r>
              <w:rPr>
                <w:rFonts w:hint="eastAsia" w:ascii="宋体" w:hAnsi="宋体" w:eastAsia="宋体" w:cs="宋体"/>
                <w:color w:val="auto"/>
                <w:spacing w:val="0"/>
                <w:position w:val="0"/>
                <w:sz w:val="24"/>
                <w:szCs w:val="24"/>
                <w:highlight w:val="none"/>
              </w:rPr>
              <w:t>文件要求</w:t>
            </w:r>
          </w:p>
        </w:tc>
        <w:tc>
          <w:tcPr>
            <w:tcW w:w="460" w:type="dxa"/>
            <w:noWrap w:val="0"/>
            <w:vAlign w:val="top"/>
          </w:tcPr>
          <w:p w14:paraId="5D9F5F4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569" w:type="dxa"/>
            <w:noWrap w:val="0"/>
            <w:vAlign w:val="center"/>
          </w:tcPr>
          <w:p w14:paraId="0A62E41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r>
      <w:tr w14:paraId="59A9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3" w:type="dxa"/>
            <w:vMerge w:val="continue"/>
            <w:noWrap w:val="0"/>
            <w:vAlign w:val="top"/>
          </w:tcPr>
          <w:p w14:paraId="5900A8D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pacing w:val="0"/>
                <w:position w:val="0"/>
                <w:sz w:val="24"/>
                <w:szCs w:val="24"/>
                <w:highlight w:val="none"/>
              </w:rPr>
            </w:pPr>
          </w:p>
        </w:tc>
        <w:tc>
          <w:tcPr>
            <w:tcW w:w="807" w:type="dxa"/>
            <w:vMerge w:val="continue"/>
            <w:noWrap w:val="0"/>
            <w:vAlign w:val="center"/>
          </w:tcPr>
          <w:p w14:paraId="5CF4EF0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pacing w:val="0"/>
                <w:position w:val="0"/>
                <w:sz w:val="24"/>
                <w:szCs w:val="24"/>
                <w:highlight w:val="none"/>
              </w:rPr>
            </w:pPr>
          </w:p>
        </w:tc>
        <w:tc>
          <w:tcPr>
            <w:tcW w:w="1986" w:type="dxa"/>
            <w:noWrap w:val="0"/>
            <w:vAlign w:val="center"/>
          </w:tcPr>
          <w:p w14:paraId="4F86E30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投标报价</w:t>
            </w:r>
          </w:p>
        </w:tc>
        <w:tc>
          <w:tcPr>
            <w:tcW w:w="5625" w:type="dxa"/>
            <w:noWrap w:val="0"/>
            <w:vAlign w:val="center"/>
          </w:tcPr>
          <w:p w14:paraId="29A50C5D">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投标报价是否超过</w:t>
            </w:r>
            <w:r>
              <w:rPr>
                <w:rFonts w:hint="eastAsia" w:ascii="宋体" w:hAnsi="宋体" w:eastAsia="宋体" w:cs="宋体"/>
                <w:color w:val="auto"/>
                <w:spacing w:val="0"/>
                <w:position w:val="0"/>
                <w:sz w:val="24"/>
                <w:szCs w:val="24"/>
                <w:highlight w:val="none"/>
                <w:lang w:eastAsia="zh-CN"/>
              </w:rPr>
              <w:t>最高限价</w:t>
            </w:r>
          </w:p>
        </w:tc>
        <w:tc>
          <w:tcPr>
            <w:tcW w:w="460" w:type="dxa"/>
            <w:noWrap w:val="0"/>
            <w:vAlign w:val="top"/>
          </w:tcPr>
          <w:p w14:paraId="7686A50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569" w:type="dxa"/>
            <w:noWrap w:val="0"/>
            <w:vAlign w:val="center"/>
          </w:tcPr>
          <w:p w14:paraId="17A668D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r>
      <w:tr w14:paraId="6C93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3" w:type="dxa"/>
            <w:vMerge w:val="continue"/>
            <w:noWrap w:val="0"/>
            <w:vAlign w:val="top"/>
          </w:tcPr>
          <w:p w14:paraId="4841AC90">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pacing w:val="0"/>
                <w:position w:val="0"/>
                <w:sz w:val="24"/>
                <w:szCs w:val="24"/>
                <w:highlight w:val="none"/>
              </w:rPr>
            </w:pPr>
          </w:p>
        </w:tc>
        <w:tc>
          <w:tcPr>
            <w:tcW w:w="807" w:type="dxa"/>
            <w:vMerge w:val="continue"/>
            <w:noWrap w:val="0"/>
            <w:vAlign w:val="center"/>
          </w:tcPr>
          <w:p w14:paraId="6408B74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pacing w:val="0"/>
                <w:position w:val="0"/>
                <w:sz w:val="24"/>
                <w:szCs w:val="24"/>
                <w:highlight w:val="none"/>
              </w:rPr>
            </w:pPr>
          </w:p>
        </w:tc>
        <w:tc>
          <w:tcPr>
            <w:tcW w:w="1986" w:type="dxa"/>
            <w:noWrap w:val="0"/>
            <w:vAlign w:val="center"/>
          </w:tcPr>
          <w:p w14:paraId="18597DB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有效报价</w:t>
            </w:r>
          </w:p>
        </w:tc>
        <w:tc>
          <w:tcPr>
            <w:tcW w:w="5625" w:type="dxa"/>
            <w:noWrap w:val="0"/>
            <w:vAlign w:val="center"/>
          </w:tcPr>
          <w:p w14:paraId="39103EEB">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是否只有一个有效报价，未提交选择性报价</w:t>
            </w:r>
          </w:p>
        </w:tc>
        <w:tc>
          <w:tcPr>
            <w:tcW w:w="460" w:type="dxa"/>
            <w:noWrap w:val="0"/>
            <w:vAlign w:val="top"/>
          </w:tcPr>
          <w:p w14:paraId="5AD783B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569" w:type="dxa"/>
            <w:noWrap w:val="0"/>
            <w:vAlign w:val="center"/>
          </w:tcPr>
          <w:p w14:paraId="0420639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r>
      <w:tr w14:paraId="4D9C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3" w:type="dxa"/>
            <w:vMerge w:val="continue"/>
            <w:noWrap w:val="0"/>
            <w:vAlign w:val="top"/>
          </w:tcPr>
          <w:p w14:paraId="4765962A">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pacing w:val="0"/>
                <w:position w:val="0"/>
                <w:sz w:val="24"/>
                <w:szCs w:val="24"/>
                <w:highlight w:val="none"/>
              </w:rPr>
            </w:pPr>
          </w:p>
        </w:tc>
        <w:tc>
          <w:tcPr>
            <w:tcW w:w="807" w:type="dxa"/>
            <w:vMerge w:val="continue"/>
            <w:noWrap w:val="0"/>
            <w:vAlign w:val="center"/>
          </w:tcPr>
          <w:p w14:paraId="5020CA91">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pacing w:val="0"/>
                <w:position w:val="0"/>
                <w:sz w:val="24"/>
                <w:szCs w:val="24"/>
                <w:highlight w:val="none"/>
              </w:rPr>
            </w:pPr>
          </w:p>
        </w:tc>
        <w:tc>
          <w:tcPr>
            <w:tcW w:w="1986" w:type="dxa"/>
            <w:noWrap w:val="0"/>
            <w:vAlign w:val="center"/>
          </w:tcPr>
          <w:p w14:paraId="4FD1308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工程量清单</w:t>
            </w:r>
          </w:p>
        </w:tc>
        <w:tc>
          <w:tcPr>
            <w:tcW w:w="5625" w:type="dxa"/>
            <w:noWrap w:val="0"/>
            <w:vAlign w:val="center"/>
          </w:tcPr>
          <w:p w14:paraId="709B0B74">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分部分项工程量清单与计价表中项目编码、项目名称、项目特征、计量单位、工程量必须按分部分项工程量清单中的相应内容填写。（漏项及评委会认为有特别明显的笔误除外）</w:t>
            </w:r>
          </w:p>
        </w:tc>
        <w:tc>
          <w:tcPr>
            <w:tcW w:w="460" w:type="dxa"/>
            <w:noWrap w:val="0"/>
            <w:vAlign w:val="top"/>
          </w:tcPr>
          <w:p w14:paraId="5F39565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569" w:type="dxa"/>
            <w:noWrap w:val="0"/>
            <w:vAlign w:val="center"/>
          </w:tcPr>
          <w:p w14:paraId="3DD8ED3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r>
      <w:tr w14:paraId="05C8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3" w:type="dxa"/>
            <w:vMerge w:val="continue"/>
            <w:noWrap w:val="0"/>
            <w:vAlign w:val="top"/>
          </w:tcPr>
          <w:p w14:paraId="3B7A01DA">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pacing w:val="0"/>
                <w:position w:val="0"/>
                <w:sz w:val="24"/>
                <w:szCs w:val="24"/>
                <w:highlight w:val="none"/>
              </w:rPr>
            </w:pPr>
          </w:p>
        </w:tc>
        <w:tc>
          <w:tcPr>
            <w:tcW w:w="807" w:type="dxa"/>
            <w:vMerge w:val="continue"/>
            <w:noWrap w:val="0"/>
            <w:vAlign w:val="center"/>
          </w:tcPr>
          <w:p w14:paraId="1AF5132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pacing w:val="0"/>
                <w:position w:val="0"/>
                <w:sz w:val="24"/>
                <w:szCs w:val="24"/>
                <w:highlight w:val="none"/>
              </w:rPr>
            </w:pPr>
          </w:p>
        </w:tc>
        <w:tc>
          <w:tcPr>
            <w:tcW w:w="1986" w:type="dxa"/>
            <w:vMerge w:val="restart"/>
            <w:noWrap w:val="0"/>
            <w:vAlign w:val="center"/>
          </w:tcPr>
          <w:p w14:paraId="4DFD485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其他</w:t>
            </w:r>
          </w:p>
        </w:tc>
        <w:tc>
          <w:tcPr>
            <w:tcW w:w="5625" w:type="dxa"/>
            <w:noWrap w:val="0"/>
            <w:vAlign w:val="center"/>
          </w:tcPr>
          <w:p w14:paraId="2D97EB06">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响应文件是否附有</w:t>
            </w:r>
            <w:r>
              <w:rPr>
                <w:rFonts w:hint="eastAsia" w:ascii="宋体" w:hAnsi="宋体" w:eastAsia="宋体" w:cs="宋体"/>
                <w:color w:val="auto"/>
                <w:spacing w:val="0"/>
                <w:position w:val="0"/>
                <w:sz w:val="24"/>
                <w:szCs w:val="24"/>
                <w:highlight w:val="none"/>
                <w:lang w:eastAsia="zh-CN"/>
              </w:rPr>
              <w:t>采购人</w:t>
            </w:r>
            <w:r>
              <w:rPr>
                <w:rFonts w:hint="eastAsia" w:ascii="宋体" w:hAnsi="宋体" w:eastAsia="宋体" w:cs="宋体"/>
                <w:color w:val="auto"/>
                <w:spacing w:val="0"/>
                <w:position w:val="0"/>
                <w:sz w:val="24"/>
                <w:szCs w:val="24"/>
                <w:highlight w:val="none"/>
              </w:rPr>
              <w:t>不能接受的条件</w:t>
            </w:r>
          </w:p>
        </w:tc>
        <w:tc>
          <w:tcPr>
            <w:tcW w:w="460" w:type="dxa"/>
            <w:noWrap w:val="0"/>
            <w:vAlign w:val="top"/>
          </w:tcPr>
          <w:p w14:paraId="57D126C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569" w:type="dxa"/>
            <w:noWrap w:val="0"/>
            <w:vAlign w:val="center"/>
          </w:tcPr>
          <w:p w14:paraId="185F189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r>
      <w:tr w14:paraId="64EA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3" w:type="dxa"/>
            <w:vMerge w:val="continue"/>
            <w:noWrap w:val="0"/>
            <w:vAlign w:val="top"/>
          </w:tcPr>
          <w:p w14:paraId="3F6BF55A">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pacing w:val="0"/>
                <w:position w:val="0"/>
                <w:sz w:val="24"/>
                <w:szCs w:val="24"/>
                <w:highlight w:val="none"/>
              </w:rPr>
            </w:pPr>
          </w:p>
        </w:tc>
        <w:tc>
          <w:tcPr>
            <w:tcW w:w="807" w:type="dxa"/>
            <w:vMerge w:val="continue"/>
            <w:noWrap w:val="0"/>
            <w:vAlign w:val="center"/>
          </w:tcPr>
          <w:p w14:paraId="57B930E4">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pacing w:val="0"/>
                <w:position w:val="0"/>
                <w:sz w:val="24"/>
                <w:szCs w:val="24"/>
                <w:highlight w:val="none"/>
              </w:rPr>
            </w:pPr>
          </w:p>
        </w:tc>
        <w:tc>
          <w:tcPr>
            <w:tcW w:w="1986" w:type="dxa"/>
            <w:vMerge w:val="continue"/>
            <w:noWrap w:val="0"/>
            <w:vAlign w:val="center"/>
          </w:tcPr>
          <w:p w14:paraId="3D57BE5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lang w:eastAsia="zh-CN"/>
              </w:rPr>
            </w:pPr>
          </w:p>
        </w:tc>
        <w:tc>
          <w:tcPr>
            <w:tcW w:w="5625" w:type="dxa"/>
            <w:noWrap w:val="0"/>
            <w:vAlign w:val="center"/>
          </w:tcPr>
          <w:p w14:paraId="24CE296C">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是否有不符合竞争性磋商文件中规定的其他实质性要求</w:t>
            </w:r>
          </w:p>
        </w:tc>
        <w:tc>
          <w:tcPr>
            <w:tcW w:w="460" w:type="dxa"/>
            <w:noWrap w:val="0"/>
            <w:vAlign w:val="top"/>
          </w:tcPr>
          <w:p w14:paraId="0915085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569" w:type="dxa"/>
            <w:noWrap w:val="0"/>
            <w:vAlign w:val="center"/>
          </w:tcPr>
          <w:p w14:paraId="6C30940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r>
      <w:tr w14:paraId="6408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3" w:type="dxa"/>
            <w:vMerge w:val="continue"/>
            <w:noWrap w:val="0"/>
            <w:vAlign w:val="top"/>
          </w:tcPr>
          <w:p w14:paraId="4D9C49F1">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pacing w:val="0"/>
                <w:position w:val="0"/>
                <w:sz w:val="24"/>
                <w:szCs w:val="24"/>
                <w:highlight w:val="none"/>
              </w:rPr>
            </w:pPr>
          </w:p>
        </w:tc>
        <w:tc>
          <w:tcPr>
            <w:tcW w:w="807" w:type="dxa"/>
            <w:vMerge w:val="continue"/>
            <w:noWrap w:val="0"/>
            <w:vAlign w:val="center"/>
          </w:tcPr>
          <w:p w14:paraId="38EEBA5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pacing w:val="0"/>
                <w:position w:val="0"/>
                <w:sz w:val="24"/>
                <w:szCs w:val="24"/>
                <w:highlight w:val="none"/>
              </w:rPr>
            </w:pPr>
          </w:p>
        </w:tc>
        <w:tc>
          <w:tcPr>
            <w:tcW w:w="1986" w:type="dxa"/>
            <w:vMerge w:val="continue"/>
            <w:noWrap w:val="0"/>
            <w:vAlign w:val="center"/>
          </w:tcPr>
          <w:p w14:paraId="4BC4FD0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lang w:eastAsia="zh-CN"/>
              </w:rPr>
            </w:pPr>
          </w:p>
        </w:tc>
        <w:tc>
          <w:tcPr>
            <w:tcW w:w="5625" w:type="dxa"/>
            <w:noWrap w:val="0"/>
            <w:vAlign w:val="center"/>
          </w:tcPr>
          <w:p w14:paraId="75AF64EA">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供应商是否有违法招标投标纪律的</w:t>
            </w:r>
          </w:p>
        </w:tc>
        <w:tc>
          <w:tcPr>
            <w:tcW w:w="460" w:type="dxa"/>
            <w:noWrap w:val="0"/>
            <w:vAlign w:val="top"/>
          </w:tcPr>
          <w:p w14:paraId="772AC4F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569" w:type="dxa"/>
            <w:noWrap w:val="0"/>
            <w:vAlign w:val="center"/>
          </w:tcPr>
          <w:p w14:paraId="00CA1C6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r>
      <w:tr w14:paraId="73A00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50" w:type="dxa"/>
            <w:gridSpan w:val="2"/>
            <w:noWrap w:val="0"/>
            <w:vAlign w:val="top"/>
          </w:tcPr>
          <w:p w14:paraId="5257133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评分因素</w:t>
            </w:r>
          </w:p>
        </w:tc>
        <w:tc>
          <w:tcPr>
            <w:tcW w:w="1986" w:type="dxa"/>
            <w:noWrap w:val="0"/>
            <w:vAlign w:val="center"/>
          </w:tcPr>
          <w:p w14:paraId="07A97AC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评分点</w:t>
            </w:r>
          </w:p>
        </w:tc>
        <w:tc>
          <w:tcPr>
            <w:tcW w:w="5625" w:type="dxa"/>
            <w:noWrap w:val="0"/>
            <w:vAlign w:val="center"/>
          </w:tcPr>
          <w:p w14:paraId="3F8F6DB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评分标准</w:t>
            </w:r>
          </w:p>
        </w:tc>
        <w:tc>
          <w:tcPr>
            <w:tcW w:w="1029" w:type="dxa"/>
            <w:gridSpan w:val="2"/>
            <w:noWrap w:val="0"/>
            <w:vAlign w:val="top"/>
          </w:tcPr>
          <w:p w14:paraId="2559861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权重分配</w:t>
            </w:r>
          </w:p>
        </w:tc>
      </w:tr>
      <w:tr w14:paraId="7037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3" w:type="dxa"/>
            <w:vMerge w:val="restart"/>
            <w:noWrap w:val="0"/>
            <w:vAlign w:val="top"/>
          </w:tcPr>
          <w:p w14:paraId="0014219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p w14:paraId="27C0FEA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p w14:paraId="01FAAFE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p w14:paraId="140EDAE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p w14:paraId="225F99D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p w14:paraId="24EA613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p w14:paraId="15F52F5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详细评审</w:t>
            </w:r>
          </w:p>
        </w:tc>
        <w:tc>
          <w:tcPr>
            <w:tcW w:w="807" w:type="dxa"/>
            <w:noWrap w:val="0"/>
            <w:vAlign w:val="center"/>
          </w:tcPr>
          <w:p w14:paraId="7A32D69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价格评审</w:t>
            </w:r>
          </w:p>
          <w:p w14:paraId="407E8451">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color w:val="auto"/>
                <w:spacing w:val="0"/>
                <w:position w:val="0"/>
                <w:sz w:val="24"/>
                <w:szCs w:val="24"/>
                <w:highlight w:val="none"/>
              </w:rPr>
            </w:pPr>
          </w:p>
        </w:tc>
        <w:tc>
          <w:tcPr>
            <w:tcW w:w="1986" w:type="dxa"/>
            <w:noWrap w:val="0"/>
            <w:vAlign w:val="center"/>
          </w:tcPr>
          <w:p w14:paraId="4B5AD4C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投标报价</w:t>
            </w:r>
          </w:p>
        </w:tc>
        <w:tc>
          <w:tcPr>
            <w:tcW w:w="5625" w:type="dxa"/>
            <w:noWrap w:val="0"/>
            <w:vAlign w:val="center"/>
          </w:tcPr>
          <w:p w14:paraId="6C953982">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磋商小组只对符合性检查合格的响应文件进行价格评议，报价分采用低价优先法计算，即满足磋商文件要求且最终报价最低为评审基准价，其价格分为满分。其他供应商的价格分按照下列公式计算：磋商报价得分=(磋商基准价／最后磋商报价)×价格权值×100。</w:t>
            </w:r>
          </w:p>
        </w:tc>
        <w:tc>
          <w:tcPr>
            <w:tcW w:w="1029" w:type="dxa"/>
            <w:gridSpan w:val="2"/>
            <w:noWrap w:val="0"/>
            <w:vAlign w:val="center"/>
          </w:tcPr>
          <w:p w14:paraId="682650A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30</w:t>
            </w:r>
          </w:p>
        </w:tc>
      </w:tr>
      <w:tr w14:paraId="316D7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3" w:type="dxa"/>
            <w:vMerge w:val="continue"/>
            <w:noWrap w:val="0"/>
            <w:vAlign w:val="top"/>
          </w:tcPr>
          <w:p w14:paraId="4B1AF10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807" w:type="dxa"/>
            <w:vMerge w:val="restart"/>
            <w:noWrap w:val="0"/>
            <w:vAlign w:val="center"/>
          </w:tcPr>
          <w:p w14:paraId="0CC47FF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商务标评审</w:t>
            </w:r>
          </w:p>
        </w:tc>
        <w:tc>
          <w:tcPr>
            <w:tcW w:w="1986" w:type="dxa"/>
            <w:noWrap w:val="0"/>
            <w:vAlign w:val="center"/>
          </w:tcPr>
          <w:p w14:paraId="51DCF05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企业业绩情况</w:t>
            </w:r>
          </w:p>
        </w:tc>
        <w:tc>
          <w:tcPr>
            <w:tcW w:w="5625" w:type="dxa"/>
            <w:noWrap w:val="0"/>
            <w:vAlign w:val="center"/>
          </w:tcPr>
          <w:p w14:paraId="7DA32254">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供应商</w:t>
            </w:r>
            <w:r>
              <w:rPr>
                <w:rFonts w:hint="eastAsia" w:ascii="宋体" w:hAnsi="宋体" w:eastAsia="宋体" w:cs="宋体"/>
                <w:color w:val="auto"/>
                <w:spacing w:val="0"/>
                <w:position w:val="0"/>
                <w:sz w:val="24"/>
                <w:szCs w:val="24"/>
                <w:highlight w:val="none"/>
              </w:rPr>
              <w:t>近三年（20</w:t>
            </w:r>
            <w:r>
              <w:rPr>
                <w:rFonts w:hint="eastAsia" w:ascii="宋体" w:hAnsi="宋体" w:eastAsia="宋体" w:cs="宋体"/>
                <w:color w:val="auto"/>
                <w:spacing w:val="0"/>
                <w:position w:val="0"/>
                <w:sz w:val="24"/>
                <w:szCs w:val="24"/>
                <w:highlight w:val="none"/>
                <w:lang w:val="en-US" w:eastAsia="zh-CN"/>
              </w:rPr>
              <w:t>2</w:t>
            </w:r>
            <w:r>
              <w:rPr>
                <w:rFonts w:hint="eastAsia" w:ascii="宋体" w:hAnsi="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rPr>
              <w:t>年1月1日至今）类似</w:t>
            </w:r>
            <w:r>
              <w:rPr>
                <w:rFonts w:hint="eastAsia" w:ascii="宋体" w:hAnsi="宋体" w:cs="宋体"/>
                <w:color w:val="auto"/>
                <w:spacing w:val="0"/>
                <w:position w:val="0"/>
                <w:sz w:val="24"/>
                <w:szCs w:val="24"/>
                <w:highlight w:val="none"/>
                <w:lang w:val="en-US" w:eastAsia="zh-CN"/>
              </w:rPr>
              <w:t>市政</w:t>
            </w:r>
            <w:r>
              <w:rPr>
                <w:rFonts w:hint="eastAsia" w:ascii="宋体" w:hAnsi="宋体" w:eastAsia="宋体" w:cs="宋体"/>
                <w:color w:val="auto"/>
                <w:spacing w:val="0"/>
                <w:position w:val="0"/>
                <w:sz w:val="24"/>
                <w:szCs w:val="24"/>
                <w:highlight w:val="none"/>
              </w:rPr>
              <w:t>工程业绩，须提供中标通知书</w:t>
            </w:r>
            <w:r>
              <w:rPr>
                <w:rFonts w:hint="eastAsia" w:ascii="宋体" w:hAnsi="宋体" w:cs="宋体"/>
                <w:color w:val="auto"/>
                <w:spacing w:val="0"/>
                <w:position w:val="0"/>
                <w:sz w:val="24"/>
                <w:szCs w:val="24"/>
                <w:highlight w:val="none"/>
                <w:lang w:val="en-US" w:eastAsia="zh-CN"/>
              </w:rPr>
              <w:t>或</w:t>
            </w:r>
            <w:r>
              <w:rPr>
                <w:rFonts w:hint="eastAsia" w:ascii="宋体" w:hAnsi="宋体" w:eastAsia="宋体" w:cs="宋体"/>
                <w:color w:val="auto"/>
                <w:spacing w:val="0"/>
                <w:position w:val="0"/>
                <w:sz w:val="24"/>
                <w:szCs w:val="24"/>
                <w:highlight w:val="none"/>
              </w:rPr>
              <w:t>施工合同</w:t>
            </w:r>
            <w:r>
              <w:rPr>
                <w:rFonts w:hint="eastAsia" w:ascii="宋体" w:hAnsi="宋体" w:cs="宋体"/>
                <w:color w:val="auto"/>
                <w:spacing w:val="0"/>
                <w:position w:val="0"/>
                <w:sz w:val="24"/>
                <w:szCs w:val="24"/>
                <w:highlight w:val="none"/>
                <w:lang w:val="en-US" w:eastAsia="zh-CN"/>
              </w:rPr>
              <w:t>关键页</w:t>
            </w:r>
            <w:r>
              <w:rPr>
                <w:rFonts w:hint="eastAsia" w:ascii="宋体" w:hAnsi="宋体" w:eastAsia="宋体" w:cs="宋体"/>
                <w:color w:val="auto"/>
                <w:spacing w:val="0"/>
                <w:position w:val="0"/>
                <w:sz w:val="24"/>
                <w:szCs w:val="24"/>
                <w:highlight w:val="none"/>
              </w:rPr>
              <w:t>。每</w:t>
            </w:r>
            <w:r>
              <w:rPr>
                <w:rFonts w:hint="eastAsia" w:ascii="宋体" w:hAnsi="宋体" w:eastAsia="宋体" w:cs="宋体"/>
                <w:color w:val="auto"/>
                <w:spacing w:val="0"/>
                <w:position w:val="0"/>
                <w:sz w:val="24"/>
                <w:szCs w:val="24"/>
                <w:highlight w:val="none"/>
                <w:lang w:eastAsia="zh-CN"/>
              </w:rPr>
              <w:t>提供一项</w:t>
            </w:r>
            <w:r>
              <w:rPr>
                <w:rFonts w:hint="eastAsia" w:ascii="宋体" w:hAnsi="宋体" w:eastAsia="宋体" w:cs="宋体"/>
                <w:color w:val="auto"/>
                <w:spacing w:val="0"/>
                <w:position w:val="0"/>
                <w:sz w:val="24"/>
                <w:szCs w:val="24"/>
                <w:highlight w:val="none"/>
              </w:rPr>
              <w:t>业绩得</w:t>
            </w:r>
            <w:r>
              <w:rPr>
                <w:rFonts w:hint="eastAsia" w:ascii="宋体" w:hAnsi="宋体" w:cs="宋体"/>
                <w:color w:val="auto"/>
                <w:spacing w:val="0"/>
                <w:position w:val="0"/>
                <w:sz w:val="24"/>
                <w:szCs w:val="24"/>
                <w:highlight w:val="none"/>
                <w:lang w:val="en-US" w:eastAsia="zh-CN"/>
              </w:rPr>
              <w:t>1</w:t>
            </w:r>
            <w:r>
              <w:rPr>
                <w:rFonts w:hint="eastAsia" w:ascii="宋体" w:hAnsi="宋体" w:eastAsia="宋体" w:cs="宋体"/>
                <w:color w:val="auto"/>
                <w:spacing w:val="0"/>
                <w:position w:val="0"/>
                <w:sz w:val="24"/>
                <w:szCs w:val="24"/>
                <w:highlight w:val="none"/>
              </w:rPr>
              <w:t>分，满分</w:t>
            </w:r>
            <w:r>
              <w:rPr>
                <w:rFonts w:hint="eastAsia" w:ascii="宋体" w:hAnsi="宋体" w:eastAsia="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rPr>
              <w:t>分。未提供证明材料或缺项漏项的业绩不得分。</w:t>
            </w:r>
          </w:p>
        </w:tc>
        <w:tc>
          <w:tcPr>
            <w:tcW w:w="1029" w:type="dxa"/>
            <w:gridSpan w:val="2"/>
            <w:noWrap w:val="0"/>
            <w:vAlign w:val="center"/>
          </w:tcPr>
          <w:p w14:paraId="6774FA1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5</w:t>
            </w:r>
          </w:p>
        </w:tc>
      </w:tr>
      <w:tr w14:paraId="5B43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43" w:type="dxa"/>
            <w:vMerge w:val="continue"/>
            <w:noWrap w:val="0"/>
            <w:vAlign w:val="top"/>
          </w:tcPr>
          <w:p w14:paraId="121BEB2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807" w:type="dxa"/>
            <w:vMerge w:val="continue"/>
            <w:noWrap w:val="0"/>
            <w:vAlign w:val="center"/>
          </w:tcPr>
          <w:p w14:paraId="45554F5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986" w:type="dxa"/>
            <w:vMerge w:val="restart"/>
            <w:noWrap w:val="0"/>
            <w:vAlign w:val="center"/>
          </w:tcPr>
          <w:p w14:paraId="10A8997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项目负责人</w:t>
            </w:r>
          </w:p>
        </w:tc>
        <w:tc>
          <w:tcPr>
            <w:tcW w:w="5625" w:type="dxa"/>
            <w:noWrap w:val="0"/>
            <w:vAlign w:val="center"/>
          </w:tcPr>
          <w:p w14:paraId="69BF19EE">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项目负责人具备中级及以上职称的得</w:t>
            </w:r>
            <w:r>
              <w:rPr>
                <w:rFonts w:hint="eastAsia" w:ascii="宋体" w:hAnsi="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lang w:val="en-US" w:eastAsia="zh-CN"/>
              </w:rPr>
              <w:t>分，须提供职称证书及供应商为其缴纳的近三个月社保证明；否则不得分。</w:t>
            </w:r>
          </w:p>
        </w:tc>
        <w:tc>
          <w:tcPr>
            <w:tcW w:w="1029" w:type="dxa"/>
            <w:gridSpan w:val="2"/>
            <w:noWrap w:val="0"/>
            <w:vAlign w:val="center"/>
          </w:tcPr>
          <w:p w14:paraId="7852744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2</w:t>
            </w:r>
          </w:p>
        </w:tc>
      </w:tr>
      <w:tr w14:paraId="6513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3" w:type="dxa"/>
            <w:vMerge w:val="continue"/>
            <w:noWrap w:val="0"/>
            <w:vAlign w:val="top"/>
          </w:tcPr>
          <w:p w14:paraId="67AC436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807" w:type="dxa"/>
            <w:vMerge w:val="continue"/>
            <w:noWrap w:val="0"/>
            <w:vAlign w:val="center"/>
          </w:tcPr>
          <w:p w14:paraId="4737B38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986" w:type="dxa"/>
            <w:vMerge w:val="continue"/>
            <w:noWrap w:val="0"/>
            <w:vAlign w:val="center"/>
          </w:tcPr>
          <w:p w14:paraId="252D693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5625" w:type="dxa"/>
            <w:noWrap w:val="0"/>
            <w:vAlign w:val="center"/>
          </w:tcPr>
          <w:p w14:paraId="5D8930D5">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pacing w:val="0"/>
                <w:position w:val="0"/>
                <w:sz w:val="24"/>
                <w:szCs w:val="24"/>
                <w:highlight w:val="none"/>
                <w:lang w:val="en-US"/>
              </w:rPr>
            </w:pPr>
            <w:r>
              <w:rPr>
                <w:rFonts w:hint="eastAsia" w:ascii="宋体" w:hAnsi="宋体" w:eastAsia="宋体" w:cs="宋体"/>
                <w:color w:val="auto"/>
                <w:spacing w:val="0"/>
                <w:position w:val="0"/>
                <w:sz w:val="24"/>
                <w:szCs w:val="24"/>
                <w:highlight w:val="none"/>
                <w:lang w:eastAsia="zh-CN"/>
              </w:rPr>
              <w:t>项目负责人</w:t>
            </w:r>
            <w:r>
              <w:rPr>
                <w:rFonts w:hint="eastAsia" w:ascii="宋体" w:hAnsi="宋体" w:eastAsia="宋体" w:cs="宋体"/>
                <w:color w:val="auto"/>
                <w:spacing w:val="0"/>
                <w:position w:val="0"/>
                <w:sz w:val="24"/>
                <w:szCs w:val="24"/>
                <w:highlight w:val="none"/>
              </w:rPr>
              <w:t>近三年（20</w:t>
            </w:r>
            <w:r>
              <w:rPr>
                <w:rFonts w:hint="eastAsia" w:ascii="宋体" w:hAnsi="宋体" w:eastAsia="宋体" w:cs="宋体"/>
                <w:color w:val="auto"/>
                <w:spacing w:val="0"/>
                <w:position w:val="0"/>
                <w:sz w:val="24"/>
                <w:szCs w:val="24"/>
                <w:highlight w:val="none"/>
                <w:lang w:val="en-US" w:eastAsia="zh-CN"/>
              </w:rPr>
              <w:t>2</w:t>
            </w:r>
            <w:r>
              <w:rPr>
                <w:rFonts w:hint="eastAsia" w:ascii="宋体" w:hAnsi="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rPr>
              <w:t>年1月1日至今）已完成的类似工程业绩</w:t>
            </w:r>
            <w:r>
              <w:rPr>
                <w:rFonts w:hint="eastAsia" w:ascii="宋体" w:hAnsi="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以合同签订时间为准</w:t>
            </w:r>
            <w:r>
              <w:rPr>
                <w:rFonts w:hint="eastAsia" w:ascii="宋体" w:hAnsi="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须提供中标通知书</w:t>
            </w:r>
            <w:r>
              <w:rPr>
                <w:rFonts w:hint="eastAsia" w:ascii="宋体" w:hAnsi="宋体" w:cs="宋体"/>
                <w:color w:val="auto"/>
                <w:spacing w:val="0"/>
                <w:position w:val="0"/>
                <w:sz w:val="24"/>
                <w:szCs w:val="24"/>
                <w:highlight w:val="none"/>
                <w:lang w:val="en-US" w:eastAsia="zh-CN"/>
              </w:rPr>
              <w:t>或</w:t>
            </w:r>
            <w:r>
              <w:rPr>
                <w:rFonts w:hint="eastAsia" w:ascii="宋体" w:hAnsi="宋体" w:eastAsia="宋体" w:cs="宋体"/>
                <w:color w:val="auto"/>
                <w:spacing w:val="0"/>
                <w:position w:val="0"/>
                <w:sz w:val="24"/>
                <w:szCs w:val="24"/>
                <w:highlight w:val="none"/>
              </w:rPr>
              <w:t>施工合同</w:t>
            </w:r>
            <w:r>
              <w:rPr>
                <w:rFonts w:hint="eastAsia" w:ascii="宋体" w:hAnsi="宋体" w:cs="宋体"/>
                <w:color w:val="auto"/>
                <w:spacing w:val="0"/>
                <w:position w:val="0"/>
                <w:sz w:val="24"/>
                <w:szCs w:val="24"/>
                <w:highlight w:val="none"/>
                <w:lang w:val="en-US" w:eastAsia="zh-CN"/>
              </w:rPr>
              <w:t>关键页</w:t>
            </w:r>
            <w:r>
              <w:rPr>
                <w:rFonts w:hint="eastAsia" w:ascii="宋体" w:hAnsi="宋体" w:eastAsia="宋体" w:cs="宋体"/>
                <w:color w:val="auto"/>
                <w:spacing w:val="0"/>
                <w:position w:val="0"/>
                <w:sz w:val="24"/>
                <w:szCs w:val="24"/>
                <w:highlight w:val="none"/>
              </w:rPr>
              <w:t>。每</w:t>
            </w:r>
            <w:r>
              <w:rPr>
                <w:rFonts w:hint="eastAsia" w:ascii="宋体" w:hAnsi="宋体" w:eastAsia="宋体" w:cs="宋体"/>
                <w:color w:val="auto"/>
                <w:spacing w:val="0"/>
                <w:position w:val="0"/>
                <w:sz w:val="24"/>
                <w:szCs w:val="24"/>
                <w:highlight w:val="none"/>
                <w:lang w:eastAsia="zh-CN"/>
              </w:rPr>
              <w:t>提供一项</w:t>
            </w:r>
            <w:r>
              <w:rPr>
                <w:rFonts w:hint="eastAsia" w:ascii="宋体" w:hAnsi="宋体" w:eastAsia="宋体" w:cs="宋体"/>
                <w:color w:val="auto"/>
                <w:spacing w:val="0"/>
                <w:position w:val="0"/>
                <w:sz w:val="24"/>
                <w:szCs w:val="24"/>
                <w:highlight w:val="none"/>
              </w:rPr>
              <w:t>业绩得</w:t>
            </w:r>
            <w:r>
              <w:rPr>
                <w:rFonts w:hint="eastAsia" w:ascii="宋体" w:hAnsi="宋体" w:eastAsia="宋体" w:cs="宋体"/>
                <w:color w:val="auto"/>
                <w:spacing w:val="0"/>
                <w:position w:val="0"/>
                <w:sz w:val="24"/>
                <w:szCs w:val="24"/>
                <w:highlight w:val="none"/>
                <w:lang w:val="en-US" w:eastAsia="zh-CN"/>
              </w:rPr>
              <w:t>1</w:t>
            </w:r>
            <w:r>
              <w:rPr>
                <w:rFonts w:hint="eastAsia" w:ascii="宋体" w:hAnsi="宋体" w:eastAsia="宋体" w:cs="宋体"/>
                <w:color w:val="auto"/>
                <w:spacing w:val="0"/>
                <w:position w:val="0"/>
                <w:sz w:val="24"/>
                <w:szCs w:val="24"/>
                <w:highlight w:val="none"/>
              </w:rPr>
              <w:t>分，满分</w:t>
            </w:r>
            <w:r>
              <w:rPr>
                <w:rFonts w:hint="eastAsia" w:ascii="宋体" w:hAnsi="宋体" w:eastAsia="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rPr>
              <w:t>分。未提供证明材料或缺项漏项的业绩不得分</w:t>
            </w:r>
            <w:r>
              <w:rPr>
                <w:rFonts w:hint="eastAsia" w:ascii="宋体" w:hAnsi="宋体" w:eastAsia="宋体" w:cs="宋体"/>
                <w:color w:val="auto"/>
                <w:spacing w:val="0"/>
                <w:position w:val="0"/>
                <w:sz w:val="24"/>
                <w:szCs w:val="24"/>
                <w:highlight w:val="none"/>
                <w:lang w:eastAsia="zh-CN"/>
              </w:rPr>
              <w:t>，业绩证明材料须体现项目负责人</w:t>
            </w:r>
            <w:r>
              <w:rPr>
                <w:rFonts w:hint="eastAsia" w:ascii="宋体" w:hAnsi="宋体" w:eastAsia="宋体" w:cs="宋体"/>
                <w:color w:val="auto"/>
                <w:spacing w:val="0"/>
                <w:position w:val="0"/>
                <w:sz w:val="24"/>
                <w:szCs w:val="24"/>
                <w:highlight w:val="none"/>
                <w:lang w:val="en-US" w:eastAsia="zh-CN"/>
              </w:rPr>
              <w:t>。</w:t>
            </w:r>
          </w:p>
        </w:tc>
        <w:tc>
          <w:tcPr>
            <w:tcW w:w="1029" w:type="dxa"/>
            <w:gridSpan w:val="2"/>
            <w:noWrap w:val="0"/>
            <w:vAlign w:val="center"/>
          </w:tcPr>
          <w:p w14:paraId="4AE04FA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2</w:t>
            </w:r>
          </w:p>
        </w:tc>
      </w:tr>
      <w:tr w14:paraId="0F81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3" w:type="dxa"/>
            <w:vMerge w:val="continue"/>
            <w:noWrap w:val="0"/>
            <w:vAlign w:val="top"/>
          </w:tcPr>
          <w:p w14:paraId="4BD157E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807" w:type="dxa"/>
            <w:vMerge w:val="continue"/>
            <w:noWrap w:val="0"/>
            <w:vAlign w:val="center"/>
          </w:tcPr>
          <w:p w14:paraId="6AC1B8D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986" w:type="dxa"/>
            <w:noWrap w:val="0"/>
            <w:vAlign w:val="center"/>
          </w:tcPr>
          <w:p w14:paraId="7DB9F21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项目班子人员配备</w:t>
            </w:r>
          </w:p>
        </w:tc>
        <w:tc>
          <w:tcPr>
            <w:tcW w:w="5625" w:type="dxa"/>
            <w:noWrap w:val="0"/>
            <w:vAlign w:val="center"/>
          </w:tcPr>
          <w:p w14:paraId="17F44A68">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项目工程师、质量管理员、安全管理员、材料管理员、施工员等配备齐全，其中，项目工程师须附职称证书及近三个月社保缴纳证明，其他人员附上岗证书及近三个月社保缴纳证明。提供齐全得5分。否则不得分。</w:t>
            </w:r>
          </w:p>
        </w:tc>
        <w:tc>
          <w:tcPr>
            <w:tcW w:w="1029" w:type="dxa"/>
            <w:gridSpan w:val="2"/>
            <w:noWrap w:val="0"/>
            <w:vAlign w:val="center"/>
          </w:tcPr>
          <w:p w14:paraId="6E983C0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5</w:t>
            </w:r>
          </w:p>
        </w:tc>
      </w:tr>
      <w:tr w14:paraId="6C17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3" w:type="dxa"/>
            <w:vMerge w:val="continue"/>
            <w:noWrap w:val="0"/>
            <w:vAlign w:val="top"/>
          </w:tcPr>
          <w:p w14:paraId="65F9752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807" w:type="dxa"/>
            <w:vMerge w:val="restart"/>
            <w:noWrap w:val="0"/>
            <w:vAlign w:val="center"/>
          </w:tcPr>
          <w:p w14:paraId="01EB653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技术标评审</w:t>
            </w:r>
          </w:p>
        </w:tc>
        <w:tc>
          <w:tcPr>
            <w:tcW w:w="1986" w:type="dxa"/>
            <w:noWrap w:val="0"/>
            <w:vAlign w:val="center"/>
          </w:tcPr>
          <w:p w14:paraId="09CEC4CF">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项目施工方案</w:t>
            </w:r>
          </w:p>
        </w:tc>
        <w:tc>
          <w:tcPr>
            <w:tcW w:w="5625" w:type="dxa"/>
            <w:noWrap w:val="0"/>
            <w:vAlign w:val="center"/>
          </w:tcPr>
          <w:p w14:paraId="620AEEB8">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 xml:space="preserve">评审小组根据供应商针对本项目提供的项目施工方案进行评审，方案内容至少包含：（1）项目部各职能机构设置（2）本项目施工的具体方法与流程（3）施工环节的注意事项及施工现场管控措施（4）施工组织管理体系（5）针对本项目施工过程的重难点分析及应对措施。方案完整包含以上内容且满足本项目要求得10 分，每缺一项扣2分，每有一处不完整或不符合本项目特点或实际采购需求的扣1分，本项最多扣10分。 </w:t>
            </w:r>
          </w:p>
          <w:p w14:paraId="38EA3BB1">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备注：不符合本项目特点或实际采购需求指：项目名称、实施地点、涉及的规范、标准与本项目要求不一致；不符合本项目实际需求的等情况，此处“等”为等外的意思。</w:t>
            </w:r>
          </w:p>
        </w:tc>
        <w:tc>
          <w:tcPr>
            <w:tcW w:w="1029" w:type="dxa"/>
            <w:gridSpan w:val="2"/>
            <w:noWrap w:val="0"/>
            <w:vAlign w:val="center"/>
          </w:tcPr>
          <w:p w14:paraId="7BACC3B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10</w:t>
            </w:r>
          </w:p>
        </w:tc>
      </w:tr>
      <w:tr w14:paraId="254D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3" w:type="dxa"/>
            <w:vMerge w:val="continue"/>
            <w:noWrap w:val="0"/>
            <w:vAlign w:val="top"/>
          </w:tcPr>
          <w:p w14:paraId="237F9D0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807" w:type="dxa"/>
            <w:vMerge w:val="continue"/>
            <w:noWrap w:val="0"/>
            <w:vAlign w:val="center"/>
          </w:tcPr>
          <w:p w14:paraId="3905CB7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986" w:type="dxa"/>
            <w:noWrap w:val="0"/>
            <w:vAlign w:val="center"/>
          </w:tcPr>
          <w:p w14:paraId="26854692">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质量保证措施</w:t>
            </w:r>
          </w:p>
        </w:tc>
        <w:tc>
          <w:tcPr>
            <w:tcW w:w="5625" w:type="dxa"/>
            <w:noWrap w:val="0"/>
            <w:vAlign w:val="center"/>
          </w:tcPr>
          <w:p w14:paraId="12244FD7">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评审小组根据供应商针对本项目提供的质量保证措施进行评审，措施内容至少包含：（1）质量管理目标（2）质量管理体系（3）施工原材料质量保证措施（4）工程施工的质量保证措施。方案完整包含以上内容且满足本项目要求得10分，每缺一项扣2.5分，每有一处不完整或不符合本项目特点或实际采购需求的扣1.5分，本项最多扣10分。</w:t>
            </w:r>
          </w:p>
          <w:p w14:paraId="745E37CB">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备注：不符合本项目特点或实际采购需求指：项目名称、实施地点、涉及的规范、标准与本项目要求不一致；不符合本项目实际需求的等情况，此处“等”为等外的意思。</w:t>
            </w:r>
          </w:p>
        </w:tc>
        <w:tc>
          <w:tcPr>
            <w:tcW w:w="1029" w:type="dxa"/>
            <w:gridSpan w:val="2"/>
            <w:noWrap w:val="0"/>
            <w:vAlign w:val="center"/>
          </w:tcPr>
          <w:p w14:paraId="17108EC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10</w:t>
            </w:r>
          </w:p>
        </w:tc>
      </w:tr>
      <w:tr w14:paraId="0379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3" w:type="dxa"/>
            <w:vMerge w:val="continue"/>
            <w:noWrap w:val="0"/>
            <w:vAlign w:val="top"/>
          </w:tcPr>
          <w:p w14:paraId="7263721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807" w:type="dxa"/>
            <w:vMerge w:val="continue"/>
            <w:noWrap w:val="0"/>
            <w:vAlign w:val="center"/>
          </w:tcPr>
          <w:p w14:paraId="4E63C02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986" w:type="dxa"/>
            <w:noWrap w:val="0"/>
            <w:vAlign w:val="center"/>
          </w:tcPr>
          <w:p w14:paraId="275FA6C0">
            <w:pPr>
              <w:pStyle w:val="17"/>
              <w:kinsoku/>
              <w:wordWrap/>
              <w:overflowPunct/>
              <w:bidi w:val="0"/>
              <w:spacing w:after="0" w:line="460" w:lineRule="exact"/>
              <w:jc w:val="center"/>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安全管理体系与措施</w:t>
            </w:r>
          </w:p>
        </w:tc>
        <w:tc>
          <w:tcPr>
            <w:tcW w:w="5625" w:type="dxa"/>
            <w:noWrap w:val="0"/>
            <w:vAlign w:val="center"/>
          </w:tcPr>
          <w:p w14:paraId="12129FF6">
            <w:pPr>
              <w:kinsoku/>
              <w:wordWrap/>
              <w:overflowPunct/>
              <w:bidi w:val="0"/>
              <w:spacing w:line="460" w:lineRule="exact"/>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评审小组根据供应商针对本项目提供的安全管理体系与措施进行评审，内容至少包含：（1）安全生产管理目标（2）安全管理体系及职责划分（3）安全技术措施（4）安全应急救援预案。方案完整包含以上内容且满足本项目要求得8分，每缺一项扣2分，每有一处不完整或不符合本项目特点或实际采购需求的扣1 分，本项最多扣8分。</w:t>
            </w:r>
          </w:p>
          <w:p w14:paraId="57D404E3">
            <w:pPr>
              <w:kinsoku/>
              <w:wordWrap/>
              <w:overflowPunct/>
              <w:bidi w:val="0"/>
              <w:spacing w:line="460" w:lineRule="exact"/>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备注：不符合本项目特点或实际采购需求指：项目名称、实施地点、涉及的规范、标准与本项目要求不一致；不符合本项目实际需求的等情况，此处“等”为等外的意思。</w:t>
            </w:r>
          </w:p>
        </w:tc>
        <w:tc>
          <w:tcPr>
            <w:tcW w:w="1029" w:type="dxa"/>
            <w:gridSpan w:val="2"/>
            <w:noWrap w:val="0"/>
            <w:vAlign w:val="center"/>
          </w:tcPr>
          <w:p w14:paraId="3F632C7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8</w:t>
            </w:r>
          </w:p>
        </w:tc>
      </w:tr>
      <w:tr w14:paraId="3DD64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43" w:type="dxa"/>
            <w:vMerge w:val="continue"/>
            <w:noWrap w:val="0"/>
            <w:vAlign w:val="top"/>
          </w:tcPr>
          <w:p w14:paraId="311BCBF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807" w:type="dxa"/>
            <w:vMerge w:val="continue"/>
            <w:noWrap w:val="0"/>
            <w:vAlign w:val="center"/>
          </w:tcPr>
          <w:p w14:paraId="2B2C65B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986" w:type="dxa"/>
            <w:noWrap w:val="0"/>
            <w:vAlign w:val="center"/>
          </w:tcPr>
          <w:p w14:paraId="73872D45">
            <w:pPr>
              <w:pStyle w:val="17"/>
              <w:kinsoku/>
              <w:wordWrap/>
              <w:overflowPunct/>
              <w:bidi w:val="0"/>
              <w:spacing w:after="0" w:line="460" w:lineRule="exact"/>
              <w:jc w:val="center"/>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环保和文明施工措施</w:t>
            </w:r>
          </w:p>
        </w:tc>
        <w:tc>
          <w:tcPr>
            <w:tcW w:w="5625" w:type="dxa"/>
            <w:noWrap w:val="0"/>
            <w:vAlign w:val="center"/>
          </w:tcPr>
          <w:p w14:paraId="5DF4AF97">
            <w:pPr>
              <w:kinsoku/>
              <w:wordWrap/>
              <w:overflowPunct/>
              <w:bidi w:val="0"/>
              <w:spacing w:line="460" w:lineRule="exact"/>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评审小组根据供应商针对本项目提供的环保和文明施工措施进行评审，方案内容至少包含：（1）环境保护管理目标（2）噪音控制管理措施（3）扬尘管理措施（4）施工现场环境管理和污染物处理及排放措施。方案完整包含以上内容且满足本项目要求得8分，每缺一项扣2分，每有一处不符合本项目特点或不完整或实际采购需求的扣1分，本项最多扣8分。备注：不符合本项目特点或实际采购需求指：项目名称、实施地点、涉及的规范、标准与本项目要求不一致；不符合本项目实际需求的等情况，此处“等”为等外的意思。</w:t>
            </w:r>
          </w:p>
        </w:tc>
        <w:tc>
          <w:tcPr>
            <w:tcW w:w="1029" w:type="dxa"/>
            <w:gridSpan w:val="2"/>
            <w:noWrap w:val="0"/>
            <w:vAlign w:val="center"/>
          </w:tcPr>
          <w:p w14:paraId="25C1CF0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8</w:t>
            </w:r>
          </w:p>
        </w:tc>
      </w:tr>
      <w:tr w14:paraId="6ED7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3" w:type="dxa"/>
            <w:vMerge w:val="continue"/>
            <w:noWrap w:val="0"/>
            <w:vAlign w:val="top"/>
          </w:tcPr>
          <w:p w14:paraId="70D62B9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807" w:type="dxa"/>
            <w:vMerge w:val="continue"/>
            <w:noWrap w:val="0"/>
            <w:vAlign w:val="center"/>
          </w:tcPr>
          <w:p w14:paraId="2CF42BD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986" w:type="dxa"/>
            <w:noWrap w:val="0"/>
            <w:vAlign w:val="center"/>
          </w:tcPr>
          <w:p w14:paraId="033CB64B">
            <w:pPr>
              <w:pStyle w:val="17"/>
              <w:kinsoku/>
              <w:wordWrap/>
              <w:overflowPunct/>
              <w:bidi w:val="0"/>
              <w:spacing w:after="0" w:line="460" w:lineRule="exact"/>
              <w:jc w:val="center"/>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工程进度计划</w:t>
            </w:r>
          </w:p>
        </w:tc>
        <w:tc>
          <w:tcPr>
            <w:tcW w:w="5625" w:type="dxa"/>
            <w:noWrap w:val="0"/>
            <w:vAlign w:val="center"/>
          </w:tcPr>
          <w:p w14:paraId="1F1F7C88">
            <w:pPr>
              <w:kinsoku/>
              <w:wordWrap/>
              <w:overflowPunct/>
              <w:bidi w:val="0"/>
              <w:spacing w:line="460" w:lineRule="exact"/>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评审小组根据供应商针对本项目提供的工程进度计划方案进行评审，方案内容至少包含：（1）工程进度计划时间安排及计划（2）影响工程施工的因素分析</w:t>
            </w:r>
            <w:r>
              <w:rPr>
                <w:rFonts w:hint="eastAsia" w:ascii="宋体" w:hAnsi="宋体" w:cs="宋体"/>
                <w:color w:val="auto"/>
                <w:spacing w:val="0"/>
                <w:position w:val="0"/>
                <w:sz w:val="24"/>
                <w:szCs w:val="24"/>
                <w:highlight w:val="none"/>
                <w:lang w:val="en-US" w:eastAsia="zh-CN"/>
              </w:rPr>
              <w:t>（3）</w:t>
            </w:r>
            <w:r>
              <w:rPr>
                <w:rFonts w:hint="eastAsia" w:ascii="宋体" w:hAnsi="宋体" w:eastAsia="宋体" w:cs="宋体"/>
                <w:color w:val="auto"/>
                <w:spacing w:val="0"/>
                <w:position w:val="0"/>
                <w:sz w:val="24"/>
                <w:szCs w:val="24"/>
                <w:highlight w:val="none"/>
                <w:lang w:val="en-US" w:eastAsia="zh-CN"/>
              </w:rPr>
              <w:t>影响工程施工因素的解决措施（</w:t>
            </w:r>
            <w:r>
              <w:rPr>
                <w:rFonts w:hint="eastAsia" w:ascii="宋体" w:hAnsi="宋体" w:cs="宋体"/>
                <w:color w:val="auto"/>
                <w:spacing w:val="0"/>
                <w:position w:val="0"/>
                <w:sz w:val="24"/>
                <w:szCs w:val="24"/>
                <w:highlight w:val="none"/>
                <w:lang w:val="en-US" w:eastAsia="zh-CN"/>
              </w:rPr>
              <w:t>4</w:t>
            </w:r>
            <w:r>
              <w:rPr>
                <w:rFonts w:hint="eastAsia" w:ascii="宋体" w:hAnsi="宋体" w:eastAsia="宋体" w:cs="宋体"/>
                <w:color w:val="auto"/>
                <w:spacing w:val="0"/>
                <w:position w:val="0"/>
                <w:sz w:val="24"/>
                <w:szCs w:val="24"/>
                <w:highlight w:val="none"/>
                <w:lang w:val="en-US" w:eastAsia="zh-CN"/>
              </w:rPr>
              <w:t>）进度保障措施。方案完整包含以上内容且满足本项目要求得</w:t>
            </w:r>
            <w:r>
              <w:rPr>
                <w:rFonts w:hint="eastAsia" w:ascii="宋体" w:hAnsi="宋体" w:cs="宋体"/>
                <w:color w:val="auto"/>
                <w:spacing w:val="0"/>
                <w:position w:val="0"/>
                <w:sz w:val="24"/>
                <w:szCs w:val="24"/>
                <w:highlight w:val="none"/>
                <w:lang w:val="en-US" w:eastAsia="zh-CN"/>
              </w:rPr>
              <w:t>8</w:t>
            </w:r>
            <w:r>
              <w:rPr>
                <w:rFonts w:hint="eastAsia" w:ascii="宋体" w:hAnsi="宋体" w:eastAsia="宋体" w:cs="宋体"/>
                <w:color w:val="auto"/>
                <w:spacing w:val="0"/>
                <w:position w:val="0"/>
                <w:sz w:val="24"/>
                <w:szCs w:val="24"/>
                <w:highlight w:val="none"/>
                <w:lang w:val="en-US" w:eastAsia="zh-CN"/>
              </w:rPr>
              <w:t>分，每缺一项扣</w:t>
            </w:r>
            <w:r>
              <w:rPr>
                <w:rFonts w:hint="eastAsia" w:ascii="宋体" w:hAnsi="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lang w:val="en-US" w:eastAsia="zh-CN"/>
              </w:rPr>
              <w:t>分，每有一处不符合本项目特点或实际采购需求的扣</w:t>
            </w:r>
            <w:r>
              <w:rPr>
                <w:rFonts w:hint="eastAsia" w:ascii="宋体" w:hAnsi="宋体" w:cs="宋体"/>
                <w:color w:val="auto"/>
                <w:spacing w:val="0"/>
                <w:position w:val="0"/>
                <w:sz w:val="24"/>
                <w:szCs w:val="24"/>
                <w:highlight w:val="none"/>
                <w:lang w:val="en-US" w:eastAsia="zh-CN"/>
              </w:rPr>
              <w:t>1</w:t>
            </w:r>
            <w:r>
              <w:rPr>
                <w:rFonts w:hint="eastAsia" w:ascii="宋体" w:hAnsi="宋体" w:eastAsia="宋体" w:cs="宋体"/>
                <w:color w:val="auto"/>
                <w:spacing w:val="0"/>
                <w:position w:val="0"/>
                <w:sz w:val="24"/>
                <w:szCs w:val="24"/>
                <w:highlight w:val="none"/>
                <w:lang w:val="en-US" w:eastAsia="zh-CN"/>
              </w:rPr>
              <w:t>分，本项最多扣</w:t>
            </w:r>
            <w:r>
              <w:rPr>
                <w:rFonts w:hint="eastAsia" w:ascii="宋体" w:hAnsi="宋体" w:cs="宋体"/>
                <w:color w:val="auto"/>
                <w:spacing w:val="0"/>
                <w:position w:val="0"/>
                <w:sz w:val="24"/>
                <w:szCs w:val="24"/>
                <w:highlight w:val="none"/>
                <w:lang w:val="en-US" w:eastAsia="zh-CN"/>
              </w:rPr>
              <w:t>8</w:t>
            </w:r>
            <w:r>
              <w:rPr>
                <w:rFonts w:hint="eastAsia" w:ascii="宋体" w:hAnsi="宋体" w:eastAsia="宋体" w:cs="宋体"/>
                <w:color w:val="auto"/>
                <w:spacing w:val="0"/>
                <w:position w:val="0"/>
                <w:sz w:val="24"/>
                <w:szCs w:val="24"/>
                <w:highlight w:val="none"/>
                <w:lang w:val="en-US" w:eastAsia="zh-CN"/>
              </w:rPr>
              <w:t>分。</w:t>
            </w:r>
          </w:p>
          <w:p w14:paraId="0DF635B0">
            <w:pPr>
              <w:kinsoku/>
              <w:wordWrap/>
              <w:overflowPunct/>
              <w:bidi w:val="0"/>
              <w:spacing w:line="460" w:lineRule="exact"/>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备注：不符合本项目特点或不完整或实际采购需求指：项目名称、实施地点、涉及的规范、标准与本项目要求不一致；不符合本项目实际需求的等情况，此处“等”为等外的意思。</w:t>
            </w:r>
          </w:p>
        </w:tc>
        <w:tc>
          <w:tcPr>
            <w:tcW w:w="1029" w:type="dxa"/>
            <w:gridSpan w:val="2"/>
            <w:noWrap w:val="0"/>
            <w:vAlign w:val="center"/>
          </w:tcPr>
          <w:p w14:paraId="3BB909E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8</w:t>
            </w:r>
          </w:p>
        </w:tc>
      </w:tr>
      <w:tr w14:paraId="30DC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3" w:type="dxa"/>
            <w:vMerge w:val="continue"/>
            <w:noWrap w:val="0"/>
            <w:vAlign w:val="top"/>
          </w:tcPr>
          <w:p w14:paraId="3588273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807" w:type="dxa"/>
            <w:vMerge w:val="continue"/>
            <w:noWrap w:val="0"/>
            <w:vAlign w:val="center"/>
          </w:tcPr>
          <w:p w14:paraId="4B9CAB7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986" w:type="dxa"/>
            <w:noWrap w:val="0"/>
            <w:vAlign w:val="center"/>
          </w:tcPr>
          <w:p w14:paraId="56189CEF">
            <w:pPr>
              <w:pStyle w:val="17"/>
              <w:kinsoku/>
              <w:wordWrap/>
              <w:overflowPunct/>
              <w:bidi w:val="0"/>
              <w:spacing w:after="0" w:line="460" w:lineRule="exact"/>
              <w:jc w:val="center"/>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应急预案</w:t>
            </w:r>
          </w:p>
        </w:tc>
        <w:tc>
          <w:tcPr>
            <w:tcW w:w="5625" w:type="dxa"/>
            <w:noWrap w:val="0"/>
            <w:vAlign w:val="center"/>
          </w:tcPr>
          <w:p w14:paraId="02BF94C3">
            <w:pPr>
              <w:kinsoku/>
              <w:wordWrap/>
              <w:overflowPunct/>
              <w:bidi w:val="0"/>
              <w:spacing w:line="460" w:lineRule="exact"/>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评审小组根据供应商针对本项目提供的应急预案进行评审，方案内容至少包含：（1）应急预案的方针与原则（2）应急保证措施（3）应急事故发生处理流程（4）应急设备配置。方案完整包含以上内容且满足本项目要求得4分，每缺一项扣1分，每有一处不符合本项目特点或不完整或实际采购需求的扣0.5分，本项最多扣4分。</w:t>
            </w:r>
          </w:p>
          <w:p w14:paraId="4CA6527A">
            <w:pPr>
              <w:kinsoku/>
              <w:wordWrap/>
              <w:overflowPunct/>
              <w:bidi w:val="0"/>
              <w:spacing w:line="460" w:lineRule="exact"/>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备注：不符合本项目特点或实际采购需求指：项目名称、实施地点、涉及的规范、标准与本项目要求不一致；不符合本项目实际需求的等情况，此处“等”为等外的意思。</w:t>
            </w:r>
          </w:p>
        </w:tc>
        <w:tc>
          <w:tcPr>
            <w:tcW w:w="1029" w:type="dxa"/>
            <w:gridSpan w:val="2"/>
            <w:noWrap w:val="0"/>
            <w:vAlign w:val="center"/>
          </w:tcPr>
          <w:p w14:paraId="1E15FD3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宋体" w:hAnsi="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4</w:t>
            </w:r>
          </w:p>
        </w:tc>
      </w:tr>
      <w:tr w14:paraId="64AC9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3" w:type="dxa"/>
            <w:vMerge w:val="continue"/>
            <w:noWrap w:val="0"/>
            <w:vAlign w:val="top"/>
          </w:tcPr>
          <w:p w14:paraId="7D3C421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807" w:type="dxa"/>
            <w:vMerge w:val="continue"/>
            <w:noWrap w:val="0"/>
            <w:vAlign w:val="center"/>
          </w:tcPr>
          <w:p w14:paraId="75C1C8F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986" w:type="dxa"/>
            <w:noWrap w:val="0"/>
            <w:vAlign w:val="center"/>
          </w:tcPr>
          <w:p w14:paraId="0FF16F9A">
            <w:pPr>
              <w:pStyle w:val="17"/>
              <w:kinsoku/>
              <w:wordWrap/>
              <w:overflowPunct/>
              <w:bidi w:val="0"/>
              <w:spacing w:after="0" w:line="460" w:lineRule="exact"/>
              <w:jc w:val="center"/>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后续服务</w:t>
            </w:r>
          </w:p>
        </w:tc>
        <w:tc>
          <w:tcPr>
            <w:tcW w:w="5625" w:type="dxa"/>
            <w:noWrap w:val="0"/>
            <w:vAlign w:val="center"/>
          </w:tcPr>
          <w:p w14:paraId="04655961">
            <w:pPr>
              <w:kinsoku/>
              <w:wordWrap/>
              <w:overflowPunct/>
              <w:bidi w:val="0"/>
              <w:spacing w:line="46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评审小组根据供应商针对本项目提供的后续服务方案进行评审，方案内容至少包含：（1）质保期内外服务措施（2）响应时间及问题处理措施（3）后续服务质量保障措施（4）针对本项目提供的后续服务人员配备方案及服务承诺。方案完整包含以上内容且满足本项目要求得8分，每缺一项扣2分，每有一处不符合本项目特点或不完整或实际采购需求的扣1分，本项最多扣8分。</w:t>
            </w:r>
          </w:p>
          <w:p w14:paraId="1B740AFB">
            <w:pPr>
              <w:kinsoku/>
              <w:wordWrap/>
              <w:overflowPunct/>
              <w:bidi w:val="0"/>
              <w:spacing w:line="46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备注：不符合本项目特点或实际采购需求指：项目名称、实施地点、涉及的规范、标准与本项目要求不一致；不符合本项目实际需求的等情况，此处“等”为等外的意思。</w:t>
            </w:r>
          </w:p>
        </w:tc>
        <w:tc>
          <w:tcPr>
            <w:tcW w:w="1029" w:type="dxa"/>
            <w:gridSpan w:val="2"/>
            <w:noWrap w:val="0"/>
            <w:vAlign w:val="center"/>
          </w:tcPr>
          <w:p w14:paraId="54518C7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8</w:t>
            </w:r>
          </w:p>
        </w:tc>
      </w:tr>
      <w:tr w14:paraId="04D0C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961" w:type="dxa"/>
            <w:gridSpan w:val="4"/>
            <w:noWrap w:val="0"/>
            <w:vAlign w:val="top"/>
          </w:tcPr>
          <w:p w14:paraId="0E86761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合计</w:t>
            </w:r>
          </w:p>
        </w:tc>
        <w:tc>
          <w:tcPr>
            <w:tcW w:w="1029" w:type="dxa"/>
            <w:gridSpan w:val="2"/>
            <w:noWrap w:val="0"/>
            <w:vAlign w:val="top"/>
          </w:tcPr>
          <w:p w14:paraId="5AD34F8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100</w:t>
            </w:r>
          </w:p>
        </w:tc>
      </w:tr>
      <w:tr w14:paraId="09CD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990" w:type="dxa"/>
            <w:gridSpan w:val="6"/>
            <w:noWrap w:val="0"/>
            <w:vAlign w:val="top"/>
          </w:tcPr>
          <w:p w14:paraId="5A83D3FC">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注： 1、计算过程中，算术平均值保留2位小数（百分比亦取2位小数），第三位小数四舍五入。</w:t>
            </w:r>
          </w:p>
          <w:p w14:paraId="22E768C9">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w:t>
            </w:r>
            <w:r>
              <w:rPr>
                <w:rFonts w:hint="eastAsia" w:ascii="宋体" w:hAnsi="宋体" w:eastAsia="宋体" w:cs="宋体"/>
                <w:color w:val="auto"/>
                <w:spacing w:val="0"/>
                <w:position w:val="0"/>
                <w:sz w:val="24"/>
                <w:szCs w:val="24"/>
                <w:highlight w:val="none"/>
                <w:lang w:eastAsia="zh-CN"/>
              </w:rPr>
              <w:t>供应商</w:t>
            </w:r>
            <w:r>
              <w:rPr>
                <w:rFonts w:hint="eastAsia" w:ascii="宋体" w:hAnsi="宋体" w:eastAsia="宋体" w:cs="宋体"/>
                <w:color w:val="auto"/>
                <w:spacing w:val="0"/>
                <w:position w:val="0"/>
                <w:sz w:val="24"/>
                <w:szCs w:val="24"/>
                <w:highlight w:val="none"/>
              </w:rPr>
              <w:t>的最终得分为：所有评委对其评分的算术平均值。</w:t>
            </w:r>
          </w:p>
        </w:tc>
      </w:tr>
      <w:bookmarkEnd w:id="30"/>
    </w:tbl>
    <w:p w14:paraId="15C23760">
      <w:pPr>
        <w:widowControl/>
        <w:kinsoku/>
        <w:wordWrap/>
        <w:overflowPunct/>
        <w:bidi w:val="0"/>
        <w:adjustRightInd w:val="0"/>
        <w:snapToGrid w:val="0"/>
        <w:spacing w:line="360" w:lineRule="auto"/>
        <w:rPr>
          <w:rFonts w:hint="eastAsia" w:ascii="宋体" w:hAnsi="宋体" w:eastAsia="宋体" w:cs="宋体"/>
          <w:b/>
          <w:bCs/>
          <w:color w:val="auto"/>
          <w:spacing w:val="0"/>
          <w:position w:val="0"/>
          <w:sz w:val="24"/>
          <w:szCs w:val="24"/>
          <w:highlight w:val="none"/>
          <w:lang w:eastAsia="zh-CN"/>
        </w:rPr>
      </w:pPr>
    </w:p>
    <w:p w14:paraId="34CBC56E">
      <w:pPr>
        <w:widowControl/>
        <w:kinsoku/>
        <w:wordWrap/>
        <w:overflowPunct/>
        <w:bidi w:val="0"/>
        <w:adjustRightInd w:val="0"/>
        <w:snapToGrid w:val="0"/>
        <w:spacing w:line="360" w:lineRule="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eastAsia="zh-CN"/>
        </w:rPr>
        <w:t>三</w:t>
      </w:r>
      <w:r>
        <w:rPr>
          <w:rFonts w:hint="eastAsia" w:ascii="宋体" w:hAnsi="宋体" w:eastAsia="宋体" w:cs="宋体"/>
          <w:b/>
          <w:bCs/>
          <w:color w:val="auto"/>
          <w:spacing w:val="0"/>
          <w:position w:val="0"/>
          <w:sz w:val="24"/>
          <w:szCs w:val="24"/>
          <w:highlight w:val="none"/>
          <w:lang w:val="en-US" w:eastAsia="zh-CN"/>
        </w:rPr>
        <w:t>.支持中小企业发展政策支持</w:t>
      </w:r>
    </w:p>
    <w:p w14:paraId="5E8E36D1">
      <w:pPr>
        <w:widowControl/>
        <w:kinsoku/>
        <w:wordWrap/>
        <w:overflowPunct/>
        <w:bidi w:val="0"/>
        <w:adjustRightInd w:val="0"/>
        <w:snapToGrid w:val="0"/>
        <w:spacing w:line="360" w:lineRule="auto"/>
        <w:ind w:firstLine="480" w:firstLineChars="200"/>
        <w:rPr>
          <w:rFonts w:hint="eastAsia" w:ascii="宋体" w:hAnsi="宋体" w:eastAsia="宋体" w:cs="宋体"/>
          <w:b/>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lang w:val="en-US" w:eastAsia="zh-CN"/>
        </w:rPr>
        <w:t>本项目专门面向中小企业采购，供应商须按《政府采购促进中小企业发展管理办法》（财库〔2020〕46号）第四条的规定参与此次投标，并提供声明函。</w:t>
      </w:r>
    </w:p>
    <w:p w14:paraId="1E9EA858">
      <w:pPr>
        <w:widowControl/>
        <w:kinsoku/>
        <w:wordWrap/>
        <w:overflowPunct/>
        <w:bidi w:val="0"/>
        <w:adjustRightInd w:val="0"/>
        <w:snapToGrid w:val="0"/>
        <w:spacing w:line="360" w:lineRule="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lang w:eastAsia="zh-CN"/>
        </w:rPr>
        <w:t>四</w:t>
      </w:r>
      <w:r>
        <w:rPr>
          <w:rFonts w:hint="eastAsia" w:ascii="宋体" w:hAnsi="宋体" w:eastAsia="宋体" w:cs="宋体"/>
          <w:b/>
          <w:bCs/>
          <w:color w:val="auto"/>
          <w:spacing w:val="0"/>
          <w:position w:val="0"/>
          <w:sz w:val="24"/>
          <w:szCs w:val="24"/>
          <w:highlight w:val="none"/>
        </w:rPr>
        <w:t>.推荐成交供应商</w:t>
      </w:r>
    </w:p>
    <w:p w14:paraId="06E73B11">
      <w:pPr>
        <w:widowControl/>
        <w:kinsoku/>
        <w:wordWrap/>
        <w:overflowPunct/>
        <w:bidi w:val="0"/>
        <w:adjustRightInd w:val="0"/>
        <w:snapToGrid w:val="0"/>
        <w:spacing w:line="360" w:lineRule="auto"/>
        <w:ind w:firstLine="480" w:firstLineChars="200"/>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422C1F25">
      <w:pPr>
        <w:widowControl/>
        <w:kinsoku/>
        <w:wordWrap/>
        <w:overflowPunct/>
        <w:bidi w:val="0"/>
        <w:adjustRightInd w:val="0"/>
        <w:snapToGrid w:val="0"/>
        <w:spacing w:line="360" w:lineRule="auto"/>
        <w:ind w:firstLine="480" w:firstLineChars="200"/>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2.评分计算方法解释</w:t>
      </w:r>
    </w:p>
    <w:p w14:paraId="7EF2F060">
      <w:pPr>
        <w:widowControl/>
        <w:kinsoku/>
        <w:wordWrap/>
        <w:overflowPunct/>
        <w:bidi w:val="0"/>
        <w:adjustRightInd w:val="0"/>
        <w:snapToGrid w:val="0"/>
        <w:spacing w:line="360" w:lineRule="auto"/>
        <w:ind w:firstLine="480" w:firstLineChars="200"/>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（1）供应商的评审得分是指所有磋商小组成员对其评分的算术平均值。</w:t>
      </w:r>
    </w:p>
    <w:p w14:paraId="0279DD7B">
      <w:pPr>
        <w:widowControl/>
        <w:kinsoku/>
        <w:wordWrap/>
        <w:overflowPunct/>
        <w:bidi w:val="0"/>
        <w:adjustRightInd w:val="0"/>
        <w:snapToGrid w:val="0"/>
        <w:spacing w:line="360" w:lineRule="auto"/>
        <w:ind w:firstLine="480" w:firstLineChars="200"/>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（2）计算过程中，算术平均值保留2位小数（百分比亦取2位小数），第三位小数四舍五入。</w:t>
      </w:r>
    </w:p>
    <w:p w14:paraId="6B4CE993">
      <w:pPr>
        <w:widowControl/>
        <w:kinsoku/>
        <w:wordWrap/>
        <w:overflowPunct/>
        <w:bidi w:val="0"/>
        <w:adjustRightInd w:val="0"/>
        <w:snapToGrid w:val="0"/>
        <w:spacing w:line="360" w:lineRule="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lang w:eastAsia="zh-CN"/>
        </w:rPr>
        <w:t>五</w:t>
      </w:r>
      <w:r>
        <w:rPr>
          <w:rFonts w:hint="eastAsia" w:ascii="宋体" w:hAnsi="宋体" w:eastAsia="宋体" w:cs="宋体"/>
          <w:b/>
          <w:bCs/>
          <w:color w:val="auto"/>
          <w:spacing w:val="0"/>
          <w:position w:val="0"/>
          <w:sz w:val="24"/>
          <w:szCs w:val="24"/>
          <w:highlight w:val="none"/>
        </w:rPr>
        <w:t>.确定成交供应商</w:t>
      </w:r>
    </w:p>
    <w:p w14:paraId="22F76DAE">
      <w:pPr>
        <w:widowControl/>
        <w:kinsoku/>
        <w:wordWrap/>
        <w:overflowPunct/>
        <w:bidi w:val="0"/>
        <w:adjustRightInd w:val="0"/>
        <w:snapToGrid w:val="0"/>
        <w:spacing w:line="360" w:lineRule="auto"/>
        <w:ind w:firstLine="480" w:firstLineChars="200"/>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1.采购代理机构应当在评审结束后2个工作日内将评审报告送采购人确认。</w:t>
      </w:r>
    </w:p>
    <w:p w14:paraId="3B517C46">
      <w:pPr>
        <w:widowControl/>
        <w:kinsoku/>
        <w:wordWrap/>
        <w:overflowPunct/>
        <w:bidi w:val="0"/>
        <w:adjustRightInd w:val="0"/>
        <w:snapToGrid w:val="0"/>
        <w:spacing w:line="360" w:lineRule="auto"/>
        <w:ind w:firstLine="480" w:firstLineChars="200"/>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3B09C40">
      <w:pPr>
        <w:kinsoku/>
        <w:wordWrap/>
        <w:overflowPunct/>
        <w:bidi w:val="0"/>
        <w:rPr>
          <w:rFonts w:hint="eastAsia" w:ascii="宋体" w:hAnsi="宋体" w:eastAsia="宋体" w:cs="宋体"/>
          <w:b/>
          <w:bCs/>
          <w:color w:val="auto"/>
          <w:spacing w:val="0"/>
          <w:position w:val="0"/>
          <w:sz w:val="24"/>
          <w:szCs w:val="24"/>
          <w:highlight w:val="none"/>
        </w:rPr>
      </w:pPr>
    </w:p>
    <w:p w14:paraId="44C31285">
      <w:pPr>
        <w:pStyle w:val="2"/>
        <w:pageBreakBefore w:val="0"/>
        <w:widowControl w:val="0"/>
        <w:numPr>
          <w:ilvl w:val="0"/>
          <w:numId w:val="4"/>
        </w:numPr>
        <w:kinsoku/>
        <w:wordWrap/>
        <w:overflowPunct/>
        <w:topLinePunct w:val="0"/>
        <w:autoSpaceDE/>
        <w:autoSpaceDN/>
        <w:bidi w:val="0"/>
        <w:spacing w:before="0" w:beforeLines="0" w:after="0" w:afterLines="0"/>
        <w:jc w:val="center"/>
        <w:textAlignment w:val="auto"/>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br w:type="page"/>
      </w:r>
      <w:r>
        <w:rPr>
          <w:rFonts w:hint="eastAsia" w:ascii="宋体" w:hAnsi="宋体" w:eastAsia="宋体" w:cs="宋体"/>
          <w:color w:val="auto"/>
          <w:spacing w:val="0"/>
          <w:position w:val="0"/>
          <w:sz w:val="28"/>
          <w:szCs w:val="28"/>
          <w:highlight w:val="none"/>
        </w:rPr>
        <w:t xml:space="preserve"> </w:t>
      </w:r>
      <w:bookmarkStart w:id="31" w:name="_Toc26205"/>
      <w:r>
        <w:rPr>
          <w:rFonts w:hint="eastAsia" w:ascii="宋体" w:hAnsi="宋体" w:eastAsia="宋体" w:cs="宋体"/>
          <w:color w:val="auto"/>
          <w:spacing w:val="0"/>
          <w:position w:val="0"/>
          <w:sz w:val="28"/>
          <w:szCs w:val="28"/>
          <w:highlight w:val="none"/>
          <w:lang w:eastAsia="zh-CN"/>
        </w:rPr>
        <w:t>合同</w:t>
      </w:r>
      <w:bookmarkEnd w:id="31"/>
    </w:p>
    <w:p w14:paraId="53ECEC91">
      <w:pPr>
        <w:pStyle w:val="126"/>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ascii="宋体" w:hAnsi="宋体"/>
          <w:bCs/>
          <w:color w:val="auto"/>
          <w:sz w:val="24"/>
          <w:szCs w:val="24"/>
          <w:highlight w:val="none"/>
        </w:rPr>
        <w:sectPr>
          <w:footerReference r:id="rId6" w:type="default"/>
          <w:pgSz w:w="11906" w:h="16838"/>
          <w:pgMar w:top="1440" w:right="1797" w:bottom="1440" w:left="1797" w:header="851" w:footer="992" w:gutter="0"/>
          <w:cols w:space="720" w:num="1"/>
          <w:rtlGutter w:val="0"/>
          <w:docGrid w:linePitch="312" w:charSpace="0"/>
        </w:sectPr>
      </w:pPr>
      <w:r>
        <w:rPr>
          <w:rFonts w:hint="eastAsia" w:ascii="宋体" w:hAnsi="宋体"/>
          <w:bCs/>
          <w:color w:val="auto"/>
          <w:sz w:val="24"/>
          <w:szCs w:val="24"/>
          <w:highlight w:val="none"/>
        </w:rPr>
        <w:t>（根据《政府采购法》和《民法典》采购人和供应商之间的权利和义务，应当按照平等的原则以合同方式约定。此合同书作为签订正式合同时的参考，合同签订双方可根据项目的具体要求进行修订。合同最终以实际签订的为准）</w:t>
      </w:r>
    </w:p>
    <w:p w14:paraId="5DF8E880">
      <w:pPr>
        <w:numPr>
          <w:ilvl w:val="0"/>
          <w:numId w:val="0"/>
        </w:numPr>
        <w:rPr>
          <w:rFonts w:hint="eastAsia"/>
          <w:highlight w:val="none"/>
          <w:lang w:eastAsia="zh-CN"/>
        </w:rPr>
      </w:pPr>
    </w:p>
    <w:p w14:paraId="78BDD427">
      <w:pPr>
        <w:jc w:val="left"/>
        <w:rPr>
          <w:rFonts w:ascii="Times New Roman" w:hAnsi="Times New Roman" w:eastAsia="仿宋_GB2312"/>
          <w:bCs/>
          <w:color w:val="000000"/>
          <w:sz w:val="32"/>
          <w:szCs w:val="32"/>
          <w:highlight w:val="none"/>
        </w:rPr>
      </w:pPr>
      <w:r>
        <w:rPr>
          <w:rFonts w:ascii="Times New Roman" w:hAnsi="Times New Roman" w:eastAsia="仿宋_GB2312"/>
          <w:bCs/>
          <w:color w:val="000000"/>
          <w:sz w:val="32"/>
          <w:szCs w:val="32"/>
          <w:highlight w:val="none"/>
        </w:rPr>
        <w:t>（GF—201</w:t>
      </w:r>
      <w:r>
        <w:rPr>
          <w:rFonts w:hint="eastAsia" w:ascii="Times New Roman" w:hAnsi="Times New Roman" w:eastAsia="仿宋_GB2312"/>
          <w:bCs/>
          <w:color w:val="000000"/>
          <w:sz w:val="32"/>
          <w:szCs w:val="32"/>
          <w:highlight w:val="none"/>
        </w:rPr>
        <w:t>7</w:t>
      </w:r>
      <w:r>
        <w:rPr>
          <w:rFonts w:ascii="Times New Roman" w:hAnsi="Times New Roman" w:eastAsia="仿宋_GB2312"/>
          <w:bCs/>
          <w:color w:val="000000"/>
          <w:sz w:val="32"/>
          <w:szCs w:val="32"/>
          <w:highlight w:val="none"/>
        </w:rPr>
        <w:t>—</w:t>
      </w:r>
      <w:r>
        <w:rPr>
          <w:rFonts w:hint="eastAsia" w:ascii="Times New Roman" w:hAnsi="Times New Roman" w:eastAsia="仿宋_GB2312"/>
          <w:bCs/>
          <w:color w:val="000000"/>
          <w:sz w:val="32"/>
          <w:szCs w:val="32"/>
          <w:highlight w:val="none"/>
        </w:rPr>
        <w:t>0201）</w:t>
      </w:r>
    </w:p>
    <w:p w14:paraId="5D085894">
      <w:pPr>
        <w:wordWrap w:val="0"/>
        <w:jc w:val="right"/>
        <w:rPr>
          <w:rFonts w:hint="default" w:ascii="Times New Roman" w:hAnsi="Times New Roman" w:eastAsia="华文中宋"/>
          <w:b/>
          <w:color w:val="000000"/>
          <w:sz w:val="30"/>
          <w:szCs w:val="30"/>
          <w:highlight w:val="none"/>
          <w:lang w:val="en-US" w:eastAsia="zh-CN"/>
        </w:rPr>
      </w:pPr>
      <w:r>
        <w:rPr>
          <w:rFonts w:hint="eastAsia" w:ascii="Times New Roman" w:hAnsi="Times New Roman" w:eastAsia="华文中宋"/>
          <w:b/>
          <w:color w:val="000000"/>
          <w:sz w:val="30"/>
          <w:szCs w:val="30"/>
          <w:highlight w:val="none"/>
        </w:rPr>
        <w:t>合同编号：</w:t>
      </w:r>
      <w:r>
        <w:rPr>
          <w:rFonts w:hint="eastAsia" w:ascii="Times New Roman" w:hAnsi="Times New Roman" w:eastAsia="华文中宋"/>
          <w:b/>
          <w:color w:val="000000"/>
          <w:sz w:val="30"/>
          <w:szCs w:val="30"/>
          <w:highlight w:val="none"/>
          <w:u w:val="single"/>
          <w:lang w:val="en-US" w:eastAsia="zh-CN"/>
        </w:rPr>
        <w:t xml:space="preserve">             </w:t>
      </w:r>
    </w:p>
    <w:p w14:paraId="7FC4134D">
      <w:pPr>
        <w:jc w:val="center"/>
        <w:rPr>
          <w:rFonts w:ascii="Times New Roman" w:hAnsi="Times New Roman" w:eastAsia="华文中宋"/>
          <w:b/>
          <w:color w:val="000000"/>
          <w:sz w:val="52"/>
          <w:szCs w:val="52"/>
          <w:highlight w:val="none"/>
        </w:rPr>
      </w:pPr>
    </w:p>
    <w:p w14:paraId="48B930EA">
      <w:pPr>
        <w:jc w:val="center"/>
        <w:rPr>
          <w:rFonts w:ascii="Times New Roman" w:hAnsi="Times New Roman" w:eastAsia="华文中宋"/>
          <w:b/>
          <w:color w:val="000000"/>
          <w:sz w:val="52"/>
          <w:szCs w:val="52"/>
          <w:highlight w:val="none"/>
        </w:rPr>
      </w:pPr>
    </w:p>
    <w:p w14:paraId="370E452C">
      <w:pPr>
        <w:jc w:val="center"/>
        <w:rPr>
          <w:rFonts w:ascii="Times New Roman" w:hAnsi="Times New Roman" w:eastAsia="华文中宋"/>
          <w:b/>
          <w:color w:val="000000"/>
          <w:sz w:val="52"/>
          <w:szCs w:val="52"/>
          <w:highlight w:val="none"/>
        </w:rPr>
      </w:pPr>
    </w:p>
    <w:p w14:paraId="4A6D55F5">
      <w:pPr>
        <w:jc w:val="center"/>
        <w:rPr>
          <w:rFonts w:ascii="Times New Roman" w:hAnsi="Times New Roman" w:eastAsia="华文中宋"/>
          <w:b/>
          <w:color w:val="000000"/>
          <w:sz w:val="52"/>
          <w:szCs w:val="52"/>
          <w:highlight w:val="none"/>
        </w:rPr>
      </w:pPr>
    </w:p>
    <w:p w14:paraId="495CD93A">
      <w:pPr>
        <w:jc w:val="center"/>
        <w:rPr>
          <w:rFonts w:hint="eastAsia" w:ascii="Times New Roman" w:hAnsi="Times New Roman" w:eastAsia="华文中宋"/>
          <w:b/>
          <w:color w:val="000000"/>
          <w:sz w:val="72"/>
          <w:szCs w:val="52"/>
          <w:highlight w:val="none"/>
          <w:lang w:eastAsia="zh-CN"/>
        </w:rPr>
      </w:pPr>
      <w:r>
        <w:rPr>
          <w:rFonts w:ascii="Times New Roman" w:hAnsi="Times New Roman" w:eastAsia="华文中宋"/>
          <w:b/>
          <w:color w:val="000000"/>
          <w:sz w:val="72"/>
          <w:szCs w:val="52"/>
          <w:highlight w:val="none"/>
        </w:rPr>
        <w:t>建设工程施工合同</w:t>
      </w:r>
    </w:p>
    <w:p w14:paraId="20B5DDFB">
      <w:pPr>
        <w:pStyle w:val="122"/>
        <w:rPr>
          <w:rFonts w:hint="eastAsia"/>
          <w:highlight w:val="none"/>
          <w:lang w:eastAsia="zh-CN"/>
        </w:rPr>
      </w:pPr>
    </w:p>
    <w:p w14:paraId="38B36A77">
      <w:pPr>
        <w:jc w:val="center"/>
        <w:rPr>
          <w:rFonts w:ascii="Times New Roman" w:hAnsi="Times New Roman" w:eastAsia="华文中宋"/>
          <w:b/>
          <w:color w:val="000000"/>
          <w:sz w:val="52"/>
          <w:szCs w:val="52"/>
          <w:highlight w:val="none"/>
        </w:rPr>
      </w:pPr>
    </w:p>
    <w:p w14:paraId="783821E1">
      <w:pPr>
        <w:jc w:val="center"/>
        <w:rPr>
          <w:rFonts w:ascii="Times New Roman" w:hAnsi="Times New Roman" w:eastAsia="黑体"/>
          <w:b/>
          <w:color w:val="000000"/>
          <w:sz w:val="72"/>
          <w:szCs w:val="72"/>
          <w:highlight w:val="none"/>
        </w:rPr>
      </w:pPr>
    </w:p>
    <w:p w14:paraId="5877E7B6">
      <w:pPr>
        <w:jc w:val="center"/>
        <w:rPr>
          <w:rFonts w:ascii="Times New Roman" w:hAnsi="Times New Roman" w:eastAsia="楷体_GB2312"/>
          <w:b/>
          <w:color w:val="000000"/>
          <w:sz w:val="72"/>
          <w:szCs w:val="72"/>
          <w:highlight w:val="none"/>
        </w:rPr>
      </w:pPr>
    </w:p>
    <w:p w14:paraId="49FDCAF2">
      <w:pPr>
        <w:rPr>
          <w:rFonts w:ascii="Times New Roman" w:hAnsi="Times New Roman"/>
          <w:b/>
          <w:color w:val="000000"/>
          <w:sz w:val="28"/>
          <w:szCs w:val="28"/>
          <w:highlight w:val="none"/>
        </w:rPr>
      </w:pPr>
    </w:p>
    <w:p w14:paraId="4A5883AA">
      <w:pPr>
        <w:rPr>
          <w:rFonts w:ascii="Times New Roman" w:hAnsi="Times New Roman"/>
          <w:b/>
          <w:color w:val="000000"/>
          <w:sz w:val="28"/>
          <w:szCs w:val="28"/>
          <w:highlight w:val="none"/>
        </w:rPr>
      </w:pPr>
    </w:p>
    <w:p w14:paraId="1E631887">
      <w:pPr>
        <w:rPr>
          <w:rFonts w:ascii="Times New Roman" w:hAnsi="Times New Roman"/>
          <w:b/>
          <w:color w:val="000000"/>
          <w:sz w:val="28"/>
          <w:szCs w:val="28"/>
          <w:highlight w:val="none"/>
        </w:rPr>
      </w:pPr>
    </w:p>
    <w:p w14:paraId="4A53B81B">
      <w:pPr>
        <w:rPr>
          <w:rFonts w:ascii="Times New Roman" w:hAnsi="Times New Roman"/>
          <w:b/>
          <w:color w:val="000000"/>
          <w:sz w:val="28"/>
          <w:szCs w:val="28"/>
          <w:highlight w:val="none"/>
        </w:rPr>
      </w:pPr>
    </w:p>
    <w:p w14:paraId="699839D4">
      <w:pPr>
        <w:ind w:right="2719" w:rightChars="1295" w:firstLine="2738" w:firstLineChars="1304"/>
        <w:jc w:val="distribute"/>
        <w:rPr>
          <w:rFonts w:ascii="Times New Roman" w:hAnsi="Times New Roman"/>
          <w:b/>
          <w:color w:val="000000"/>
          <w:sz w:val="32"/>
          <w:szCs w:val="28"/>
          <w:highlight w:val="none"/>
        </w:rPr>
      </w:pPr>
      <w:r>
        <w:rPr>
          <w:rFonts w:ascii="Times New Roman" w:hAnsi="Times New Roman"/>
          <w:highlight w:val="none"/>
        </w:rPr>
        <mc:AlternateContent>
          <mc:Choice Requires="wps">
            <w:drawing>
              <wp:anchor distT="0" distB="0" distL="114300" distR="114300" simplePos="0" relativeHeight="251659264" behindDoc="0" locked="0" layoutInCell="1" allowOverlap="1">
                <wp:simplePos x="0" y="0"/>
                <wp:positionH relativeFrom="column">
                  <wp:posOffset>4625340</wp:posOffset>
                </wp:positionH>
                <wp:positionV relativeFrom="paragraph">
                  <wp:posOffset>120015</wp:posOffset>
                </wp:positionV>
                <wp:extent cx="768985" cy="457200"/>
                <wp:effectExtent l="4445" t="4445" r="7620" b="14605"/>
                <wp:wrapNone/>
                <wp:docPr id="14" name="文本框 14"/>
                <wp:cNvGraphicFramePr/>
                <a:graphic xmlns:a="http://schemas.openxmlformats.org/drawingml/2006/main">
                  <a:graphicData uri="http://schemas.microsoft.com/office/word/2010/wordprocessingShape">
                    <wps:wsp>
                      <wps:cNvSpPr txBox="1"/>
                      <wps:spPr>
                        <a:xfrm>
                          <a:off x="0" y="0"/>
                          <a:ext cx="768985" cy="457200"/>
                        </a:xfrm>
                        <a:prstGeom prst="rect">
                          <a:avLst/>
                        </a:prstGeom>
                        <a:noFill/>
                        <a:ln w="9525" cap="flat" cmpd="sng">
                          <a:solidFill>
                            <a:srgbClr val="FFFFFF"/>
                          </a:solidFill>
                          <a:prstDash val="solid"/>
                          <a:miter/>
                          <a:headEnd type="none" w="med" len="med"/>
                          <a:tailEnd type="none" w="med" len="med"/>
                        </a:ln>
                      </wps:spPr>
                      <wps:txbx>
                        <w:txbxContent>
                          <w:p w14:paraId="4A6A8140">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64.2pt;margin-top:9.45pt;height:36pt;width:60.55pt;z-index:251659264;mso-width-relative:page;mso-height-relative:page;" filled="f" stroked="t" coordsize="21600,21600" o:gfxdata="UEsDBAoAAAAAAIdO4kAAAAAAAAAAAAAAAAAEAAAAZHJzL1BLAwQUAAAACACHTuJAcn34FdgAAAAJ&#10;AQAADwAAAGRycy9kb3ducmV2LnhtbE2PQU7DMBBF90jcwRokNhW1W4XihDhdILFgUaClB3BjEwfi&#10;cRQ7Sbk9w4ouR//p/zfl9uw7NtkhtgEVrJYCmMU6mBYbBceP5zsJLCaNRncBrYIfG2FbXV+VujBh&#10;xr2dDqlhVIKx0ApcSn3Beayd9TouQ2+Rss8weJ3oHBpuBj1Tue/4WogN97pFWnC6t0/O1t+H0SvY&#10;v7j3BWa7XWf4tPk6vo5vs1wodXuzEo/Akj2nfxj+9EkdKnI6hRFNZJ2Ch7XMCKVA5sAIkFl+D+yk&#10;IBc58Krklx9Uv1BLAwQUAAAACACHTuJAV3Zo3gUCAAAOBAAADgAAAGRycy9lMm9Eb2MueG1srVNL&#10;jhMxEN0jcQfLe9KZaDKTaaUzEoSwQYA0cADHn25L/snlpDsXgBuwYsOec+UclN2ZDAybLOiFu1z1&#10;/Fz1qry8H6whexlBe9fQq8mUEum4F9q1Df3yefNqQQkk5gQz3smGHiTQ+9XLF8s+1HLmO2+EjARJ&#10;HNR9aGiXUqirCngnLYOJD9JhUPloWcJtbCsRWY/s1lSz6fSm6n0UIXouAdC7HoP0xBgvIfRKaS7X&#10;nu+sdGlkjdKwhCVBpwPQVclWKcnTR6VAJmIaipWmsuIlaG/zWq2WrG4jC53mpxTYJSk8q8ky7fDS&#10;M9WaJUZ2Uf9DZTWPHrxKE+5tNRZSFMEqrqbPtHnoWJClFpQawll0+H+0/MP+UyRa4CRcU+KYxY4f&#10;v387/vh1/PmVoA8F6gPUiHsIiEzDaz8g+NEP6Mx1Dyra/MeKCMZR3sNZXjkkwtF5e7O4W8wp4Ri6&#10;nt/iMGSW6ulwiJDeSW9JNhoasXtFVLZ/D2mEPkLyXc5vtDGlg8aRvqF381mmZziVCqcBTRuwMnBt&#10;oQFvtMhH8mGI7faNiWTPcDI25Ttl8xcs37dm0I24EsowVludZCxWJ5l46wRJh4DiOXw0NCdjpaDE&#10;SHxj2SrIxLS5BImSGIfKZOFHgbOVhu2ANNncenHAZuxC1G2HSpV2FDiOSZH0NNJ5Dv/cF9KnZ7z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J9+BXYAAAACQEAAA8AAAAAAAAAAQAgAAAAIgAAAGRy&#10;cy9kb3ducmV2LnhtbFBLAQIUABQAAAAIAIdO4kBXdmjeBQIAAA4EAAAOAAAAAAAAAAEAIAAAACcB&#10;AABkcnMvZTJvRG9jLnhtbFBLBQYAAAAABgAGAFkBAACeBQAAAAA=&#10;">
                <v:fill on="f" focussize="0,0"/>
                <v:stroke color="#FFFFFF" joinstyle="miter"/>
                <v:imagedata o:title=""/>
                <o:lock v:ext="edit" aspectratio="f"/>
                <v:textbox>
                  <w:txbxContent>
                    <w:p w14:paraId="4A6A8140">
                      <w:pPr>
                        <w:rPr>
                          <w:rFonts w:hint="eastAsia"/>
                          <w:b/>
                          <w:bCs/>
                          <w:sz w:val="32"/>
                        </w:rPr>
                      </w:pPr>
                      <w:r>
                        <w:rPr>
                          <w:rFonts w:hint="eastAsia"/>
                          <w:b/>
                          <w:bCs/>
                          <w:sz w:val="32"/>
                        </w:rPr>
                        <w:t>制定</w:t>
                      </w:r>
                    </w:p>
                  </w:txbxContent>
                </v:textbox>
              </v:shape>
            </w:pict>
          </mc:Fallback>
        </mc:AlternateContent>
      </w:r>
      <w:r>
        <w:rPr>
          <w:rFonts w:ascii="Times New Roman" w:hAnsi="Times New Roman"/>
          <w:b/>
          <w:color w:val="000000"/>
          <w:sz w:val="32"/>
          <w:szCs w:val="28"/>
          <w:highlight w:val="none"/>
        </w:rPr>
        <w:t>住房城乡建设部</w:t>
      </w:r>
    </w:p>
    <w:p w14:paraId="22D2A62B">
      <w:pPr>
        <w:ind w:right="2719" w:rightChars="1295" w:firstLine="2750" w:firstLineChars="856"/>
        <w:jc w:val="distribute"/>
        <w:rPr>
          <w:rFonts w:ascii="Times New Roman" w:hAnsi="Times New Roman"/>
          <w:b/>
          <w:color w:val="000000"/>
          <w:sz w:val="32"/>
          <w:szCs w:val="28"/>
          <w:highlight w:val="none"/>
        </w:rPr>
      </w:pPr>
      <w:r>
        <w:rPr>
          <w:rFonts w:ascii="Times New Roman" w:hAnsi="Times New Roman"/>
          <w:b/>
          <w:color w:val="000000"/>
          <w:sz w:val="32"/>
          <w:szCs w:val="28"/>
          <w:highlight w:val="none"/>
        </w:rPr>
        <w:t>国家工商行政管理总局</w:t>
      </w:r>
    </w:p>
    <w:p w14:paraId="31DB24D2">
      <w:pPr>
        <w:rPr>
          <w:rFonts w:ascii="Times New Roman" w:hAnsi="Times New Roman"/>
          <w:b/>
          <w:color w:val="000000"/>
          <w:highlight w:val="none"/>
        </w:rPr>
      </w:pPr>
    </w:p>
    <w:p w14:paraId="1292DE51">
      <w:pPr>
        <w:rPr>
          <w:rFonts w:hint="eastAsia" w:ascii="宋体" w:hAnsi="宋体" w:cs="宋体"/>
          <w:b/>
          <w:bCs/>
          <w:sz w:val="32"/>
          <w:szCs w:val="32"/>
          <w:highlight w:val="none"/>
        </w:rPr>
      </w:pPr>
    </w:p>
    <w:p w14:paraId="7B263419">
      <w:pPr>
        <w:pStyle w:val="123"/>
        <w:spacing w:before="0" w:after="0" w:line="240" w:lineRule="auto"/>
        <w:jc w:val="center"/>
        <w:outlineLvl w:val="0"/>
        <w:rPr>
          <w:rFonts w:hint="eastAsia" w:ascii="Times New Roman" w:hAnsi="Times New Roman" w:eastAsia="华文中宋"/>
          <w:highlight w:val="none"/>
          <w:lang w:val="zh-CN"/>
        </w:rPr>
        <w:sectPr>
          <w:footerReference r:id="rId10" w:type="first"/>
          <w:footerReference r:id="rId8" w:type="default"/>
          <w:headerReference r:id="rId7" w:type="even"/>
          <w:footerReference r:id="rId9" w:type="even"/>
          <w:pgSz w:w="11906" w:h="16838"/>
          <w:pgMar w:top="1418" w:right="1555" w:bottom="1418" w:left="1531" w:header="851" w:footer="992" w:gutter="0"/>
          <w:pgNumType w:fmt="numberInDash" w:start="0"/>
          <w:cols w:space="720" w:num="1"/>
          <w:titlePg/>
          <w:docGrid w:type="lines" w:linePitch="312" w:charSpace="0"/>
        </w:sectPr>
      </w:pPr>
      <w:bookmarkStart w:id="32" w:name="_Toc24680"/>
      <w:bookmarkStart w:id="33" w:name="_Toc15006"/>
    </w:p>
    <w:p w14:paraId="278657CE">
      <w:pPr>
        <w:pStyle w:val="123"/>
        <w:spacing w:before="0" w:after="0" w:line="240" w:lineRule="auto"/>
        <w:ind w:firstLine="3855" w:firstLineChars="1600"/>
        <w:jc w:val="both"/>
        <w:outlineLvl w:val="0"/>
        <w:rPr>
          <w:rFonts w:hint="eastAsia" w:ascii="方正仿宋_GB2312" w:hAnsi="方正仿宋_GB2312" w:eastAsia="方正仿宋_GB2312" w:cs="方正仿宋_GB2312"/>
          <w:sz w:val="24"/>
          <w:szCs w:val="24"/>
          <w:highlight w:val="none"/>
          <w:lang w:val="zh-CN"/>
        </w:rPr>
      </w:pPr>
      <w:bookmarkStart w:id="34" w:name="_Toc13989"/>
      <w:r>
        <w:rPr>
          <w:rFonts w:hint="eastAsia" w:ascii="方正仿宋_GB2312" w:hAnsi="方正仿宋_GB2312" w:eastAsia="方正仿宋_GB2312" w:cs="方正仿宋_GB2312"/>
          <w:sz w:val="24"/>
          <w:szCs w:val="24"/>
          <w:highlight w:val="none"/>
          <w:lang w:val="zh-CN"/>
        </w:rPr>
        <w:t>说  明</w:t>
      </w:r>
      <w:bookmarkEnd w:id="32"/>
      <w:bookmarkEnd w:id="33"/>
      <w:bookmarkEnd w:id="34"/>
    </w:p>
    <w:p w14:paraId="275EAE89">
      <w:pPr>
        <w:spacing w:line="36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为了指导建设工程施工合同当事人的签约行为，维护合同当事人的合法权益，依据《中华人民共和国</w:t>
      </w:r>
      <w:r>
        <w:rPr>
          <w:rFonts w:hint="eastAsia" w:ascii="方正仿宋_GB2312" w:hAnsi="方正仿宋_GB2312" w:eastAsia="方正仿宋_GB2312" w:cs="方正仿宋_GB2312"/>
          <w:sz w:val="24"/>
          <w:szCs w:val="24"/>
          <w:highlight w:val="none"/>
          <w:lang w:eastAsia="zh-CN"/>
        </w:rPr>
        <w:t>民法典</w:t>
      </w:r>
      <w:r>
        <w:rPr>
          <w:rFonts w:hint="eastAsia" w:ascii="方正仿宋_GB2312" w:hAnsi="方正仿宋_GB2312" w:eastAsia="方正仿宋_GB2312" w:cs="方正仿宋_GB2312"/>
          <w:sz w:val="24"/>
          <w:szCs w:val="24"/>
          <w:highlight w:val="none"/>
        </w:rPr>
        <w:t>》、《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26450A60">
      <w:pPr>
        <w:spacing w:line="360" w:lineRule="exact"/>
        <w:ind w:firstLine="480" w:firstLineChars="200"/>
        <w:outlineLvl w:val="0"/>
        <w:rPr>
          <w:rFonts w:hint="eastAsia" w:ascii="方正仿宋_GB2312" w:hAnsi="方正仿宋_GB2312" w:eastAsia="方正仿宋_GB2312" w:cs="方正仿宋_GB2312"/>
          <w:bCs/>
          <w:sz w:val="24"/>
          <w:szCs w:val="24"/>
          <w:highlight w:val="none"/>
        </w:rPr>
      </w:pPr>
      <w:bookmarkStart w:id="35" w:name="_Toc23913"/>
      <w:bookmarkStart w:id="36" w:name="_Toc4572"/>
      <w:bookmarkStart w:id="37" w:name="_Toc15694"/>
      <w:r>
        <w:rPr>
          <w:rFonts w:hint="eastAsia" w:ascii="方正仿宋_GB2312" w:hAnsi="方正仿宋_GB2312" w:eastAsia="方正仿宋_GB2312" w:cs="方正仿宋_GB2312"/>
          <w:bCs/>
          <w:sz w:val="24"/>
          <w:szCs w:val="24"/>
          <w:highlight w:val="none"/>
        </w:rPr>
        <w:t>一、《示范文本》的组成</w:t>
      </w:r>
      <w:bookmarkEnd w:id="35"/>
      <w:bookmarkEnd w:id="36"/>
      <w:bookmarkEnd w:id="37"/>
    </w:p>
    <w:p w14:paraId="361D97BD">
      <w:pPr>
        <w:spacing w:line="36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《示范文本》由合同协议书、通用合同条款和专用合同条款三部分组成。</w:t>
      </w:r>
    </w:p>
    <w:p w14:paraId="0D201E5D">
      <w:pPr>
        <w:spacing w:line="360" w:lineRule="exact"/>
        <w:ind w:firstLine="480" w:firstLineChars="200"/>
        <w:outlineLvl w:val="0"/>
        <w:rPr>
          <w:rFonts w:hint="eastAsia" w:ascii="方正仿宋_GB2312" w:hAnsi="方正仿宋_GB2312" w:eastAsia="方正仿宋_GB2312" w:cs="方正仿宋_GB2312"/>
          <w:sz w:val="24"/>
          <w:szCs w:val="24"/>
          <w:highlight w:val="none"/>
        </w:rPr>
      </w:pPr>
      <w:bookmarkStart w:id="38" w:name="_Toc28482"/>
      <w:bookmarkStart w:id="39" w:name="_Toc14075"/>
      <w:bookmarkStart w:id="40" w:name="_Toc23014"/>
      <w:r>
        <w:rPr>
          <w:rFonts w:hint="eastAsia" w:ascii="方正仿宋_GB2312" w:hAnsi="方正仿宋_GB2312" w:eastAsia="方正仿宋_GB2312" w:cs="方正仿宋_GB2312"/>
          <w:sz w:val="24"/>
          <w:szCs w:val="24"/>
          <w:highlight w:val="none"/>
        </w:rPr>
        <w:t>（一）合同协议书</w:t>
      </w:r>
      <w:bookmarkEnd w:id="38"/>
      <w:bookmarkEnd w:id="39"/>
      <w:bookmarkEnd w:id="40"/>
    </w:p>
    <w:p w14:paraId="6A15E56D">
      <w:pPr>
        <w:spacing w:line="36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31ED1548">
      <w:pPr>
        <w:spacing w:line="360" w:lineRule="exact"/>
        <w:ind w:firstLine="480" w:firstLineChars="200"/>
        <w:outlineLvl w:val="0"/>
        <w:rPr>
          <w:rFonts w:hint="eastAsia" w:ascii="方正仿宋_GB2312" w:hAnsi="方正仿宋_GB2312" w:eastAsia="方正仿宋_GB2312" w:cs="方正仿宋_GB2312"/>
          <w:sz w:val="24"/>
          <w:szCs w:val="24"/>
          <w:highlight w:val="none"/>
        </w:rPr>
      </w:pPr>
      <w:bookmarkStart w:id="41" w:name="_Toc12916"/>
      <w:bookmarkStart w:id="42" w:name="_Toc16969"/>
      <w:bookmarkStart w:id="43" w:name="_Toc27753"/>
      <w:r>
        <w:rPr>
          <w:rFonts w:hint="eastAsia" w:ascii="方正仿宋_GB2312" w:hAnsi="方正仿宋_GB2312" w:eastAsia="方正仿宋_GB2312" w:cs="方正仿宋_GB2312"/>
          <w:sz w:val="24"/>
          <w:szCs w:val="24"/>
          <w:highlight w:val="none"/>
        </w:rPr>
        <w:t>（二）通用合同条款</w:t>
      </w:r>
      <w:bookmarkEnd w:id="41"/>
      <w:bookmarkEnd w:id="42"/>
      <w:bookmarkEnd w:id="43"/>
    </w:p>
    <w:p w14:paraId="414B3620">
      <w:pPr>
        <w:spacing w:line="36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通用合同条款是合同当事人根据《中华人民共和国建筑法》、《中华人民共和国</w:t>
      </w:r>
      <w:r>
        <w:rPr>
          <w:rFonts w:hint="eastAsia" w:ascii="方正仿宋_GB2312" w:hAnsi="方正仿宋_GB2312" w:eastAsia="方正仿宋_GB2312" w:cs="方正仿宋_GB2312"/>
          <w:sz w:val="24"/>
          <w:szCs w:val="24"/>
          <w:highlight w:val="none"/>
          <w:lang w:eastAsia="zh-CN"/>
        </w:rPr>
        <w:t>民法典</w:t>
      </w:r>
      <w:r>
        <w:rPr>
          <w:rFonts w:hint="eastAsia" w:ascii="方正仿宋_GB2312" w:hAnsi="方正仿宋_GB2312" w:eastAsia="方正仿宋_GB2312" w:cs="方正仿宋_GB2312"/>
          <w:sz w:val="24"/>
          <w:szCs w:val="24"/>
          <w:highlight w:val="none"/>
        </w:rPr>
        <w:t>》等法律法规的规定，就工程建设的实施及相关事项，对合同当事人的权利义务作出的原则性约定。</w:t>
      </w:r>
    </w:p>
    <w:p w14:paraId="2A87A44E">
      <w:pPr>
        <w:spacing w:line="36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557E87FF">
      <w:pPr>
        <w:spacing w:line="360" w:lineRule="exact"/>
        <w:ind w:firstLine="480" w:firstLineChars="200"/>
        <w:outlineLvl w:val="0"/>
        <w:rPr>
          <w:rFonts w:hint="eastAsia" w:ascii="方正仿宋_GB2312" w:hAnsi="方正仿宋_GB2312" w:eastAsia="方正仿宋_GB2312" w:cs="方正仿宋_GB2312"/>
          <w:sz w:val="24"/>
          <w:szCs w:val="24"/>
          <w:highlight w:val="none"/>
        </w:rPr>
      </w:pPr>
      <w:bookmarkStart w:id="44" w:name="_Toc14631"/>
      <w:bookmarkStart w:id="45" w:name="_Toc7802"/>
      <w:bookmarkStart w:id="46" w:name="_Toc31147"/>
      <w:r>
        <w:rPr>
          <w:rFonts w:hint="eastAsia" w:ascii="方正仿宋_GB2312" w:hAnsi="方正仿宋_GB2312" w:eastAsia="方正仿宋_GB2312" w:cs="方正仿宋_GB2312"/>
          <w:sz w:val="24"/>
          <w:szCs w:val="24"/>
          <w:highlight w:val="none"/>
        </w:rPr>
        <w:t>（三）专用合同条款</w:t>
      </w:r>
      <w:bookmarkEnd w:id="44"/>
      <w:bookmarkEnd w:id="45"/>
      <w:bookmarkEnd w:id="46"/>
    </w:p>
    <w:p w14:paraId="37B9D655">
      <w:pPr>
        <w:spacing w:line="36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79E8F596">
      <w:pPr>
        <w:spacing w:line="360" w:lineRule="exact"/>
        <w:ind w:right="25" w:rightChars="12"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1.专用合同条款的编号应与相应的通用合同条款的编号一致；</w:t>
      </w:r>
    </w:p>
    <w:p w14:paraId="42287508">
      <w:pPr>
        <w:spacing w:line="36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2.合同当事人可以通过对专用合同条款的修改，满足具体建设工程的特殊要求，避免直接修改通用合同条款；</w:t>
      </w:r>
    </w:p>
    <w:p w14:paraId="65DDE5AD">
      <w:pPr>
        <w:spacing w:line="360" w:lineRule="exact"/>
        <w:outlineLvl w:val="0"/>
        <w:rPr>
          <w:rFonts w:hint="eastAsia" w:ascii="方正仿宋_GB2312" w:hAnsi="方正仿宋_GB2312" w:eastAsia="方正仿宋_GB2312" w:cs="方正仿宋_GB2312"/>
          <w:sz w:val="24"/>
          <w:szCs w:val="24"/>
          <w:highlight w:val="none"/>
        </w:rPr>
      </w:pPr>
      <w:bookmarkStart w:id="47" w:name="_Toc6725"/>
      <w:r>
        <w:rPr>
          <w:rFonts w:hint="eastAsia" w:ascii="方正仿宋_GB2312" w:hAnsi="方正仿宋_GB2312" w:eastAsia="方正仿宋_GB2312" w:cs="方正仿宋_GB2312"/>
          <w:sz w:val="24"/>
          <w:szCs w:val="24"/>
          <w:highlight w:val="none"/>
        </w:rPr>
        <w:t>3.在专用合同条款中有横道线的地方，合同当事人可针对相应的通用合同条款进行细化、完善、补充、修改或另行约定；如无细化、完善、补充、修改或另行约定，则填写“无”或划“/”。</w:t>
      </w:r>
      <w:bookmarkEnd w:id="47"/>
      <w:bookmarkStart w:id="48" w:name="_Toc16523"/>
      <w:bookmarkStart w:id="49" w:name="_Toc14731"/>
    </w:p>
    <w:p w14:paraId="1D1F8A4C">
      <w:pPr>
        <w:spacing w:line="360" w:lineRule="exact"/>
        <w:outlineLvl w:val="0"/>
        <w:rPr>
          <w:rFonts w:hint="eastAsia" w:ascii="方正仿宋_GB2312" w:hAnsi="方正仿宋_GB2312" w:eastAsia="方正仿宋_GB2312" w:cs="方正仿宋_GB2312"/>
          <w:b/>
          <w:sz w:val="24"/>
          <w:szCs w:val="24"/>
          <w:highlight w:val="none"/>
        </w:rPr>
      </w:pPr>
      <w:bookmarkStart w:id="50" w:name="_Toc1342"/>
      <w:r>
        <w:rPr>
          <w:rFonts w:hint="eastAsia" w:ascii="方正仿宋_GB2312" w:hAnsi="方正仿宋_GB2312" w:eastAsia="方正仿宋_GB2312" w:cs="方正仿宋_GB2312"/>
          <w:bCs/>
          <w:sz w:val="24"/>
          <w:szCs w:val="24"/>
          <w:highlight w:val="none"/>
        </w:rPr>
        <w:t>二、《示范文本》的性质和适用范围</w:t>
      </w:r>
      <w:bookmarkEnd w:id="48"/>
      <w:bookmarkEnd w:id="49"/>
      <w:bookmarkEnd w:id="50"/>
    </w:p>
    <w:p w14:paraId="286AB63F">
      <w:pPr>
        <w:spacing w:line="360" w:lineRule="exact"/>
        <w:ind w:firstLine="480" w:firstLineChars="200"/>
        <w:rPr>
          <w:rFonts w:hint="eastAsia" w:ascii="方正仿宋_GB2312" w:hAnsi="方正仿宋_GB2312" w:eastAsia="方正仿宋_GB2312" w:cs="方正仿宋_GB2312"/>
          <w:sz w:val="24"/>
          <w:szCs w:val="24"/>
          <w:highlight w:val="none"/>
        </w:rPr>
        <w:sectPr>
          <w:footerReference r:id="rId12" w:type="first"/>
          <w:footerReference r:id="rId11" w:type="default"/>
          <w:pgSz w:w="11906" w:h="16838"/>
          <w:pgMar w:top="1418" w:right="1555" w:bottom="1418" w:left="1531" w:header="851" w:footer="992" w:gutter="0"/>
          <w:pgNumType w:fmt="numberInDash" w:start="0"/>
          <w:cols w:space="720" w:num="1"/>
          <w:titlePg/>
          <w:docGrid w:type="lines" w:linePitch="312" w:charSpace="0"/>
        </w:sectPr>
      </w:pPr>
      <w:r>
        <w:rPr>
          <w:rFonts w:hint="eastAsia" w:ascii="方正仿宋_GB2312" w:hAnsi="方正仿宋_GB2312" w:eastAsia="方正仿宋_GB2312" w:cs="方正仿宋_GB2312"/>
          <w:sz w:val="24"/>
          <w:szCs w:val="24"/>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02341891">
      <w:pPr>
        <w:pStyle w:val="124"/>
        <w:spacing w:before="120" w:after="120"/>
        <w:jc w:val="cente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lang w:val="zh-CN"/>
        </w:rPr>
        <w:t>目  录</w:t>
      </w:r>
    </w:p>
    <w:p w14:paraId="3BD73901">
      <w:pPr>
        <w:pStyle w:val="22"/>
        <w:tabs>
          <w:tab w:val="right" w:leader="dot" w:pos="8810"/>
        </w:tabs>
        <w:ind w:left="0" w:leftChars="0" w:firstLine="360" w:firstLineChars="150"/>
        <w:rPr>
          <w:rFonts w:hint="eastAsia" w:ascii="方正仿宋_GB2312" w:hAnsi="方正仿宋_GB2312" w:eastAsia="方正仿宋_GB2312" w:cs="方正仿宋_GB2312"/>
          <w:b/>
          <w:sz w:val="24"/>
          <w:szCs w:val="24"/>
          <w:highlight w:val="none"/>
        </w:rPr>
      </w:pPr>
      <w:r>
        <w:rPr>
          <w:rFonts w:hint="eastAsia" w:ascii="方正仿宋_GB2312" w:hAnsi="方正仿宋_GB2312" w:eastAsia="方正仿宋_GB2312" w:cs="方正仿宋_GB2312"/>
          <w:sz w:val="24"/>
          <w:szCs w:val="24"/>
          <w:highlight w:val="none"/>
        </w:rPr>
        <w:fldChar w:fldCharType="begin"/>
      </w:r>
      <w:r>
        <w:rPr>
          <w:rFonts w:hint="eastAsia" w:ascii="方正仿宋_GB2312" w:hAnsi="方正仿宋_GB2312" w:eastAsia="方正仿宋_GB2312" w:cs="方正仿宋_GB2312"/>
          <w:sz w:val="24"/>
          <w:szCs w:val="24"/>
          <w:highlight w:val="none"/>
        </w:rPr>
        <w:instrText xml:space="preserve"> TOC \o "1-5" \h \z \u </w:instrText>
      </w:r>
      <w:r>
        <w:rPr>
          <w:rFonts w:hint="eastAsia" w:ascii="方正仿宋_GB2312" w:hAnsi="方正仿宋_GB2312" w:eastAsia="方正仿宋_GB2312" w:cs="方正仿宋_GB2312"/>
          <w:sz w:val="24"/>
          <w:szCs w:val="24"/>
          <w:highlight w:val="none"/>
        </w:rPr>
        <w:fldChar w:fldCharType="separate"/>
      </w: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"_Toc351203480"</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b/>
          <w:sz w:val="24"/>
          <w:szCs w:val="24"/>
          <w:highlight w:val="none"/>
        </w:rPr>
        <w:t>第一部分 合同协议书</w:t>
      </w:r>
      <w:r>
        <w:rPr>
          <w:rFonts w:hint="eastAsia" w:ascii="方正仿宋_GB2312" w:hAnsi="方正仿宋_GB2312" w:eastAsia="方正仿宋_GB2312" w:cs="方正仿宋_GB2312"/>
          <w:sz w:val="24"/>
          <w:szCs w:val="24"/>
          <w:highlight w:val="none"/>
        </w:rPr>
        <w:t>…………………………......................…...</w:t>
      </w:r>
      <w:r>
        <w:rPr>
          <w:rFonts w:hint="eastAsia" w:ascii="方正仿宋_GB2312" w:hAnsi="方正仿宋_GB2312" w:eastAsia="方正仿宋_GB2312" w:cs="方正仿宋_GB2312"/>
          <w:b/>
          <w:sz w:val="24"/>
          <w:szCs w:val="24"/>
          <w:highlight w:val="none"/>
        </w:rPr>
        <w:fldChar w:fldCharType="end"/>
      </w:r>
      <w:r>
        <w:rPr>
          <w:rFonts w:hint="eastAsia" w:ascii="方正仿宋_GB2312" w:hAnsi="方正仿宋_GB2312" w:eastAsia="方正仿宋_GB2312" w:cs="方正仿宋_GB2312"/>
          <w:b/>
          <w:sz w:val="24"/>
          <w:szCs w:val="24"/>
          <w:highlight w:val="none"/>
        </w:rPr>
        <w:t>1</w:t>
      </w:r>
    </w:p>
    <w:p w14:paraId="47541082">
      <w:pPr>
        <w:pStyle w:val="30"/>
        <w:ind w:firstLine="360" w:firstLineChars="15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"_Toc351203481"</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一、工程概况</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t>1</w:t>
      </w:r>
    </w:p>
    <w:p w14:paraId="5B9D73F3">
      <w:pPr>
        <w:pStyle w:val="30"/>
        <w:ind w:firstLine="360" w:firstLineChars="15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"_Toc351203482"</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二、合同工期</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t>1</w:t>
      </w:r>
    </w:p>
    <w:p w14:paraId="1BA77A95">
      <w:pPr>
        <w:pStyle w:val="30"/>
        <w:ind w:firstLine="360" w:firstLineChars="15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"_Toc351203483"</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三、质量标准</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t>2</w:t>
      </w:r>
    </w:p>
    <w:p w14:paraId="108CA496">
      <w:pPr>
        <w:pStyle w:val="30"/>
        <w:ind w:firstLine="360" w:firstLineChars="15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"_Toc351203484"</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四、签约合同价与合同价格形式</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t>2</w:t>
      </w:r>
    </w:p>
    <w:p w14:paraId="42414387">
      <w:pPr>
        <w:pStyle w:val="30"/>
        <w:ind w:firstLine="360" w:firstLineChars="15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"_Toc351203485"</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五、项目经理</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t>2</w:t>
      </w:r>
    </w:p>
    <w:p w14:paraId="7609DB13">
      <w:pPr>
        <w:pStyle w:val="30"/>
        <w:ind w:firstLine="360" w:firstLineChars="15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"_Toc351203486"</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六、合同文件构成</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rPr>
        <w:fldChar w:fldCharType="end"/>
      </w:r>
    </w:p>
    <w:p w14:paraId="4F33F735">
      <w:pPr>
        <w:pStyle w:val="30"/>
        <w:ind w:firstLine="360" w:firstLineChars="15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"_Toc351203487"</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七、承诺</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t>3</w:t>
      </w:r>
    </w:p>
    <w:p w14:paraId="19C4AA62">
      <w:pPr>
        <w:pStyle w:val="30"/>
        <w:ind w:firstLine="360" w:firstLineChars="15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"_Toc351203488"</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八、词语含义</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rPr>
        <w:fldChar w:fldCharType="end"/>
      </w:r>
    </w:p>
    <w:p w14:paraId="0801F0EE">
      <w:pPr>
        <w:pStyle w:val="30"/>
        <w:ind w:firstLine="360" w:firstLineChars="15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"_Toc351203489"</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九、签订时间</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t>3</w:t>
      </w:r>
    </w:p>
    <w:p w14:paraId="1D55D2DC">
      <w:pPr>
        <w:pStyle w:val="30"/>
        <w:ind w:firstLine="360" w:firstLineChars="15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"_Toc351203490"</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十、签订地点</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4</w:t>
      </w:r>
    </w:p>
    <w:p w14:paraId="49A435F8">
      <w:pPr>
        <w:pStyle w:val="30"/>
        <w:ind w:firstLine="360" w:firstLineChars="15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"_Toc351203491"</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十一、补充协议</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4</w:t>
      </w:r>
    </w:p>
    <w:p w14:paraId="00AFDB8D">
      <w:pPr>
        <w:pStyle w:val="30"/>
        <w:ind w:firstLine="360" w:firstLineChars="15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"_Toc351203492"</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十二、合同生效</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4</w:t>
      </w:r>
    </w:p>
    <w:p w14:paraId="270980AB">
      <w:pPr>
        <w:pStyle w:val="30"/>
        <w:ind w:firstLine="360" w:firstLineChars="15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"_Toc351203493"</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十三、合同份数</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t>4</w:t>
      </w:r>
    </w:p>
    <w:p w14:paraId="31EAF5CD">
      <w:pPr>
        <w:pStyle w:val="22"/>
        <w:tabs>
          <w:tab w:val="right" w:leader="dot" w:pos="8810"/>
        </w:tabs>
        <w:ind w:left="0" w:leftChars="0" w:firstLine="239" w:firstLineChars="99"/>
        <w:rPr>
          <w:rFonts w:hint="eastAsia" w:ascii="方正仿宋_GB2312" w:hAnsi="方正仿宋_GB2312" w:eastAsia="方正仿宋_GB2312" w:cs="方正仿宋_GB2312"/>
          <w:b/>
          <w:sz w:val="24"/>
          <w:szCs w:val="24"/>
          <w:highlight w:val="none"/>
        </w:rPr>
      </w:pPr>
      <w:r>
        <w:rPr>
          <w:rFonts w:hint="eastAsia" w:ascii="方正仿宋_GB2312" w:hAnsi="方正仿宋_GB2312" w:eastAsia="方正仿宋_GB2312" w:cs="方正仿宋_GB2312"/>
          <w:b/>
          <w:sz w:val="24"/>
          <w:szCs w:val="24"/>
          <w:highlight w:val="none"/>
        </w:rPr>
        <w:fldChar w:fldCharType="begin"/>
      </w:r>
      <w:r>
        <w:rPr>
          <w:rStyle w:val="45"/>
          <w:rFonts w:hint="eastAsia" w:ascii="方正仿宋_GB2312" w:hAnsi="方正仿宋_GB2312" w:eastAsia="方正仿宋_GB2312" w:cs="方正仿宋_GB2312"/>
          <w:b/>
          <w:sz w:val="24"/>
          <w:szCs w:val="24"/>
          <w:highlight w:val="none"/>
        </w:rPr>
        <w:instrText xml:space="preserve"> </w:instrText>
      </w:r>
      <w:r>
        <w:rPr>
          <w:rFonts w:hint="eastAsia" w:ascii="方正仿宋_GB2312" w:hAnsi="方正仿宋_GB2312" w:eastAsia="方正仿宋_GB2312" w:cs="方正仿宋_GB2312"/>
          <w:b/>
          <w:sz w:val="24"/>
          <w:szCs w:val="24"/>
          <w:highlight w:val="none"/>
        </w:rPr>
        <w:instrText xml:space="preserve">HYPERLINK \l "_Toc351203494"</w:instrText>
      </w:r>
      <w:r>
        <w:rPr>
          <w:rStyle w:val="45"/>
          <w:rFonts w:hint="eastAsia" w:ascii="方正仿宋_GB2312" w:hAnsi="方正仿宋_GB2312" w:eastAsia="方正仿宋_GB2312" w:cs="方正仿宋_GB2312"/>
          <w:b/>
          <w:sz w:val="24"/>
          <w:szCs w:val="24"/>
          <w:highlight w:val="none"/>
        </w:rPr>
        <w:instrText xml:space="preserve"> </w:instrText>
      </w:r>
      <w:r>
        <w:rPr>
          <w:rFonts w:hint="eastAsia" w:ascii="方正仿宋_GB2312" w:hAnsi="方正仿宋_GB2312" w:eastAsia="方正仿宋_GB2312" w:cs="方正仿宋_GB2312"/>
          <w:b/>
          <w:sz w:val="24"/>
          <w:szCs w:val="24"/>
          <w:highlight w:val="none"/>
        </w:rPr>
        <w:fldChar w:fldCharType="separate"/>
      </w:r>
      <w:r>
        <w:rPr>
          <w:rStyle w:val="45"/>
          <w:rFonts w:hint="eastAsia" w:ascii="方正仿宋_GB2312" w:hAnsi="方正仿宋_GB2312" w:eastAsia="方正仿宋_GB2312" w:cs="方正仿宋_GB2312"/>
          <w:b/>
          <w:sz w:val="24"/>
          <w:szCs w:val="24"/>
          <w:highlight w:val="none"/>
        </w:rPr>
        <w:t>第二部分 通用合同条款</w:t>
      </w: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b/>
          <w:sz w:val="24"/>
          <w:szCs w:val="24"/>
          <w:highlight w:val="none"/>
        </w:rPr>
        <w:fldChar w:fldCharType="end"/>
      </w:r>
    </w:p>
    <w:p w14:paraId="2FB7B919">
      <w:pPr>
        <w:pStyle w:val="30"/>
        <w:ind w:firstLine="360" w:firstLineChars="15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"_Toc351203495"</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 一般约定</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rPr>
        <w:fldChar w:fldCharType="end"/>
      </w:r>
    </w:p>
    <w:p w14:paraId="675E98E6">
      <w:pPr>
        <w:pStyle w:val="21"/>
        <w:ind w:firstLine="240" w:firstLineChars="1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"_Toc351203496"</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1.1词语定义与解释</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rPr>
        <w:fldChar w:fldCharType="end"/>
      </w:r>
    </w:p>
    <w:p w14:paraId="6A9CFE57">
      <w:pPr>
        <w:pStyle w:val="21"/>
        <w:ind w:firstLine="240" w:firstLineChars="1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"_Toc351203497"</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1.2语言文字</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8</w:t>
      </w:r>
      <w:r>
        <w:rPr>
          <w:rFonts w:hint="eastAsia" w:ascii="方正仿宋_GB2312" w:hAnsi="方正仿宋_GB2312" w:eastAsia="方正仿宋_GB2312" w:cs="方正仿宋_GB2312"/>
          <w:sz w:val="24"/>
          <w:szCs w:val="24"/>
          <w:highlight w:val="none"/>
        </w:rPr>
        <w:fldChar w:fldCharType="end"/>
      </w:r>
    </w:p>
    <w:p w14:paraId="74EF8DB7">
      <w:pPr>
        <w:pStyle w:val="21"/>
        <w:ind w:firstLine="240" w:firstLineChars="1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"_Toc351203498"</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1.3法律</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8</w:t>
      </w:r>
      <w:r>
        <w:rPr>
          <w:rFonts w:hint="eastAsia" w:ascii="方正仿宋_GB2312" w:hAnsi="方正仿宋_GB2312" w:eastAsia="方正仿宋_GB2312" w:cs="方正仿宋_GB2312"/>
          <w:sz w:val="24"/>
          <w:szCs w:val="24"/>
          <w:highlight w:val="none"/>
        </w:rPr>
        <w:fldChar w:fldCharType="end"/>
      </w:r>
    </w:p>
    <w:p w14:paraId="720D18A3">
      <w:pPr>
        <w:pStyle w:val="21"/>
        <w:ind w:firstLine="240" w:firstLineChars="1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"_Toc351203499"</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1.4 标准和规范</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8</w:t>
      </w:r>
      <w:r>
        <w:rPr>
          <w:rFonts w:hint="eastAsia" w:ascii="方正仿宋_GB2312" w:hAnsi="方正仿宋_GB2312" w:eastAsia="方正仿宋_GB2312" w:cs="方正仿宋_GB2312"/>
          <w:sz w:val="24"/>
          <w:szCs w:val="24"/>
          <w:highlight w:val="none"/>
        </w:rPr>
        <w:fldChar w:fldCharType="end"/>
      </w:r>
    </w:p>
    <w:p w14:paraId="3661555F">
      <w:pPr>
        <w:pStyle w:val="21"/>
        <w:ind w:firstLine="240" w:firstLineChars="100"/>
        <w:rPr>
          <w:rFonts w:hint="eastAsia" w:ascii="方正仿宋_GB2312" w:hAnsi="方正仿宋_GB2312" w:eastAsia="方正仿宋_GB2312" w:cs="方正仿宋_GB2312"/>
          <w:sz w:val="24"/>
          <w:szCs w:val="24"/>
          <w:highlight w:val="none"/>
        </w:rPr>
        <w:sectPr>
          <w:footerReference r:id="rId13" w:type="default"/>
          <w:pgSz w:w="11906" w:h="16838"/>
          <w:pgMar w:top="1418" w:right="1555" w:bottom="1418" w:left="1531" w:header="851" w:footer="992" w:gutter="0"/>
          <w:pgNumType w:fmt="numberInDash" w:start="0"/>
          <w:cols w:space="720" w:num="1"/>
          <w:docGrid w:type="lines" w:linePitch="312" w:charSpace="0"/>
        </w:sectPr>
      </w:pPr>
    </w:p>
    <w:p w14:paraId="6F31F9DA">
      <w:pPr>
        <w:pStyle w:val="21"/>
        <w:ind w:firstLine="240" w:firstLineChars="1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"_Toc351203500"</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1.5 合同文件的优先顺序</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8</w:t>
      </w:r>
      <w:r>
        <w:rPr>
          <w:rFonts w:hint="eastAsia" w:ascii="方正仿宋_GB2312" w:hAnsi="方正仿宋_GB2312" w:eastAsia="方正仿宋_GB2312" w:cs="方正仿宋_GB2312"/>
          <w:sz w:val="24"/>
          <w:szCs w:val="24"/>
          <w:highlight w:val="none"/>
        </w:rPr>
        <w:fldChar w:fldCharType="end"/>
      </w:r>
    </w:p>
    <w:p w14:paraId="5BF450A4">
      <w:pPr>
        <w:pStyle w:val="21"/>
        <w:ind w:firstLine="240" w:firstLineChars="1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"_Toc351203501"</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1.6图纸和承包人文件</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lang w:val="en-US" w:eastAsia="zh-CN"/>
        </w:rPr>
        <w:t>8</w:t>
      </w:r>
      <w:r>
        <w:rPr>
          <w:rFonts w:hint="eastAsia" w:ascii="方正仿宋_GB2312" w:hAnsi="方正仿宋_GB2312" w:eastAsia="方正仿宋_GB2312" w:cs="方正仿宋_GB2312"/>
          <w:sz w:val="24"/>
          <w:szCs w:val="24"/>
          <w:highlight w:val="none"/>
        </w:rPr>
        <w:fldChar w:fldCharType="end"/>
      </w:r>
    </w:p>
    <w:p w14:paraId="69DF7D65">
      <w:pPr>
        <w:pStyle w:val="21"/>
        <w:ind w:firstLine="240" w:firstLineChars="1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"_Toc351203502"</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1.7联络</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lang w:val="en-US" w:eastAsia="zh-CN"/>
        </w:rPr>
        <w:t>9</w:t>
      </w:r>
      <w:r>
        <w:rPr>
          <w:rFonts w:hint="eastAsia" w:ascii="方正仿宋_GB2312" w:hAnsi="方正仿宋_GB2312" w:eastAsia="方正仿宋_GB2312" w:cs="方正仿宋_GB2312"/>
          <w:sz w:val="24"/>
          <w:szCs w:val="24"/>
          <w:highlight w:val="none"/>
        </w:rPr>
        <w:fldChar w:fldCharType="end"/>
      </w:r>
    </w:p>
    <w:p w14:paraId="37C99BD5">
      <w:pPr>
        <w:pStyle w:val="21"/>
        <w:ind w:firstLine="240" w:firstLineChars="1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"_Toc351203503"</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1.8严禁贿赂</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lang w:val="en-US" w:eastAsia="zh-CN"/>
        </w:rPr>
        <w:t>9</w:t>
      </w:r>
      <w:r>
        <w:rPr>
          <w:rFonts w:hint="eastAsia" w:ascii="方正仿宋_GB2312" w:hAnsi="方正仿宋_GB2312" w:eastAsia="方正仿宋_GB2312" w:cs="方正仿宋_GB2312"/>
          <w:sz w:val="24"/>
          <w:szCs w:val="24"/>
          <w:highlight w:val="none"/>
        </w:rPr>
        <w:fldChar w:fldCharType="end"/>
      </w:r>
    </w:p>
    <w:p w14:paraId="0E1D20B7">
      <w:pPr>
        <w:pStyle w:val="21"/>
        <w:ind w:firstLine="240" w:firstLineChars="1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"_Toc351203504"</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1.9化石、文物</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t>0</w:t>
      </w:r>
    </w:p>
    <w:p w14:paraId="57F9C30E">
      <w:pPr>
        <w:pStyle w:val="21"/>
        <w:ind w:firstLine="240" w:firstLineChars="1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"_Toc351203505"</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1.10交通运输</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t>0</w:t>
      </w:r>
    </w:p>
    <w:p w14:paraId="1380B811">
      <w:pPr>
        <w:pStyle w:val="21"/>
        <w:ind w:firstLine="240" w:firstLineChars="1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"_Toc351203506"</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1.11知识产权</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t>1</w:t>
      </w:r>
    </w:p>
    <w:p w14:paraId="13023ACD">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"_Toc351203507"</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1.12保密</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1</w:t>
      </w:r>
    </w:p>
    <w:p w14:paraId="1F746E22">
      <w:pPr>
        <w:pStyle w:val="21"/>
        <w:ind w:firstLine="240" w:firstLineChars="100"/>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"_Toc351203508"</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1.13工程量清单错误的修正</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1</w:t>
      </w:r>
    </w:p>
    <w:p w14:paraId="6737A101">
      <w:pPr>
        <w:pStyle w:val="30"/>
        <w:ind w:firstLine="240" w:firstLineChars="1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"_Toc351203509"</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2. 发包人</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t>2</w:t>
      </w:r>
    </w:p>
    <w:p w14:paraId="51C61B8B">
      <w:pPr>
        <w:pStyle w:val="21"/>
        <w:ind w:firstLine="240" w:firstLineChars="1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"_Toc351203510"</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2.1 许可或批准</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t>2</w:t>
      </w:r>
    </w:p>
    <w:p w14:paraId="3D044A76">
      <w:pPr>
        <w:pStyle w:val="21"/>
        <w:ind w:firstLine="240" w:firstLineChars="1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"_Toc351203511"</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2.2 发包人代表</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t>2</w:t>
      </w:r>
    </w:p>
    <w:p w14:paraId="25E4300A">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"_Toc351203512"</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2.3 发包人人员</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2</w:t>
      </w:r>
    </w:p>
    <w:p w14:paraId="22CBE4D7">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"_Toc351203513"</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2.4 施工现场、施工条件和基础资料的提供</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2</w:t>
      </w:r>
    </w:p>
    <w:p w14:paraId="7A4E3D50">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"_Toc351203514"</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2.5 资金来源证明及支付担保</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3</w:t>
      </w:r>
    </w:p>
    <w:p w14:paraId="42897309">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"_Toc351203515"</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2.6 支付合同价款</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3</w:t>
      </w:r>
    </w:p>
    <w:p w14:paraId="192AFA46">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"_Toc351203516"</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2.7 组织竣工验收</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3</w:t>
      </w:r>
    </w:p>
    <w:p w14:paraId="45774C21">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"_Toc351203517"</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2.8 现场统一管理协议</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3</w:t>
      </w:r>
    </w:p>
    <w:p w14:paraId="601EF0D4">
      <w:pPr>
        <w:pStyle w:val="30"/>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"_Toc351203518"</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3. 承包人</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3</w:t>
      </w:r>
    </w:p>
    <w:p w14:paraId="2B16D8B2">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"_Toc351203519"</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3.1 承包人的一般义务</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3</w:t>
      </w:r>
    </w:p>
    <w:p w14:paraId="0AD35C2A">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"_Toc351203520"</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3.2 项目经理</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4</w:t>
      </w:r>
    </w:p>
    <w:p w14:paraId="72C98089">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"_Toc351203521"</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3.3 承包人人员</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5</w:t>
      </w:r>
    </w:p>
    <w:p w14:paraId="68DAF4EF">
      <w:pPr>
        <w:pStyle w:val="21"/>
        <w:ind w:firstLine="240" w:firstLineChars="100"/>
        <w:rPr>
          <w:rFonts w:hint="eastAsia" w:ascii="方正仿宋_GB2312" w:hAnsi="方正仿宋_GB2312" w:eastAsia="方正仿宋_GB2312" w:cs="方正仿宋_GB2312"/>
          <w:sz w:val="24"/>
          <w:szCs w:val="24"/>
          <w:highlight w:val="none"/>
        </w:rPr>
        <w:sectPr>
          <w:footerReference r:id="rId14" w:type="default"/>
          <w:pgSz w:w="11906" w:h="16838"/>
          <w:pgMar w:top="1418" w:right="1555" w:bottom="1418" w:left="1531" w:header="851" w:footer="992" w:gutter="0"/>
          <w:pgNumType w:fmt="numberInDash" w:start="0"/>
          <w:cols w:space="720" w:num="1"/>
          <w:docGrid w:type="lines" w:linePitch="312" w:charSpace="0"/>
        </w:sectPr>
      </w:pPr>
    </w:p>
    <w:p w14:paraId="5197866E">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"_Toc351203522"</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3.4 承包人现场查勘</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5</w:t>
      </w:r>
    </w:p>
    <w:p w14:paraId="054D5409">
      <w:pPr>
        <w:pStyle w:val="21"/>
        <w:ind w:firstLine="240" w:firstLineChars="100"/>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"_Toc351203523"</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3.5 分包</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6</w:t>
      </w:r>
    </w:p>
    <w:p w14:paraId="563316F3">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"_Toc351203524"</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3.6 工程照管与成品、半成品保护</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6</w:t>
      </w:r>
    </w:p>
    <w:p w14:paraId="1B78BDEF">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"_Toc351203525"</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3.7 履约担保</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7</w:t>
      </w:r>
    </w:p>
    <w:p w14:paraId="58EEA911">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"_Toc351203526"</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3.8 联合体</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7</w:t>
      </w:r>
    </w:p>
    <w:p w14:paraId="6FE6C9FE">
      <w:pPr>
        <w:pStyle w:val="30"/>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"_Toc351203527"</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4. 监理人</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7</w:t>
      </w:r>
    </w:p>
    <w:p w14:paraId="28D71A56">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"_Toc351203528"</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4.1监理人的一般规定</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7</w:t>
      </w:r>
    </w:p>
    <w:p w14:paraId="42AFFFE0">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"_Toc351203529"</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4.2监理人员</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7</w:t>
      </w:r>
    </w:p>
    <w:p w14:paraId="3640DFF8">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"_Toc351203530"</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4.3监理人的指示</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7</w:t>
      </w:r>
    </w:p>
    <w:p w14:paraId="7DCFE9AE">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"_Toc351203531"</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4.4 商定或确定</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8</w:t>
      </w:r>
    </w:p>
    <w:p w14:paraId="7542BD73">
      <w:pPr>
        <w:pStyle w:val="30"/>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"_Toc351203532"</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5. 工程质量</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8</w:t>
      </w:r>
    </w:p>
    <w:p w14:paraId="186C267D">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"_Toc351203533"</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5.1质量要求</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8</w:t>
      </w:r>
    </w:p>
    <w:p w14:paraId="5113F9FA">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"_Toc351203534"</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5.2质量保证措施</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8</w:t>
      </w:r>
    </w:p>
    <w:p w14:paraId="4E1B2579">
      <w:pPr>
        <w:pStyle w:val="21"/>
        <w:ind w:firstLine="240" w:firstLineChars="100"/>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"_Toc351203535"</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5.3 隐蔽工程检查</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lang w:val="en-US" w:eastAsia="zh-CN"/>
        </w:rPr>
        <w:t>1</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9</w:t>
      </w:r>
    </w:p>
    <w:p w14:paraId="30AE6C79">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"_Toc351203536"</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5.4不合格工程的处理</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0</w:t>
      </w:r>
    </w:p>
    <w:p w14:paraId="5AAC1519">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"_Toc351203537"</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5.5 质量争议检测</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0</w:t>
      </w:r>
    </w:p>
    <w:p w14:paraId="675D2309">
      <w:pPr>
        <w:pStyle w:val="30"/>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"_Toc351203538"</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6. 安全文明施工与环境保护</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0</w:t>
      </w:r>
    </w:p>
    <w:p w14:paraId="301C1ADC">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"_Toc351203539"</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6.1安全文明施工</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0</w:t>
      </w:r>
    </w:p>
    <w:p w14:paraId="5E064414">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"_Toc351203540"</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6.2 职业健康</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2</w:t>
      </w:r>
    </w:p>
    <w:p w14:paraId="27D5AD5F">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"_Toc351203541"</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6.3 环境保护</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3</w:t>
      </w:r>
    </w:p>
    <w:p w14:paraId="2C951393">
      <w:pPr>
        <w:pStyle w:val="30"/>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"_Toc351203542"</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7. 工期和进度</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3</w:t>
      </w:r>
    </w:p>
    <w:p w14:paraId="31F42F9C">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"_Toc351203543"</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7.1施工组织设计</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3</w:t>
      </w:r>
    </w:p>
    <w:p w14:paraId="7978E374">
      <w:pPr>
        <w:pStyle w:val="21"/>
        <w:ind w:firstLine="240" w:firstLineChars="100"/>
        <w:rPr>
          <w:rFonts w:hint="eastAsia" w:ascii="方正仿宋_GB2312" w:hAnsi="方正仿宋_GB2312" w:eastAsia="方正仿宋_GB2312" w:cs="方正仿宋_GB2312"/>
          <w:sz w:val="24"/>
          <w:szCs w:val="24"/>
          <w:highlight w:val="none"/>
        </w:rPr>
        <w:sectPr>
          <w:footerReference r:id="rId15" w:type="default"/>
          <w:pgSz w:w="11906" w:h="16838"/>
          <w:pgMar w:top="1418" w:right="1555" w:bottom="1418" w:left="1531" w:header="851" w:footer="992" w:gutter="0"/>
          <w:pgNumType w:fmt="numberInDash" w:start="0"/>
          <w:cols w:space="720" w:num="1"/>
          <w:docGrid w:type="lines" w:linePitch="312" w:charSpace="0"/>
        </w:sectPr>
      </w:pPr>
    </w:p>
    <w:p w14:paraId="5EEB18BA">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"_Toc351203544"</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7.2 施工进度计划</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4</w:t>
      </w:r>
    </w:p>
    <w:p w14:paraId="77FFB64C">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"_Toc351203545"</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7.3 开工</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4</w:t>
      </w:r>
    </w:p>
    <w:p w14:paraId="6A188EE8">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"_Toc351203546"</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7.4测量放线</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5</w:t>
      </w:r>
    </w:p>
    <w:p w14:paraId="2F6CA5A8">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"_Toc351203547"</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7.5工期延误</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5</w:t>
      </w:r>
    </w:p>
    <w:p w14:paraId="75E70BCE">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"_Toc351203548"</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7.6 不利物质条件</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6</w:t>
      </w:r>
    </w:p>
    <w:p w14:paraId="7570889E">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"_Toc351203549"</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7.7异常恶劣的气候条件</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6</w:t>
      </w:r>
    </w:p>
    <w:p w14:paraId="516109EF">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"_Toc351203550"</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7.8 暂停施工</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6</w:t>
      </w:r>
    </w:p>
    <w:p w14:paraId="297AFEC7">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"_Toc351203551"</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7.9 提前竣工</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7</w:t>
      </w:r>
    </w:p>
    <w:p w14:paraId="1F6D4B59">
      <w:pPr>
        <w:pStyle w:val="30"/>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"_Toc351203552"</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8. 材料与设备</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8</w:t>
      </w:r>
    </w:p>
    <w:p w14:paraId="5EBC01F1">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"_Toc351203553"</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8.1发包人供应材料与工程设备</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8</w:t>
      </w:r>
    </w:p>
    <w:p w14:paraId="3A4E34EF">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"_Toc351203554"</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8.2承包人采购材料与工程设备</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8</w:t>
      </w:r>
    </w:p>
    <w:p w14:paraId="04AB8607">
      <w:pPr>
        <w:pStyle w:val="21"/>
        <w:ind w:firstLine="240" w:firstLineChars="100"/>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"_Toc351203555"</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8.3材料与工程设备的接收与拒收</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lang w:val="en-US" w:eastAsia="zh-CN"/>
        </w:rPr>
        <w:t>2</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8</w:t>
      </w:r>
    </w:p>
    <w:p w14:paraId="23896E53">
      <w:pPr>
        <w:pStyle w:val="21"/>
        <w:ind w:firstLine="240" w:firstLineChars="100"/>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"_Toc351203556"</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8.4材料与工程设备的保管与使用</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lang w:val="en-US" w:eastAsia="zh-CN"/>
        </w:rPr>
        <w:t>2</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8</w:t>
      </w:r>
    </w:p>
    <w:p w14:paraId="590DBC4B">
      <w:pPr>
        <w:pStyle w:val="21"/>
        <w:ind w:firstLine="240" w:firstLineChars="100"/>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"_Toc351203557"</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8.5 禁止使用不合格的材料和工程设备</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lang w:val="en-US" w:eastAsia="zh-CN"/>
        </w:rPr>
        <w:t>2</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9</w:t>
      </w:r>
    </w:p>
    <w:p w14:paraId="1C9BFCEE">
      <w:pPr>
        <w:pStyle w:val="21"/>
        <w:ind w:firstLine="240" w:firstLineChars="100"/>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"_Toc351203558"</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8.6 样品</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lang w:val="en-US" w:eastAsia="zh-CN"/>
        </w:rPr>
        <w:t>2</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9</w:t>
      </w:r>
    </w:p>
    <w:p w14:paraId="5FD9209C">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"_Toc351203559"</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8.7 材料与工程设备的替代</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0</w:t>
      </w:r>
    </w:p>
    <w:p w14:paraId="3D93A1F0">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"_Toc351203560"</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8.8 施工设备和临时设施</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0</w:t>
      </w:r>
    </w:p>
    <w:p w14:paraId="48A46AF0">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"_Toc351203561"</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8.9材料与设备专用要求</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1</w:t>
      </w:r>
    </w:p>
    <w:p w14:paraId="350579F8">
      <w:pPr>
        <w:pStyle w:val="30"/>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"_Toc351203562"</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9. 试验与检验</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1</w:t>
      </w:r>
    </w:p>
    <w:p w14:paraId="4B69F85C">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"_Toc351203563"</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9.1试验设备与试验人员</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1</w:t>
      </w:r>
    </w:p>
    <w:p w14:paraId="7F087140">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"_Toc351203564"</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9.2取样</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1</w:t>
      </w:r>
    </w:p>
    <w:p w14:paraId="78B25415">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"_Toc351203565"</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9.3 材料、工程设备和工程的试验和检验</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1</w:t>
      </w:r>
    </w:p>
    <w:p w14:paraId="5D32AB4A">
      <w:pPr>
        <w:pStyle w:val="21"/>
        <w:ind w:firstLine="240" w:firstLineChars="100"/>
        <w:rPr>
          <w:rFonts w:hint="eastAsia" w:ascii="方正仿宋_GB2312" w:hAnsi="方正仿宋_GB2312" w:eastAsia="方正仿宋_GB2312" w:cs="方正仿宋_GB2312"/>
          <w:sz w:val="24"/>
          <w:szCs w:val="24"/>
          <w:highlight w:val="none"/>
        </w:rPr>
        <w:sectPr>
          <w:footerReference r:id="rId16" w:type="default"/>
          <w:pgSz w:w="11906" w:h="16838"/>
          <w:pgMar w:top="1418" w:right="1555" w:bottom="1418" w:left="1531" w:header="851" w:footer="992" w:gutter="0"/>
          <w:pgNumType w:fmt="numberInDash" w:start="0"/>
          <w:cols w:space="720" w:num="1"/>
          <w:docGrid w:type="lines" w:linePitch="312" w:charSpace="0"/>
        </w:sectPr>
      </w:pPr>
    </w:p>
    <w:p w14:paraId="4CD72C6C">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"_Toc351203566"</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9.4 现场工艺试验</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2</w:t>
      </w:r>
    </w:p>
    <w:p w14:paraId="7ABD4F58">
      <w:pPr>
        <w:pStyle w:val="30"/>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"_Toc351203567"</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10. 变更</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2</w:t>
      </w:r>
    </w:p>
    <w:p w14:paraId="5E3BE4B9">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"_Toc351203568"</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10.1变更的范围</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2</w:t>
      </w:r>
    </w:p>
    <w:p w14:paraId="15CD5C4F">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"_Toc351203569"</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10.2 变更权</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2</w:t>
      </w:r>
    </w:p>
    <w:p w14:paraId="157BDF08">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"_Toc351203570"</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10.3变更程序</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2</w:t>
      </w:r>
    </w:p>
    <w:p w14:paraId="3C9DAE84">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"_Toc351203571"</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10.4变更估价</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3</w:t>
      </w:r>
    </w:p>
    <w:p w14:paraId="6E245780">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"_Toc351203572"</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10.5 承包人的合理化建议</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3</w:t>
      </w:r>
    </w:p>
    <w:p w14:paraId="0AF4EE31">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"_Toc351203573"</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10.6 变更引起的工期调整</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3</w:t>
      </w:r>
    </w:p>
    <w:p w14:paraId="5815464E">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"_Toc351203574"</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10.7 暂估价</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3</w:t>
      </w:r>
    </w:p>
    <w:p w14:paraId="50D526DA">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"_Toc351203575"</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10.8 暂列金额</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5</w:t>
      </w:r>
    </w:p>
    <w:p w14:paraId="20CE4F96">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"_Toc351203576"</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10.9 计日工</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5</w:t>
      </w:r>
    </w:p>
    <w:p w14:paraId="665B74A7">
      <w:pPr>
        <w:pStyle w:val="30"/>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"_Toc351203577"</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11. 价格调整</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5</w:t>
      </w:r>
    </w:p>
    <w:p w14:paraId="74127D91">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"_Toc351203578"</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11.1 市场价格波动引起的调整</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5</w:t>
      </w:r>
    </w:p>
    <w:p w14:paraId="2B114D2B">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"_Toc351203579"</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11.2 法律变化引起的调整</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7</w:t>
      </w:r>
    </w:p>
    <w:p w14:paraId="1B095D31">
      <w:pPr>
        <w:pStyle w:val="30"/>
        <w:ind w:firstLine="240" w:firstLineChars="100"/>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"_Toc351203580"</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12. 合同价格、计量与支付</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lang w:val="en-US" w:eastAsia="zh-CN"/>
        </w:rPr>
        <w:t>3</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7</w:t>
      </w:r>
    </w:p>
    <w:p w14:paraId="78D126E5">
      <w:pPr>
        <w:pStyle w:val="21"/>
        <w:ind w:firstLine="240" w:firstLineChars="100"/>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"_Toc351203581"</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12.1 合同价格形式</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lang w:val="en-US" w:eastAsia="zh-CN"/>
        </w:rPr>
        <w:t>3</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7</w:t>
      </w:r>
    </w:p>
    <w:p w14:paraId="5EFE2B07">
      <w:pPr>
        <w:pStyle w:val="21"/>
        <w:ind w:firstLine="240" w:firstLineChars="100"/>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"_Toc351203582"</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12.2 预付款</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lang w:val="en-US" w:eastAsia="zh-CN"/>
        </w:rPr>
        <w:t>3</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8</w:t>
      </w:r>
    </w:p>
    <w:p w14:paraId="5C793F1F">
      <w:pPr>
        <w:pStyle w:val="21"/>
        <w:ind w:firstLine="240" w:firstLineChars="100"/>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"_Toc351203583"</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12.3 计量</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lang w:val="en-US" w:eastAsia="zh-CN"/>
        </w:rPr>
        <w:t>3</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8</w:t>
      </w:r>
    </w:p>
    <w:p w14:paraId="63E1F128">
      <w:pPr>
        <w:pStyle w:val="21"/>
        <w:ind w:firstLine="240" w:firstLineChars="100"/>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"_Toc351203584"</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12.4 工程进度款支付</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lang w:val="en-US" w:eastAsia="zh-CN"/>
        </w:rPr>
        <w:t>3</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9</w:t>
      </w:r>
    </w:p>
    <w:p w14:paraId="45CDE913">
      <w:pPr>
        <w:pStyle w:val="21"/>
        <w:ind w:firstLine="240" w:firstLineChars="100"/>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"_Toc351203585"</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12.5 支付账户</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lang w:val="en-US" w:eastAsia="zh-CN"/>
        </w:rPr>
        <w:t>4</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1</w:t>
      </w:r>
    </w:p>
    <w:p w14:paraId="595A2596">
      <w:pPr>
        <w:pStyle w:val="30"/>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"_Toc351203586"</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13. 验收和工程试车</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1</w:t>
      </w:r>
    </w:p>
    <w:p w14:paraId="7DA8DDF5">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"_Toc351203587"</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13.1 分部分项工程验收</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1</w:t>
      </w:r>
    </w:p>
    <w:p w14:paraId="0ABDDBA9">
      <w:pPr>
        <w:pStyle w:val="21"/>
        <w:ind w:firstLine="240" w:firstLineChars="100"/>
        <w:rPr>
          <w:rFonts w:hint="eastAsia" w:ascii="方正仿宋_GB2312" w:hAnsi="方正仿宋_GB2312" w:eastAsia="方正仿宋_GB2312" w:cs="方正仿宋_GB2312"/>
          <w:sz w:val="24"/>
          <w:szCs w:val="24"/>
          <w:highlight w:val="none"/>
        </w:rPr>
        <w:sectPr>
          <w:footerReference r:id="rId17" w:type="default"/>
          <w:pgSz w:w="11906" w:h="16838"/>
          <w:pgMar w:top="1418" w:right="1555" w:bottom="1418" w:left="1531" w:header="851" w:footer="992" w:gutter="0"/>
          <w:pgNumType w:fmt="numberInDash" w:start="0"/>
          <w:cols w:space="720" w:num="1"/>
          <w:docGrid w:type="lines" w:linePitch="312" w:charSpace="0"/>
        </w:sectPr>
      </w:pPr>
    </w:p>
    <w:p w14:paraId="7830CC5A">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"_Toc351203588"</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13.2竣工验收</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1</w:t>
      </w:r>
    </w:p>
    <w:p w14:paraId="3FB5966E">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"_Toc351203589"</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13.3工程试车</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3</w:t>
      </w:r>
    </w:p>
    <w:p w14:paraId="0FD829F2">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"_Toc351203590"</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13.4提前交付单位工程的验收</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4</w:t>
      </w:r>
    </w:p>
    <w:p w14:paraId="7DA7E7EA">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"_Toc351203591"</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13.5 施工期运行</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4</w:t>
      </w:r>
    </w:p>
    <w:p w14:paraId="7D0366E7">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"_Toc351203592"</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13.6 竣工退场</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4</w:t>
      </w:r>
    </w:p>
    <w:p w14:paraId="1C690261">
      <w:pPr>
        <w:pStyle w:val="30"/>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"_Toc351203593"</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14. 竣工结算</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5</w:t>
      </w:r>
    </w:p>
    <w:p w14:paraId="3FDBED96">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"_Toc351203594"</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14.1 竣工结算申请</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5</w:t>
      </w:r>
    </w:p>
    <w:p w14:paraId="0A1F25FD">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"_Toc351203595"</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14.2 竣工</w:t>
      </w:r>
      <w:bookmarkStart w:id="51" w:name="_Hlt356058165"/>
      <w:bookmarkStart w:id="52" w:name="_Hlt356058166"/>
      <w:r>
        <w:rPr>
          <w:rStyle w:val="45"/>
          <w:rFonts w:hint="eastAsia" w:ascii="方正仿宋_GB2312" w:hAnsi="方正仿宋_GB2312" w:eastAsia="方正仿宋_GB2312" w:cs="方正仿宋_GB2312"/>
          <w:sz w:val="24"/>
          <w:szCs w:val="24"/>
          <w:highlight w:val="none"/>
        </w:rPr>
        <w:t>结</w:t>
      </w:r>
      <w:bookmarkEnd w:id="51"/>
      <w:bookmarkEnd w:id="52"/>
      <w:r>
        <w:rPr>
          <w:rStyle w:val="45"/>
          <w:rFonts w:hint="eastAsia" w:ascii="方正仿宋_GB2312" w:hAnsi="方正仿宋_GB2312" w:eastAsia="方正仿宋_GB2312" w:cs="方正仿宋_GB2312"/>
          <w:sz w:val="24"/>
          <w:szCs w:val="24"/>
          <w:highlight w:val="none"/>
        </w:rPr>
        <w:t>算审核</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5</w:t>
      </w:r>
    </w:p>
    <w:p w14:paraId="20FC7243">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"_Toc351203596"</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14.3 甩项竣工协议</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5</w:t>
      </w:r>
    </w:p>
    <w:p w14:paraId="2AF5D9DF">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"_Toc351203597"</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14.4 最终结清</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5</w:t>
      </w:r>
    </w:p>
    <w:p w14:paraId="70BE9A57">
      <w:pPr>
        <w:pStyle w:val="30"/>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"_Toc351203598"</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15. 缺陷责任与保修</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6</w:t>
      </w:r>
    </w:p>
    <w:p w14:paraId="0042CEEF">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"_Toc351203599"</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15.1 工程保修的原则</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6</w:t>
      </w:r>
    </w:p>
    <w:p w14:paraId="36539833">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"_Toc351203600"</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15.2 缺</w:t>
      </w:r>
      <w:bookmarkStart w:id="53" w:name="_Hlt354658488"/>
      <w:bookmarkStart w:id="54" w:name="_Hlt354658487"/>
      <w:r>
        <w:rPr>
          <w:rStyle w:val="45"/>
          <w:rFonts w:hint="eastAsia" w:ascii="方正仿宋_GB2312" w:hAnsi="方正仿宋_GB2312" w:eastAsia="方正仿宋_GB2312" w:cs="方正仿宋_GB2312"/>
          <w:sz w:val="24"/>
          <w:szCs w:val="24"/>
          <w:highlight w:val="none"/>
        </w:rPr>
        <w:t>陷</w:t>
      </w:r>
      <w:bookmarkEnd w:id="53"/>
      <w:bookmarkEnd w:id="54"/>
      <w:r>
        <w:rPr>
          <w:rStyle w:val="45"/>
          <w:rFonts w:hint="eastAsia" w:ascii="方正仿宋_GB2312" w:hAnsi="方正仿宋_GB2312" w:eastAsia="方正仿宋_GB2312" w:cs="方正仿宋_GB2312"/>
          <w:sz w:val="24"/>
          <w:szCs w:val="24"/>
          <w:highlight w:val="none"/>
        </w:rPr>
        <w:t>责任期</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6</w:t>
      </w:r>
    </w:p>
    <w:p w14:paraId="15621097">
      <w:pPr>
        <w:pStyle w:val="21"/>
        <w:ind w:firstLine="240" w:firstLineChars="100"/>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"_Toc351203601"</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15.3 质量保证金</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lang w:val="en-US" w:eastAsia="zh-CN"/>
        </w:rPr>
        <w:t>4</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7</w:t>
      </w:r>
    </w:p>
    <w:p w14:paraId="399C5F76">
      <w:pPr>
        <w:pStyle w:val="21"/>
        <w:ind w:firstLine="240" w:firstLineChars="100"/>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"_Toc351203602"</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15.4 保修</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lang w:val="en-US" w:eastAsia="zh-CN"/>
        </w:rPr>
        <w:t>4</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8</w:t>
      </w:r>
    </w:p>
    <w:p w14:paraId="6EC151AC">
      <w:pPr>
        <w:pStyle w:val="30"/>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"_Toc351203603"</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16. 违约</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lang w:val="en-US" w:eastAsia="zh-CN"/>
        </w:rPr>
        <w:t>4</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9</w:t>
      </w:r>
    </w:p>
    <w:p w14:paraId="0B4E887A">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"_Toc351203604"</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16.1 发包人违约</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lang w:val="en-US" w:eastAsia="zh-CN"/>
        </w:rPr>
        <w:t>4</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9</w:t>
      </w:r>
    </w:p>
    <w:p w14:paraId="5AC79C1A">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"_Toc351203605"</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16.2 承包人违约</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0</w:t>
      </w:r>
    </w:p>
    <w:p w14:paraId="0EFCBDD4">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"_Toc351203606"</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16.3 第三人造成的违约</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1</w:t>
      </w:r>
    </w:p>
    <w:p w14:paraId="2FBC9E6F">
      <w:pPr>
        <w:pStyle w:val="30"/>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"_Toc351203607"</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17. 不可抗力</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1</w:t>
      </w:r>
    </w:p>
    <w:p w14:paraId="3ED619E1">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"_Toc351203608"</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17.1 不可抗力的确认</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1</w:t>
      </w:r>
    </w:p>
    <w:p w14:paraId="3DF4C0FD">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"_Toc351203609"</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17.2 不可抗力的通知</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1</w:t>
      </w:r>
    </w:p>
    <w:p w14:paraId="56E31B7B">
      <w:pPr>
        <w:pStyle w:val="21"/>
        <w:ind w:firstLine="240" w:firstLineChars="100"/>
        <w:rPr>
          <w:rFonts w:hint="eastAsia" w:ascii="方正仿宋_GB2312" w:hAnsi="方正仿宋_GB2312" w:eastAsia="方正仿宋_GB2312" w:cs="方正仿宋_GB2312"/>
          <w:sz w:val="24"/>
          <w:szCs w:val="24"/>
          <w:highlight w:val="none"/>
        </w:rPr>
        <w:sectPr>
          <w:footerReference r:id="rId18" w:type="default"/>
          <w:pgSz w:w="11906" w:h="16838"/>
          <w:pgMar w:top="1418" w:right="1555" w:bottom="1418" w:left="1531" w:header="851" w:footer="992" w:gutter="0"/>
          <w:pgNumType w:fmt="numberInDash" w:start="0"/>
          <w:cols w:space="720" w:num="1"/>
          <w:docGrid w:type="lines" w:linePitch="312" w:charSpace="0"/>
        </w:sectPr>
      </w:pPr>
    </w:p>
    <w:p w14:paraId="50A27A67">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"_Toc351203610"</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17.3 不可抗力后果的承担</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2</w:t>
      </w:r>
    </w:p>
    <w:p w14:paraId="7E51982C">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"_Toc351203611"</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17.4 因不可抗力解除合同</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2</w:t>
      </w:r>
    </w:p>
    <w:p w14:paraId="75E940D4">
      <w:pPr>
        <w:pStyle w:val="30"/>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"_Toc351203612"</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18. 保险</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3</w:t>
      </w:r>
    </w:p>
    <w:p w14:paraId="0B405881">
      <w:pPr>
        <w:pStyle w:val="21"/>
        <w:ind w:firstLine="240" w:firstLineChars="1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"_Toc351203613"</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18.1 工程保险</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3</w:t>
      </w:r>
    </w:p>
    <w:p w14:paraId="3A744F74">
      <w:pPr>
        <w:pStyle w:val="21"/>
        <w:ind w:firstLine="240" w:firstLineChars="1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"_Toc351203614"</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18.2 工伤保险</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3</w:t>
      </w:r>
    </w:p>
    <w:p w14:paraId="7FE9FD62">
      <w:pPr>
        <w:pStyle w:val="21"/>
        <w:ind w:firstLine="240" w:firstLineChars="1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"_Toc351203615"</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18.3 其他保险</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3</w:t>
      </w:r>
    </w:p>
    <w:p w14:paraId="57B5AD29">
      <w:pPr>
        <w:pStyle w:val="21"/>
        <w:ind w:firstLine="240" w:firstLineChars="1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"_Toc351203616"</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18.4 持续保险</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3</w:t>
      </w:r>
    </w:p>
    <w:p w14:paraId="0581F032">
      <w:pPr>
        <w:pStyle w:val="21"/>
        <w:ind w:firstLine="240" w:firstLineChars="1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"_Toc351203617"</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18.5 保险凭证</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3</w:t>
      </w:r>
    </w:p>
    <w:p w14:paraId="143DC0D0">
      <w:pPr>
        <w:pStyle w:val="21"/>
        <w:ind w:firstLine="240" w:firstLineChars="1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"_Toc351203618"</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18.6 未按约定投保的补救</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3</w:t>
      </w:r>
    </w:p>
    <w:p w14:paraId="780D5840">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"_Toc351203619"</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18.7 通知义务</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3</w:t>
      </w:r>
    </w:p>
    <w:p w14:paraId="25757C24">
      <w:pPr>
        <w:pStyle w:val="30"/>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"_Toc351203620"</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19. 索赔</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4</w:t>
      </w:r>
    </w:p>
    <w:p w14:paraId="546CF747">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"_Toc351203621"</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19.1 承包人的索赔</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4</w:t>
      </w:r>
    </w:p>
    <w:p w14:paraId="31E33755">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"_Toc351203622"</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19.2 对承包人索赔的处理</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4</w:t>
      </w:r>
    </w:p>
    <w:p w14:paraId="617B21FE">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"_Toc351203623"</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19.3 发包人的索赔</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4</w:t>
      </w:r>
    </w:p>
    <w:p w14:paraId="69AC4534">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"_Toc351203624"</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19.4 对发包人索赔的处理</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4</w:t>
      </w:r>
    </w:p>
    <w:p w14:paraId="695CEE5D">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"_Toc351203625"</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19.5 提出索赔的期限</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5</w:t>
      </w:r>
    </w:p>
    <w:p w14:paraId="130C505F">
      <w:pPr>
        <w:pStyle w:val="30"/>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"_Toc351203626"</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20. 争议解决</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5</w:t>
      </w:r>
    </w:p>
    <w:p w14:paraId="40F4D77E">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"_Toc351203627"</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20.1和解</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5</w:t>
      </w:r>
    </w:p>
    <w:p w14:paraId="04744909">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"_Toc351203628"</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20.2调解</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5</w:t>
      </w:r>
    </w:p>
    <w:p w14:paraId="5624ABF8">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"_Toc351203629"</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20.3争议评审</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5</w:t>
      </w:r>
    </w:p>
    <w:p w14:paraId="7E4E86AC">
      <w:pPr>
        <w:pStyle w:val="21"/>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"_Toc351203630"</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20.4仲裁或诉讼</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6</w:t>
      </w:r>
    </w:p>
    <w:p w14:paraId="4E1F0A1D">
      <w:pPr>
        <w:pStyle w:val="21"/>
        <w:ind w:firstLine="240" w:firstLineChars="1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"_Toc351203631"</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20.5争议解决条款效力</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lang w:val="en-US" w:eastAsia="zh-CN"/>
        </w:rPr>
        <w:t>5</w:t>
      </w:r>
      <w:r>
        <w:rPr>
          <w:rFonts w:hint="eastAsia" w:ascii="方正仿宋_GB2312" w:hAnsi="方正仿宋_GB2312" w:eastAsia="方正仿宋_GB2312" w:cs="方正仿宋_GB2312"/>
          <w:sz w:val="24"/>
          <w:szCs w:val="24"/>
          <w:highlight w:val="none"/>
        </w:rPr>
        <w:t>6</w:t>
      </w:r>
      <w:r>
        <w:rPr>
          <w:rFonts w:hint="eastAsia" w:ascii="方正仿宋_GB2312" w:hAnsi="方正仿宋_GB2312" w:eastAsia="方正仿宋_GB2312" w:cs="方正仿宋_GB2312"/>
          <w:sz w:val="24"/>
          <w:szCs w:val="24"/>
          <w:highlight w:val="none"/>
        </w:rPr>
        <w:fldChar w:fldCharType="end"/>
      </w:r>
    </w:p>
    <w:p w14:paraId="5E62B582">
      <w:pPr>
        <w:pStyle w:val="22"/>
        <w:tabs>
          <w:tab w:val="right" w:leader="dot" w:pos="8810"/>
        </w:tabs>
        <w:rPr>
          <w:rStyle w:val="45"/>
          <w:rFonts w:hint="eastAsia" w:ascii="方正仿宋_GB2312" w:hAnsi="方正仿宋_GB2312" w:eastAsia="方正仿宋_GB2312" w:cs="方正仿宋_GB2312"/>
          <w:b/>
          <w:sz w:val="24"/>
          <w:szCs w:val="24"/>
          <w:highlight w:val="none"/>
        </w:rPr>
        <w:sectPr>
          <w:footerReference r:id="rId19" w:type="default"/>
          <w:pgSz w:w="11906" w:h="16838"/>
          <w:pgMar w:top="1418" w:right="1555" w:bottom="1418" w:left="1531" w:header="851" w:footer="992" w:gutter="0"/>
          <w:pgNumType w:fmt="numberInDash" w:start="0"/>
          <w:cols w:space="720" w:num="1"/>
          <w:docGrid w:type="lines" w:linePitch="312" w:charSpace="0"/>
        </w:sectPr>
      </w:pPr>
    </w:p>
    <w:p w14:paraId="7955C998">
      <w:pPr>
        <w:rPr>
          <w:rFonts w:hint="eastAsia" w:ascii="方正仿宋_GB2312" w:hAnsi="方正仿宋_GB2312" w:eastAsia="方正仿宋_GB2312" w:cs="方正仿宋_GB2312"/>
          <w:sz w:val="24"/>
          <w:szCs w:val="24"/>
          <w:highlight w:val="none"/>
        </w:rPr>
      </w:pPr>
    </w:p>
    <w:p w14:paraId="6D9F81DC">
      <w:pPr>
        <w:pStyle w:val="22"/>
        <w:tabs>
          <w:tab w:val="right" w:leader="dot" w:pos="8810"/>
        </w:tabs>
        <w:ind w:left="0" w:leftChars="0" w:firstLine="240" w:firstLineChars="100"/>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"_Toc351203632"</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b/>
          <w:sz w:val="24"/>
          <w:szCs w:val="24"/>
          <w:highlight w:val="none"/>
        </w:rPr>
        <w:t>第三部分 专用合同条款</w:t>
      </w:r>
      <w:r>
        <w:rPr>
          <w:rFonts w:hint="eastAsia" w:ascii="方正仿宋_GB2312" w:hAnsi="方正仿宋_GB2312" w:eastAsia="方正仿宋_GB2312" w:cs="方正仿宋_GB2312"/>
          <w:sz w:val="24"/>
          <w:szCs w:val="24"/>
          <w:highlight w:val="none"/>
        </w:rPr>
        <w:t>……………..…………...….................</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57</w:t>
      </w:r>
    </w:p>
    <w:p w14:paraId="69064783">
      <w:pPr>
        <w:pStyle w:val="30"/>
        <w:ind w:firstLine="240" w:firstLineChars="100"/>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"_Toc351203633"</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 一般约定</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lang w:val="en-US" w:eastAsia="zh-CN"/>
        </w:rPr>
        <w:t>5</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7</w:t>
      </w:r>
    </w:p>
    <w:p w14:paraId="5BAB6534">
      <w:pPr>
        <w:pStyle w:val="30"/>
        <w:ind w:firstLine="240" w:firstLineChars="100"/>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"_Toc351203634"</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2. 发包人</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lang w:val="en-US" w:eastAsia="zh-CN"/>
        </w:rPr>
        <w:t>5</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9</w:t>
      </w:r>
    </w:p>
    <w:p w14:paraId="0C8A9475">
      <w:pPr>
        <w:pStyle w:val="30"/>
        <w:ind w:firstLine="240" w:firstLineChars="1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"_Toc351203635"</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3. 承包人</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6</w:t>
      </w:r>
      <w:r>
        <w:rPr>
          <w:rFonts w:hint="eastAsia" w:ascii="方正仿宋_GB2312" w:hAnsi="方正仿宋_GB2312" w:eastAsia="方正仿宋_GB2312" w:cs="方正仿宋_GB2312"/>
          <w:sz w:val="24"/>
          <w:szCs w:val="24"/>
          <w:highlight w:val="none"/>
          <w:lang w:val="en-US" w:eastAsia="zh-CN"/>
        </w:rPr>
        <w:t>0</w:t>
      </w:r>
      <w:r>
        <w:rPr>
          <w:rFonts w:hint="eastAsia" w:ascii="方正仿宋_GB2312" w:hAnsi="方正仿宋_GB2312" w:eastAsia="方正仿宋_GB2312" w:cs="方正仿宋_GB2312"/>
          <w:sz w:val="24"/>
          <w:szCs w:val="24"/>
          <w:highlight w:val="none"/>
        </w:rPr>
        <w:fldChar w:fldCharType="end"/>
      </w:r>
    </w:p>
    <w:p w14:paraId="3F6AC37C">
      <w:pPr>
        <w:pStyle w:val="30"/>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"_Toc351203636"</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4. 监理人</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6</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1</w:t>
      </w:r>
    </w:p>
    <w:p w14:paraId="73E3123C">
      <w:pPr>
        <w:pStyle w:val="30"/>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"_Toc351203637"</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5. 工程质量</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6</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2</w:t>
      </w:r>
    </w:p>
    <w:p w14:paraId="65BE1892">
      <w:pPr>
        <w:pStyle w:val="30"/>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"_Toc351203638"</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6. 安全文明施工与环境保护</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6</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2</w:t>
      </w:r>
    </w:p>
    <w:p w14:paraId="1E227802">
      <w:pPr>
        <w:pStyle w:val="30"/>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"_Toc351203639"</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7. 工期和进度</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6</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3</w:t>
      </w:r>
    </w:p>
    <w:p w14:paraId="33C43489">
      <w:pPr>
        <w:pStyle w:val="30"/>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"_Toc351203640"</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8. 材料与设备</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6</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4</w:t>
      </w:r>
    </w:p>
    <w:p w14:paraId="2A947F33">
      <w:pPr>
        <w:pStyle w:val="30"/>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"_Toc351203641"</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9. 试验与检验</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6</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4</w:t>
      </w:r>
    </w:p>
    <w:p w14:paraId="5BA6EAA7">
      <w:pPr>
        <w:pStyle w:val="30"/>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"_Toc351203642"</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10. 变更</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6</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5</w:t>
      </w:r>
    </w:p>
    <w:p w14:paraId="293C9BEA">
      <w:pPr>
        <w:pStyle w:val="30"/>
        <w:ind w:firstLine="240" w:firstLineChars="100"/>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"_Toc351203643"</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11. 价格调整</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lang w:val="en-US" w:eastAsia="zh-CN"/>
        </w:rPr>
        <w:t>6</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6</w:t>
      </w:r>
    </w:p>
    <w:p w14:paraId="0A8D3612">
      <w:pPr>
        <w:pStyle w:val="30"/>
        <w:ind w:firstLine="240" w:firstLineChars="1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"_Toc351203644"</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12. 合同价格、计量与支付</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lang w:val="en-US" w:eastAsia="zh-CN"/>
        </w:rPr>
        <w:t>6</w:t>
      </w:r>
      <w:r>
        <w:rPr>
          <w:rFonts w:hint="eastAsia" w:ascii="方正仿宋_GB2312" w:hAnsi="方正仿宋_GB2312" w:eastAsia="方正仿宋_GB2312" w:cs="方正仿宋_GB2312"/>
          <w:sz w:val="24"/>
          <w:szCs w:val="24"/>
          <w:highlight w:val="none"/>
        </w:rPr>
        <w:t>7</w:t>
      </w:r>
      <w:r>
        <w:rPr>
          <w:rFonts w:hint="eastAsia" w:ascii="方正仿宋_GB2312" w:hAnsi="方正仿宋_GB2312" w:eastAsia="方正仿宋_GB2312" w:cs="方正仿宋_GB2312"/>
          <w:sz w:val="24"/>
          <w:szCs w:val="24"/>
          <w:highlight w:val="none"/>
        </w:rPr>
        <w:fldChar w:fldCharType="end"/>
      </w:r>
    </w:p>
    <w:p w14:paraId="3297357A">
      <w:pPr>
        <w:pStyle w:val="30"/>
        <w:ind w:firstLine="240" w:firstLineChars="100"/>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"_Toc351203645"</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13. 验收和工程试车</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lang w:val="en-US" w:eastAsia="zh-CN"/>
        </w:rPr>
        <w:t>6</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9</w:t>
      </w:r>
    </w:p>
    <w:p w14:paraId="7D18039A">
      <w:pPr>
        <w:pStyle w:val="30"/>
        <w:ind w:firstLine="240" w:firstLineChars="100"/>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"_Toc351203646"</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14. 竣工结算</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lang w:val="en-US" w:eastAsia="zh-CN"/>
        </w:rPr>
        <w:t>6</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9</w:t>
      </w:r>
    </w:p>
    <w:p w14:paraId="2EB218F8">
      <w:pPr>
        <w:pStyle w:val="30"/>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"_Toc351203647"</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15. 缺陷责任期与保修</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7</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0</w:t>
      </w:r>
    </w:p>
    <w:p w14:paraId="6D60933A">
      <w:pPr>
        <w:pStyle w:val="30"/>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"_Toc351203648"</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16. 违约</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7</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1</w:t>
      </w:r>
    </w:p>
    <w:p w14:paraId="43591E1C">
      <w:pPr>
        <w:pStyle w:val="30"/>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"_Toc351203649"</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17. 不可抗力</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rPr>
        <w:t>7</w:t>
      </w:r>
      <w:r>
        <w:rPr>
          <w:rFonts w:hint="eastAsia" w:ascii="方正仿宋_GB2312" w:hAnsi="方正仿宋_GB2312" w:eastAsia="方正仿宋_GB2312" w:cs="方正仿宋_GB2312"/>
          <w:sz w:val="24"/>
          <w:szCs w:val="24"/>
          <w:highlight w:val="none"/>
          <w:lang w:val="en-US" w:eastAsia="zh-CN"/>
        </w:rPr>
        <w:t>1</w:t>
      </w:r>
    </w:p>
    <w:p w14:paraId="04DECEF7">
      <w:pPr>
        <w:pStyle w:val="30"/>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"_Toc351203650"</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18. 保险</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7</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2</w:t>
      </w:r>
    </w:p>
    <w:p w14:paraId="4C12608E">
      <w:pPr>
        <w:pStyle w:val="30"/>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"_Toc351203651"</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20. 争议解决</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7</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2</w:t>
      </w:r>
    </w:p>
    <w:p w14:paraId="42B2B6CA">
      <w:pPr>
        <w:pStyle w:val="30"/>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"_Toc351203651"</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21. 补充条款</w:t>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7</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2</w:t>
      </w:r>
    </w:p>
    <w:p w14:paraId="7CC64D17">
      <w:pPr>
        <w:pStyle w:val="30"/>
        <w:ind w:firstLine="240" w:firstLineChars="1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fldChar w:fldCharType="begin"/>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instrText xml:space="preserve">HYPERLINK \l "_Toc351203652"</w:instrText>
      </w:r>
      <w:r>
        <w:rPr>
          <w:rStyle w:val="45"/>
          <w:rFonts w:hint="eastAsia" w:ascii="方正仿宋_GB2312" w:hAnsi="方正仿宋_GB2312" w:eastAsia="方正仿宋_GB2312" w:cs="方正仿宋_GB2312"/>
          <w:sz w:val="24"/>
          <w:szCs w:val="24"/>
          <w:highlight w:val="none"/>
        </w:rPr>
        <w:instrText xml:space="preserve"> </w:instrText>
      </w:r>
      <w:r>
        <w:rPr>
          <w:rFonts w:hint="eastAsia" w:ascii="方正仿宋_GB2312" w:hAnsi="方正仿宋_GB2312" w:eastAsia="方正仿宋_GB2312" w:cs="方正仿宋_GB2312"/>
          <w:sz w:val="24"/>
          <w:szCs w:val="24"/>
          <w:highlight w:val="none"/>
        </w:rPr>
        <w:fldChar w:fldCharType="separate"/>
      </w:r>
      <w:r>
        <w:rPr>
          <w:rStyle w:val="45"/>
          <w:rFonts w:hint="eastAsia" w:ascii="方正仿宋_GB2312" w:hAnsi="方正仿宋_GB2312" w:eastAsia="方正仿宋_GB2312" w:cs="方正仿宋_GB2312"/>
          <w:sz w:val="24"/>
          <w:szCs w:val="24"/>
          <w:highlight w:val="none"/>
        </w:rPr>
        <w:t>附件</w:t>
      </w:r>
      <w:r>
        <w:rPr>
          <w:rFonts w:hint="eastAsia" w:ascii="方正仿宋_GB2312" w:hAnsi="方正仿宋_GB2312" w:eastAsia="方正仿宋_GB2312" w:cs="方正仿宋_GB2312"/>
          <w:sz w:val="24"/>
          <w:szCs w:val="24"/>
          <w:highlight w:val="none"/>
        </w:rPr>
        <w:t>...........................................................................................7</w:t>
      </w:r>
      <w:r>
        <w:rPr>
          <w:rFonts w:hint="eastAsia" w:ascii="方正仿宋_GB2312" w:hAnsi="方正仿宋_GB2312" w:eastAsia="方正仿宋_GB2312" w:cs="方正仿宋_GB2312"/>
          <w:sz w:val="24"/>
          <w:szCs w:val="24"/>
          <w:highlight w:val="none"/>
        </w:rPr>
        <w:fldChar w:fldCharType="end"/>
      </w:r>
      <w:r>
        <w:rPr>
          <w:rFonts w:hint="eastAsia" w:ascii="方正仿宋_GB2312" w:hAnsi="方正仿宋_GB2312" w:eastAsia="方正仿宋_GB2312" w:cs="方正仿宋_GB2312"/>
          <w:sz w:val="24"/>
          <w:szCs w:val="24"/>
          <w:highlight w:val="none"/>
          <w:lang w:val="en-US" w:eastAsia="zh-CN"/>
        </w:rPr>
        <w:t>3</w:t>
      </w:r>
    </w:p>
    <w:p w14:paraId="370307A8">
      <w:pPr>
        <w:spacing w:line="360" w:lineRule="exact"/>
        <w:rPr>
          <w:rFonts w:hint="eastAsia" w:ascii="方正仿宋_GB2312" w:hAnsi="方正仿宋_GB2312" w:eastAsia="方正仿宋_GB2312" w:cs="方正仿宋_GB2312"/>
          <w:sz w:val="24"/>
          <w:szCs w:val="24"/>
          <w:highlight w:val="none"/>
        </w:rPr>
        <w:sectPr>
          <w:footerReference r:id="rId20" w:type="default"/>
          <w:pgSz w:w="11906" w:h="16838"/>
          <w:pgMar w:top="1304" w:right="1555" w:bottom="1304" w:left="1531" w:header="851" w:footer="992" w:gutter="0"/>
          <w:pgNumType w:fmt="numberInDash" w:start="0"/>
          <w:cols w:space="720" w:num="1"/>
          <w:docGrid w:type="lines" w:linePitch="312" w:charSpace="0"/>
        </w:sectPr>
      </w:pPr>
      <w:r>
        <w:rPr>
          <w:rFonts w:hint="eastAsia" w:ascii="方正仿宋_GB2312" w:hAnsi="方正仿宋_GB2312" w:eastAsia="方正仿宋_GB2312" w:cs="方正仿宋_GB2312"/>
          <w:sz w:val="24"/>
          <w:szCs w:val="24"/>
          <w:highlight w:val="none"/>
        </w:rPr>
        <w:fldChar w:fldCharType="end"/>
      </w:r>
    </w:p>
    <w:p w14:paraId="70F5F9E4">
      <w:pPr>
        <w:numPr>
          <w:ilvl w:val="0"/>
          <w:numId w:val="5"/>
        </w:numPr>
        <w:spacing w:line="480" w:lineRule="auto"/>
        <w:jc w:val="center"/>
        <w:rPr>
          <w:rFonts w:hint="eastAsia" w:ascii="方正仿宋_GB2312" w:hAnsi="方正仿宋_GB2312" w:eastAsia="方正仿宋_GB2312" w:cs="方正仿宋_GB2312"/>
          <w:b/>
          <w:bCs/>
          <w:sz w:val="24"/>
          <w:szCs w:val="24"/>
          <w:highlight w:val="none"/>
        </w:rPr>
      </w:pPr>
      <w:r>
        <w:rPr>
          <w:rFonts w:hint="eastAsia" w:ascii="方正仿宋_GB2312" w:hAnsi="方正仿宋_GB2312" w:eastAsia="方正仿宋_GB2312" w:cs="方正仿宋_GB2312"/>
          <w:b/>
          <w:bCs/>
          <w:sz w:val="24"/>
          <w:szCs w:val="24"/>
          <w:highlight w:val="none"/>
        </w:rPr>
        <w:t>合同协议书</w:t>
      </w:r>
    </w:p>
    <w:p w14:paraId="1D026AFC">
      <w:pPr>
        <w:spacing w:line="600" w:lineRule="exact"/>
        <w:ind w:left="2240" w:hanging="1920" w:hangingChars="8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发包人（全称）：</w:t>
      </w:r>
      <w:r>
        <w:rPr>
          <w:rFonts w:hint="eastAsia" w:ascii="方正仿宋_GB2312" w:hAnsi="方正仿宋_GB2312" w:eastAsia="方正仿宋_GB2312" w:cs="方正仿宋_GB2312"/>
          <w:b/>
          <w:bCs/>
          <w:sz w:val="24"/>
          <w:szCs w:val="24"/>
          <w:highlight w:val="none"/>
          <w:u w:val="single"/>
          <w:lang w:val="en-US" w:eastAsia="zh-CN"/>
        </w:rPr>
        <w:t xml:space="preserve">乌鲁木齐甘泉堡经济技术开发（工业区）建设综合管理服务中心（建设工程招投标管理中心） </w:t>
      </w:r>
    </w:p>
    <w:p w14:paraId="0319927E">
      <w:pPr>
        <w:spacing w:line="600" w:lineRule="exact"/>
        <w:rPr>
          <w:rFonts w:hint="eastAsia" w:ascii="方正仿宋_GB2312" w:hAnsi="方正仿宋_GB2312" w:eastAsia="方正仿宋_GB2312" w:cs="方正仿宋_GB2312"/>
          <w:b/>
          <w:bCs/>
          <w:sz w:val="24"/>
          <w:szCs w:val="24"/>
          <w:highlight w:val="none"/>
          <w:u w:val="single"/>
          <w:lang w:val="en-US" w:eastAsia="zh-CN"/>
        </w:rPr>
      </w:pPr>
      <w:r>
        <w:rPr>
          <w:rFonts w:hint="eastAsia" w:ascii="方正仿宋_GB2312" w:hAnsi="方正仿宋_GB2312" w:eastAsia="方正仿宋_GB2312" w:cs="方正仿宋_GB2312"/>
          <w:sz w:val="24"/>
          <w:szCs w:val="24"/>
          <w:highlight w:val="none"/>
        </w:rPr>
        <w:t>承包人（全称）：</w:t>
      </w:r>
      <w:r>
        <w:rPr>
          <w:rFonts w:hint="eastAsia" w:ascii="方正仿宋_GB2312" w:hAnsi="方正仿宋_GB2312" w:eastAsia="方正仿宋_GB2312" w:cs="方正仿宋_GB2312"/>
          <w:sz w:val="24"/>
          <w:szCs w:val="24"/>
          <w:highlight w:val="none"/>
          <w:u w:val="single"/>
          <w:lang w:val="en-US" w:eastAsia="zh-CN"/>
        </w:rPr>
        <w:t xml:space="preserve">                                          </w:t>
      </w:r>
    </w:p>
    <w:p w14:paraId="1739A2DE">
      <w:pPr>
        <w:keepNext w:val="0"/>
        <w:keepLines w:val="0"/>
        <w:widowControl/>
        <w:suppressLineNumbers w:val="0"/>
        <w:ind w:firstLine="480" w:firstLineChars="200"/>
        <w:jc w:val="left"/>
        <w:rPr>
          <w:rFonts w:hint="eastAsia" w:ascii="方正仿宋_GB2312" w:hAnsi="方正仿宋_GB2312" w:eastAsia="方正仿宋_GB2312" w:cs="方正仿宋_GB2312"/>
          <w:sz w:val="24"/>
          <w:szCs w:val="24"/>
          <w:highlight w:val="none"/>
        </w:rPr>
      </w:pPr>
    </w:p>
    <w:p w14:paraId="60A475E8">
      <w:pPr>
        <w:keepNext w:val="0"/>
        <w:keepLines w:val="0"/>
        <w:widowControl/>
        <w:suppressLineNumbers w:val="0"/>
        <w:ind w:firstLine="480" w:firstLineChars="200"/>
        <w:jc w:val="left"/>
        <w:rPr>
          <w:rFonts w:hint="eastAsia" w:ascii="方正仿宋_GB2312" w:hAnsi="方正仿宋_GB2312" w:eastAsia="方正仿宋_GB2312" w:cs="方正仿宋_GB2312"/>
          <w:b/>
          <w:bCs/>
          <w:sz w:val="24"/>
          <w:szCs w:val="24"/>
          <w:highlight w:val="none"/>
          <w:u w:val="single"/>
        </w:rPr>
      </w:pPr>
      <w:r>
        <w:rPr>
          <w:rFonts w:hint="eastAsia" w:ascii="方正仿宋_GB2312" w:hAnsi="方正仿宋_GB2312" w:eastAsia="方正仿宋_GB2312" w:cs="方正仿宋_GB2312"/>
          <w:sz w:val="24"/>
          <w:szCs w:val="24"/>
          <w:highlight w:val="none"/>
        </w:rPr>
        <w:t>根据《中华人民共和国</w:t>
      </w:r>
      <w:r>
        <w:rPr>
          <w:rFonts w:hint="eastAsia" w:ascii="方正仿宋_GB2312" w:hAnsi="方正仿宋_GB2312" w:eastAsia="方正仿宋_GB2312" w:cs="方正仿宋_GB2312"/>
          <w:sz w:val="24"/>
          <w:szCs w:val="24"/>
          <w:highlight w:val="none"/>
          <w:lang w:eastAsia="zh-CN"/>
        </w:rPr>
        <w:t>民法典</w:t>
      </w:r>
      <w:r>
        <w:rPr>
          <w:rFonts w:hint="eastAsia" w:ascii="方正仿宋_GB2312" w:hAnsi="方正仿宋_GB2312" w:eastAsia="方正仿宋_GB2312" w:cs="方正仿宋_GB2312"/>
          <w:sz w:val="24"/>
          <w:szCs w:val="24"/>
          <w:highlight w:val="none"/>
        </w:rPr>
        <w:t>》、《中华人民共和国建筑法》及有关法律规定，遵循平等、自愿、公平和诚实信用的原则，双方就</w:t>
      </w:r>
      <w:r>
        <w:rPr>
          <w:rFonts w:hint="eastAsia" w:ascii="方正仿宋_GB2312" w:hAnsi="方正仿宋_GB2312" w:eastAsia="方正仿宋_GB2312" w:cs="方正仿宋_GB2312"/>
          <w:b/>
          <w:bCs/>
          <w:sz w:val="24"/>
          <w:szCs w:val="24"/>
          <w:highlight w:val="none"/>
          <w:u w:val="single"/>
          <w:lang w:eastAsia="zh-CN"/>
        </w:rPr>
        <w:t>甘泉堡经开区2025年市政道路及附属设施维护项目</w:t>
      </w:r>
      <w:r>
        <w:rPr>
          <w:rFonts w:hint="eastAsia" w:ascii="方正仿宋_GB2312" w:hAnsi="方正仿宋_GB2312" w:eastAsia="方正仿宋_GB2312" w:cs="方正仿宋_GB2312"/>
          <w:sz w:val="24"/>
          <w:szCs w:val="24"/>
          <w:highlight w:val="none"/>
        </w:rPr>
        <w:t>施工及有关事项协商一致，共同达成如下协议：</w:t>
      </w:r>
    </w:p>
    <w:p w14:paraId="6146757A">
      <w:pPr>
        <w:spacing w:line="6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一、工程概况</w:t>
      </w:r>
    </w:p>
    <w:p w14:paraId="254C9C81">
      <w:pPr>
        <w:spacing w:line="600" w:lineRule="exact"/>
        <w:ind w:firstLine="470" w:firstLineChars="196"/>
        <w:rPr>
          <w:rFonts w:hint="eastAsia" w:ascii="方正仿宋_GB2312" w:hAnsi="方正仿宋_GB2312" w:eastAsia="方正仿宋_GB2312" w:cs="方正仿宋_GB2312"/>
          <w:b/>
          <w:bCs/>
          <w:sz w:val="24"/>
          <w:szCs w:val="24"/>
          <w:highlight w:val="none"/>
          <w:u w:val="single"/>
        </w:rPr>
      </w:pPr>
      <w:r>
        <w:rPr>
          <w:rFonts w:hint="eastAsia" w:ascii="方正仿宋_GB2312" w:hAnsi="方正仿宋_GB2312" w:eastAsia="方正仿宋_GB2312" w:cs="方正仿宋_GB2312"/>
          <w:sz w:val="24"/>
          <w:szCs w:val="24"/>
          <w:highlight w:val="none"/>
        </w:rPr>
        <w:t>1.工程名称：</w:t>
      </w:r>
      <w:r>
        <w:rPr>
          <w:rFonts w:hint="eastAsia" w:ascii="方正仿宋_GB2312" w:hAnsi="方正仿宋_GB2312" w:eastAsia="方正仿宋_GB2312" w:cs="方正仿宋_GB2312"/>
          <w:b/>
          <w:bCs/>
          <w:sz w:val="24"/>
          <w:szCs w:val="24"/>
          <w:highlight w:val="none"/>
          <w:u w:val="single"/>
        </w:rPr>
        <w:t xml:space="preserve"> </w:t>
      </w:r>
      <w:r>
        <w:rPr>
          <w:rFonts w:hint="eastAsia" w:ascii="方正仿宋_GB2312" w:hAnsi="方正仿宋_GB2312" w:eastAsia="方正仿宋_GB2312" w:cs="方正仿宋_GB2312"/>
          <w:b/>
          <w:bCs/>
          <w:sz w:val="24"/>
          <w:szCs w:val="24"/>
          <w:highlight w:val="none"/>
          <w:u w:val="single"/>
          <w:lang w:eastAsia="zh-CN"/>
        </w:rPr>
        <w:t>甘泉堡经开区2025年市政道路及附属设施维护项目</w:t>
      </w:r>
    </w:p>
    <w:p w14:paraId="5727D253">
      <w:pPr>
        <w:keepNext w:val="0"/>
        <w:keepLines w:val="0"/>
        <w:widowControl/>
        <w:suppressLineNumbers w:val="0"/>
        <w:ind w:firstLine="480" w:firstLineChars="200"/>
        <w:jc w:val="left"/>
        <w:rPr>
          <w:rFonts w:hint="eastAsia" w:ascii="方正仿宋_GB2312" w:hAnsi="方正仿宋_GB2312" w:eastAsia="方正仿宋_GB2312" w:cs="方正仿宋_GB2312"/>
          <w:sz w:val="24"/>
          <w:szCs w:val="24"/>
          <w:highlight w:val="none"/>
          <w:lang w:val="en-US"/>
        </w:rPr>
      </w:pPr>
      <w:r>
        <w:rPr>
          <w:rFonts w:hint="eastAsia" w:ascii="方正仿宋_GB2312" w:hAnsi="方正仿宋_GB2312" w:eastAsia="方正仿宋_GB2312" w:cs="方正仿宋_GB2312"/>
          <w:sz w:val="24"/>
          <w:szCs w:val="24"/>
          <w:highlight w:val="none"/>
        </w:rPr>
        <w:t>2.工程地点：</w:t>
      </w:r>
      <w:r>
        <w:rPr>
          <w:rFonts w:hint="eastAsia" w:ascii="方正仿宋_GB2312" w:hAnsi="方正仿宋_GB2312" w:eastAsia="方正仿宋_GB2312" w:cs="方正仿宋_GB2312"/>
          <w:b/>
          <w:bCs/>
          <w:sz w:val="24"/>
          <w:szCs w:val="24"/>
          <w:highlight w:val="none"/>
          <w:u w:val="single"/>
          <w:lang w:val="en-US" w:eastAsia="zh-CN"/>
        </w:rPr>
        <w:t xml:space="preserve">新疆维吾尔自治区乌鲁木齐市甘泉堡经开区 </w:t>
      </w:r>
    </w:p>
    <w:p w14:paraId="792405AD">
      <w:pPr>
        <w:spacing w:line="600" w:lineRule="exact"/>
        <w:ind w:firstLine="480" w:firstLineChars="200"/>
        <w:rPr>
          <w:rFonts w:hint="eastAsia" w:ascii="方正仿宋_GB2312" w:hAnsi="方正仿宋_GB2312" w:eastAsia="方正仿宋_GB2312" w:cs="方正仿宋_GB2312"/>
          <w:b/>
          <w:bCs/>
          <w:sz w:val="24"/>
          <w:szCs w:val="24"/>
          <w:highlight w:val="none"/>
          <w:u w:val="single"/>
          <w:lang w:val="en-US"/>
        </w:rPr>
      </w:pPr>
      <w:r>
        <w:rPr>
          <w:rFonts w:hint="eastAsia" w:ascii="方正仿宋_GB2312" w:hAnsi="方正仿宋_GB2312" w:eastAsia="方正仿宋_GB2312" w:cs="方正仿宋_GB2312"/>
          <w:sz w:val="24"/>
          <w:szCs w:val="24"/>
          <w:highlight w:val="none"/>
        </w:rPr>
        <w:t>3.工程立项批准文号：</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b/>
          <w:bCs/>
          <w:sz w:val="24"/>
          <w:szCs w:val="24"/>
          <w:highlight w:val="none"/>
          <w:u w:val="single"/>
          <w:lang w:val="en-US" w:eastAsia="zh-CN"/>
        </w:rPr>
        <w:t>/ 。</w:t>
      </w:r>
    </w:p>
    <w:p w14:paraId="3929D755">
      <w:pPr>
        <w:spacing w:line="600" w:lineRule="exact"/>
        <w:ind w:firstLine="480" w:firstLineChars="200"/>
        <w:rPr>
          <w:rFonts w:hint="eastAsia" w:ascii="方正仿宋_GB2312" w:hAnsi="方正仿宋_GB2312" w:eastAsia="方正仿宋_GB2312" w:cs="方正仿宋_GB2312"/>
          <w:b/>
          <w:bCs/>
          <w:sz w:val="24"/>
          <w:szCs w:val="24"/>
          <w:highlight w:val="none"/>
          <w:u w:val="single"/>
        </w:rPr>
      </w:pPr>
      <w:r>
        <w:rPr>
          <w:rFonts w:hint="eastAsia" w:ascii="方正仿宋_GB2312" w:hAnsi="方正仿宋_GB2312" w:eastAsia="方正仿宋_GB2312" w:cs="方正仿宋_GB2312"/>
          <w:sz w:val="24"/>
          <w:szCs w:val="24"/>
          <w:highlight w:val="none"/>
        </w:rPr>
        <w:t>4.资金来源：</w:t>
      </w:r>
      <w:r>
        <w:rPr>
          <w:rFonts w:hint="eastAsia" w:ascii="方正仿宋_GB2312" w:hAnsi="方正仿宋_GB2312" w:eastAsia="方正仿宋_GB2312" w:cs="方正仿宋_GB2312"/>
          <w:b/>
          <w:bCs/>
          <w:sz w:val="24"/>
          <w:szCs w:val="24"/>
          <w:highlight w:val="none"/>
          <w:u w:val="single"/>
          <w:lang w:eastAsia="zh-CN"/>
        </w:rPr>
        <w:t>财政</w:t>
      </w:r>
      <w:r>
        <w:rPr>
          <w:rFonts w:hint="eastAsia" w:ascii="方正仿宋_GB2312" w:hAnsi="方正仿宋_GB2312" w:eastAsia="方正仿宋_GB2312" w:cs="方正仿宋_GB2312"/>
          <w:b/>
          <w:bCs/>
          <w:sz w:val="24"/>
          <w:szCs w:val="24"/>
          <w:highlight w:val="none"/>
          <w:u w:val="single"/>
        </w:rPr>
        <w:t>资金。</w:t>
      </w:r>
    </w:p>
    <w:p w14:paraId="6C076AA5">
      <w:pPr>
        <w:keepNext w:val="0"/>
        <w:keepLines w:val="0"/>
        <w:widowControl/>
        <w:suppressLineNumbers w:val="0"/>
        <w:ind w:firstLine="480" w:firstLineChars="200"/>
        <w:jc w:val="left"/>
        <w:rPr>
          <w:rFonts w:hint="eastAsia" w:ascii="方正仿宋_GB2312" w:hAnsi="方正仿宋_GB2312" w:eastAsia="方正仿宋_GB2312" w:cs="方正仿宋_GB2312"/>
          <w:b/>
          <w:bCs/>
          <w:sz w:val="24"/>
          <w:szCs w:val="24"/>
          <w:highlight w:val="none"/>
          <w:u w:val="single"/>
        </w:rPr>
      </w:pPr>
      <w:r>
        <w:rPr>
          <w:rFonts w:hint="eastAsia" w:ascii="方正仿宋_GB2312" w:hAnsi="方正仿宋_GB2312" w:eastAsia="方正仿宋_GB2312" w:cs="方正仿宋_GB2312"/>
          <w:sz w:val="24"/>
          <w:szCs w:val="24"/>
          <w:highlight w:val="none"/>
        </w:rPr>
        <w:t>5.工程内容：</w:t>
      </w:r>
      <w:r>
        <w:rPr>
          <w:rFonts w:hint="eastAsia" w:ascii="方正仿宋_GB2312" w:hAnsi="方正仿宋_GB2312" w:eastAsia="方正仿宋_GB2312" w:cs="方正仿宋_GB2312"/>
          <w:b/>
          <w:bCs/>
          <w:sz w:val="24"/>
          <w:szCs w:val="24"/>
          <w:highlight w:val="none"/>
          <w:u w:val="single"/>
          <w:lang w:eastAsia="zh-CN"/>
        </w:rPr>
        <w:t>甘泉堡经开区2025年市政道路及附属设施维护项目</w:t>
      </w:r>
    </w:p>
    <w:p w14:paraId="6F49AA22">
      <w:pPr>
        <w:spacing w:line="6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群体工程应附《承包人承揽工程项目一览表》（附件1）。</w:t>
      </w:r>
    </w:p>
    <w:p w14:paraId="5973E050">
      <w:pPr>
        <w:spacing w:line="600" w:lineRule="exact"/>
        <w:ind w:firstLine="480" w:firstLineChars="200"/>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6.工程承包范围：</w:t>
      </w:r>
      <w:r>
        <w:rPr>
          <w:rFonts w:hint="eastAsia" w:ascii="方正仿宋_GB2312" w:hAnsi="方正仿宋_GB2312" w:eastAsia="方正仿宋_GB2312" w:cs="方正仿宋_GB2312"/>
          <w:b/>
          <w:bCs/>
          <w:sz w:val="24"/>
          <w:szCs w:val="24"/>
          <w:highlight w:val="none"/>
          <w:u w:val="single"/>
        </w:rPr>
        <w:t>本工程施工图纸及工程量清单范围内的全部工作内容（包括招标文件、设计变更、答疑及招标文件补充等内容）</w:t>
      </w:r>
      <w:r>
        <w:rPr>
          <w:rFonts w:hint="eastAsia" w:ascii="方正仿宋_GB2312" w:hAnsi="方正仿宋_GB2312" w:eastAsia="方正仿宋_GB2312" w:cs="方正仿宋_GB2312"/>
          <w:sz w:val="24"/>
          <w:szCs w:val="24"/>
          <w:highlight w:val="none"/>
          <w:u w:val="none"/>
        </w:rPr>
        <w:t>。</w:t>
      </w:r>
    </w:p>
    <w:p w14:paraId="2C8E9FC6">
      <w:pPr>
        <w:spacing w:line="60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二、合同工期：</w:t>
      </w:r>
    </w:p>
    <w:p w14:paraId="2EABF001">
      <w:pPr>
        <w:spacing w:line="600" w:lineRule="exact"/>
        <w:ind w:firstLine="480" w:firstLineChars="200"/>
        <w:rPr>
          <w:rFonts w:hint="eastAsia" w:ascii="方正仿宋_GB2312" w:hAnsi="方正仿宋_GB2312" w:eastAsia="方正仿宋_GB2312" w:cs="方正仿宋_GB2312"/>
          <w:b/>
          <w:bCs/>
          <w:sz w:val="24"/>
          <w:szCs w:val="24"/>
          <w:highlight w:val="none"/>
          <w:u w:val="single"/>
          <w:lang w:val="en-US" w:eastAsia="zh-CN"/>
        </w:rPr>
      </w:pPr>
      <w:r>
        <w:rPr>
          <w:rFonts w:hint="eastAsia" w:ascii="方正仿宋_GB2312" w:hAnsi="方正仿宋_GB2312" w:eastAsia="方正仿宋_GB2312" w:cs="方正仿宋_GB2312"/>
          <w:sz w:val="24"/>
          <w:szCs w:val="24"/>
          <w:highlight w:val="none"/>
        </w:rPr>
        <w:t>开工日期：</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p>
    <w:p w14:paraId="28CFD623">
      <w:pPr>
        <w:spacing w:line="600" w:lineRule="exact"/>
        <w:ind w:firstLine="480" w:firstLineChars="200"/>
        <w:rPr>
          <w:rFonts w:hint="eastAsia" w:ascii="方正仿宋_GB2312" w:hAnsi="方正仿宋_GB2312" w:eastAsia="方正仿宋_GB2312" w:cs="方正仿宋_GB2312"/>
          <w:b/>
          <w:bCs/>
          <w:sz w:val="24"/>
          <w:szCs w:val="24"/>
          <w:highlight w:val="none"/>
          <w:u w:val="single"/>
          <w:lang w:val="en-US" w:eastAsia="zh-CN"/>
        </w:rPr>
      </w:pPr>
      <w:r>
        <w:rPr>
          <w:rFonts w:hint="eastAsia" w:ascii="方正仿宋_GB2312" w:hAnsi="方正仿宋_GB2312" w:eastAsia="方正仿宋_GB2312" w:cs="方正仿宋_GB2312"/>
          <w:sz w:val="24"/>
          <w:szCs w:val="24"/>
          <w:highlight w:val="none"/>
        </w:rPr>
        <w:t>竣工日期：</w:t>
      </w:r>
      <w:r>
        <w:rPr>
          <w:rFonts w:hint="eastAsia" w:ascii="方正仿宋_GB2312" w:hAnsi="方正仿宋_GB2312" w:eastAsia="方正仿宋_GB2312" w:cs="方正仿宋_GB2312"/>
          <w:sz w:val="24"/>
          <w:szCs w:val="24"/>
          <w:highlight w:val="none"/>
          <w:u w:val="single"/>
          <w:lang w:val="en-US" w:eastAsia="zh-CN"/>
        </w:rPr>
        <w:t xml:space="preserve">         </w:t>
      </w:r>
    </w:p>
    <w:p w14:paraId="01D36793">
      <w:pPr>
        <w:spacing w:line="6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工期总日历天数：</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rPr>
        <w:t>天。工期总日历天数与根据前述计划开竣工日期计算的工期天数不一致的，以工期总日历天数为准。</w:t>
      </w:r>
    </w:p>
    <w:p w14:paraId="0AD2E467">
      <w:pPr>
        <w:spacing w:line="6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三、质量标准</w:t>
      </w:r>
    </w:p>
    <w:p w14:paraId="3CC2DBD6">
      <w:pPr>
        <w:spacing w:line="6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工程质量符合</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b/>
          <w:bCs/>
          <w:sz w:val="24"/>
          <w:szCs w:val="24"/>
          <w:highlight w:val="none"/>
          <w:u w:val="single"/>
        </w:rPr>
        <w:t xml:space="preserve">合格 </w:t>
      </w:r>
      <w:r>
        <w:rPr>
          <w:rFonts w:hint="eastAsia" w:ascii="方正仿宋_GB2312" w:hAnsi="方正仿宋_GB2312" w:eastAsia="方正仿宋_GB2312" w:cs="方正仿宋_GB2312"/>
          <w:sz w:val="24"/>
          <w:szCs w:val="24"/>
          <w:highlight w:val="none"/>
        </w:rPr>
        <w:t>标准。</w:t>
      </w:r>
    </w:p>
    <w:p w14:paraId="2E12F1BD">
      <w:pPr>
        <w:spacing w:line="6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四、签约合同价与合同价格形式</w:t>
      </w:r>
      <w:r>
        <w:rPr>
          <w:rFonts w:hint="eastAsia" w:ascii="方正仿宋_GB2312" w:hAnsi="方正仿宋_GB2312" w:eastAsia="方正仿宋_GB2312" w:cs="方正仿宋_GB2312"/>
          <w:sz w:val="24"/>
          <w:szCs w:val="24"/>
          <w:highlight w:val="none"/>
        </w:rPr>
        <w:tab/>
      </w:r>
    </w:p>
    <w:p w14:paraId="6388C6F9">
      <w:pPr>
        <w:spacing w:line="60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1.签约合同价为：</w:t>
      </w:r>
    </w:p>
    <w:p w14:paraId="7AC0D67A">
      <w:pPr>
        <w:keepNext w:val="0"/>
        <w:keepLines w:val="0"/>
        <w:widowControl/>
        <w:suppressLineNumbers w:val="0"/>
        <w:ind w:firstLine="482" w:firstLineChars="200"/>
        <w:jc w:val="left"/>
        <w:rPr>
          <w:rFonts w:hint="eastAsia" w:ascii="方正仿宋_GB2312" w:hAnsi="方正仿宋_GB2312" w:eastAsia="方正仿宋_GB2312" w:cs="方正仿宋_GB2312"/>
          <w:b/>
          <w:bCs/>
          <w:color w:val="auto"/>
          <w:sz w:val="24"/>
          <w:szCs w:val="24"/>
          <w:highlight w:val="none"/>
          <w:u w:val="single"/>
          <w:lang w:val="en-US" w:eastAsia="zh-CN"/>
        </w:rPr>
      </w:pPr>
      <w:r>
        <w:rPr>
          <w:rFonts w:hint="eastAsia" w:ascii="方正仿宋_GB2312" w:hAnsi="方正仿宋_GB2312" w:eastAsia="方正仿宋_GB2312" w:cs="方正仿宋_GB2312"/>
          <w:b/>
          <w:color w:val="auto"/>
          <w:sz w:val="24"/>
          <w:szCs w:val="24"/>
          <w:highlight w:val="none"/>
        </w:rPr>
        <w:t>人民币（大写）</w:t>
      </w:r>
      <w:r>
        <w:rPr>
          <w:rFonts w:hint="eastAsia" w:ascii="方正仿宋_GB2312" w:hAnsi="方正仿宋_GB2312" w:eastAsia="方正仿宋_GB2312" w:cs="方正仿宋_GB2312"/>
          <w:b/>
          <w:color w:val="auto"/>
          <w:sz w:val="24"/>
          <w:szCs w:val="24"/>
          <w:highlight w:val="none"/>
          <w:u w:val="single"/>
          <w:lang w:val="en-US" w:eastAsia="zh-CN"/>
        </w:rPr>
        <w:t xml:space="preserve">                  </w:t>
      </w:r>
    </w:p>
    <w:p w14:paraId="685EE44B">
      <w:pPr>
        <w:spacing w:line="600" w:lineRule="exact"/>
        <w:ind w:firstLine="723" w:firstLineChars="300"/>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rPr>
        <w:t xml:space="preserve">其中： </w:t>
      </w:r>
    </w:p>
    <w:p w14:paraId="68D3DBD1">
      <w:pPr>
        <w:spacing w:line="600" w:lineRule="exact"/>
        <w:ind w:firstLine="482" w:firstLineChars="200"/>
        <w:rPr>
          <w:rFonts w:hint="eastAsia" w:ascii="方正仿宋_GB2312" w:hAnsi="方正仿宋_GB2312" w:eastAsia="方正仿宋_GB2312" w:cs="方正仿宋_GB2312"/>
          <w:b/>
          <w:bCs/>
          <w:color w:val="auto"/>
          <w:sz w:val="24"/>
          <w:szCs w:val="24"/>
          <w:highlight w:val="none"/>
          <w:u w:val="single"/>
        </w:rPr>
      </w:pPr>
      <w:r>
        <w:rPr>
          <w:rFonts w:hint="eastAsia" w:ascii="方正仿宋_GB2312" w:hAnsi="方正仿宋_GB2312" w:eastAsia="方正仿宋_GB2312" w:cs="方正仿宋_GB2312"/>
          <w:b/>
          <w:bCs/>
          <w:color w:val="auto"/>
          <w:sz w:val="24"/>
          <w:szCs w:val="24"/>
          <w:highlight w:val="none"/>
        </w:rPr>
        <w:t>（1）安全文明施工费：</w:t>
      </w:r>
    </w:p>
    <w:p w14:paraId="34694279">
      <w:pPr>
        <w:keepNext w:val="0"/>
        <w:keepLines w:val="0"/>
        <w:widowControl/>
        <w:suppressLineNumbers w:val="0"/>
        <w:jc w:val="left"/>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rPr>
        <w:t>人民币（大写）</w:t>
      </w:r>
      <w:r>
        <w:rPr>
          <w:rFonts w:hint="eastAsia" w:ascii="方正仿宋_GB2312" w:hAnsi="方正仿宋_GB2312" w:eastAsia="方正仿宋_GB2312" w:cs="方正仿宋_GB2312"/>
          <w:b/>
          <w:bCs/>
          <w:color w:val="auto"/>
          <w:sz w:val="24"/>
          <w:szCs w:val="24"/>
          <w:highlight w:val="none"/>
          <w:u w:val="single"/>
          <w:lang w:val="en-US" w:eastAsia="zh-CN"/>
        </w:rPr>
        <w:t xml:space="preserve">                              </w:t>
      </w:r>
      <w:r>
        <w:rPr>
          <w:rFonts w:hint="eastAsia" w:ascii="方正仿宋_GB2312" w:hAnsi="方正仿宋_GB2312" w:eastAsia="方正仿宋_GB2312" w:cs="方正仿宋_GB2312"/>
          <w:b/>
          <w:bCs/>
          <w:color w:val="auto"/>
          <w:sz w:val="24"/>
          <w:szCs w:val="24"/>
          <w:highlight w:val="none"/>
        </w:rPr>
        <w:t>；</w:t>
      </w:r>
    </w:p>
    <w:p w14:paraId="6363AABD">
      <w:pPr>
        <w:numPr>
          <w:ilvl w:val="0"/>
          <w:numId w:val="6"/>
        </w:numPr>
        <w:spacing w:line="600" w:lineRule="exact"/>
        <w:ind w:firstLine="482" w:firstLineChars="200"/>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rPr>
        <w:t>材料和工程设备暂估价金额：</w:t>
      </w:r>
    </w:p>
    <w:p w14:paraId="537A5B89">
      <w:pPr>
        <w:keepNext w:val="0"/>
        <w:keepLines w:val="0"/>
        <w:widowControl/>
        <w:suppressLineNumbers w:val="0"/>
        <w:ind w:firstLine="482" w:firstLineChars="200"/>
        <w:jc w:val="left"/>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rPr>
        <w:t>人民币（大写）</w:t>
      </w:r>
      <w:r>
        <w:rPr>
          <w:rFonts w:hint="eastAsia" w:ascii="方正仿宋_GB2312" w:hAnsi="方正仿宋_GB2312" w:eastAsia="方正仿宋_GB2312" w:cs="方正仿宋_GB2312"/>
          <w:b/>
          <w:bCs/>
          <w:color w:val="auto"/>
          <w:sz w:val="24"/>
          <w:szCs w:val="24"/>
          <w:highlight w:val="none"/>
          <w:u w:val="single"/>
          <w:lang w:val="en-US" w:eastAsia="zh-CN"/>
        </w:rPr>
        <w:t xml:space="preserve">    \    </w:t>
      </w:r>
      <w:r>
        <w:rPr>
          <w:rFonts w:hint="eastAsia" w:ascii="方正仿宋_GB2312" w:hAnsi="方正仿宋_GB2312" w:eastAsia="方正仿宋_GB2312" w:cs="方正仿宋_GB2312"/>
          <w:b/>
          <w:bCs/>
          <w:color w:val="auto"/>
          <w:sz w:val="24"/>
          <w:szCs w:val="24"/>
          <w:highlight w:val="none"/>
        </w:rPr>
        <w:t>(¥</w:t>
      </w:r>
      <w:r>
        <w:rPr>
          <w:rFonts w:hint="eastAsia" w:ascii="方正仿宋_GB2312" w:hAnsi="方正仿宋_GB2312" w:eastAsia="方正仿宋_GB2312" w:cs="方正仿宋_GB2312"/>
          <w:b/>
          <w:bCs/>
          <w:color w:val="auto"/>
          <w:sz w:val="24"/>
          <w:szCs w:val="24"/>
          <w:highlight w:val="none"/>
          <w:u w:val="single"/>
          <w:lang w:val="en-US" w:eastAsia="zh-CN"/>
        </w:rPr>
        <w:t xml:space="preserve">    \    元</w:t>
      </w:r>
      <w:r>
        <w:rPr>
          <w:rFonts w:hint="eastAsia" w:ascii="方正仿宋_GB2312" w:hAnsi="方正仿宋_GB2312" w:eastAsia="方正仿宋_GB2312" w:cs="方正仿宋_GB2312"/>
          <w:b/>
          <w:bCs/>
          <w:color w:val="auto"/>
          <w:sz w:val="24"/>
          <w:szCs w:val="24"/>
          <w:highlight w:val="none"/>
        </w:rPr>
        <w:t>)；</w:t>
      </w:r>
    </w:p>
    <w:p w14:paraId="676DA928">
      <w:pPr>
        <w:numPr>
          <w:ilvl w:val="0"/>
          <w:numId w:val="6"/>
        </w:numPr>
        <w:spacing w:line="600" w:lineRule="exact"/>
        <w:ind w:firstLine="482" w:firstLineChars="200"/>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rPr>
        <w:t>专业工程暂估价金额：</w:t>
      </w:r>
    </w:p>
    <w:p w14:paraId="69D0315E">
      <w:pPr>
        <w:spacing w:line="600" w:lineRule="exact"/>
        <w:ind w:left="420" w:leftChars="200" w:firstLine="241" w:firstLineChars="100"/>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rPr>
        <w:t>人民币（大写）</w:t>
      </w:r>
      <w:r>
        <w:rPr>
          <w:rFonts w:hint="eastAsia" w:ascii="方正仿宋_GB2312" w:hAnsi="方正仿宋_GB2312" w:eastAsia="方正仿宋_GB2312" w:cs="方正仿宋_GB2312"/>
          <w:b/>
          <w:bCs/>
          <w:color w:val="auto"/>
          <w:sz w:val="24"/>
          <w:szCs w:val="24"/>
          <w:highlight w:val="none"/>
          <w:u w:val="single"/>
        </w:rPr>
        <w:t xml:space="preserve"> </w:t>
      </w:r>
      <w:r>
        <w:rPr>
          <w:rFonts w:hint="eastAsia" w:ascii="方正仿宋_GB2312" w:hAnsi="方正仿宋_GB2312" w:eastAsia="方正仿宋_GB2312" w:cs="方正仿宋_GB2312"/>
          <w:b/>
          <w:bCs/>
          <w:color w:val="auto"/>
          <w:sz w:val="24"/>
          <w:szCs w:val="24"/>
          <w:highlight w:val="none"/>
          <w:u w:val="single"/>
          <w:lang w:val="en-US" w:eastAsia="zh-CN"/>
        </w:rPr>
        <w:t xml:space="preserve">   \   </w:t>
      </w:r>
      <w:r>
        <w:rPr>
          <w:rFonts w:hint="eastAsia" w:ascii="方正仿宋_GB2312" w:hAnsi="方正仿宋_GB2312" w:eastAsia="方正仿宋_GB2312" w:cs="方正仿宋_GB2312"/>
          <w:b/>
          <w:bCs/>
          <w:color w:val="auto"/>
          <w:sz w:val="24"/>
          <w:szCs w:val="24"/>
          <w:highlight w:val="none"/>
          <w:u w:val="single"/>
        </w:rPr>
        <w:t xml:space="preserve"> </w:t>
      </w:r>
      <w:r>
        <w:rPr>
          <w:rFonts w:hint="eastAsia" w:ascii="方正仿宋_GB2312" w:hAnsi="方正仿宋_GB2312" w:eastAsia="方正仿宋_GB2312" w:cs="方正仿宋_GB2312"/>
          <w:b/>
          <w:bCs/>
          <w:color w:val="auto"/>
          <w:sz w:val="24"/>
          <w:szCs w:val="24"/>
          <w:highlight w:val="none"/>
        </w:rPr>
        <w:t>(¥</w:t>
      </w:r>
      <w:r>
        <w:rPr>
          <w:rFonts w:hint="eastAsia" w:ascii="方正仿宋_GB2312" w:hAnsi="方正仿宋_GB2312" w:eastAsia="方正仿宋_GB2312" w:cs="方正仿宋_GB2312"/>
          <w:b/>
          <w:bCs/>
          <w:color w:val="auto"/>
          <w:sz w:val="24"/>
          <w:szCs w:val="24"/>
          <w:highlight w:val="none"/>
          <w:u w:val="single"/>
          <w:lang w:val="en-US" w:eastAsia="zh-CN"/>
        </w:rPr>
        <w:t xml:space="preserve">    \   </w:t>
      </w:r>
      <w:r>
        <w:rPr>
          <w:rFonts w:hint="eastAsia" w:ascii="方正仿宋_GB2312" w:hAnsi="方正仿宋_GB2312" w:eastAsia="方正仿宋_GB2312" w:cs="方正仿宋_GB2312"/>
          <w:b/>
          <w:bCs/>
          <w:color w:val="auto"/>
          <w:sz w:val="24"/>
          <w:szCs w:val="24"/>
          <w:highlight w:val="none"/>
          <w:u w:val="single"/>
        </w:rPr>
        <w:t xml:space="preserve"> </w:t>
      </w:r>
      <w:r>
        <w:rPr>
          <w:rFonts w:hint="eastAsia" w:ascii="方正仿宋_GB2312" w:hAnsi="方正仿宋_GB2312" w:eastAsia="方正仿宋_GB2312" w:cs="方正仿宋_GB2312"/>
          <w:b/>
          <w:bCs/>
          <w:color w:val="auto"/>
          <w:sz w:val="24"/>
          <w:szCs w:val="24"/>
          <w:highlight w:val="none"/>
        </w:rPr>
        <w:t>元)；</w:t>
      </w:r>
    </w:p>
    <w:p w14:paraId="35AF17AE">
      <w:pPr>
        <w:keepNext w:val="0"/>
        <w:keepLines w:val="0"/>
        <w:widowControl/>
        <w:suppressLineNumbers w:val="0"/>
        <w:ind w:firstLine="482" w:firstLineChars="200"/>
        <w:jc w:val="left"/>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rPr>
        <w:t>（4）暂列金额：人民币（大写）</w:t>
      </w:r>
      <w:r>
        <w:rPr>
          <w:rFonts w:hint="eastAsia" w:ascii="方正仿宋_GB2312" w:hAnsi="方正仿宋_GB2312" w:eastAsia="方正仿宋_GB2312" w:cs="方正仿宋_GB2312"/>
          <w:b/>
          <w:bCs/>
          <w:color w:val="auto"/>
          <w:sz w:val="24"/>
          <w:szCs w:val="24"/>
          <w:highlight w:val="none"/>
          <w:u w:val="single"/>
          <w:lang w:val="en-US" w:eastAsia="zh-CN"/>
        </w:rPr>
        <w:t xml:space="preserve">                           </w:t>
      </w:r>
      <w:r>
        <w:rPr>
          <w:rFonts w:hint="eastAsia" w:ascii="方正仿宋_GB2312" w:hAnsi="方正仿宋_GB2312" w:eastAsia="方正仿宋_GB2312" w:cs="方正仿宋_GB2312"/>
          <w:b/>
          <w:bCs/>
          <w:color w:val="auto"/>
          <w:sz w:val="24"/>
          <w:szCs w:val="24"/>
          <w:highlight w:val="none"/>
          <w:u w:val="single"/>
        </w:rPr>
        <w:t>元)</w:t>
      </w:r>
      <w:r>
        <w:rPr>
          <w:rFonts w:hint="eastAsia" w:ascii="方正仿宋_GB2312" w:hAnsi="方正仿宋_GB2312" w:eastAsia="方正仿宋_GB2312" w:cs="方正仿宋_GB2312"/>
          <w:b/>
          <w:bCs/>
          <w:color w:val="auto"/>
          <w:sz w:val="24"/>
          <w:szCs w:val="24"/>
          <w:highlight w:val="none"/>
        </w:rPr>
        <w:t>。</w:t>
      </w:r>
    </w:p>
    <w:p w14:paraId="3E9A1D00">
      <w:pPr>
        <w:spacing w:line="600" w:lineRule="exact"/>
        <w:ind w:firstLine="480" w:firstLineChars="200"/>
        <w:rPr>
          <w:rFonts w:hint="eastAsia" w:ascii="方正仿宋_GB2312" w:hAnsi="方正仿宋_GB2312" w:eastAsia="方正仿宋_GB2312" w:cs="方正仿宋_GB2312"/>
          <w:b/>
          <w:bCs/>
          <w:sz w:val="24"/>
          <w:szCs w:val="24"/>
          <w:highlight w:val="none"/>
          <w:u w:val="single"/>
        </w:rPr>
      </w:pPr>
      <w:r>
        <w:rPr>
          <w:rFonts w:hint="eastAsia" w:ascii="方正仿宋_GB2312" w:hAnsi="方正仿宋_GB2312" w:eastAsia="方正仿宋_GB2312" w:cs="方正仿宋_GB2312"/>
          <w:sz w:val="24"/>
          <w:szCs w:val="24"/>
          <w:highlight w:val="none"/>
        </w:rPr>
        <w:t>2.合同价格形式：</w:t>
      </w:r>
      <w:r>
        <w:rPr>
          <w:rFonts w:hint="eastAsia" w:ascii="方正仿宋_GB2312" w:hAnsi="方正仿宋_GB2312" w:eastAsia="方正仿宋_GB2312" w:cs="方正仿宋_GB2312"/>
          <w:b/>
          <w:bCs/>
          <w:sz w:val="24"/>
          <w:szCs w:val="24"/>
          <w:highlight w:val="none"/>
          <w:u w:val="single"/>
        </w:rPr>
        <w:t>单价合同</w:t>
      </w:r>
      <w:r>
        <w:rPr>
          <w:rFonts w:hint="eastAsia" w:ascii="方正仿宋_GB2312" w:hAnsi="方正仿宋_GB2312" w:eastAsia="方正仿宋_GB2312" w:cs="方正仿宋_GB2312"/>
          <w:b/>
          <w:bCs/>
          <w:sz w:val="24"/>
          <w:szCs w:val="24"/>
          <w:highlight w:val="none"/>
        </w:rPr>
        <w:t>。</w:t>
      </w:r>
    </w:p>
    <w:p w14:paraId="64AE9C0B">
      <w:pPr>
        <w:spacing w:line="600" w:lineRule="exact"/>
        <w:ind w:firstLine="482" w:firstLineChars="200"/>
        <w:rPr>
          <w:rFonts w:hint="eastAsia" w:ascii="方正仿宋_GB2312" w:hAnsi="方正仿宋_GB2312" w:eastAsia="方正仿宋_GB2312" w:cs="方正仿宋_GB2312"/>
          <w:b/>
          <w:bCs/>
          <w:sz w:val="24"/>
          <w:szCs w:val="24"/>
          <w:highlight w:val="none"/>
        </w:rPr>
      </w:pPr>
      <w:r>
        <w:rPr>
          <w:rFonts w:hint="eastAsia" w:ascii="方正仿宋_GB2312" w:hAnsi="方正仿宋_GB2312" w:eastAsia="方正仿宋_GB2312" w:cs="方正仿宋_GB2312"/>
          <w:b/>
          <w:bCs/>
          <w:sz w:val="24"/>
          <w:szCs w:val="24"/>
          <w:highlight w:val="none"/>
        </w:rPr>
        <w:t>五、项目经理</w:t>
      </w:r>
    </w:p>
    <w:p w14:paraId="4DF31A6B">
      <w:pPr>
        <w:spacing w:line="600" w:lineRule="exact"/>
        <w:ind w:firstLine="480" w:firstLineChars="200"/>
        <w:rPr>
          <w:rFonts w:hint="eastAsia" w:ascii="方正仿宋_GB2312" w:hAnsi="方正仿宋_GB2312" w:eastAsia="方正仿宋_GB2312" w:cs="方正仿宋_GB2312"/>
          <w:b/>
          <w:bCs/>
          <w:sz w:val="24"/>
          <w:szCs w:val="24"/>
          <w:highlight w:val="none"/>
          <w:u w:val="single"/>
        </w:rPr>
      </w:pPr>
      <w:r>
        <w:rPr>
          <w:rFonts w:hint="eastAsia" w:ascii="方正仿宋_GB2312" w:hAnsi="方正仿宋_GB2312" w:eastAsia="方正仿宋_GB2312" w:cs="方正仿宋_GB2312"/>
          <w:sz w:val="24"/>
          <w:szCs w:val="24"/>
          <w:highlight w:val="none"/>
        </w:rPr>
        <w:t>承包人项目经理：</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b/>
          <w:bCs/>
          <w:sz w:val="24"/>
          <w:szCs w:val="24"/>
          <w:highlight w:val="none"/>
        </w:rPr>
        <w:t>。</w:t>
      </w:r>
    </w:p>
    <w:p w14:paraId="22D657C9">
      <w:pPr>
        <w:spacing w:line="600" w:lineRule="exact"/>
        <w:ind w:firstLine="482" w:firstLineChars="200"/>
        <w:rPr>
          <w:rFonts w:hint="eastAsia" w:ascii="方正仿宋_GB2312" w:hAnsi="方正仿宋_GB2312" w:eastAsia="方正仿宋_GB2312" w:cs="方正仿宋_GB2312"/>
          <w:b/>
          <w:bCs/>
          <w:sz w:val="24"/>
          <w:szCs w:val="24"/>
          <w:highlight w:val="none"/>
        </w:rPr>
      </w:pPr>
      <w:r>
        <w:rPr>
          <w:rFonts w:hint="eastAsia" w:ascii="方正仿宋_GB2312" w:hAnsi="方正仿宋_GB2312" w:eastAsia="方正仿宋_GB2312" w:cs="方正仿宋_GB2312"/>
          <w:b/>
          <w:bCs/>
          <w:sz w:val="24"/>
          <w:szCs w:val="24"/>
          <w:highlight w:val="none"/>
        </w:rPr>
        <w:t>六、合同文件构成</w:t>
      </w:r>
    </w:p>
    <w:p w14:paraId="5A448BBB">
      <w:pPr>
        <w:spacing w:line="6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本协议书与下列文件一起构成合同文件：</w:t>
      </w:r>
    </w:p>
    <w:p w14:paraId="128FA96C">
      <w:pPr>
        <w:spacing w:line="6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（1）中标通知书（如果有）；</w:t>
      </w:r>
    </w:p>
    <w:p w14:paraId="21E12B03">
      <w:pPr>
        <w:spacing w:line="6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（2）投标函及其附录（如果有）；</w:t>
      </w:r>
    </w:p>
    <w:p w14:paraId="0730995B">
      <w:pPr>
        <w:spacing w:line="6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（3）专用合同条款及其附件；</w:t>
      </w:r>
    </w:p>
    <w:p w14:paraId="70DCB700">
      <w:pPr>
        <w:spacing w:line="6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（4）通用合同条款；</w:t>
      </w:r>
    </w:p>
    <w:p w14:paraId="335C28C1">
      <w:pPr>
        <w:spacing w:line="6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（5）技术标准和要求；</w:t>
      </w:r>
    </w:p>
    <w:p w14:paraId="5FDCF897">
      <w:pPr>
        <w:spacing w:line="6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（6）图纸；</w:t>
      </w:r>
    </w:p>
    <w:p w14:paraId="010C480B">
      <w:pPr>
        <w:spacing w:line="6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（7）已标价工程量清单或预算书；</w:t>
      </w:r>
    </w:p>
    <w:p w14:paraId="64E837B9">
      <w:pPr>
        <w:spacing w:line="6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（8）其他合同文件。</w:t>
      </w:r>
    </w:p>
    <w:p w14:paraId="140C188F">
      <w:pPr>
        <w:spacing w:line="6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在合同订立及履行过程中形成的与合同有关的文件均构成合同文件组成部分。</w:t>
      </w:r>
    </w:p>
    <w:p w14:paraId="6BC9D8B1">
      <w:pPr>
        <w:spacing w:line="6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26699A16">
      <w:pPr>
        <w:spacing w:line="6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七、承诺</w:t>
      </w:r>
    </w:p>
    <w:p w14:paraId="70FDFC6F">
      <w:pPr>
        <w:spacing w:line="6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1.发包人承诺按照法律规定履行项目审批手续、筹集工程建设资金并按照合同约定的期限和方式支付合同价款。</w:t>
      </w:r>
    </w:p>
    <w:p w14:paraId="4A173E1C">
      <w:pPr>
        <w:spacing w:line="6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2.承包人承诺按照法律规定及合同约定组织完成工程施工，确保工程质量和安全，不进行转包及违法分包，并在缺陷责任期及保修期内承担相应的工程维修责任。</w:t>
      </w:r>
    </w:p>
    <w:p w14:paraId="10DD0F40">
      <w:pPr>
        <w:spacing w:line="6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3.发包人和承包人通过招投标形式签订合同的，双方理解并承诺不再就同一工程另行签订与合同实质性内容相背离的协议。</w:t>
      </w:r>
    </w:p>
    <w:p w14:paraId="54D1EB03">
      <w:pPr>
        <w:spacing w:line="6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八、词语含义</w:t>
      </w:r>
    </w:p>
    <w:p w14:paraId="79A2515B">
      <w:pPr>
        <w:spacing w:line="6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本协议书中词语含义与第二部分通用合同条款中赋予的含义相同。</w:t>
      </w:r>
    </w:p>
    <w:p w14:paraId="4AA96FD2">
      <w:pPr>
        <w:spacing w:line="6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九、签订时间</w:t>
      </w:r>
    </w:p>
    <w:p w14:paraId="708ECBF7">
      <w:pPr>
        <w:spacing w:line="6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本合同于</w:t>
      </w:r>
      <w:r>
        <w:rPr>
          <w:rFonts w:hint="eastAsia" w:ascii="方正仿宋_GB2312" w:hAnsi="方正仿宋_GB2312" w:eastAsia="方正仿宋_GB2312" w:cs="方正仿宋_GB2312"/>
          <w:b/>
          <w:bCs/>
          <w:sz w:val="24"/>
          <w:szCs w:val="24"/>
          <w:highlight w:val="none"/>
          <w:u w:val="single"/>
          <w:lang w:val="en-US" w:eastAsia="zh-CN"/>
        </w:rPr>
        <w:t xml:space="preserve">2025年  月  </w:t>
      </w:r>
      <w:r>
        <w:rPr>
          <w:rFonts w:hint="eastAsia" w:ascii="方正仿宋_GB2312" w:hAnsi="方正仿宋_GB2312" w:eastAsia="方正仿宋_GB2312" w:cs="方正仿宋_GB2312"/>
          <w:b/>
          <w:bCs/>
          <w:sz w:val="24"/>
          <w:szCs w:val="24"/>
          <w:highlight w:val="none"/>
          <w:u w:val="single"/>
        </w:rPr>
        <w:t>日</w:t>
      </w:r>
      <w:r>
        <w:rPr>
          <w:rFonts w:hint="eastAsia" w:ascii="方正仿宋_GB2312" w:hAnsi="方正仿宋_GB2312" w:eastAsia="方正仿宋_GB2312" w:cs="方正仿宋_GB2312"/>
          <w:sz w:val="24"/>
          <w:szCs w:val="24"/>
          <w:highlight w:val="none"/>
        </w:rPr>
        <w:t>签订。</w:t>
      </w:r>
    </w:p>
    <w:p w14:paraId="5B3CD424">
      <w:pPr>
        <w:spacing w:line="6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十、签订地点</w:t>
      </w:r>
    </w:p>
    <w:p w14:paraId="4646485F">
      <w:pPr>
        <w:spacing w:line="6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本合同在</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rPr>
        <w:t>签订</w:t>
      </w:r>
      <w:r>
        <w:rPr>
          <w:rFonts w:hint="eastAsia" w:ascii="方正仿宋_GB2312" w:hAnsi="方正仿宋_GB2312" w:eastAsia="方正仿宋_GB2312" w:cs="方正仿宋_GB2312"/>
          <w:b/>
          <w:bCs/>
          <w:sz w:val="24"/>
          <w:szCs w:val="24"/>
          <w:highlight w:val="none"/>
        </w:rPr>
        <w:t>。</w:t>
      </w:r>
    </w:p>
    <w:p w14:paraId="7B6D74DF">
      <w:pPr>
        <w:spacing w:line="6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十一、补充协议</w:t>
      </w:r>
    </w:p>
    <w:p w14:paraId="0231EFC9">
      <w:pPr>
        <w:spacing w:line="6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合同未尽事宜，合同当事人另行签订补充协议，补充协议是合同的组成部分。</w:t>
      </w:r>
    </w:p>
    <w:p w14:paraId="134174B0">
      <w:pPr>
        <w:spacing w:line="6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十二、合同生效</w:t>
      </w:r>
    </w:p>
    <w:p w14:paraId="094858A3">
      <w:pPr>
        <w:spacing w:line="6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本合同自</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b/>
          <w:bCs/>
          <w:sz w:val="24"/>
          <w:szCs w:val="24"/>
          <w:highlight w:val="none"/>
          <w:u w:val="single"/>
        </w:rPr>
        <w:t>双方签订之日</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生效。</w:t>
      </w:r>
    </w:p>
    <w:p w14:paraId="2B25820A">
      <w:pPr>
        <w:spacing w:line="600" w:lineRule="exact"/>
        <w:ind w:firstLine="480" w:firstLineChars="200"/>
        <w:rPr>
          <w:rFonts w:hint="eastAsia" w:ascii="方正仿宋_GB2312" w:hAnsi="方正仿宋_GB2312" w:eastAsia="方正仿宋_GB2312" w:cs="方正仿宋_GB2312"/>
          <w:b/>
          <w:bCs/>
          <w:sz w:val="24"/>
          <w:szCs w:val="24"/>
          <w:highlight w:val="none"/>
        </w:rPr>
      </w:pPr>
      <w:r>
        <w:rPr>
          <w:rFonts w:hint="eastAsia" w:ascii="方正仿宋_GB2312" w:hAnsi="方正仿宋_GB2312" w:eastAsia="方正仿宋_GB2312" w:cs="方正仿宋_GB2312"/>
          <w:sz w:val="24"/>
          <w:szCs w:val="24"/>
          <w:highlight w:val="none"/>
        </w:rPr>
        <w:t>十三、合同份数</w:t>
      </w:r>
    </w:p>
    <w:p w14:paraId="22CADA41">
      <w:pPr>
        <w:spacing w:line="6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本合同一式</w:t>
      </w:r>
      <w:r>
        <w:rPr>
          <w:rFonts w:hint="eastAsia" w:ascii="方正仿宋_GB2312" w:hAnsi="方正仿宋_GB2312" w:eastAsia="方正仿宋_GB2312" w:cs="方正仿宋_GB2312"/>
          <w:b/>
          <w:bCs/>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rPr>
        <w:t>份，均具有同等法律效力，发包人执</w:t>
      </w:r>
      <w:r>
        <w:rPr>
          <w:rFonts w:hint="eastAsia" w:ascii="方正仿宋_GB2312" w:hAnsi="方正仿宋_GB2312" w:eastAsia="方正仿宋_GB2312" w:cs="方正仿宋_GB2312"/>
          <w:b/>
          <w:bCs/>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rPr>
        <w:t>份，承包人执</w:t>
      </w:r>
      <w:r>
        <w:rPr>
          <w:rFonts w:hint="eastAsia" w:ascii="方正仿宋_GB2312" w:hAnsi="方正仿宋_GB2312" w:eastAsia="方正仿宋_GB2312" w:cs="方正仿宋_GB2312"/>
          <w:b/>
          <w:bCs/>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none"/>
        </w:rPr>
        <w:t>份</w:t>
      </w:r>
      <w:r>
        <w:rPr>
          <w:rFonts w:hint="eastAsia" w:ascii="方正仿宋_GB2312" w:hAnsi="方正仿宋_GB2312" w:eastAsia="方正仿宋_GB2312" w:cs="方正仿宋_GB2312"/>
          <w:sz w:val="24"/>
          <w:szCs w:val="24"/>
          <w:highlight w:val="none"/>
        </w:rPr>
        <w:t>。</w:t>
      </w:r>
    </w:p>
    <w:p w14:paraId="2D74FA9E">
      <w:pPr>
        <w:pStyle w:val="122"/>
        <w:rPr>
          <w:rFonts w:hint="eastAsia" w:ascii="方正仿宋_GB2312" w:hAnsi="方正仿宋_GB2312" w:eastAsia="方正仿宋_GB2312" w:cs="方正仿宋_GB2312"/>
          <w:sz w:val="24"/>
          <w:szCs w:val="24"/>
          <w:highlight w:val="none"/>
        </w:rPr>
      </w:pPr>
    </w:p>
    <w:p w14:paraId="6282EE15">
      <w:pPr>
        <w:pStyle w:val="122"/>
        <w:rPr>
          <w:rFonts w:hint="eastAsia" w:ascii="方正仿宋_GB2312" w:hAnsi="方正仿宋_GB2312" w:eastAsia="方正仿宋_GB2312" w:cs="方正仿宋_GB2312"/>
          <w:sz w:val="24"/>
          <w:szCs w:val="24"/>
          <w:highlight w:val="none"/>
        </w:rPr>
      </w:pPr>
    </w:p>
    <w:p w14:paraId="52605D23">
      <w:pPr>
        <w:spacing w:line="400" w:lineRule="exact"/>
        <w:rPr>
          <w:rFonts w:hint="eastAsia" w:ascii="方正仿宋_GB2312" w:hAnsi="方正仿宋_GB2312" w:eastAsia="方正仿宋_GB2312" w:cs="方正仿宋_GB2312"/>
          <w:color w:val="000000"/>
          <w:sz w:val="24"/>
          <w:szCs w:val="24"/>
          <w:highlight w:val="none"/>
        </w:rPr>
      </w:pPr>
    </w:p>
    <w:tbl>
      <w:tblPr>
        <w:tblStyle w:val="39"/>
        <w:tblpPr w:leftFromText="180" w:rightFromText="180" w:vertAnchor="text" w:tblpX="1" w:tblpY="1"/>
        <w:tblOverlap w:val="never"/>
        <w:tblW w:w="9659" w:type="dxa"/>
        <w:tblInd w:w="0" w:type="dxa"/>
        <w:tblLayout w:type="fixed"/>
        <w:tblCellMar>
          <w:top w:w="0" w:type="dxa"/>
          <w:left w:w="108" w:type="dxa"/>
          <w:bottom w:w="0" w:type="dxa"/>
          <w:right w:w="108" w:type="dxa"/>
        </w:tblCellMar>
      </w:tblPr>
      <w:tblGrid>
        <w:gridCol w:w="4616"/>
        <w:gridCol w:w="5043"/>
      </w:tblGrid>
      <w:tr w14:paraId="03E9024A">
        <w:tblPrEx>
          <w:tblCellMar>
            <w:top w:w="0" w:type="dxa"/>
            <w:left w:w="108" w:type="dxa"/>
            <w:bottom w:w="0" w:type="dxa"/>
            <w:right w:w="108" w:type="dxa"/>
          </w:tblCellMar>
        </w:tblPrEx>
        <w:trPr>
          <w:trHeight w:val="706" w:hRule="exact"/>
        </w:trPr>
        <w:tc>
          <w:tcPr>
            <w:tcW w:w="4616" w:type="dxa"/>
            <w:noWrap w:val="0"/>
            <w:vAlign w:val="top"/>
          </w:tcPr>
          <w:p w14:paraId="33E97326">
            <w:pPr>
              <w:spacing w:line="44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发包人：（盖章）</w:t>
            </w:r>
          </w:p>
        </w:tc>
        <w:tc>
          <w:tcPr>
            <w:tcW w:w="5043" w:type="dxa"/>
            <w:noWrap w:val="0"/>
            <w:vAlign w:val="top"/>
          </w:tcPr>
          <w:p w14:paraId="797706C9">
            <w:pPr>
              <w:spacing w:line="440" w:lineRule="exact"/>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承包人：（盖章）</w:t>
            </w:r>
          </w:p>
        </w:tc>
      </w:tr>
      <w:tr w14:paraId="7D481525">
        <w:tblPrEx>
          <w:tblCellMar>
            <w:top w:w="0" w:type="dxa"/>
            <w:left w:w="108" w:type="dxa"/>
            <w:bottom w:w="0" w:type="dxa"/>
            <w:right w:w="108" w:type="dxa"/>
          </w:tblCellMar>
        </w:tblPrEx>
        <w:trPr>
          <w:trHeight w:val="442" w:hRule="exact"/>
        </w:trPr>
        <w:tc>
          <w:tcPr>
            <w:tcW w:w="4616" w:type="dxa"/>
            <w:noWrap w:val="0"/>
            <w:vAlign w:val="top"/>
          </w:tcPr>
          <w:p w14:paraId="6E913A8F">
            <w:pPr>
              <w:spacing w:line="44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法定代表人或其委托代理人：</w:t>
            </w:r>
          </w:p>
        </w:tc>
        <w:tc>
          <w:tcPr>
            <w:tcW w:w="5043" w:type="dxa"/>
            <w:noWrap w:val="0"/>
            <w:vAlign w:val="top"/>
          </w:tcPr>
          <w:p w14:paraId="28173C64">
            <w:pPr>
              <w:spacing w:line="44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法定代表人或其委托代理人：</w:t>
            </w:r>
          </w:p>
        </w:tc>
      </w:tr>
      <w:tr w14:paraId="42ADDF70">
        <w:tblPrEx>
          <w:tblCellMar>
            <w:top w:w="0" w:type="dxa"/>
            <w:left w:w="108" w:type="dxa"/>
            <w:bottom w:w="0" w:type="dxa"/>
            <w:right w:w="108" w:type="dxa"/>
          </w:tblCellMar>
        </w:tblPrEx>
        <w:trPr>
          <w:trHeight w:val="489" w:hRule="exact"/>
        </w:trPr>
        <w:tc>
          <w:tcPr>
            <w:tcW w:w="4616" w:type="dxa"/>
            <w:noWrap w:val="0"/>
            <w:vAlign w:val="top"/>
          </w:tcPr>
          <w:p w14:paraId="0166E656">
            <w:pPr>
              <w:spacing w:line="44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（签字）</w:t>
            </w:r>
          </w:p>
        </w:tc>
        <w:tc>
          <w:tcPr>
            <w:tcW w:w="5043" w:type="dxa"/>
            <w:noWrap w:val="0"/>
            <w:vAlign w:val="top"/>
          </w:tcPr>
          <w:p w14:paraId="021D7F43">
            <w:pPr>
              <w:spacing w:line="44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（签字）</w:t>
            </w:r>
          </w:p>
        </w:tc>
      </w:tr>
      <w:tr w14:paraId="1CE2DAEF">
        <w:tblPrEx>
          <w:tblCellMar>
            <w:top w:w="0" w:type="dxa"/>
            <w:left w:w="108" w:type="dxa"/>
            <w:bottom w:w="0" w:type="dxa"/>
            <w:right w:w="108" w:type="dxa"/>
          </w:tblCellMar>
        </w:tblPrEx>
        <w:trPr>
          <w:trHeight w:val="557" w:hRule="exact"/>
        </w:trPr>
        <w:tc>
          <w:tcPr>
            <w:tcW w:w="4616" w:type="dxa"/>
            <w:noWrap w:val="0"/>
            <w:vAlign w:val="top"/>
          </w:tcPr>
          <w:p w14:paraId="67EBBD6E">
            <w:pPr>
              <w:spacing w:line="440" w:lineRule="exact"/>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组织机构代码：</w:t>
            </w:r>
          </w:p>
        </w:tc>
        <w:tc>
          <w:tcPr>
            <w:tcW w:w="5043" w:type="dxa"/>
            <w:noWrap w:val="0"/>
            <w:vAlign w:val="top"/>
          </w:tcPr>
          <w:p w14:paraId="4D36A5FF">
            <w:pPr>
              <w:spacing w:line="44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组织机构代码：</w:t>
            </w:r>
          </w:p>
        </w:tc>
      </w:tr>
      <w:tr w14:paraId="052D5165">
        <w:tblPrEx>
          <w:tblCellMar>
            <w:top w:w="0" w:type="dxa"/>
            <w:left w:w="108" w:type="dxa"/>
            <w:bottom w:w="0" w:type="dxa"/>
            <w:right w:w="108" w:type="dxa"/>
          </w:tblCellMar>
        </w:tblPrEx>
        <w:trPr>
          <w:trHeight w:val="503" w:hRule="exact"/>
        </w:trPr>
        <w:tc>
          <w:tcPr>
            <w:tcW w:w="4616" w:type="dxa"/>
            <w:noWrap w:val="0"/>
            <w:vAlign w:val="top"/>
          </w:tcPr>
          <w:p w14:paraId="5FD5D825">
            <w:pPr>
              <w:spacing w:line="440" w:lineRule="exact"/>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地址：</w:t>
            </w:r>
          </w:p>
        </w:tc>
        <w:tc>
          <w:tcPr>
            <w:tcW w:w="5043" w:type="dxa"/>
            <w:noWrap w:val="0"/>
            <w:vAlign w:val="top"/>
          </w:tcPr>
          <w:p w14:paraId="1D597641">
            <w:pPr>
              <w:spacing w:line="440" w:lineRule="exact"/>
              <w:ind w:left="650" w:hanging="600" w:hangingChars="250"/>
              <w:rPr>
                <w:rFonts w:hint="eastAsia" w:ascii="方正仿宋_GB2312" w:hAnsi="方正仿宋_GB2312" w:eastAsia="方正仿宋_GB2312" w:cs="方正仿宋_GB2312"/>
                <w:b/>
                <w:bCs/>
                <w:sz w:val="24"/>
                <w:szCs w:val="24"/>
                <w:highlight w:val="none"/>
                <w:u w:val="single"/>
              </w:rPr>
            </w:pPr>
            <w:r>
              <w:rPr>
                <w:rFonts w:hint="eastAsia" w:ascii="方正仿宋_GB2312" w:hAnsi="方正仿宋_GB2312" w:eastAsia="方正仿宋_GB2312" w:cs="方正仿宋_GB2312"/>
                <w:sz w:val="24"/>
                <w:szCs w:val="24"/>
                <w:highlight w:val="none"/>
              </w:rPr>
              <w:t>地址：</w:t>
            </w:r>
          </w:p>
        </w:tc>
      </w:tr>
      <w:tr w14:paraId="2BA0AD1C">
        <w:tblPrEx>
          <w:tblCellMar>
            <w:top w:w="0" w:type="dxa"/>
            <w:left w:w="108" w:type="dxa"/>
            <w:bottom w:w="0" w:type="dxa"/>
            <w:right w:w="108" w:type="dxa"/>
          </w:tblCellMar>
        </w:tblPrEx>
        <w:trPr>
          <w:trHeight w:val="503" w:hRule="exact"/>
        </w:trPr>
        <w:tc>
          <w:tcPr>
            <w:tcW w:w="4616" w:type="dxa"/>
            <w:noWrap w:val="0"/>
            <w:vAlign w:val="top"/>
          </w:tcPr>
          <w:p w14:paraId="25F9587F">
            <w:pPr>
              <w:spacing w:line="440" w:lineRule="exact"/>
              <w:rPr>
                <w:rFonts w:hint="eastAsia" w:ascii="方正仿宋_GB2312" w:hAnsi="方正仿宋_GB2312" w:eastAsia="方正仿宋_GB2312" w:cs="方正仿宋_GB2312"/>
                <w:sz w:val="24"/>
                <w:szCs w:val="24"/>
                <w:highlight w:val="none"/>
              </w:rPr>
            </w:pPr>
          </w:p>
        </w:tc>
        <w:tc>
          <w:tcPr>
            <w:tcW w:w="5043" w:type="dxa"/>
            <w:noWrap w:val="0"/>
            <w:vAlign w:val="top"/>
          </w:tcPr>
          <w:p w14:paraId="63530180">
            <w:pPr>
              <w:spacing w:line="440" w:lineRule="exact"/>
              <w:ind w:left="653" w:hanging="600" w:hangingChars="250"/>
              <w:rPr>
                <w:rFonts w:hint="eastAsia" w:ascii="方正仿宋_GB2312" w:hAnsi="方正仿宋_GB2312" w:eastAsia="方正仿宋_GB2312" w:cs="方正仿宋_GB2312"/>
                <w:sz w:val="24"/>
                <w:szCs w:val="24"/>
                <w:highlight w:val="none"/>
              </w:rPr>
            </w:pPr>
          </w:p>
        </w:tc>
      </w:tr>
      <w:tr w14:paraId="32E36F63">
        <w:tblPrEx>
          <w:tblCellMar>
            <w:top w:w="0" w:type="dxa"/>
            <w:left w:w="108" w:type="dxa"/>
            <w:bottom w:w="0" w:type="dxa"/>
            <w:right w:w="108" w:type="dxa"/>
          </w:tblCellMar>
        </w:tblPrEx>
        <w:trPr>
          <w:trHeight w:val="507" w:hRule="exact"/>
        </w:trPr>
        <w:tc>
          <w:tcPr>
            <w:tcW w:w="4616" w:type="dxa"/>
            <w:noWrap w:val="0"/>
            <w:vAlign w:val="top"/>
          </w:tcPr>
          <w:p w14:paraId="77C1FCB0">
            <w:pPr>
              <w:spacing w:before="100" w:beforeAutospacing="1" w:after="100" w:afterAutospacing="1"/>
              <w:rPr>
                <w:rFonts w:hint="eastAsia" w:ascii="方正仿宋_GB2312" w:hAnsi="方正仿宋_GB2312" w:eastAsia="方正仿宋_GB2312" w:cs="方正仿宋_GB2312"/>
                <w:sz w:val="24"/>
                <w:szCs w:val="24"/>
                <w:highlight w:val="none"/>
                <w:u w:val="single"/>
                <w:lang w:val="en-US" w:eastAsia="zh-CN"/>
              </w:rPr>
            </w:pPr>
            <w:r>
              <w:rPr>
                <w:rFonts w:hint="eastAsia" w:ascii="方正仿宋_GB2312" w:hAnsi="方正仿宋_GB2312" w:eastAsia="方正仿宋_GB2312" w:cs="方正仿宋_GB2312"/>
                <w:sz w:val="24"/>
                <w:szCs w:val="24"/>
                <w:highlight w:val="none"/>
              </w:rPr>
              <w:t>邮政编码</w:t>
            </w:r>
            <w:r>
              <w:rPr>
                <w:rFonts w:hint="eastAsia" w:ascii="方正仿宋_GB2312" w:hAnsi="方正仿宋_GB2312" w:eastAsia="方正仿宋_GB2312" w:cs="方正仿宋_GB2312"/>
                <w:b/>
                <w:bCs/>
                <w:sz w:val="24"/>
                <w:szCs w:val="24"/>
                <w:highlight w:val="none"/>
              </w:rPr>
              <w:t>：</w:t>
            </w:r>
          </w:p>
        </w:tc>
        <w:tc>
          <w:tcPr>
            <w:tcW w:w="5043" w:type="dxa"/>
            <w:noWrap w:val="0"/>
            <w:vAlign w:val="top"/>
          </w:tcPr>
          <w:p w14:paraId="573703D6">
            <w:pPr>
              <w:spacing w:before="100" w:beforeAutospacing="1" w:after="100" w:afterAutospacing="1"/>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邮政编码：</w:t>
            </w:r>
          </w:p>
        </w:tc>
      </w:tr>
      <w:tr w14:paraId="511DA4C0">
        <w:tblPrEx>
          <w:tblCellMar>
            <w:top w:w="0" w:type="dxa"/>
            <w:left w:w="108" w:type="dxa"/>
            <w:bottom w:w="0" w:type="dxa"/>
            <w:right w:w="108" w:type="dxa"/>
          </w:tblCellMar>
        </w:tblPrEx>
        <w:trPr>
          <w:trHeight w:val="528" w:hRule="exact"/>
        </w:trPr>
        <w:tc>
          <w:tcPr>
            <w:tcW w:w="4616" w:type="dxa"/>
            <w:noWrap w:val="0"/>
            <w:vAlign w:val="top"/>
          </w:tcPr>
          <w:p w14:paraId="49E6483A">
            <w:pPr>
              <w:spacing w:before="100" w:beforeAutospacing="1" w:after="100" w:afterAutospacing="1"/>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法定代表人：</w:t>
            </w:r>
          </w:p>
        </w:tc>
        <w:tc>
          <w:tcPr>
            <w:tcW w:w="5043" w:type="dxa"/>
            <w:noWrap w:val="0"/>
            <w:vAlign w:val="top"/>
          </w:tcPr>
          <w:p w14:paraId="58984360">
            <w:pPr>
              <w:keepNext w:val="0"/>
              <w:keepLines w:val="0"/>
              <w:widowControl/>
              <w:suppressLineNumbers w:val="0"/>
              <w:jc w:val="left"/>
              <w:rPr>
                <w:rFonts w:hint="eastAsia" w:ascii="方正仿宋_GB2312" w:hAnsi="方正仿宋_GB2312" w:eastAsia="方正仿宋_GB2312" w:cs="方正仿宋_GB2312"/>
                <w:b/>
                <w:bCs/>
                <w:sz w:val="24"/>
                <w:szCs w:val="24"/>
                <w:highlight w:val="none"/>
                <w:u w:val="single"/>
                <w:lang w:val="en-US"/>
              </w:rPr>
            </w:pPr>
            <w:r>
              <w:rPr>
                <w:rFonts w:hint="eastAsia" w:ascii="方正仿宋_GB2312" w:hAnsi="方正仿宋_GB2312" w:eastAsia="方正仿宋_GB2312" w:cs="方正仿宋_GB2312"/>
                <w:sz w:val="24"/>
                <w:szCs w:val="24"/>
                <w:highlight w:val="none"/>
              </w:rPr>
              <w:t>法定代表人：</w:t>
            </w:r>
          </w:p>
          <w:p w14:paraId="43436390">
            <w:pPr>
              <w:spacing w:before="100" w:beforeAutospacing="1" w:after="100" w:afterAutospacing="1"/>
              <w:rPr>
                <w:rFonts w:hint="eastAsia" w:ascii="方正仿宋_GB2312" w:hAnsi="方正仿宋_GB2312" w:eastAsia="方正仿宋_GB2312" w:cs="方正仿宋_GB2312"/>
                <w:b/>
                <w:bCs/>
                <w:sz w:val="24"/>
                <w:szCs w:val="24"/>
                <w:highlight w:val="none"/>
                <w:u w:val="single"/>
              </w:rPr>
            </w:pPr>
            <w:r>
              <w:rPr>
                <w:rFonts w:hint="eastAsia" w:ascii="方正仿宋_GB2312" w:hAnsi="方正仿宋_GB2312" w:eastAsia="方正仿宋_GB2312" w:cs="方正仿宋_GB2312"/>
                <w:b/>
                <w:bCs/>
                <w:sz w:val="24"/>
                <w:szCs w:val="24"/>
                <w:highlight w:val="none"/>
                <w:u w:val="single"/>
              </w:rPr>
              <w:t xml:space="preserve">                 </w:t>
            </w:r>
          </w:p>
        </w:tc>
      </w:tr>
      <w:tr w14:paraId="0E67AF4F">
        <w:tblPrEx>
          <w:tblCellMar>
            <w:top w:w="0" w:type="dxa"/>
            <w:left w:w="108" w:type="dxa"/>
            <w:bottom w:w="0" w:type="dxa"/>
            <w:right w:w="108" w:type="dxa"/>
          </w:tblCellMar>
        </w:tblPrEx>
        <w:trPr>
          <w:trHeight w:val="528" w:hRule="exact"/>
        </w:trPr>
        <w:tc>
          <w:tcPr>
            <w:tcW w:w="4616" w:type="dxa"/>
            <w:noWrap w:val="0"/>
            <w:vAlign w:val="top"/>
          </w:tcPr>
          <w:p w14:paraId="2A6044B6">
            <w:pPr>
              <w:spacing w:before="100" w:beforeAutospacing="1" w:after="100" w:afterAutospacing="1"/>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委托代理人：</w:t>
            </w:r>
          </w:p>
        </w:tc>
        <w:tc>
          <w:tcPr>
            <w:tcW w:w="5043" w:type="dxa"/>
            <w:noWrap w:val="0"/>
            <w:vAlign w:val="top"/>
          </w:tcPr>
          <w:p w14:paraId="371DDA63">
            <w:pPr>
              <w:spacing w:before="100" w:beforeAutospacing="1" w:after="100" w:afterAutospacing="1"/>
              <w:rPr>
                <w:rFonts w:hint="eastAsia" w:ascii="方正仿宋_GB2312" w:hAnsi="方正仿宋_GB2312" w:eastAsia="方正仿宋_GB2312" w:cs="方正仿宋_GB2312"/>
                <w:b/>
                <w:bCs/>
                <w:sz w:val="24"/>
                <w:szCs w:val="24"/>
                <w:highlight w:val="none"/>
                <w:u w:val="single"/>
              </w:rPr>
            </w:pPr>
            <w:r>
              <w:rPr>
                <w:rFonts w:hint="eastAsia" w:ascii="方正仿宋_GB2312" w:hAnsi="方正仿宋_GB2312" w:eastAsia="方正仿宋_GB2312" w:cs="方正仿宋_GB2312"/>
                <w:sz w:val="24"/>
                <w:szCs w:val="24"/>
                <w:highlight w:val="none"/>
              </w:rPr>
              <w:t>委托代理人：</w:t>
            </w:r>
          </w:p>
        </w:tc>
      </w:tr>
      <w:tr w14:paraId="6B8C2061">
        <w:tblPrEx>
          <w:tblCellMar>
            <w:top w:w="0" w:type="dxa"/>
            <w:left w:w="108" w:type="dxa"/>
            <w:bottom w:w="0" w:type="dxa"/>
            <w:right w:w="108" w:type="dxa"/>
          </w:tblCellMar>
        </w:tblPrEx>
        <w:trPr>
          <w:trHeight w:val="528" w:hRule="exact"/>
        </w:trPr>
        <w:tc>
          <w:tcPr>
            <w:tcW w:w="4616" w:type="dxa"/>
            <w:noWrap w:val="0"/>
            <w:vAlign w:val="top"/>
          </w:tcPr>
          <w:p w14:paraId="14B449C9">
            <w:pPr>
              <w:spacing w:before="100" w:beforeAutospacing="1" w:after="100" w:afterAutospacing="1"/>
              <w:rPr>
                <w:rFonts w:hint="eastAsia" w:ascii="方正仿宋_GB2312" w:hAnsi="方正仿宋_GB2312" w:eastAsia="方正仿宋_GB2312" w:cs="方正仿宋_GB2312"/>
                <w:sz w:val="24"/>
                <w:szCs w:val="24"/>
                <w:highlight w:val="none"/>
                <w:u w:val="single"/>
                <w:lang w:val="en-US"/>
              </w:rPr>
            </w:pPr>
            <w:r>
              <w:rPr>
                <w:rFonts w:hint="eastAsia" w:ascii="方正仿宋_GB2312" w:hAnsi="方正仿宋_GB2312" w:eastAsia="方正仿宋_GB2312" w:cs="方正仿宋_GB2312"/>
                <w:sz w:val="24"/>
                <w:szCs w:val="24"/>
                <w:highlight w:val="none"/>
              </w:rPr>
              <w:t>电话：</w:t>
            </w:r>
          </w:p>
        </w:tc>
        <w:tc>
          <w:tcPr>
            <w:tcW w:w="5043" w:type="dxa"/>
            <w:noWrap w:val="0"/>
            <w:vAlign w:val="top"/>
          </w:tcPr>
          <w:p w14:paraId="17FA3EC6">
            <w:pPr>
              <w:spacing w:before="100" w:beforeAutospacing="1" w:after="100" w:afterAutospacing="1"/>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电话：</w:t>
            </w:r>
          </w:p>
        </w:tc>
      </w:tr>
      <w:tr w14:paraId="40DCE534">
        <w:tblPrEx>
          <w:tblCellMar>
            <w:top w:w="0" w:type="dxa"/>
            <w:left w:w="108" w:type="dxa"/>
            <w:bottom w:w="0" w:type="dxa"/>
            <w:right w:w="108" w:type="dxa"/>
          </w:tblCellMar>
        </w:tblPrEx>
        <w:trPr>
          <w:trHeight w:val="556" w:hRule="exact"/>
        </w:trPr>
        <w:tc>
          <w:tcPr>
            <w:tcW w:w="4616" w:type="dxa"/>
            <w:noWrap w:val="0"/>
            <w:vAlign w:val="top"/>
          </w:tcPr>
          <w:p w14:paraId="346D7B26">
            <w:pPr>
              <w:spacing w:before="100" w:beforeAutospacing="1" w:after="100" w:afterAutospacing="1"/>
              <w:rPr>
                <w:rFonts w:hint="eastAsia" w:ascii="方正仿宋_GB2312" w:hAnsi="方正仿宋_GB2312" w:eastAsia="方正仿宋_GB2312" w:cs="方正仿宋_GB2312"/>
                <w:b/>
                <w:bCs/>
                <w:sz w:val="24"/>
                <w:szCs w:val="24"/>
                <w:highlight w:val="none"/>
                <w:u w:val="single"/>
              </w:rPr>
            </w:pPr>
            <w:r>
              <w:rPr>
                <w:rFonts w:hint="eastAsia" w:ascii="方正仿宋_GB2312" w:hAnsi="方正仿宋_GB2312" w:eastAsia="方正仿宋_GB2312" w:cs="方正仿宋_GB2312"/>
                <w:sz w:val="24"/>
                <w:szCs w:val="24"/>
                <w:highlight w:val="none"/>
              </w:rPr>
              <w:t>传真：</w:t>
            </w:r>
          </w:p>
          <w:p w14:paraId="081B24F3">
            <w:pPr>
              <w:spacing w:before="100" w:beforeAutospacing="1" w:after="100" w:afterAutospacing="1"/>
              <w:rPr>
                <w:rFonts w:hint="eastAsia" w:ascii="方正仿宋_GB2312" w:hAnsi="方正仿宋_GB2312" w:eastAsia="方正仿宋_GB2312" w:cs="方正仿宋_GB2312"/>
                <w:sz w:val="24"/>
                <w:szCs w:val="24"/>
                <w:highlight w:val="none"/>
                <w:u w:val="single"/>
              </w:rPr>
            </w:pPr>
          </w:p>
        </w:tc>
        <w:tc>
          <w:tcPr>
            <w:tcW w:w="5043" w:type="dxa"/>
            <w:noWrap w:val="0"/>
            <w:vAlign w:val="top"/>
          </w:tcPr>
          <w:p w14:paraId="36BEEEC4">
            <w:pPr>
              <w:spacing w:before="100" w:beforeAutospacing="1" w:after="100" w:afterAutospacing="1"/>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传真：</w:t>
            </w:r>
          </w:p>
        </w:tc>
      </w:tr>
      <w:tr w14:paraId="6E5A6AFE">
        <w:tblPrEx>
          <w:tblCellMar>
            <w:top w:w="0" w:type="dxa"/>
            <w:left w:w="108" w:type="dxa"/>
            <w:bottom w:w="0" w:type="dxa"/>
            <w:right w:w="108" w:type="dxa"/>
          </w:tblCellMar>
        </w:tblPrEx>
        <w:trPr>
          <w:trHeight w:val="513" w:hRule="exact"/>
        </w:trPr>
        <w:tc>
          <w:tcPr>
            <w:tcW w:w="4616" w:type="dxa"/>
            <w:noWrap w:val="0"/>
            <w:vAlign w:val="top"/>
          </w:tcPr>
          <w:p w14:paraId="589570EB">
            <w:pPr>
              <w:spacing w:before="100" w:beforeAutospacing="1" w:after="100" w:afterAutospacing="1"/>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电子信箱：</w:t>
            </w:r>
          </w:p>
        </w:tc>
        <w:tc>
          <w:tcPr>
            <w:tcW w:w="5043" w:type="dxa"/>
            <w:noWrap w:val="0"/>
            <w:vAlign w:val="top"/>
          </w:tcPr>
          <w:p w14:paraId="6FE278FE">
            <w:pPr>
              <w:spacing w:before="100" w:beforeAutospacing="1" w:after="100" w:afterAutospacing="1"/>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电子信箱：</w:t>
            </w:r>
          </w:p>
        </w:tc>
      </w:tr>
      <w:tr w14:paraId="7AE3F088">
        <w:tblPrEx>
          <w:tblCellMar>
            <w:top w:w="0" w:type="dxa"/>
            <w:left w:w="108" w:type="dxa"/>
            <w:bottom w:w="0" w:type="dxa"/>
            <w:right w:w="108" w:type="dxa"/>
          </w:tblCellMar>
        </w:tblPrEx>
        <w:trPr>
          <w:trHeight w:val="933" w:hRule="exact"/>
        </w:trPr>
        <w:tc>
          <w:tcPr>
            <w:tcW w:w="4616" w:type="dxa"/>
            <w:noWrap w:val="0"/>
            <w:vAlign w:val="top"/>
          </w:tcPr>
          <w:p w14:paraId="46430EE3">
            <w:pPr>
              <w:spacing w:line="440" w:lineRule="exact"/>
              <w:rPr>
                <w:rFonts w:hint="eastAsia" w:ascii="方正仿宋_GB2312" w:hAnsi="方正仿宋_GB2312" w:eastAsia="方正仿宋_GB2312" w:cs="方正仿宋_GB2312"/>
                <w:sz w:val="24"/>
                <w:szCs w:val="24"/>
                <w:highlight w:val="none"/>
                <w:u w:val="single"/>
                <w:lang w:val="en-US" w:eastAsia="zh-CN"/>
              </w:rPr>
            </w:pPr>
            <w:r>
              <w:rPr>
                <w:rFonts w:hint="eastAsia" w:ascii="方正仿宋_GB2312" w:hAnsi="方正仿宋_GB2312" w:eastAsia="方正仿宋_GB2312" w:cs="方正仿宋_GB2312"/>
                <w:sz w:val="24"/>
                <w:szCs w:val="24"/>
                <w:highlight w:val="none"/>
              </w:rPr>
              <w:t>开户银行：</w:t>
            </w:r>
          </w:p>
        </w:tc>
        <w:tc>
          <w:tcPr>
            <w:tcW w:w="5043" w:type="dxa"/>
            <w:noWrap w:val="0"/>
            <w:vAlign w:val="top"/>
          </w:tcPr>
          <w:p w14:paraId="34841466">
            <w:pPr>
              <w:spacing w:line="440" w:lineRule="exact"/>
              <w:ind w:left="1170" w:hanging="1080" w:hangingChars="450"/>
              <w:rPr>
                <w:rFonts w:hint="eastAsia" w:ascii="方正仿宋_GB2312" w:hAnsi="方正仿宋_GB2312" w:eastAsia="方正仿宋_GB2312" w:cs="方正仿宋_GB2312"/>
                <w:b/>
                <w:bCs/>
                <w:kern w:val="0"/>
                <w:sz w:val="24"/>
                <w:szCs w:val="24"/>
                <w:highlight w:val="none"/>
                <w:u w:val="single"/>
              </w:rPr>
            </w:pPr>
            <w:r>
              <w:rPr>
                <w:rFonts w:hint="eastAsia" w:ascii="方正仿宋_GB2312" w:hAnsi="方正仿宋_GB2312" w:eastAsia="方正仿宋_GB2312" w:cs="方正仿宋_GB2312"/>
                <w:sz w:val="24"/>
                <w:szCs w:val="24"/>
                <w:highlight w:val="none"/>
              </w:rPr>
              <w:t>开户银行：</w:t>
            </w:r>
          </w:p>
        </w:tc>
      </w:tr>
      <w:tr w14:paraId="5EA0137D">
        <w:tblPrEx>
          <w:tblCellMar>
            <w:top w:w="0" w:type="dxa"/>
            <w:left w:w="108" w:type="dxa"/>
            <w:bottom w:w="0" w:type="dxa"/>
            <w:right w:w="108" w:type="dxa"/>
          </w:tblCellMar>
        </w:tblPrEx>
        <w:trPr>
          <w:trHeight w:val="570" w:hRule="exact"/>
        </w:trPr>
        <w:tc>
          <w:tcPr>
            <w:tcW w:w="4616" w:type="dxa"/>
            <w:noWrap w:val="0"/>
            <w:vAlign w:val="top"/>
          </w:tcPr>
          <w:p w14:paraId="234DC990">
            <w:pPr>
              <w:spacing w:line="440" w:lineRule="exact"/>
              <w:rPr>
                <w:rFonts w:hint="eastAsia" w:ascii="方正仿宋_GB2312" w:hAnsi="方正仿宋_GB2312" w:eastAsia="方正仿宋_GB2312" w:cs="方正仿宋_GB2312"/>
                <w:sz w:val="24"/>
                <w:szCs w:val="24"/>
                <w:highlight w:val="none"/>
                <w:u w:val="single"/>
                <w:lang w:val="en-US" w:eastAsia="zh-CN"/>
              </w:rPr>
            </w:pPr>
            <w:r>
              <w:rPr>
                <w:rFonts w:hint="eastAsia" w:ascii="方正仿宋_GB2312" w:hAnsi="方正仿宋_GB2312" w:eastAsia="方正仿宋_GB2312" w:cs="方正仿宋_GB2312"/>
                <w:sz w:val="24"/>
                <w:szCs w:val="24"/>
                <w:highlight w:val="none"/>
              </w:rPr>
              <w:t>账号：</w:t>
            </w:r>
          </w:p>
        </w:tc>
        <w:tc>
          <w:tcPr>
            <w:tcW w:w="5043" w:type="dxa"/>
            <w:noWrap w:val="0"/>
            <w:vAlign w:val="top"/>
          </w:tcPr>
          <w:p w14:paraId="4DEC36F8">
            <w:pPr>
              <w:spacing w:line="440" w:lineRule="exact"/>
              <w:rPr>
                <w:rFonts w:hint="eastAsia" w:ascii="方正仿宋_GB2312" w:hAnsi="方正仿宋_GB2312" w:eastAsia="方正仿宋_GB2312" w:cs="方正仿宋_GB2312"/>
                <w:sz w:val="24"/>
                <w:szCs w:val="24"/>
                <w:highlight w:val="none"/>
                <w:u w:val="single"/>
                <w:lang w:val="en-US" w:eastAsia="zh-CN"/>
              </w:rPr>
            </w:pPr>
            <w:r>
              <w:rPr>
                <w:rFonts w:hint="eastAsia" w:ascii="方正仿宋_GB2312" w:hAnsi="方正仿宋_GB2312" w:eastAsia="方正仿宋_GB2312" w:cs="方正仿宋_GB2312"/>
                <w:sz w:val="24"/>
                <w:szCs w:val="24"/>
                <w:highlight w:val="none"/>
              </w:rPr>
              <w:t>账号：</w:t>
            </w:r>
          </w:p>
        </w:tc>
      </w:tr>
    </w:tbl>
    <w:p w14:paraId="4C0C6BC5">
      <w:pPr>
        <w:pStyle w:val="4"/>
        <w:jc w:val="center"/>
        <w:rPr>
          <w:rFonts w:hint="eastAsia" w:ascii="方正仿宋_GB2312" w:hAnsi="方正仿宋_GB2312" w:eastAsia="方正仿宋_GB2312" w:cs="方正仿宋_GB2312"/>
          <w:sz w:val="24"/>
          <w:szCs w:val="24"/>
          <w:highlight w:val="none"/>
        </w:rPr>
      </w:pPr>
      <w:bookmarkStart w:id="55" w:name="_Toc351203494"/>
      <w:bookmarkStart w:id="56" w:name="_Toc31245"/>
      <w:r>
        <w:rPr>
          <w:rFonts w:hint="eastAsia" w:ascii="方正仿宋_GB2312" w:hAnsi="方正仿宋_GB2312" w:eastAsia="方正仿宋_GB2312" w:cs="方正仿宋_GB2312"/>
          <w:color w:val="FF0000"/>
          <w:sz w:val="24"/>
          <w:szCs w:val="24"/>
          <w:highlight w:val="none"/>
        </w:rPr>
        <w:br w:type="page"/>
      </w:r>
      <w:bookmarkStart w:id="57" w:name="_Toc15097"/>
      <w:r>
        <w:rPr>
          <w:rFonts w:hint="eastAsia" w:ascii="方正仿宋_GB2312" w:hAnsi="方正仿宋_GB2312" w:eastAsia="方正仿宋_GB2312" w:cs="方正仿宋_GB2312"/>
          <w:sz w:val="24"/>
          <w:szCs w:val="24"/>
          <w:highlight w:val="none"/>
        </w:rPr>
        <w:t>第二部分 通用合同条款</w:t>
      </w:r>
      <w:bookmarkEnd w:id="55"/>
      <w:bookmarkEnd w:id="56"/>
      <w:bookmarkEnd w:id="57"/>
      <w:bookmarkStart w:id="58" w:name="_Toc337558727"/>
    </w:p>
    <w:p w14:paraId="55A8D740">
      <w:pPr>
        <w:pStyle w:val="5"/>
        <w:spacing w:before="120" w:after="120" w:line="360" w:lineRule="exact"/>
        <w:rPr>
          <w:rFonts w:hint="eastAsia" w:ascii="方正仿宋_GB2312" w:hAnsi="方正仿宋_GB2312" w:eastAsia="方正仿宋_GB2312" w:cs="方正仿宋_GB2312"/>
          <w:b w:val="0"/>
          <w:color w:val="000000"/>
          <w:sz w:val="24"/>
          <w:szCs w:val="24"/>
          <w:highlight w:val="none"/>
        </w:rPr>
      </w:pPr>
      <w:bookmarkStart w:id="59" w:name="_Toc351203495"/>
      <w:r>
        <w:rPr>
          <w:rFonts w:hint="eastAsia" w:ascii="方正仿宋_GB2312" w:hAnsi="方正仿宋_GB2312" w:eastAsia="方正仿宋_GB2312" w:cs="方正仿宋_GB2312"/>
          <w:b w:val="0"/>
          <w:color w:val="000000"/>
          <w:sz w:val="24"/>
          <w:szCs w:val="24"/>
          <w:highlight w:val="none"/>
        </w:rPr>
        <w:t>1.</w:t>
      </w:r>
      <w:bookmarkStart w:id="60" w:name="_Toc303538976"/>
      <w:bookmarkEnd w:id="60"/>
      <w:bookmarkStart w:id="61" w:name="_Toc303538974"/>
      <w:bookmarkEnd w:id="61"/>
      <w:bookmarkStart w:id="62" w:name="_Toc303538975"/>
      <w:bookmarkEnd w:id="62"/>
      <w:bookmarkStart w:id="63" w:name="_Toc303538973"/>
      <w:bookmarkEnd w:id="63"/>
      <w:bookmarkStart w:id="64" w:name="_Toc303538972"/>
      <w:bookmarkEnd w:id="64"/>
      <w:bookmarkStart w:id="65" w:name="_Toc296503027"/>
      <w:bookmarkStart w:id="66" w:name="_Toc296346528"/>
      <w:r>
        <w:rPr>
          <w:rFonts w:hint="eastAsia" w:ascii="方正仿宋_GB2312" w:hAnsi="方正仿宋_GB2312" w:eastAsia="方正仿宋_GB2312" w:cs="方正仿宋_GB2312"/>
          <w:b w:val="0"/>
          <w:color w:val="000000"/>
          <w:sz w:val="24"/>
          <w:szCs w:val="24"/>
          <w:highlight w:val="none"/>
        </w:rPr>
        <w:t xml:space="preserve"> 一般约定</w:t>
      </w:r>
      <w:bookmarkEnd w:id="58"/>
      <w:bookmarkEnd w:id="59"/>
      <w:bookmarkEnd w:id="65"/>
      <w:bookmarkEnd w:id="66"/>
    </w:p>
    <w:p w14:paraId="2CCDE7D0">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67" w:name="_Toc296503028"/>
      <w:bookmarkStart w:id="68" w:name="_Toc337558728"/>
      <w:bookmarkStart w:id="69" w:name="_Toc296346529"/>
      <w:bookmarkStart w:id="70" w:name="_Toc351203496"/>
      <w:r>
        <w:rPr>
          <w:rFonts w:hint="eastAsia" w:ascii="方正仿宋_GB2312" w:hAnsi="方正仿宋_GB2312" w:eastAsia="方正仿宋_GB2312" w:cs="方正仿宋_GB2312"/>
          <w:b w:val="0"/>
          <w:color w:val="000000"/>
          <w:sz w:val="24"/>
          <w:szCs w:val="24"/>
          <w:highlight w:val="none"/>
        </w:rPr>
        <w:t>1.1词语定义</w:t>
      </w:r>
      <w:bookmarkEnd w:id="67"/>
      <w:bookmarkEnd w:id="68"/>
      <w:bookmarkEnd w:id="69"/>
      <w:r>
        <w:rPr>
          <w:rFonts w:hint="eastAsia" w:ascii="方正仿宋_GB2312" w:hAnsi="方正仿宋_GB2312" w:eastAsia="方正仿宋_GB2312" w:cs="方正仿宋_GB2312"/>
          <w:b w:val="0"/>
          <w:color w:val="000000"/>
          <w:sz w:val="24"/>
          <w:szCs w:val="24"/>
          <w:highlight w:val="none"/>
        </w:rPr>
        <w:t>与解释</w:t>
      </w:r>
      <w:bookmarkEnd w:id="70"/>
    </w:p>
    <w:p w14:paraId="6F1A3AB8">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合同协议书、通用合同条款、专用合同条款中的下列词语具有本款所赋予的含义：</w:t>
      </w:r>
    </w:p>
    <w:p w14:paraId="0240C2DE">
      <w:pPr>
        <w:autoSpaceDE w:val="0"/>
        <w:autoSpaceDN w:val="0"/>
        <w:adjustRightInd w:val="0"/>
        <w:spacing w:line="360" w:lineRule="exact"/>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 xml:space="preserve">    1.1.1 合同</w:t>
      </w:r>
    </w:p>
    <w:p w14:paraId="1C257D1D">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1.1.1.1 合同：是指根据法律规定和合同当事人约定具有约束力的文件，构成合同的文件包括合同协议书、中标通知书（如果有）、投标函及其附录（如果有）、专用合同条款</w:t>
      </w:r>
      <w:r>
        <w:rPr>
          <w:rFonts w:hint="eastAsia" w:ascii="方正仿宋_GB2312" w:hAnsi="方正仿宋_GB2312" w:eastAsia="方正仿宋_GB2312" w:cs="方正仿宋_GB2312"/>
          <w:color w:val="000000"/>
          <w:sz w:val="24"/>
          <w:szCs w:val="24"/>
          <w:highlight w:val="none"/>
        </w:rPr>
        <w:t>及其附件</w:t>
      </w:r>
      <w:r>
        <w:rPr>
          <w:rFonts w:hint="eastAsia" w:ascii="方正仿宋_GB2312" w:hAnsi="方正仿宋_GB2312" w:eastAsia="方正仿宋_GB2312" w:cs="方正仿宋_GB2312"/>
          <w:color w:val="000000"/>
          <w:kern w:val="0"/>
          <w:sz w:val="24"/>
          <w:szCs w:val="24"/>
          <w:highlight w:val="none"/>
        </w:rPr>
        <w:t>、通用合同条款、技术标准和要求、图纸、已标价工程量清单或预算书以及其他合同文件。</w:t>
      </w:r>
    </w:p>
    <w:p w14:paraId="4CA5103E">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1.1.1.2 合同协议书：是指构成合同的由发包人和承包人共同签署的称为“合同协议书”的书面文件。</w:t>
      </w:r>
    </w:p>
    <w:p w14:paraId="45421C49">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1.1.1.3 中标通知书：是指构成合同的由发包人通知承包人中标的书面文件。</w:t>
      </w:r>
    </w:p>
    <w:p w14:paraId="335108C6">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1.1.1.4 投标函：是指构成合同的由承包人填写并签署的用于投标的称为“投标函”的文件。</w:t>
      </w:r>
    </w:p>
    <w:p w14:paraId="426CE3F2">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1.1.1.5 投标函附录：是指构成合同的附在投标函后的称为“投标函附录”的文件。</w:t>
      </w:r>
    </w:p>
    <w:p w14:paraId="44AF8255">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1.1.1.6 技术标准和要求：是指构成合同的施工应当遵守的或指导施工的国家、行业或地方的技术标准和要求，以及合同约定的技术标准和要求。</w:t>
      </w:r>
    </w:p>
    <w:p w14:paraId="13B76F7B">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2F9EF292">
      <w:pPr>
        <w:autoSpaceDE w:val="0"/>
        <w:autoSpaceDN w:val="0"/>
        <w:adjustRightInd w:val="0"/>
        <w:spacing w:line="360" w:lineRule="exact"/>
        <w:ind w:firstLine="468" w:firstLineChars="195"/>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1.1.1.8 已标价工程量清单：是指构成合同的由承包人按照规定的格式和要求填写并标明价格的工程量清单，包括说明和表格。</w:t>
      </w:r>
    </w:p>
    <w:p w14:paraId="44114E33">
      <w:pPr>
        <w:autoSpaceDE w:val="0"/>
        <w:autoSpaceDN w:val="0"/>
        <w:adjustRightInd w:val="0"/>
        <w:spacing w:line="360" w:lineRule="exact"/>
        <w:ind w:firstLine="468" w:firstLineChars="195"/>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1.1.1.9 预算书：是指构成合同的由承包人按照发包人规定的格式和要求编制的工程预算文件。</w:t>
      </w:r>
    </w:p>
    <w:p w14:paraId="38F57280">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1.1.1.10 其他合同文件：是指经合同当事人约定的与工程施工有关的具有合同约束力的文件或书面协议。合同当事人可以在专用合同条款中进行约定。</w:t>
      </w:r>
    </w:p>
    <w:p w14:paraId="08E759ED">
      <w:pPr>
        <w:autoSpaceDE w:val="0"/>
        <w:autoSpaceDN w:val="0"/>
        <w:adjustRightInd w:val="0"/>
        <w:spacing w:line="360" w:lineRule="exact"/>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 xml:space="preserve">    1.1.2 合同当事人及其他相关方</w:t>
      </w:r>
    </w:p>
    <w:p w14:paraId="7F72B67C">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1.1.2.1 合同当事人：是指发包人和（或）承包人。</w:t>
      </w:r>
    </w:p>
    <w:p w14:paraId="43007D2A">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1.1.2.2 发包人：是指与承包人签订合同协议书的当事人及取得该当事人资格的合法继承人。</w:t>
      </w:r>
    </w:p>
    <w:p w14:paraId="0E578FC2">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1.1.2.3 承包人：是指与发包人签订合同协议书的，具有相应工程施工承包资质的当事人及取得该当事人资格的合法继承人。</w:t>
      </w:r>
    </w:p>
    <w:p w14:paraId="448B977A">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1.1.2.4 监理人：是指在专用合同条款中指明的，受发包人委托按照法律规定进行工程监督管理的法人或其他组织。</w:t>
      </w:r>
    </w:p>
    <w:p w14:paraId="37B3A73C">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1.1.2.5 设计人：是指在专用合同条款中指明的，受发包人委托负责工程设计并具备相应工程设计资质的法人或其他组织。</w:t>
      </w:r>
    </w:p>
    <w:p w14:paraId="42914120">
      <w:pPr>
        <w:spacing w:line="360" w:lineRule="exact"/>
        <w:ind w:firstLine="468" w:firstLineChars="195"/>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1.1.2.6 分包人：</w:t>
      </w:r>
      <w:bookmarkStart w:id="71" w:name="#go5"/>
      <w:bookmarkEnd w:id="71"/>
      <w:r>
        <w:rPr>
          <w:rFonts w:hint="eastAsia" w:ascii="方正仿宋_GB2312" w:hAnsi="方正仿宋_GB2312" w:eastAsia="方正仿宋_GB2312" w:cs="方正仿宋_GB2312"/>
          <w:color w:val="000000"/>
          <w:kern w:val="0"/>
          <w:sz w:val="24"/>
          <w:szCs w:val="24"/>
          <w:highlight w:val="none"/>
        </w:rPr>
        <w:t>是指按照法律规定和合同约定，分包部分工程或工作，并与承包人签订分包合同的具有相应资质的法人。</w:t>
      </w:r>
    </w:p>
    <w:p w14:paraId="41A2CA05">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1.1.2.7 发包人代表：是指由发包人任命并派驻施工现场在发包人授权范围内行使发包人权利的人。</w:t>
      </w:r>
    </w:p>
    <w:p w14:paraId="26EB3844">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1.1.2.8 项目经理：是指由承包人任命并派驻施工现场，在承包人授权范围内负责合同履行，且按照法律规定具有相应资格的项目负责人。</w:t>
      </w:r>
    </w:p>
    <w:p w14:paraId="7B964C6F">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1.1.2.9 总监理工程师：是指由监理人任命并派驻施工现场进行工程监理的总负责人。</w:t>
      </w:r>
    </w:p>
    <w:p w14:paraId="42FAF6A7">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1.1.3 工程和设备</w:t>
      </w:r>
    </w:p>
    <w:p w14:paraId="0B1CE6EC">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1.1.3.1 工程：是指与合同协议书中工程承包范围对应的永久工程和（或）临时工程。</w:t>
      </w:r>
    </w:p>
    <w:p w14:paraId="095D96F4">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1.1.3.2 永久工程：是指按合同约定建造并移交给发包人的工程，包括工程设备。</w:t>
      </w:r>
    </w:p>
    <w:p w14:paraId="3683EA26">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1.1.3.3 临时工程：是指为完成合同约定的永久工程所修建的各类临时性工程，不包括施工设备。</w:t>
      </w:r>
    </w:p>
    <w:p w14:paraId="5EC0ED1F">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1.1.3.4 单位工程：是指在合同协议书中指明的，具备独立施工条件并能形成独立使用功能的永久工程。</w:t>
      </w:r>
    </w:p>
    <w:p w14:paraId="30CBAC45">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1.1.3.5 工程设备：是指构成永久工程的机电设备、金属结构设备、仪器及其他类似的设备和装置。</w:t>
      </w:r>
    </w:p>
    <w:p w14:paraId="456E12A8">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1.1.3.6 施工设备：是指为完成合同约定的各项工作所需的设备、器具和其他物品，但不包括工程设备、临时工程和材料。</w:t>
      </w:r>
    </w:p>
    <w:p w14:paraId="3055DEA0">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1.1.3.7 施工现场：是指用</w:t>
      </w:r>
      <w:r>
        <w:rPr>
          <w:rFonts w:hint="eastAsia" w:ascii="方正仿宋_GB2312" w:hAnsi="方正仿宋_GB2312" w:eastAsia="方正仿宋_GB2312" w:cs="方正仿宋_GB2312"/>
          <w:color w:val="000000"/>
          <w:kern w:val="0"/>
          <w:sz w:val="24"/>
          <w:szCs w:val="24"/>
          <w:highlight w:val="none"/>
          <w:lang w:eastAsia="zh-CN"/>
        </w:rPr>
        <w:t>白工</w:t>
      </w:r>
      <w:r>
        <w:rPr>
          <w:rFonts w:hint="eastAsia" w:ascii="方正仿宋_GB2312" w:hAnsi="方正仿宋_GB2312" w:eastAsia="方正仿宋_GB2312" w:cs="方正仿宋_GB2312"/>
          <w:color w:val="000000"/>
          <w:kern w:val="0"/>
          <w:sz w:val="24"/>
          <w:szCs w:val="24"/>
          <w:highlight w:val="none"/>
        </w:rPr>
        <w:t>程施工的场所，以及在专用合同条款中指明作为施工场所组成部分的其他场所，包括永久占地和临时占地。</w:t>
      </w:r>
    </w:p>
    <w:p w14:paraId="601F422F">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1.1.3.8临时设施：是指为完成合同约定的各项工作所服务的临时性生产和生活设施。</w:t>
      </w:r>
    </w:p>
    <w:p w14:paraId="1C902410">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1.1.3.9 永久占地：是指专用合同条款中指明为实施工程需永久占用的土地。</w:t>
      </w:r>
    </w:p>
    <w:p w14:paraId="18C00800">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1.1.3.10 临时占地：是指专用合同条款中指明为实施工程需要临时占用的土地。</w:t>
      </w:r>
    </w:p>
    <w:p w14:paraId="341C9328">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1.1.4 日期和期限</w:t>
      </w:r>
    </w:p>
    <w:p w14:paraId="78C3A93A">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2077DC0F">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 xml:space="preserve">1.1.4.2 竣工日期：包括计划竣工日期和实际竣工日期。计划竣工日期是指合同协议书约定的竣工日期；实际竣工日期按照第13.2.3项〔竣工日期〕的约定确定。 </w:t>
      </w:r>
    </w:p>
    <w:p w14:paraId="21D9D375">
      <w:pPr>
        <w:spacing w:line="360" w:lineRule="exact"/>
        <w:ind w:firstLine="487" w:firstLineChars="203"/>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kern w:val="0"/>
          <w:sz w:val="24"/>
          <w:szCs w:val="24"/>
          <w:highlight w:val="none"/>
        </w:rPr>
        <w:t>1.1.4.3 工期：是指在合同协议书约定的承包人完成工程所需的期限，包括按照合同约定所作的期限变更。</w:t>
      </w:r>
    </w:p>
    <w:p w14:paraId="08EF9AE4">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1.1.4.4 缺陷责任期：是指承包人按照合同约定承担缺陷修复义务，且发包人预留质量保证金（已缴纳履约保证金的除外）的期限，自工程实际竣工日期起计算。</w:t>
      </w:r>
    </w:p>
    <w:p w14:paraId="1B2E3F77">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1.1.4.5 保修期：是指承包人按照合同约定对工程承担保修责任的期限，从工程竣工验收合格之日起计算。</w:t>
      </w:r>
    </w:p>
    <w:p w14:paraId="086B4D4A">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1.1.4.6 基准日期：招标发包的工程以投标截止日前28天的日期为基准日期，直接发包的工程以合同签订日前28天的日期为基准日期。</w:t>
      </w:r>
    </w:p>
    <w:p w14:paraId="193BAF48">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1.1.4.7 天：除特别指明外，均指日历天。合同中按天计算时间的，开始当天不计入，从次日开始计算，期限最后一天的截止时间为当天24:00时。</w:t>
      </w:r>
    </w:p>
    <w:p w14:paraId="7BC7D3C1">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1.1.5 合同价格和费用</w:t>
      </w:r>
    </w:p>
    <w:p w14:paraId="17DF355C">
      <w:pPr>
        <w:spacing w:line="360" w:lineRule="exact"/>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kern w:val="0"/>
          <w:sz w:val="24"/>
          <w:szCs w:val="24"/>
          <w:highlight w:val="none"/>
        </w:rPr>
        <w:t>1.1.5.1 签约合同价：是指</w:t>
      </w:r>
      <w:r>
        <w:rPr>
          <w:rFonts w:hint="eastAsia" w:ascii="方正仿宋_GB2312" w:hAnsi="方正仿宋_GB2312" w:eastAsia="方正仿宋_GB2312" w:cs="方正仿宋_GB2312"/>
          <w:color w:val="000000"/>
          <w:sz w:val="24"/>
          <w:szCs w:val="24"/>
          <w:highlight w:val="none"/>
        </w:rPr>
        <w:t>发包人和承包人在合同协议书中确定的总金额，包括安全文明施工费、暂估价及暂列金额等。</w:t>
      </w:r>
    </w:p>
    <w:p w14:paraId="7F53C3B4">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1.1.5.2 合同价格：是指发包人用于支付承包人按照合同约定完成承包范围内全部工作的金额，包括合同履行过程中按合同约定发生的价格变化。</w:t>
      </w:r>
    </w:p>
    <w:p w14:paraId="2FE07598">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1.1.5.3 费用：是指为履行合同所发生的或将要发生的所有必需的开支，包括管理费和应分摊的其他费用，但不包括利润。</w:t>
      </w:r>
    </w:p>
    <w:p w14:paraId="524CD770">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1.1.5.4 暂估价：是指发包人在工程量清单或预算书中提供的用于支付必然发生但暂时不能确定价格的材料、工程设备的单价、专业工程以及服务工作的金额。</w:t>
      </w:r>
    </w:p>
    <w:p w14:paraId="72758EF2">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1.1.5.5 暂列金额：是指发包人在工程量清单或预算书中暂定并包括在合同价格中的一笔款项，用</w:t>
      </w:r>
      <w:r>
        <w:rPr>
          <w:rFonts w:hint="eastAsia" w:ascii="方正仿宋_GB2312" w:hAnsi="方正仿宋_GB2312" w:eastAsia="方正仿宋_GB2312" w:cs="方正仿宋_GB2312"/>
          <w:color w:val="000000"/>
          <w:kern w:val="0"/>
          <w:sz w:val="24"/>
          <w:szCs w:val="24"/>
          <w:highlight w:val="none"/>
          <w:lang w:eastAsia="zh-CN"/>
        </w:rPr>
        <w:t>白工</w:t>
      </w:r>
      <w:r>
        <w:rPr>
          <w:rFonts w:hint="eastAsia" w:ascii="方正仿宋_GB2312" w:hAnsi="方正仿宋_GB2312" w:eastAsia="方正仿宋_GB2312" w:cs="方正仿宋_GB2312"/>
          <w:color w:val="000000"/>
          <w:kern w:val="0"/>
          <w:sz w:val="24"/>
          <w:szCs w:val="24"/>
          <w:highlight w:val="none"/>
        </w:rPr>
        <w:t>程合同签订时尚未确定或者不可预见的所需材料、工程设备、服务的采购，施工中可能发生的工程变更、合同约定调整因素出现时的合同价格调整以及发生的索赔、现场签证确认等的费用。</w:t>
      </w:r>
    </w:p>
    <w:p w14:paraId="32BE7D7F">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1.1.5.6 计日工：是指合同履行过程中，承包人完成发包人提出的零星工作或需要采用计日工计价的变更工作时，按合同中约定的单价计价的一种方式。</w:t>
      </w:r>
    </w:p>
    <w:p w14:paraId="0DDFA056">
      <w:pPr>
        <w:spacing w:line="360" w:lineRule="exact"/>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kern w:val="0"/>
          <w:sz w:val="24"/>
          <w:szCs w:val="24"/>
          <w:highlight w:val="none"/>
        </w:rPr>
        <w:t>1.1.5.7 质量保证金</w:t>
      </w:r>
      <w:bookmarkStart w:id="72" w:name="#go2"/>
      <w:bookmarkEnd w:id="72"/>
      <w:r>
        <w:rPr>
          <w:rFonts w:hint="eastAsia" w:ascii="方正仿宋_GB2312" w:hAnsi="方正仿宋_GB2312" w:eastAsia="方正仿宋_GB2312" w:cs="方正仿宋_GB2312"/>
          <w:color w:val="000000"/>
          <w:kern w:val="0"/>
          <w:sz w:val="24"/>
          <w:szCs w:val="24"/>
          <w:highlight w:val="none"/>
        </w:rPr>
        <w:t>：是指按照第15.3款〔质量保证金〕约定承包人用于保证其在缺陷责任期内履行缺陷修补义务的担保</w:t>
      </w:r>
      <w:r>
        <w:rPr>
          <w:rFonts w:hint="eastAsia" w:ascii="方正仿宋_GB2312" w:hAnsi="方正仿宋_GB2312" w:eastAsia="方正仿宋_GB2312" w:cs="方正仿宋_GB2312"/>
          <w:color w:val="000000"/>
          <w:sz w:val="24"/>
          <w:szCs w:val="24"/>
          <w:highlight w:val="none"/>
        </w:rPr>
        <w:t>。</w:t>
      </w:r>
    </w:p>
    <w:p w14:paraId="726262F8">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1.1.5.8 总价项目：是指在现行国家、行业以及地方的计量规则中无工程量计算规则，在已标价工程量清单或预算书中以总价或以费率形式计算的项目。</w:t>
      </w:r>
    </w:p>
    <w:p w14:paraId="7D90A262">
      <w:pPr>
        <w:spacing w:line="360" w:lineRule="exact"/>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1.1.6 其他</w:t>
      </w:r>
    </w:p>
    <w:p w14:paraId="48045656">
      <w:pPr>
        <w:spacing w:line="360" w:lineRule="exact"/>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1.1.6.1 书面形式：是指合同文件、信函、电报、传真等可以有形地表现所载内容的形式。</w:t>
      </w:r>
    </w:p>
    <w:p w14:paraId="5D6B45F9">
      <w:pPr>
        <w:pStyle w:val="6"/>
        <w:spacing w:before="120" w:after="120" w:line="360" w:lineRule="exact"/>
        <w:rPr>
          <w:rFonts w:hint="eastAsia" w:ascii="方正仿宋_GB2312" w:hAnsi="方正仿宋_GB2312" w:eastAsia="方正仿宋_GB2312" w:cs="方正仿宋_GB2312"/>
          <w:b w:val="0"/>
          <w:color w:val="000000"/>
          <w:sz w:val="24"/>
          <w:szCs w:val="24"/>
          <w:highlight w:val="none"/>
        </w:rPr>
      </w:pPr>
      <w:r>
        <w:rPr>
          <w:rFonts w:hint="eastAsia" w:ascii="方正仿宋_GB2312" w:hAnsi="方正仿宋_GB2312" w:eastAsia="方正仿宋_GB2312" w:cs="方正仿宋_GB2312"/>
          <w:b w:val="0"/>
          <w:color w:val="000000"/>
          <w:sz w:val="24"/>
          <w:szCs w:val="24"/>
          <w:highlight w:val="none"/>
        </w:rPr>
        <w:t xml:space="preserve">    </w:t>
      </w:r>
      <w:bookmarkStart w:id="73" w:name="_Toc296503029"/>
      <w:bookmarkStart w:id="74" w:name="_Toc296346530"/>
      <w:bookmarkStart w:id="75" w:name="_Toc351203497"/>
      <w:bookmarkStart w:id="76" w:name="_Toc337558729"/>
      <w:r>
        <w:rPr>
          <w:rFonts w:hint="eastAsia" w:ascii="方正仿宋_GB2312" w:hAnsi="方正仿宋_GB2312" w:eastAsia="方正仿宋_GB2312" w:cs="方正仿宋_GB2312"/>
          <w:b w:val="0"/>
          <w:color w:val="000000"/>
          <w:sz w:val="24"/>
          <w:szCs w:val="24"/>
          <w:highlight w:val="none"/>
        </w:rPr>
        <w:t>1.2语言文字</w:t>
      </w:r>
      <w:bookmarkEnd w:id="73"/>
      <w:bookmarkEnd w:id="74"/>
      <w:bookmarkEnd w:id="75"/>
      <w:bookmarkEnd w:id="76"/>
    </w:p>
    <w:p w14:paraId="3B9DBFEF">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合同以中国的汉语简体文字编写、解释和说明。合同当事人在专用合同条款中约定使用两种以上语言时，汉语为优先解释和说明合同的语言。</w:t>
      </w:r>
    </w:p>
    <w:p w14:paraId="6A94AAFC">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77" w:name="_Toc296346531"/>
      <w:bookmarkStart w:id="78" w:name="_Toc296503030"/>
      <w:bookmarkStart w:id="79" w:name="_Toc351203498"/>
      <w:bookmarkStart w:id="80" w:name="_Toc337558730"/>
      <w:r>
        <w:rPr>
          <w:rFonts w:hint="eastAsia" w:ascii="方正仿宋_GB2312" w:hAnsi="方正仿宋_GB2312" w:eastAsia="方正仿宋_GB2312" w:cs="方正仿宋_GB2312"/>
          <w:b w:val="0"/>
          <w:color w:val="000000"/>
          <w:sz w:val="24"/>
          <w:szCs w:val="24"/>
          <w:highlight w:val="none"/>
        </w:rPr>
        <w:t>1.3法律</w:t>
      </w:r>
      <w:bookmarkEnd w:id="77"/>
      <w:bookmarkEnd w:id="78"/>
      <w:bookmarkEnd w:id="79"/>
      <w:bookmarkEnd w:id="80"/>
    </w:p>
    <w:p w14:paraId="7B384FEB">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合同所称法律是指中华人民共和国法律、行政法规、部门规章，以及工程所在地的地方性法规、自治条例、单行条例和地方政府规章等。</w:t>
      </w:r>
    </w:p>
    <w:p w14:paraId="5B4D0725">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合同当事人可以在专用合同条款中约定合同适用的其他规范性文件。</w:t>
      </w:r>
    </w:p>
    <w:p w14:paraId="403AEC99">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81" w:name="_Toc351203499"/>
      <w:r>
        <w:rPr>
          <w:rFonts w:hint="eastAsia" w:ascii="方正仿宋_GB2312" w:hAnsi="方正仿宋_GB2312" w:eastAsia="方正仿宋_GB2312" w:cs="方正仿宋_GB2312"/>
          <w:b w:val="0"/>
          <w:color w:val="000000"/>
          <w:sz w:val="24"/>
          <w:szCs w:val="24"/>
          <w:highlight w:val="none"/>
        </w:rPr>
        <w:t>1.4 标准和规范</w:t>
      </w:r>
      <w:bookmarkEnd w:id="81"/>
    </w:p>
    <w:p w14:paraId="4811897E">
      <w:pPr>
        <w:autoSpaceDE w:val="0"/>
        <w:autoSpaceDN w:val="0"/>
        <w:adjustRightInd w:val="0"/>
        <w:spacing w:line="360" w:lineRule="exact"/>
        <w:ind w:firstLine="64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1.4.1 适用</w:t>
      </w:r>
      <w:r>
        <w:rPr>
          <w:rFonts w:hint="eastAsia" w:ascii="方正仿宋_GB2312" w:hAnsi="方正仿宋_GB2312" w:eastAsia="方正仿宋_GB2312" w:cs="方正仿宋_GB2312"/>
          <w:color w:val="000000"/>
          <w:kern w:val="0"/>
          <w:sz w:val="24"/>
          <w:szCs w:val="24"/>
          <w:highlight w:val="none"/>
          <w:lang w:eastAsia="zh-CN"/>
        </w:rPr>
        <w:t>白工</w:t>
      </w:r>
      <w:r>
        <w:rPr>
          <w:rFonts w:hint="eastAsia" w:ascii="方正仿宋_GB2312" w:hAnsi="方正仿宋_GB2312" w:eastAsia="方正仿宋_GB2312" w:cs="方正仿宋_GB2312"/>
          <w:color w:val="000000"/>
          <w:kern w:val="0"/>
          <w:sz w:val="24"/>
          <w:szCs w:val="24"/>
          <w:highlight w:val="none"/>
        </w:rPr>
        <w:t>程的国家标准、行业标准、工程所在地的地方性标准，以及相应的规范、规程等，合同当事人有特别要求的，应在专用合同条款中约定。</w:t>
      </w:r>
    </w:p>
    <w:p w14:paraId="38DB062C">
      <w:pPr>
        <w:autoSpaceDE w:val="0"/>
        <w:autoSpaceDN w:val="0"/>
        <w:adjustRightInd w:val="0"/>
        <w:spacing w:line="360" w:lineRule="exact"/>
        <w:ind w:firstLine="64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1.4.2 发包人要求使用国外标准、规范的，发包人负责提供原文版本和中文译本，并在专用合同条款中约定提供标准规范的名称、份数和时间。</w:t>
      </w:r>
    </w:p>
    <w:p w14:paraId="0D486839">
      <w:pPr>
        <w:autoSpaceDE w:val="0"/>
        <w:autoSpaceDN w:val="0"/>
        <w:adjustRightInd w:val="0"/>
        <w:spacing w:line="360" w:lineRule="exact"/>
        <w:ind w:firstLine="64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11E21F74">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82" w:name="_Toc351203500"/>
      <w:r>
        <w:rPr>
          <w:rFonts w:hint="eastAsia" w:ascii="方正仿宋_GB2312" w:hAnsi="方正仿宋_GB2312" w:eastAsia="方正仿宋_GB2312" w:cs="方正仿宋_GB2312"/>
          <w:b w:val="0"/>
          <w:color w:val="000000"/>
          <w:sz w:val="24"/>
          <w:szCs w:val="24"/>
          <w:highlight w:val="none"/>
        </w:rPr>
        <w:t>1</w:t>
      </w:r>
      <w:bookmarkStart w:id="83" w:name="_Toc337558731"/>
      <w:bookmarkStart w:id="84" w:name="_Toc296346532"/>
      <w:bookmarkStart w:id="85" w:name="_Toc296503031"/>
      <w:r>
        <w:rPr>
          <w:rFonts w:hint="eastAsia" w:ascii="方正仿宋_GB2312" w:hAnsi="方正仿宋_GB2312" w:eastAsia="方正仿宋_GB2312" w:cs="方正仿宋_GB2312"/>
          <w:b w:val="0"/>
          <w:color w:val="000000"/>
          <w:sz w:val="24"/>
          <w:szCs w:val="24"/>
          <w:highlight w:val="none"/>
        </w:rPr>
        <w:t>.5 合同文件的优先顺序</w:t>
      </w:r>
      <w:bookmarkEnd w:id="82"/>
    </w:p>
    <w:bookmarkEnd w:id="83"/>
    <w:bookmarkEnd w:id="84"/>
    <w:bookmarkEnd w:id="85"/>
    <w:p w14:paraId="7CE9B12E">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组成合同的各项文件应互相解释，互为说明。除专用合同条款另有约定外，解释合同文件的优先顺序如下：</w:t>
      </w:r>
    </w:p>
    <w:p w14:paraId="102C2118">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（1）合同协议书；</w:t>
      </w:r>
    </w:p>
    <w:p w14:paraId="4E45F99E">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（2）中标通知书（如果有）；</w:t>
      </w:r>
    </w:p>
    <w:p w14:paraId="4A803422">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（3）投标函及其附录（如果有）；</w:t>
      </w:r>
    </w:p>
    <w:p w14:paraId="65F8EE3E">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（4）专用合同条款</w:t>
      </w:r>
      <w:r>
        <w:rPr>
          <w:rFonts w:hint="eastAsia" w:ascii="方正仿宋_GB2312" w:hAnsi="方正仿宋_GB2312" w:eastAsia="方正仿宋_GB2312" w:cs="方正仿宋_GB2312"/>
          <w:color w:val="000000"/>
          <w:sz w:val="24"/>
          <w:szCs w:val="24"/>
          <w:highlight w:val="none"/>
        </w:rPr>
        <w:t>及其附件</w:t>
      </w:r>
      <w:r>
        <w:rPr>
          <w:rFonts w:hint="eastAsia" w:ascii="方正仿宋_GB2312" w:hAnsi="方正仿宋_GB2312" w:eastAsia="方正仿宋_GB2312" w:cs="方正仿宋_GB2312"/>
          <w:color w:val="000000"/>
          <w:kern w:val="0"/>
          <w:sz w:val="24"/>
          <w:szCs w:val="24"/>
          <w:highlight w:val="none"/>
        </w:rPr>
        <w:t>；</w:t>
      </w:r>
    </w:p>
    <w:p w14:paraId="4BC97ECD">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（5）通用合同条款；</w:t>
      </w:r>
    </w:p>
    <w:p w14:paraId="7AA951F6">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（6）技术标准和要求；</w:t>
      </w:r>
    </w:p>
    <w:p w14:paraId="14313963">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（7）图纸；</w:t>
      </w:r>
    </w:p>
    <w:p w14:paraId="3BF836E1">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（8）已标价工程量清单或预算书；</w:t>
      </w:r>
    </w:p>
    <w:p w14:paraId="0D7B6342">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kern w:val="0"/>
          <w:sz w:val="24"/>
          <w:szCs w:val="24"/>
          <w:highlight w:val="none"/>
        </w:rPr>
        <w:t>（9）其他合同文件。</w:t>
      </w:r>
    </w:p>
    <w:p w14:paraId="3773105A">
      <w:pPr>
        <w:spacing w:line="360" w:lineRule="exact"/>
        <w:ind w:firstLine="511" w:firstLineChars="213"/>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上述各项合同文件包括合同当事人就该项合同文件所作出的补充和修改，属于同一类内容的文件，应以最新签署的为准。</w:t>
      </w:r>
    </w:p>
    <w:p w14:paraId="24C01411">
      <w:pPr>
        <w:spacing w:line="360" w:lineRule="exact"/>
        <w:ind w:firstLine="511" w:firstLineChars="213"/>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在合同订立及履行过程中形成的与合同有关的文件均构成合同文件组成部分，并根据其性质确定优先解释顺序。</w:t>
      </w:r>
    </w:p>
    <w:p w14:paraId="28E6E7E4">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86" w:name="_Toc351203501"/>
      <w:r>
        <w:rPr>
          <w:rFonts w:hint="eastAsia" w:ascii="方正仿宋_GB2312" w:hAnsi="方正仿宋_GB2312" w:eastAsia="方正仿宋_GB2312" w:cs="方正仿宋_GB2312"/>
          <w:b w:val="0"/>
          <w:color w:val="000000"/>
          <w:sz w:val="24"/>
          <w:szCs w:val="24"/>
          <w:highlight w:val="none"/>
        </w:rPr>
        <w:t>1</w:t>
      </w:r>
      <w:bookmarkStart w:id="87" w:name="_Toc296503032"/>
      <w:bookmarkStart w:id="88" w:name="_Toc296346533"/>
      <w:bookmarkStart w:id="89" w:name="_Toc337558732"/>
      <w:r>
        <w:rPr>
          <w:rFonts w:hint="eastAsia" w:ascii="方正仿宋_GB2312" w:hAnsi="方正仿宋_GB2312" w:eastAsia="方正仿宋_GB2312" w:cs="方正仿宋_GB2312"/>
          <w:b w:val="0"/>
          <w:color w:val="000000"/>
          <w:sz w:val="24"/>
          <w:szCs w:val="24"/>
          <w:highlight w:val="none"/>
        </w:rPr>
        <w:t>.6图纸和承包人文件</w:t>
      </w:r>
      <w:bookmarkEnd w:id="86"/>
    </w:p>
    <w:bookmarkEnd w:id="87"/>
    <w:bookmarkEnd w:id="88"/>
    <w:bookmarkEnd w:id="89"/>
    <w:p w14:paraId="14FB3787">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1.6.1 图纸的提供和交底</w:t>
      </w:r>
    </w:p>
    <w:p w14:paraId="7D08B3B5">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64F1B442">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因发包人未按合同约定提供图纸导致承包人费用增加和（或）工期延误的，按照第7.5.1项〔因发包人原因导致工期延误〕约定办理。</w:t>
      </w:r>
    </w:p>
    <w:p w14:paraId="55DBC9D1">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1.6.2 图纸的错误</w:t>
      </w:r>
    </w:p>
    <w:p w14:paraId="4BA2F678">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76B4DAE2">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1.6.3 图纸的修改和补充</w:t>
      </w:r>
    </w:p>
    <w:p w14:paraId="21B403A8">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44130C3A">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1.6.4 承包人文件</w:t>
      </w:r>
    </w:p>
    <w:p w14:paraId="67667FCD">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承包人应按照专用合同条款的约定提供应当由其编制的与工程施工有关的文件，并按照专用合同条款约定的期限、数量和形式提交监理人，并由监理人报送发包人。</w:t>
      </w:r>
    </w:p>
    <w:p w14:paraId="012C30D0">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0E7B629A">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1.6.5 图纸和承包人文件的保管</w:t>
      </w:r>
    </w:p>
    <w:p w14:paraId="736214B2">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除专用合同条款另有约定外，承包人应在施工现场另外保存一套完整的图纸和承包人文件，供发包人、监理人及有关人员进行工程检查时使用。</w:t>
      </w:r>
    </w:p>
    <w:p w14:paraId="5E587CDE">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90" w:name="_Toc351203502"/>
      <w:r>
        <w:rPr>
          <w:rFonts w:hint="eastAsia" w:ascii="方正仿宋_GB2312" w:hAnsi="方正仿宋_GB2312" w:eastAsia="方正仿宋_GB2312" w:cs="方正仿宋_GB2312"/>
          <w:b w:val="0"/>
          <w:color w:val="000000"/>
          <w:sz w:val="24"/>
          <w:szCs w:val="24"/>
          <w:highlight w:val="none"/>
        </w:rPr>
        <w:t>1</w:t>
      </w:r>
      <w:bookmarkStart w:id="91" w:name="_Toc337558733"/>
      <w:bookmarkStart w:id="92" w:name="_Toc296346534"/>
      <w:bookmarkStart w:id="93" w:name="_Toc296503033"/>
      <w:r>
        <w:rPr>
          <w:rFonts w:hint="eastAsia" w:ascii="方正仿宋_GB2312" w:hAnsi="方正仿宋_GB2312" w:eastAsia="方正仿宋_GB2312" w:cs="方正仿宋_GB2312"/>
          <w:b w:val="0"/>
          <w:color w:val="000000"/>
          <w:sz w:val="24"/>
          <w:szCs w:val="24"/>
          <w:highlight w:val="none"/>
        </w:rPr>
        <w:t>.7联络</w:t>
      </w:r>
      <w:bookmarkEnd w:id="90"/>
    </w:p>
    <w:bookmarkEnd w:id="91"/>
    <w:bookmarkEnd w:id="92"/>
    <w:bookmarkEnd w:id="93"/>
    <w:p w14:paraId="335AA946">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1.7.1 与合同有关的通知、批准、证明、证书、指示、指令、要求、请求、同意、意见、确定和决定等，均应采用书面形式，并应在合同约定的期限内送达接收人和送达地点。</w:t>
      </w:r>
    </w:p>
    <w:p w14:paraId="1FC0F605">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1.7.2 发包人和承包人应在专用合同条款中约定各自的送达接收人和送达地点。任何一方合同当事人指定的接收人或送达地点发生变动的，应提前3天以书面形式通知对方。</w:t>
      </w:r>
    </w:p>
    <w:p w14:paraId="52129CC6">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FF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1.7.3 发包人和承包人应当及时签收另一方送达至送达地点和指定接收人的来往信函。拒不签收的，由此增加的费用和（或）延误的工期由拒绝接收一方承担。</w:t>
      </w:r>
    </w:p>
    <w:p w14:paraId="05098F0F">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94" w:name="_Toc351203503"/>
      <w:r>
        <w:rPr>
          <w:rFonts w:hint="eastAsia" w:ascii="方正仿宋_GB2312" w:hAnsi="方正仿宋_GB2312" w:eastAsia="方正仿宋_GB2312" w:cs="方正仿宋_GB2312"/>
          <w:b w:val="0"/>
          <w:color w:val="000000"/>
          <w:sz w:val="24"/>
          <w:szCs w:val="24"/>
          <w:highlight w:val="none"/>
        </w:rPr>
        <w:t>1</w:t>
      </w:r>
      <w:bookmarkStart w:id="95" w:name="_Toc296346536"/>
      <w:bookmarkStart w:id="96" w:name="_Toc337558734"/>
      <w:bookmarkStart w:id="97" w:name="_Toc296503035"/>
      <w:r>
        <w:rPr>
          <w:rFonts w:hint="eastAsia" w:ascii="方正仿宋_GB2312" w:hAnsi="方正仿宋_GB2312" w:eastAsia="方正仿宋_GB2312" w:cs="方正仿宋_GB2312"/>
          <w:b w:val="0"/>
          <w:color w:val="000000"/>
          <w:sz w:val="24"/>
          <w:szCs w:val="24"/>
          <w:highlight w:val="none"/>
        </w:rPr>
        <w:t>.8严禁贿赂</w:t>
      </w:r>
      <w:bookmarkEnd w:id="94"/>
    </w:p>
    <w:bookmarkEnd w:id="95"/>
    <w:bookmarkEnd w:id="96"/>
    <w:bookmarkEnd w:id="97"/>
    <w:p w14:paraId="209F1D35">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合同当事人不得以贿赂或变相贿赂的方式，谋取非法利益或损害对方权益。因一方合同当事人的贿赂造成对方损失的，应赔偿损失，并承担相应的法律责任。</w:t>
      </w:r>
    </w:p>
    <w:p w14:paraId="7184A8F2">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066D74F7">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98" w:name="_Toc351203504"/>
      <w:r>
        <w:rPr>
          <w:rFonts w:hint="eastAsia" w:ascii="方正仿宋_GB2312" w:hAnsi="方正仿宋_GB2312" w:eastAsia="方正仿宋_GB2312" w:cs="方正仿宋_GB2312"/>
          <w:b w:val="0"/>
          <w:color w:val="000000"/>
          <w:sz w:val="24"/>
          <w:szCs w:val="24"/>
          <w:highlight w:val="none"/>
        </w:rPr>
        <w:t>1</w:t>
      </w:r>
      <w:bookmarkStart w:id="99" w:name="_Toc296346537"/>
      <w:bookmarkStart w:id="100" w:name="_Toc296503036"/>
      <w:bookmarkStart w:id="101" w:name="_Toc337558735"/>
      <w:r>
        <w:rPr>
          <w:rFonts w:hint="eastAsia" w:ascii="方正仿宋_GB2312" w:hAnsi="方正仿宋_GB2312" w:eastAsia="方正仿宋_GB2312" w:cs="方正仿宋_GB2312"/>
          <w:b w:val="0"/>
          <w:color w:val="000000"/>
          <w:sz w:val="24"/>
          <w:szCs w:val="24"/>
          <w:highlight w:val="none"/>
        </w:rPr>
        <w:t>.9化石、文物</w:t>
      </w:r>
      <w:bookmarkEnd w:id="98"/>
    </w:p>
    <w:bookmarkEnd w:id="99"/>
    <w:bookmarkEnd w:id="100"/>
    <w:bookmarkEnd w:id="101"/>
    <w:p w14:paraId="24DA419D">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30349593">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发包人、监理人和承包人应按有关政府行政管理部门要求采取妥善的保护措施，由此增加的费用和（或）延误的工期由发包人承担。</w:t>
      </w:r>
    </w:p>
    <w:p w14:paraId="7AF2A8A0">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承包人发现文物后不及时报告或隐瞒不报，致使文物丢失或损坏的，应赔偿损失，并承担相应的法律责任。</w:t>
      </w:r>
    </w:p>
    <w:p w14:paraId="5865F680">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102" w:name="_Toc351203505"/>
      <w:r>
        <w:rPr>
          <w:rFonts w:hint="eastAsia" w:ascii="方正仿宋_GB2312" w:hAnsi="方正仿宋_GB2312" w:eastAsia="方正仿宋_GB2312" w:cs="方正仿宋_GB2312"/>
          <w:b w:val="0"/>
          <w:color w:val="000000"/>
          <w:sz w:val="24"/>
          <w:szCs w:val="24"/>
          <w:highlight w:val="none"/>
        </w:rPr>
        <w:t>1</w:t>
      </w:r>
      <w:bookmarkStart w:id="103" w:name="_Toc337558736"/>
      <w:r>
        <w:rPr>
          <w:rFonts w:hint="eastAsia" w:ascii="方正仿宋_GB2312" w:hAnsi="方正仿宋_GB2312" w:eastAsia="方正仿宋_GB2312" w:cs="方正仿宋_GB2312"/>
          <w:b w:val="0"/>
          <w:color w:val="000000"/>
          <w:sz w:val="24"/>
          <w:szCs w:val="24"/>
          <w:highlight w:val="none"/>
        </w:rPr>
        <w:t>.10交通运输</w:t>
      </w:r>
      <w:bookmarkEnd w:id="102"/>
    </w:p>
    <w:bookmarkEnd w:id="103"/>
    <w:p w14:paraId="2AEC8398">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1.10.1 出入现场的权利</w:t>
      </w:r>
    </w:p>
    <w:p w14:paraId="17D3D4CF">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531FFF81">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5D202703">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1.10.2 场外交通</w:t>
      </w:r>
    </w:p>
    <w:p w14:paraId="0E4242F0">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4C669F80">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1.10.3场内交通</w:t>
      </w:r>
    </w:p>
    <w:p w14:paraId="161D964A">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07D769F9">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5E9C3E19">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场外交通和场内交通的边界由合同当事人在专用合同条款中约定。</w:t>
      </w:r>
    </w:p>
    <w:p w14:paraId="164C65EA">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1.10.4 超大件和超重件的运输</w:t>
      </w:r>
    </w:p>
    <w:p w14:paraId="228E27D4">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6EA24203">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1.10.5 道路和桥梁的损坏责任</w:t>
      </w:r>
    </w:p>
    <w:p w14:paraId="552440AA">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因承包人运输造成施工场地内外公共道路和桥梁损坏的，由承包人承担修复损坏的全部费用和可能引起的赔偿。</w:t>
      </w:r>
    </w:p>
    <w:p w14:paraId="0395E63D">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1.10.6 水路和航空运输</w:t>
      </w:r>
    </w:p>
    <w:p w14:paraId="62DD219A">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本款前述各项的内容适用于水路运输和航空运输，其中“道路”一词的涵义包括河道、航线、船闸、机场、码头、堤防以及水路或航空运输中其他相似结构物；“车辆”一词的涵义包括船舶和飞机等。</w:t>
      </w:r>
    </w:p>
    <w:p w14:paraId="0043B863">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104" w:name="_Toc351203506"/>
      <w:r>
        <w:rPr>
          <w:rFonts w:hint="eastAsia" w:ascii="方正仿宋_GB2312" w:hAnsi="方正仿宋_GB2312" w:eastAsia="方正仿宋_GB2312" w:cs="方正仿宋_GB2312"/>
          <w:b w:val="0"/>
          <w:color w:val="000000"/>
          <w:sz w:val="24"/>
          <w:szCs w:val="24"/>
          <w:highlight w:val="none"/>
        </w:rPr>
        <w:t>1</w:t>
      </w:r>
      <w:bookmarkStart w:id="105" w:name="_Toc337558737"/>
      <w:bookmarkStart w:id="106" w:name="_Toc296346538"/>
      <w:bookmarkStart w:id="107" w:name="_Toc296503037"/>
      <w:r>
        <w:rPr>
          <w:rFonts w:hint="eastAsia" w:ascii="方正仿宋_GB2312" w:hAnsi="方正仿宋_GB2312" w:eastAsia="方正仿宋_GB2312" w:cs="方正仿宋_GB2312"/>
          <w:b w:val="0"/>
          <w:color w:val="000000"/>
          <w:sz w:val="24"/>
          <w:szCs w:val="24"/>
          <w:highlight w:val="none"/>
        </w:rPr>
        <w:t>.11知识产权</w:t>
      </w:r>
      <w:bookmarkEnd w:id="104"/>
      <w:r>
        <w:rPr>
          <w:rFonts w:hint="eastAsia" w:ascii="方正仿宋_GB2312" w:hAnsi="方正仿宋_GB2312" w:eastAsia="方正仿宋_GB2312" w:cs="方正仿宋_GB2312"/>
          <w:b w:val="0"/>
          <w:color w:val="000000"/>
          <w:sz w:val="24"/>
          <w:szCs w:val="24"/>
          <w:highlight w:val="none"/>
        </w:rPr>
        <w:t xml:space="preserve"> </w:t>
      </w:r>
      <w:bookmarkEnd w:id="105"/>
    </w:p>
    <w:bookmarkEnd w:id="106"/>
    <w:bookmarkEnd w:id="107"/>
    <w:p w14:paraId="02996670">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06740A6E">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123F4150">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2B685EC2">
      <w:pPr>
        <w:spacing w:line="3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color w:val="000000"/>
          <w:kern w:val="0"/>
          <w:sz w:val="24"/>
          <w:szCs w:val="24"/>
          <w:highlight w:val="none"/>
        </w:rPr>
        <w:t xml:space="preserve">    </w:t>
      </w:r>
      <w:r>
        <w:rPr>
          <w:rFonts w:hint="eastAsia" w:ascii="方正仿宋_GB2312" w:hAnsi="方正仿宋_GB2312" w:eastAsia="方正仿宋_GB2312" w:cs="方正仿宋_GB2312"/>
          <w:color w:val="000000"/>
          <w:sz w:val="24"/>
          <w:szCs w:val="24"/>
          <w:highlight w:val="none"/>
        </w:rPr>
        <w:t>1.11.4 除专用合同条款另有约定外，承包人在合同签订前和签订时已确定采用的专利、专有技术、技术秘密的使用费已包含在签约合同价中。</w:t>
      </w:r>
    </w:p>
    <w:p w14:paraId="5EBF1DAE">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108" w:name="_Toc351203507"/>
      <w:r>
        <w:rPr>
          <w:rFonts w:hint="eastAsia" w:ascii="方正仿宋_GB2312" w:hAnsi="方正仿宋_GB2312" w:eastAsia="方正仿宋_GB2312" w:cs="方正仿宋_GB2312"/>
          <w:b w:val="0"/>
          <w:color w:val="000000"/>
          <w:sz w:val="24"/>
          <w:szCs w:val="24"/>
          <w:highlight w:val="none"/>
        </w:rPr>
        <w:t>1</w:t>
      </w:r>
      <w:bookmarkStart w:id="109" w:name="_Toc337558738"/>
      <w:r>
        <w:rPr>
          <w:rFonts w:hint="eastAsia" w:ascii="方正仿宋_GB2312" w:hAnsi="方正仿宋_GB2312" w:eastAsia="方正仿宋_GB2312" w:cs="方正仿宋_GB2312"/>
          <w:b w:val="0"/>
          <w:color w:val="000000"/>
          <w:sz w:val="24"/>
          <w:szCs w:val="24"/>
          <w:highlight w:val="none"/>
        </w:rPr>
        <w:t>.12保密</w:t>
      </w:r>
      <w:bookmarkEnd w:id="108"/>
    </w:p>
    <w:bookmarkEnd w:id="109"/>
    <w:p w14:paraId="48300B22">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除法律规定或合同另有约定外，未经发包人同意，承包人不得将发包人提供的图纸、文件以及声明需要保密的资料信息等商业秘密泄露给第三方。</w:t>
      </w:r>
    </w:p>
    <w:p w14:paraId="0567FD00">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除法律规定或合同另有约定外，未经承包人同意，发包人不得将承包人提供的技术秘密及声明需要保密的资料信息等商业秘密泄露给第三方。</w:t>
      </w:r>
    </w:p>
    <w:p w14:paraId="4881C574">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110" w:name="_Toc351203508"/>
      <w:r>
        <w:rPr>
          <w:rFonts w:hint="eastAsia" w:ascii="方正仿宋_GB2312" w:hAnsi="方正仿宋_GB2312" w:eastAsia="方正仿宋_GB2312" w:cs="方正仿宋_GB2312"/>
          <w:b w:val="0"/>
          <w:color w:val="000000"/>
          <w:sz w:val="24"/>
          <w:szCs w:val="24"/>
          <w:highlight w:val="none"/>
        </w:rPr>
        <w:t>1.13工程量清单错误的修正</w:t>
      </w:r>
      <w:bookmarkEnd w:id="110"/>
    </w:p>
    <w:p w14:paraId="4C1BCB90">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除专用合同条款另有约定外，发包人提供的工程量清单，应被认为是准确的和完整的。出现下列情形之一时，发包人应予以修正，并相应调整合同价格：</w:t>
      </w:r>
    </w:p>
    <w:p w14:paraId="2E8E5A60">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（1）工程量清单存在缺项、漏项的；</w:t>
      </w:r>
    </w:p>
    <w:p w14:paraId="70C5C424">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（2）工程量清单偏差超出专用合同条款约定的工程量偏差范围的；</w:t>
      </w:r>
    </w:p>
    <w:p w14:paraId="1DF06113">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（3）未按照国家现行计量规范强制性规定计量的。</w:t>
      </w:r>
    </w:p>
    <w:p w14:paraId="356F1BFB">
      <w:pPr>
        <w:pStyle w:val="5"/>
        <w:spacing w:before="120" w:after="120" w:line="360" w:lineRule="exact"/>
        <w:rPr>
          <w:rFonts w:hint="eastAsia" w:ascii="方正仿宋_GB2312" w:hAnsi="方正仿宋_GB2312" w:eastAsia="方正仿宋_GB2312" w:cs="方正仿宋_GB2312"/>
          <w:b/>
          <w:bCs/>
          <w:color w:val="000000"/>
          <w:sz w:val="24"/>
          <w:szCs w:val="24"/>
          <w:highlight w:val="none"/>
        </w:rPr>
      </w:pPr>
      <w:bookmarkStart w:id="111" w:name="_Toc351203509"/>
      <w:r>
        <w:rPr>
          <w:rFonts w:hint="eastAsia" w:ascii="方正仿宋_GB2312" w:hAnsi="方正仿宋_GB2312" w:eastAsia="方正仿宋_GB2312" w:cs="方正仿宋_GB2312"/>
          <w:b/>
          <w:bCs/>
          <w:color w:val="000000"/>
          <w:sz w:val="24"/>
          <w:szCs w:val="24"/>
          <w:highlight w:val="none"/>
        </w:rPr>
        <w:t>2</w:t>
      </w:r>
      <w:bookmarkStart w:id="112" w:name="_Toc296346539"/>
      <w:bookmarkStart w:id="113" w:name="_Toc296503038"/>
      <w:bookmarkStart w:id="114" w:name="_Toc337558739"/>
      <w:bookmarkStart w:id="115" w:name="OLE_LINK2"/>
      <w:bookmarkStart w:id="116" w:name="OLE_LINK1"/>
      <w:r>
        <w:rPr>
          <w:rFonts w:hint="eastAsia" w:ascii="方正仿宋_GB2312" w:hAnsi="方正仿宋_GB2312" w:eastAsia="方正仿宋_GB2312" w:cs="方正仿宋_GB2312"/>
          <w:b/>
          <w:bCs/>
          <w:color w:val="000000"/>
          <w:sz w:val="24"/>
          <w:szCs w:val="24"/>
          <w:highlight w:val="none"/>
        </w:rPr>
        <w:t>. 发包人</w:t>
      </w:r>
      <w:bookmarkEnd w:id="111"/>
    </w:p>
    <w:bookmarkEnd w:id="112"/>
    <w:bookmarkEnd w:id="113"/>
    <w:bookmarkEnd w:id="114"/>
    <w:p w14:paraId="03986612">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117" w:name="_Toc351203510"/>
      <w:r>
        <w:rPr>
          <w:rFonts w:hint="eastAsia" w:ascii="方正仿宋_GB2312" w:hAnsi="方正仿宋_GB2312" w:eastAsia="方正仿宋_GB2312" w:cs="方正仿宋_GB2312"/>
          <w:b w:val="0"/>
          <w:color w:val="000000"/>
          <w:sz w:val="24"/>
          <w:szCs w:val="24"/>
          <w:highlight w:val="none"/>
        </w:rPr>
        <w:t>2</w:t>
      </w:r>
      <w:bookmarkStart w:id="118" w:name="_Toc296346540"/>
      <w:bookmarkStart w:id="119" w:name="_Toc296503039"/>
      <w:bookmarkStart w:id="120" w:name="_Toc337558740"/>
      <w:r>
        <w:rPr>
          <w:rFonts w:hint="eastAsia" w:ascii="方正仿宋_GB2312" w:hAnsi="方正仿宋_GB2312" w:eastAsia="方正仿宋_GB2312" w:cs="方正仿宋_GB2312"/>
          <w:b w:val="0"/>
          <w:color w:val="000000"/>
          <w:sz w:val="24"/>
          <w:szCs w:val="24"/>
          <w:highlight w:val="none"/>
        </w:rPr>
        <w:t>.1 许可或批准</w:t>
      </w:r>
      <w:bookmarkEnd w:id="117"/>
    </w:p>
    <w:p w14:paraId="38906ADF">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6CA3A530">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因发包人原因未能及时办理完毕前述许可、批准或备案，由发包人承担由此增加的费用和（或）延误的工期，并支付承包人合理的利润。</w:t>
      </w:r>
    </w:p>
    <w:p w14:paraId="11547D91">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121" w:name="_Toc351203511"/>
      <w:r>
        <w:rPr>
          <w:rFonts w:hint="eastAsia" w:ascii="方正仿宋_GB2312" w:hAnsi="方正仿宋_GB2312" w:eastAsia="方正仿宋_GB2312" w:cs="方正仿宋_GB2312"/>
          <w:b w:val="0"/>
          <w:color w:val="000000"/>
          <w:sz w:val="24"/>
          <w:szCs w:val="24"/>
          <w:highlight w:val="none"/>
        </w:rPr>
        <w:t>2.2 发包人代表</w:t>
      </w:r>
      <w:bookmarkEnd w:id="121"/>
    </w:p>
    <w:p w14:paraId="458FD0CB">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6CDA39EA">
      <w:pPr>
        <w:spacing w:line="360" w:lineRule="exact"/>
        <w:ind w:firstLine="480" w:firstLineChars="200"/>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发包人代表不能按照合同约定履行其职责及义务，并导致合同无法继续正常履行的，承包人可以要求发包人撤换发包人代表。</w:t>
      </w:r>
    </w:p>
    <w:p w14:paraId="09477E99">
      <w:pPr>
        <w:spacing w:line="36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color w:val="000000"/>
          <w:kern w:val="0"/>
          <w:sz w:val="24"/>
          <w:szCs w:val="24"/>
          <w:highlight w:val="none"/>
        </w:rPr>
        <w:t>不属于法定必须监理的工程，监理人的职权可以由发包人代表或发包人指定的其他人员行使。</w:t>
      </w:r>
    </w:p>
    <w:p w14:paraId="0921822E">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122" w:name="_Toc351203512"/>
      <w:r>
        <w:rPr>
          <w:rFonts w:hint="eastAsia" w:ascii="方正仿宋_GB2312" w:hAnsi="方正仿宋_GB2312" w:eastAsia="方正仿宋_GB2312" w:cs="方正仿宋_GB2312"/>
          <w:b w:val="0"/>
          <w:color w:val="000000"/>
          <w:sz w:val="24"/>
          <w:szCs w:val="24"/>
          <w:highlight w:val="none"/>
        </w:rPr>
        <w:t>2.3 发包人人员</w:t>
      </w:r>
      <w:bookmarkEnd w:id="122"/>
    </w:p>
    <w:p w14:paraId="28BEBF2A">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发包人应要求在施工现场的发包人人员遵守法律及有关安全、质量、环境保护、文明施工等规定，并保障承包人免于承受因发包人人员未遵守上述要求给承包人造成的损失和责任。</w:t>
      </w:r>
    </w:p>
    <w:p w14:paraId="45576B94">
      <w:pPr>
        <w:spacing w:line="360" w:lineRule="exact"/>
        <w:ind w:firstLine="64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发包人人员包括发包人代表及其他由发包人派驻施工现场的人员。</w:t>
      </w:r>
      <w:bookmarkEnd w:id="118"/>
      <w:bookmarkEnd w:id="119"/>
      <w:bookmarkEnd w:id="120"/>
    </w:p>
    <w:p w14:paraId="182D478D">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123" w:name="_Toc351203513"/>
      <w:r>
        <w:rPr>
          <w:rFonts w:hint="eastAsia" w:ascii="方正仿宋_GB2312" w:hAnsi="方正仿宋_GB2312" w:eastAsia="方正仿宋_GB2312" w:cs="方正仿宋_GB2312"/>
          <w:b w:val="0"/>
          <w:color w:val="000000"/>
          <w:sz w:val="24"/>
          <w:szCs w:val="24"/>
          <w:highlight w:val="none"/>
        </w:rPr>
        <w:t>2</w:t>
      </w:r>
      <w:bookmarkStart w:id="124" w:name="_Toc337558741"/>
      <w:bookmarkStart w:id="125" w:name="_Toc296346541"/>
      <w:bookmarkStart w:id="126" w:name="_Toc296503040"/>
      <w:r>
        <w:rPr>
          <w:rFonts w:hint="eastAsia" w:ascii="方正仿宋_GB2312" w:hAnsi="方正仿宋_GB2312" w:eastAsia="方正仿宋_GB2312" w:cs="方正仿宋_GB2312"/>
          <w:b w:val="0"/>
          <w:color w:val="000000"/>
          <w:sz w:val="24"/>
          <w:szCs w:val="24"/>
          <w:highlight w:val="none"/>
        </w:rPr>
        <w:t>.4 施工现场、施工条件和基础资料的提供</w:t>
      </w:r>
      <w:bookmarkEnd w:id="123"/>
      <w:r>
        <w:rPr>
          <w:rFonts w:hint="eastAsia" w:ascii="方正仿宋_GB2312" w:hAnsi="方正仿宋_GB2312" w:eastAsia="方正仿宋_GB2312" w:cs="方正仿宋_GB2312"/>
          <w:b w:val="0"/>
          <w:color w:val="000000"/>
          <w:sz w:val="24"/>
          <w:szCs w:val="24"/>
          <w:highlight w:val="none"/>
        </w:rPr>
        <w:t xml:space="preserve"> </w:t>
      </w:r>
      <w:bookmarkEnd w:id="124"/>
      <w:bookmarkEnd w:id="125"/>
      <w:bookmarkEnd w:id="126"/>
      <w:r>
        <w:rPr>
          <w:rFonts w:hint="eastAsia" w:ascii="方正仿宋_GB2312" w:hAnsi="方正仿宋_GB2312" w:eastAsia="方正仿宋_GB2312" w:cs="方正仿宋_GB2312"/>
          <w:b w:val="0"/>
          <w:color w:val="000000"/>
          <w:sz w:val="24"/>
          <w:szCs w:val="24"/>
          <w:highlight w:val="none"/>
        </w:rPr>
        <w:t xml:space="preserve"> </w:t>
      </w:r>
    </w:p>
    <w:p w14:paraId="151B32A2">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2.4.1 提供施工现场</w:t>
      </w:r>
    </w:p>
    <w:p w14:paraId="5391B92D">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除</w:t>
      </w:r>
      <w:bookmarkEnd w:id="115"/>
      <w:bookmarkEnd w:id="116"/>
      <w:r>
        <w:rPr>
          <w:rFonts w:hint="eastAsia" w:ascii="方正仿宋_GB2312" w:hAnsi="方正仿宋_GB2312" w:eastAsia="方正仿宋_GB2312" w:cs="方正仿宋_GB2312"/>
          <w:color w:val="000000"/>
          <w:kern w:val="0"/>
          <w:sz w:val="24"/>
          <w:szCs w:val="24"/>
          <w:highlight w:val="none"/>
        </w:rPr>
        <w:t>专用合同条款另有约定外，发包人应最迟于开工日期7天前向承包人移交施工现场。</w:t>
      </w:r>
    </w:p>
    <w:p w14:paraId="3B7D02D4">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2.4.2 提供施工条件</w:t>
      </w:r>
    </w:p>
    <w:p w14:paraId="323E2BC1">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除专用合同条款另有约定外，发包人应负责提供施工所需要的条件，包括：</w:t>
      </w:r>
    </w:p>
    <w:p w14:paraId="4460763E">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（1）将施工用水、电力、通讯线路等施工所必需的条件接至施工现场内；</w:t>
      </w:r>
    </w:p>
    <w:p w14:paraId="4B70BE0F">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（2）保证向承包人提供正常施工所需要的进入施工现场的交通条件；</w:t>
      </w:r>
    </w:p>
    <w:p w14:paraId="7007D87D">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（3）协调处理施工现场周围地下管线和邻近建筑物、构筑物、古树名木的保护工作，并承担相关费用；</w:t>
      </w:r>
    </w:p>
    <w:p w14:paraId="3A84C236">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（4）按照专用合同条款约定应提供的其他设施和条件。</w:t>
      </w:r>
    </w:p>
    <w:p w14:paraId="5811DACA">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kern w:val="0"/>
          <w:sz w:val="24"/>
          <w:szCs w:val="24"/>
          <w:highlight w:val="none"/>
        </w:rPr>
        <w:t>2.4.3 提供基础资料</w:t>
      </w:r>
    </w:p>
    <w:p w14:paraId="670D263F">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1FCB89EA">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按照法律规定确需在开工后方能提供的基础资料，发包人应尽其努力及时地在相应工程施工前的合理期限内提供，合理期限应以不影响承包人的正常施工为限。</w:t>
      </w:r>
    </w:p>
    <w:p w14:paraId="47503BCC">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2.4.4 逾期提供的责任</w:t>
      </w:r>
    </w:p>
    <w:p w14:paraId="54114B3D">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因发包人原因未能按合同约定及时向承包人提供施工现场、施工条件、基础资料的，由发包人承担由此增加的费用和（或）延误的工期。</w:t>
      </w:r>
    </w:p>
    <w:p w14:paraId="6AD65865">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127" w:name="_Toc351203514"/>
      <w:r>
        <w:rPr>
          <w:rFonts w:hint="eastAsia" w:ascii="方正仿宋_GB2312" w:hAnsi="方正仿宋_GB2312" w:eastAsia="方正仿宋_GB2312" w:cs="方正仿宋_GB2312"/>
          <w:b w:val="0"/>
          <w:color w:val="000000"/>
          <w:sz w:val="24"/>
          <w:szCs w:val="24"/>
          <w:highlight w:val="none"/>
        </w:rPr>
        <w:t>2</w:t>
      </w:r>
      <w:bookmarkStart w:id="128" w:name="_Toc337558745"/>
      <w:bookmarkStart w:id="129" w:name="_Toc296346543"/>
      <w:bookmarkStart w:id="130" w:name="_Toc296503042"/>
      <w:r>
        <w:rPr>
          <w:rFonts w:hint="eastAsia" w:ascii="方正仿宋_GB2312" w:hAnsi="方正仿宋_GB2312" w:eastAsia="方正仿宋_GB2312" w:cs="方正仿宋_GB2312"/>
          <w:b w:val="0"/>
          <w:color w:val="000000"/>
          <w:sz w:val="24"/>
          <w:szCs w:val="24"/>
          <w:highlight w:val="none"/>
        </w:rPr>
        <w:t>.5 资</w:t>
      </w:r>
      <w:bookmarkEnd w:id="128"/>
      <w:bookmarkEnd w:id="129"/>
      <w:bookmarkEnd w:id="130"/>
      <w:r>
        <w:rPr>
          <w:rFonts w:hint="eastAsia" w:ascii="方正仿宋_GB2312" w:hAnsi="方正仿宋_GB2312" w:eastAsia="方正仿宋_GB2312" w:cs="方正仿宋_GB2312"/>
          <w:b w:val="0"/>
          <w:color w:val="000000"/>
          <w:sz w:val="24"/>
          <w:szCs w:val="24"/>
          <w:highlight w:val="none"/>
        </w:rPr>
        <w:t>金来源证明及支付担保</w:t>
      </w:r>
      <w:bookmarkEnd w:id="127"/>
    </w:p>
    <w:p w14:paraId="217B12D6">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除专用合同条款另有约定外，发包人应在收到承包人要求提供资金来源证明的书面通知后28天内，向承包人提供能够按照合同约定支付合同价款的相应资金来源证明。</w:t>
      </w:r>
    </w:p>
    <w:p w14:paraId="2CBAC193">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7222EA56">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131" w:name="_Toc351203515"/>
      <w:r>
        <w:rPr>
          <w:rFonts w:hint="eastAsia" w:ascii="方正仿宋_GB2312" w:hAnsi="方正仿宋_GB2312" w:eastAsia="方正仿宋_GB2312" w:cs="方正仿宋_GB2312"/>
          <w:b w:val="0"/>
          <w:color w:val="000000"/>
          <w:sz w:val="24"/>
          <w:szCs w:val="24"/>
          <w:highlight w:val="none"/>
        </w:rPr>
        <w:t>2.6 支付合同价款</w:t>
      </w:r>
      <w:bookmarkEnd w:id="131"/>
    </w:p>
    <w:p w14:paraId="6C85C594">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发包人应按合同约定向承包人及时支付合同价款。</w:t>
      </w:r>
    </w:p>
    <w:p w14:paraId="6AD6E8C0">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132" w:name="_Toc351203516"/>
      <w:r>
        <w:rPr>
          <w:rFonts w:hint="eastAsia" w:ascii="方正仿宋_GB2312" w:hAnsi="方正仿宋_GB2312" w:eastAsia="方正仿宋_GB2312" w:cs="方正仿宋_GB2312"/>
          <w:b w:val="0"/>
          <w:color w:val="000000"/>
          <w:sz w:val="24"/>
          <w:szCs w:val="24"/>
          <w:highlight w:val="none"/>
        </w:rPr>
        <w:t>2.7 组织竣工验收</w:t>
      </w:r>
      <w:bookmarkEnd w:id="132"/>
    </w:p>
    <w:p w14:paraId="4CB7D6BE">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发包人应按合同约定及时组织竣工验收。</w:t>
      </w:r>
    </w:p>
    <w:p w14:paraId="77233368">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133" w:name="_Toc351203517"/>
      <w:r>
        <w:rPr>
          <w:rFonts w:hint="eastAsia" w:ascii="方正仿宋_GB2312" w:hAnsi="方正仿宋_GB2312" w:eastAsia="方正仿宋_GB2312" w:cs="方正仿宋_GB2312"/>
          <w:b w:val="0"/>
          <w:color w:val="000000"/>
          <w:sz w:val="24"/>
          <w:szCs w:val="24"/>
          <w:highlight w:val="none"/>
        </w:rPr>
        <w:t>2.8 现场统一管理协议</w:t>
      </w:r>
      <w:bookmarkEnd w:id="133"/>
    </w:p>
    <w:p w14:paraId="4B7CF5FA">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发包人应与承包人、由发包人直接发包的专业工程的承包人签订施工现场统一管理协议，明确各方的权利义务。施工现场统一管理协议作为专用合同条款的附件。</w:t>
      </w:r>
    </w:p>
    <w:p w14:paraId="4DF86ADA">
      <w:pPr>
        <w:pStyle w:val="5"/>
        <w:spacing w:before="120" w:after="120" w:line="360" w:lineRule="exact"/>
        <w:rPr>
          <w:rFonts w:hint="eastAsia" w:ascii="方正仿宋_GB2312" w:hAnsi="方正仿宋_GB2312" w:eastAsia="方正仿宋_GB2312" w:cs="方正仿宋_GB2312"/>
          <w:b/>
          <w:bCs/>
          <w:color w:val="000000"/>
          <w:sz w:val="24"/>
          <w:szCs w:val="24"/>
          <w:highlight w:val="none"/>
        </w:rPr>
      </w:pPr>
      <w:bookmarkStart w:id="134" w:name="_Toc351203518"/>
      <w:r>
        <w:rPr>
          <w:rFonts w:hint="eastAsia" w:ascii="方正仿宋_GB2312" w:hAnsi="方正仿宋_GB2312" w:eastAsia="方正仿宋_GB2312" w:cs="方正仿宋_GB2312"/>
          <w:b/>
          <w:bCs/>
          <w:color w:val="000000"/>
          <w:sz w:val="24"/>
          <w:szCs w:val="24"/>
          <w:highlight w:val="none"/>
        </w:rPr>
        <w:t>3</w:t>
      </w:r>
      <w:bookmarkStart w:id="135" w:name="_Toc337558746"/>
      <w:bookmarkStart w:id="136" w:name="_Toc296346546"/>
      <w:bookmarkStart w:id="137" w:name="_Toc296503045"/>
      <w:r>
        <w:rPr>
          <w:rFonts w:hint="eastAsia" w:ascii="方正仿宋_GB2312" w:hAnsi="方正仿宋_GB2312" w:eastAsia="方正仿宋_GB2312" w:cs="方正仿宋_GB2312"/>
          <w:b/>
          <w:bCs/>
          <w:color w:val="000000"/>
          <w:sz w:val="24"/>
          <w:szCs w:val="24"/>
          <w:highlight w:val="none"/>
        </w:rPr>
        <w:t>. 承包人</w:t>
      </w:r>
      <w:bookmarkEnd w:id="134"/>
    </w:p>
    <w:bookmarkEnd w:id="135"/>
    <w:bookmarkEnd w:id="136"/>
    <w:bookmarkEnd w:id="137"/>
    <w:p w14:paraId="6E599D94">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138" w:name="_Toc351203519"/>
      <w:r>
        <w:rPr>
          <w:rFonts w:hint="eastAsia" w:ascii="方正仿宋_GB2312" w:hAnsi="方正仿宋_GB2312" w:eastAsia="方正仿宋_GB2312" w:cs="方正仿宋_GB2312"/>
          <w:b w:val="0"/>
          <w:color w:val="000000"/>
          <w:sz w:val="24"/>
          <w:szCs w:val="24"/>
          <w:highlight w:val="none"/>
        </w:rPr>
        <w:t>3</w:t>
      </w:r>
      <w:bookmarkStart w:id="139" w:name="_Toc296503046"/>
      <w:bookmarkStart w:id="140" w:name="_Toc337558747"/>
      <w:bookmarkStart w:id="141" w:name="_Toc296346547"/>
      <w:r>
        <w:rPr>
          <w:rFonts w:hint="eastAsia" w:ascii="方正仿宋_GB2312" w:hAnsi="方正仿宋_GB2312" w:eastAsia="方正仿宋_GB2312" w:cs="方正仿宋_GB2312"/>
          <w:b w:val="0"/>
          <w:color w:val="000000"/>
          <w:sz w:val="24"/>
          <w:szCs w:val="24"/>
          <w:highlight w:val="none"/>
        </w:rPr>
        <w:t>.1 承包人的一般义务</w:t>
      </w:r>
      <w:bookmarkEnd w:id="138"/>
    </w:p>
    <w:bookmarkEnd w:id="139"/>
    <w:bookmarkEnd w:id="140"/>
    <w:bookmarkEnd w:id="141"/>
    <w:p w14:paraId="35602347">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承包人在履行合同过程中应遵守法律和工程建设标准规范，并履行以下义务：</w:t>
      </w:r>
    </w:p>
    <w:p w14:paraId="36E95B1D">
      <w:pPr>
        <w:numPr>
          <w:ilvl w:val="0"/>
          <w:numId w:val="7"/>
        </w:num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办理法律规定应由承包人办理的许可和批准，并将办理结果书面报送发包人留存；</w:t>
      </w:r>
    </w:p>
    <w:p w14:paraId="4CE98A4F">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（2）按法律规定和合同约定完成工程，并在保修期内承担保修义务；</w:t>
      </w:r>
    </w:p>
    <w:p w14:paraId="0347BDA0">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（3）按法律规定和合同约定采取施工安全和环境保护措施，办理工伤保险，确保工程及人员、材料、设备和设施的安全；</w:t>
      </w:r>
    </w:p>
    <w:p w14:paraId="487C160A">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（4）按合同约定的工作内容和施工进度要求，编制施工组织设计和施工措施计划，并对所有施工作业和施工方法的完备性和安全可靠性负责；</w:t>
      </w:r>
    </w:p>
    <w:p w14:paraId="478039A2">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7283CFE">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（6）按照第6.3款〔环境保护〕约定负责施工场地及其周边环境与生态的保护工作；</w:t>
      </w:r>
    </w:p>
    <w:p w14:paraId="77825A67">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（7）按第6.1款〔安全文明施工〕约定采取施工安全措施，确保工程及其人员、材料、设备和设施的安全，防止因工程施工造成的人身伤害和财产损失；</w:t>
      </w:r>
    </w:p>
    <w:p w14:paraId="09CAD0F6">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（8）将发包人按合同约定支付的各项价款专用于合同工程，且应及时支付其雇用人员工资，并及时向分包人支付合同价款；</w:t>
      </w:r>
    </w:p>
    <w:p w14:paraId="2C11CAF4">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（9）按照法律规定和合同约定编制竣工资料，完成竣工资料立卷及归档，并按专用合同条款约定的竣工资料的套数、内容、时间等要求移交发包人；</w:t>
      </w:r>
    </w:p>
    <w:p w14:paraId="0A30FCA5">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（10）应履行的其他义务。</w:t>
      </w:r>
    </w:p>
    <w:p w14:paraId="5F7173D2">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142" w:name="_Toc351203520"/>
      <w:r>
        <w:rPr>
          <w:rFonts w:hint="eastAsia" w:ascii="方正仿宋_GB2312" w:hAnsi="方正仿宋_GB2312" w:eastAsia="方正仿宋_GB2312" w:cs="方正仿宋_GB2312"/>
          <w:b w:val="0"/>
          <w:color w:val="000000"/>
          <w:sz w:val="24"/>
          <w:szCs w:val="24"/>
          <w:highlight w:val="none"/>
        </w:rPr>
        <w:t>3</w:t>
      </w:r>
      <w:bookmarkStart w:id="143" w:name="_Toc296346548"/>
      <w:bookmarkStart w:id="144" w:name="_Toc296503047"/>
      <w:bookmarkStart w:id="145" w:name="_Toc337558748"/>
      <w:r>
        <w:rPr>
          <w:rFonts w:hint="eastAsia" w:ascii="方正仿宋_GB2312" w:hAnsi="方正仿宋_GB2312" w:eastAsia="方正仿宋_GB2312" w:cs="方正仿宋_GB2312"/>
          <w:b w:val="0"/>
          <w:color w:val="000000"/>
          <w:sz w:val="24"/>
          <w:szCs w:val="24"/>
          <w:highlight w:val="none"/>
        </w:rPr>
        <w:t xml:space="preserve">.2 </w:t>
      </w:r>
      <w:bookmarkEnd w:id="142"/>
      <w:r>
        <w:rPr>
          <w:rFonts w:hint="eastAsia" w:ascii="方正仿宋_GB2312" w:hAnsi="方正仿宋_GB2312" w:eastAsia="方正仿宋_GB2312" w:cs="方正仿宋_GB2312"/>
          <w:b w:val="0"/>
          <w:color w:val="000000"/>
          <w:sz w:val="24"/>
          <w:szCs w:val="24"/>
          <w:highlight w:val="none"/>
        </w:rPr>
        <w:t>项目经理</w:t>
      </w:r>
    </w:p>
    <w:bookmarkEnd w:id="143"/>
    <w:bookmarkEnd w:id="144"/>
    <w:bookmarkEnd w:id="145"/>
    <w:p w14:paraId="0CE4476B">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246270E5">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30501664">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承包人违反上述约定的，应按照专用合同条款的约定，承担违约责任。</w:t>
      </w:r>
    </w:p>
    <w:p w14:paraId="23B85754">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74630F74">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09B33C2A">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1559EF15">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73832030">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146" w:name="_Toc351203521"/>
      <w:r>
        <w:rPr>
          <w:rFonts w:hint="eastAsia" w:ascii="方正仿宋_GB2312" w:hAnsi="方正仿宋_GB2312" w:eastAsia="方正仿宋_GB2312" w:cs="方正仿宋_GB2312"/>
          <w:b w:val="0"/>
          <w:color w:val="000000"/>
          <w:sz w:val="24"/>
          <w:szCs w:val="24"/>
          <w:highlight w:val="none"/>
        </w:rPr>
        <w:t>3</w:t>
      </w:r>
      <w:bookmarkStart w:id="147" w:name="_Toc296503048"/>
      <w:bookmarkStart w:id="148" w:name="_Toc296346549"/>
      <w:bookmarkStart w:id="149" w:name="_Toc337558749"/>
      <w:r>
        <w:rPr>
          <w:rFonts w:hint="eastAsia" w:ascii="方正仿宋_GB2312" w:hAnsi="方正仿宋_GB2312" w:eastAsia="方正仿宋_GB2312" w:cs="方正仿宋_GB2312"/>
          <w:b w:val="0"/>
          <w:color w:val="000000"/>
          <w:sz w:val="24"/>
          <w:szCs w:val="24"/>
          <w:highlight w:val="none"/>
        </w:rPr>
        <w:t xml:space="preserve">.3 </w:t>
      </w:r>
      <w:bookmarkEnd w:id="147"/>
      <w:bookmarkEnd w:id="148"/>
      <w:r>
        <w:rPr>
          <w:rFonts w:hint="eastAsia" w:ascii="方正仿宋_GB2312" w:hAnsi="方正仿宋_GB2312" w:eastAsia="方正仿宋_GB2312" w:cs="方正仿宋_GB2312"/>
          <w:b w:val="0"/>
          <w:color w:val="000000"/>
          <w:sz w:val="24"/>
          <w:szCs w:val="24"/>
          <w:highlight w:val="none"/>
        </w:rPr>
        <w:t>承包人人员</w:t>
      </w:r>
      <w:bookmarkEnd w:id="146"/>
    </w:p>
    <w:bookmarkEnd w:id="149"/>
    <w:p w14:paraId="526C5AE5">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753EB9E5">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40F648CD">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特殊工种作业人员均应持有相应的资格证明，监理人可以随时检查。</w:t>
      </w:r>
    </w:p>
    <w:p w14:paraId="5325AAE8">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5703E0EE">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70330E75">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3.3.5 承包人擅自更换主要施工管理人员，或前述人员未经监理人或发包人同意擅自离开施工现场的，应按照专用合同条款约定承担违约责任。</w:t>
      </w:r>
    </w:p>
    <w:p w14:paraId="5B822B8A">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150" w:name="_Toc351203522"/>
      <w:r>
        <w:rPr>
          <w:rFonts w:hint="eastAsia" w:ascii="方正仿宋_GB2312" w:hAnsi="方正仿宋_GB2312" w:eastAsia="方正仿宋_GB2312" w:cs="方正仿宋_GB2312"/>
          <w:b w:val="0"/>
          <w:color w:val="000000"/>
          <w:sz w:val="24"/>
          <w:szCs w:val="24"/>
          <w:highlight w:val="none"/>
        </w:rPr>
        <w:t>3</w:t>
      </w:r>
      <w:bookmarkStart w:id="151" w:name="_Toc296503050"/>
      <w:bookmarkStart w:id="152" w:name="_Toc337558750"/>
      <w:bookmarkStart w:id="153" w:name="_Toc296346551"/>
      <w:r>
        <w:rPr>
          <w:rFonts w:hint="eastAsia" w:ascii="方正仿宋_GB2312" w:hAnsi="方正仿宋_GB2312" w:eastAsia="方正仿宋_GB2312" w:cs="方正仿宋_GB2312"/>
          <w:b w:val="0"/>
          <w:color w:val="000000"/>
          <w:sz w:val="24"/>
          <w:szCs w:val="24"/>
          <w:highlight w:val="none"/>
        </w:rPr>
        <w:t>.4 承包人现场查勘</w:t>
      </w:r>
      <w:bookmarkEnd w:id="150"/>
    </w:p>
    <w:bookmarkEnd w:id="151"/>
    <w:bookmarkEnd w:id="152"/>
    <w:bookmarkEnd w:id="153"/>
    <w:p w14:paraId="54EF5ABA">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承包人应对基于发包人按照第2.4.3项〔提供基础资料〕提交的基础资料所做出的解释和推断负责，但因基础资料存在错误、遗漏导致承包人解释或推断失实的，由发包人承担责任。</w:t>
      </w:r>
    </w:p>
    <w:p w14:paraId="0F00C4CA">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4394A3D3">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154" w:name="_Toc351203523"/>
      <w:r>
        <w:rPr>
          <w:rFonts w:hint="eastAsia" w:ascii="方正仿宋_GB2312" w:hAnsi="方正仿宋_GB2312" w:eastAsia="方正仿宋_GB2312" w:cs="方正仿宋_GB2312"/>
          <w:b w:val="0"/>
          <w:color w:val="000000"/>
          <w:sz w:val="24"/>
          <w:szCs w:val="24"/>
          <w:highlight w:val="none"/>
        </w:rPr>
        <w:t>3</w:t>
      </w:r>
      <w:bookmarkStart w:id="155" w:name="_Toc296346552"/>
      <w:bookmarkStart w:id="156" w:name="_Toc296503051"/>
      <w:bookmarkStart w:id="157" w:name="_Toc337558751"/>
      <w:r>
        <w:rPr>
          <w:rFonts w:hint="eastAsia" w:ascii="方正仿宋_GB2312" w:hAnsi="方正仿宋_GB2312" w:eastAsia="方正仿宋_GB2312" w:cs="方正仿宋_GB2312"/>
          <w:b w:val="0"/>
          <w:color w:val="000000"/>
          <w:sz w:val="24"/>
          <w:szCs w:val="24"/>
          <w:highlight w:val="none"/>
        </w:rPr>
        <w:t>.5 分包</w:t>
      </w:r>
      <w:bookmarkEnd w:id="154"/>
    </w:p>
    <w:bookmarkEnd w:id="155"/>
    <w:bookmarkEnd w:id="156"/>
    <w:bookmarkEnd w:id="157"/>
    <w:p w14:paraId="2CBF9848">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3.5.1 分包的一般约定</w:t>
      </w:r>
    </w:p>
    <w:p w14:paraId="2C341F30">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3C015D61">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承包人不得以劳务分包的名义转包或违法分包工程。</w:t>
      </w:r>
    </w:p>
    <w:p w14:paraId="70B3063F">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3.5.2 分包的确定</w:t>
      </w:r>
    </w:p>
    <w:p w14:paraId="5BC1328A">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258FEF3D">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3.5.3 分包管理</w:t>
      </w:r>
    </w:p>
    <w:p w14:paraId="1517CAC2">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承包人应向监理人提交分包人的主要施工管理人员表，并对分包人的施工人员进行实名制管理，包括但不限于进出场管理、登记造册以及各种证照的办理。</w:t>
      </w:r>
    </w:p>
    <w:p w14:paraId="15E09A1D">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3.5.4 分包合同价款</w:t>
      </w:r>
    </w:p>
    <w:p w14:paraId="0DDB4FC6">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（1）除本项第（2）目约定的情况或专用合同条款另有约定外，分包合同价款由承包人与分包人结算，未经承包人同意，发包人不得向分包人支付分包工程价款；</w:t>
      </w:r>
    </w:p>
    <w:p w14:paraId="3A389D24">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（2）生效法律文书要求发包人向分包人支付分包合同价款的，发包人有权从应付承包人工程款中扣除该部分款项。</w:t>
      </w:r>
    </w:p>
    <w:p w14:paraId="4BF51F80">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3.5.5 分包合同权益的转让</w:t>
      </w:r>
    </w:p>
    <w:p w14:paraId="2E07786B">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58" w:name="_Toc351203524"/>
    </w:p>
    <w:p w14:paraId="50725158">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r>
        <w:rPr>
          <w:rFonts w:hint="eastAsia" w:ascii="方正仿宋_GB2312" w:hAnsi="方正仿宋_GB2312" w:eastAsia="方正仿宋_GB2312" w:cs="方正仿宋_GB2312"/>
          <w:b w:val="0"/>
          <w:color w:val="000000"/>
          <w:sz w:val="24"/>
          <w:szCs w:val="24"/>
          <w:highlight w:val="none"/>
        </w:rPr>
        <w:t>3.6 工程照管与成品、半成品保护</w:t>
      </w:r>
      <w:bookmarkEnd w:id="158"/>
    </w:p>
    <w:p w14:paraId="1D388778">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（1）除专用合同条款另有约定外，自发包人向承包人移交施工现场之日起，承包人应负责照管工程及工程相关的材料、工程设备，直到颁发工程接收证书之日止。</w:t>
      </w:r>
    </w:p>
    <w:p w14:paraId="4FF12DA3">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（2）在承包人负责照管期间，因承包人原因造成工程、材料、工程设备损坏的，由承包人负责修复或更换，并承担由此增加的费用和（或）延误的工期。</w:t>
      </w:r>
    </w:p>
    <w:p w14:paraId="66C0D98B">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135395D3">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159" w:name="_Toc351203525"/>
      <w:r>
        <w:rPr>
          <w:rFonts w:hint="eastAsia" w:ascii="方正仿宋_GB2312" w:hAnsi="方正仿宋_GB2312" w:eastAsia="方正仿宋_GB2312" w:cs="方正仿宋_GB2312"/>
          <w:b w:val="0"/>
          <w:color w:val="000000"/>
          <w:sz w:val="24"/>
          <w:szCs w:val="24"/>
          <w:highlight w:val="none"/>
        </w:rPr>
        <w:t>3</w:t>
      </w:r>
      <w:bookmarkStart w:id="160" w:name="_Toc337558752"/>
      <w:bookmarkStart w:id="161" w:name="_Toc296346553"/>
      <w:bookmarkStart w:id="162" w:name="_Toc296503052"/>
      <w:r>
        <w:rPr>
          <w:rFonts w:hint="eastAsia" w:ascii="方正仿宋_GB2312" w:hAnsi="方正仿宋_GB2312" w:eastAsia="方正仿宋_GB2312" w:cs="方正仿宋_GB2312"/>
          <w:b w:val="0"/>
          <w:color w:val="000000"/>
          <w:sz w:val="24"/>
          <w:szCs w:val="24"/>
          <w:highlight w:val="none"/>
        </w:rPr>
        <w:t>.7 履约担保</w:t>
      </w:r>
      <w:bookmarkEnd w:id="159"/>
    </w:p>
    <w:bookmarkEnd w:id="160"/>
    <w:bookmarkEnd w:id="161"/>
    <w:bookmarkEnd w:id="162"/>
    <w:p w14:paraId="686285CB">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05D12FC0">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因承包人原因导致工期延长的，继续提供履约担保所增加的费用由承包人承担；非因承包人原因导致工期延长的，继续提供履约担保所增加的费用由发包人承担。</w:t>
      </w:r>
    </w:p>
    <w:p w14:paraId="3C6080E3">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163" w:name="_Toc351203526"/>
      <w:r>
        <w:rPr>
          <w:rFonts w:hint="eastAsia" w:ascii="方正仿宋_GB2312" w:hAnsi="方正仿宋_GB2312" w:eastAsia="方正仿宋_GB2312" w:cs="方正仿宋_GB2312"/>
          <w:b w:val="0"/>
          <w:color w:val="000000"/>
          <w:sz w:val="24"/>
          <w:szCs w:val="24"/>
          <w:highlight w:val="none"/>
        </w:rPr>
        <w:t>3.8 联合体</w:t>
      </w:r>
      <w:bookmarkEnd w:id="163"/>
    </w:p>
    <w:p w14:paraId="072A7FFD">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3.8.1 联合体各方应共同与发包人签订合同协议书。联合体各方应为履行合同向发包人承担连带责任。</w:t>
      </w:r>
    </w:p>
    <w:p w14:paraId="425A5332">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3.8.2 联合体协议经发包人确认后作为合同附件。在履行合同过程中，未经发包人同意，不得修改联合体协议。</w:t>
      </w:r>
    </w:p>
    <w:p w14:paraId="6FBBCF3F">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3.8.3 联合体牵头人负责与发包人和监理人联系，并接受指示，负责组织联合体各成员全面履行合同。</w:t>
      </w:r>
    </w:p>
    <w:p w14:paraId="7C84C195">
      <w:pPr>
        <w:pStyle w:val="5"/>
        <w:spacing w:before="120" w:after="120" w:line="360" w:lineRule="exact"/>
        <w:rPr>
          <w:rFonts w:hint="eastAsia" w:ascii="方正仿宋_GB2312" w:hAnsi="方正仿宋_GB2312" w:eastAsia="方正仿宋_GB2312" w:cs="方正仿宋_GB2312"/>
          <w:b/>
          <w:bCs/>
          <w:color w:val="000000"/>
          <w:sz w:val="24"/>
          <w:szCs w:val="24"/>
          <w:highlight w:val="none"/>
        </w:rPr>
      </w:pPr>
      <w:bookmarkStart w:id="164" w:name="_Toc351203527"/>
      <w:r>
        <w:rPr>
          <w:rFonts w:hint="eastAsia" w:ascii="方正仿宋_GB2312" w:hAnsi="方正仿宋_GB2312" w:eastAsia="方正仿宋_GB2312" w:cs="方正仿宋_GB2312"/>
          <w:b/>
          <w:bCs/>
          <w:color w:val="000000"/>
          <w:sz w:val="24"/>
          <w:szCs w:val="24"/>
          <w:highlight w:val="none"/>
        </w:rPr>
        <w:t>4</w:t>
      </w:r>
      <w:bookmarkStart w:id="165" w:name="_Toc296346554"/>
      <w:bookmarkStart w:id="166" w:name="_Toc296503053"/>
      <w:bookmarkStart w:id="167" w:name="_Toc337558753"/>
      <w:r>
        <w:rPr>
          <w:rFonts w:hint="eastAsia" w:ascii="方正仿宋_GB2312" w:hAnsi="方正仿宋_GB2312" w:eastAsia="方正仿宋_GB2312" w:cs="方正仿宋_GB2312"/>
          <w:b/>
          <w:bCs/>
          <w:color w:val="000000"/>
          <w:sz w:val="24"/>
          <w:szCs w:val="24"/>
          <w:highlight w:val="none"/>
        </w:rPr>
        <w:t>. 监</w:t>
      </w:r>
      <w:bookmarkEnd w:id="165"/>
      <w:bookmarkEnd w:id="166"/>
      <w:r>
        <w:rPr>
          <w:rFonts w:hint="eastAsia" w:ascii="方正仿宋_GB2312" w:hAnsi="方正仿宋_GB2312" w:eastAsia="方正仿宋_GB2312" w:cs="方正仿宋_GB2312"/>
          <w:b/>
          <w:bCs/>
          <w:color w:val="000000"/>
          <w:sz w:val="24"/>
          <w:szCs w:val="24"/>
          <w:highlight w:val="none"/>
        </w:rPr>
        <w:t>理人</w:t>
      </w:r>
      <w:bookmarkEnd w:id="164"/>
    </w:p>
    <w:bookmarkEnd w:id="167"/>
    <w:p w14:paraId="7C0C4BA9">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168" w:name="_Toc351203528"/>
      <w:r>
        <w:rPr>
          <w:rFonts w:hint="eastAsia" w:ascii="方正仿宋_GB2312" w:hAnsi="方正仿宋_GB2312" w:eastAsia="方正仿宋_GB2312" w:cs="方正仿宋_GB2312"/>
          <w:b w:val="0"/>
          <w:color w:val="000000"/>
          <w:sz w:val="24"/>
          <w:szCs w:val="24"/>
          <w:highlight w:val="none"/>
        </w:rPr>
        <w:t>4</w:t>
      </w:r>
      <w:bookmarkStart w:id="169" w:name="_Toc296346555"/>
      <w:bookmarkStart w:id="170" w:name="_Toc337558754"/>
      <w:bookmarkStart w:id="171" w:name="_Toc296503054"/>
      <w:r>
        <w:rPr>
          <w:rFonts w:hint="eastAsia" w:ascii="方正仿宋_GB2312" w:hAnsi="方正仿宋_GB2312" w:eastAsia="方正仿宋_GB2312" w:cs="方正仿宋_GB2312"/>
          <w:b w:val="0"/>
          <w:color w:val="000000"/>
          <w:sz w:val="24"/>
          <w:szCs w:val="24"/>
          <w:highlight w:val="none"/>
        </w:rPr>
        <w:t>.1监理人的一般规定</w:t>
      </w:r>
      <w:bookmarkEnd w:id="168"/>
    </w:p>
    <w:bookmarkEnd w:id="169"/>
    <w:bookmarkEnd w:id="170"/>
    <w:bookmarkEnd w:id="171"/>
    <w:p w14:paraId="0C2BA596">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077EDC0E">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除专用合同条款另有约定外，监理人在施工现场的办公场所、生活场所由承包人提供，所发生的费用由发包人承担。</w:t>
      </w:r>
    </w:p>
    <w:p w14:paraId="0D62182E">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172" w:name="_Toc351203529"/>
      <w:r>
        <w:rPr>
          <w:rFonts w:hint="eastAsia" w:ascii="方正仿宋_GB2312" w:hAnsi="方正仿宋_GB2312" w:eastAsia="方正仿宋_GB2312" w:cs="方正仿宋_GB2312"/>
          <w:b w:val="0"/>
          <w:color w:val="000000"/>
          <w:sz w:val="24"/>
          <w:szCs w:val="24"/>
          <w:highlight w:val="none"/>
        </w:rPr>
        <w:t>4</w:t>
      </w:r>
      <w:bookmarkStart w:id="173" w:name="_Toc337558755"/>
      <w:r>
        <w:rPr>
          <w:rFonts w:hint="eastAsia" w:ascii="方正仿宋_GB2312" w:hAnsi="方正仿宋_GB2312" w:eastAsia="方正仿宋_GB2312" w:cs="方正仿宋_GB2312"/>
          <w:b w:val="0"/>
          <w:color w:val="000000"/>
          <w:sz w:val="24"/>
          <w:szCs w:val="24"/>
          <w:highlight w:val="none"/>
        </w:rPr>
        <w:t>.2监理人员</w:t>
      </w:r>
      <w:bookmarkEnd w:id="172"/>
    </w:p>
    <w:bookmarkEnd w:id="173"/>
    <w:p w14:paraId="4EA0B353">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2DF56C2F">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174" w:name="_Toc351203530"/>
      <w:r>
        <w:rPr>
          <w:rFonts w:hint="eastAsia" w:ascii="方正仿宋_GB2312" w:hAnsi="方正仿宋_GB2312" w:eastAsia="方正仿宋_GB2312" w:cs="方正仿宋_GB2312"/>
          <w:b w:val="0"/>
          <w:color w:val="000000"/>
          <w:sz w:val="24"/>
          <w:szCs w:val="24"/>
          <w:highlight w:val="none"/>
        </w:rPr>
        <w:t>4</w:t>
      </w:r>
      <w:bookmarkStart w:id="175" w:name="_Toc296346556"/>
      <w:bookmarkStart w:id="176" w:name="_Toc296503055"/>
      <w:bookmarkStart w:id="177" w:name="_Toc337558756"/>
      <w:r>
        <w:rPr>
          <w:rFonts w:hint="eastAsia" w:ascii="方正仿宋_GB2312" w:hAnsi="方正仿宋_GB2312" w:eastAsia="方正仿宋_GB2312" w:cs="方正仿宋_GB2312"/>
          <w:b w:val="0"/>
          <w:color w:val="000000"/>
          <w:sz w:val="24"/>
          <w:szCs w:val="24"/>
          <w:highlight w:val="none"/>
        </w:rPr>
        <w:t>.3</w:t>
      </w:r>
      <w:bookmarkEnd w:id="175"/>
      <w:bookmarkEnd w:id="176"/>
      <w:r>
        <w:rPr>
          <w:rFonts w:hint="eastAsia" w:ascii="方正仿宋_GB2312" w:hAnsi="方正仿宋_GB2312" w:eastAsia="方正仿宋_GB2312" w:cs="方正仿宋_GB2312"/>
          <w:b w:val="0"/>
          <w:color w:val="000000"/>
          <w:sz w:val="24"/>
          <w:szCs w:val="24"/>
          <w:highlight w:val="none"/>
        </w:rPr>
        <w:t>监理人的指</w:t>
      </w:r>
      <w:bookmarkEnd w:id="177"/>
      <w:r>
        <w:rPr>
          <w:rFonts w:hint="eastAsia" w:ascii="方正仿宋_GB2312" w:hAnsi="方正仿宋_GB2312" w:eastAsia="方正仿宋_GB2312" w:cs="方正仿宋_GB2312"/>
          <w:b w:val="0"/>
          <w:color w:val="000000"/>
          <w:sz w:val="24"/>
          <w:szCs w:val="24"/>
          <w:highlight w:val="none"/>
        </w:rPr>
        <w:t>示</w:t>
      </w:r>
      <w:bookmarkEnd w:id="174"/>
    </w:p>
    <w:p w14:paraId="0BE44AC9">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54DCB626">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25A79461">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承包人对监理人发出的指示有疑问的，应向监理人提出书面异议，监理人应在48小时内对该指示予以确认、更改或撤销，监理人逾期未回复的，承包人有权拒绝执行上述指示。</w:t>
      </w:r>
    </w:p>
    <w:p w14:paraId="2FB93790">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727161FE">
      <w:pPr>
        <w:pStyle w:val="5"/>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178" w:name="_Toc351203531"/>
      <w:r>
        <w:rPr>
          <w:rFonts w:hint="eastAsia" w:ascii="方正仿宋_GB2312" w:hAnsi="方正仿宋_GB2312" w:eastAsia="方正仿宋_GB2312" w:cs="方正仿宋_GB2312"/>
          <w:b w:val="0"/>
          <w:color w:val="000000"/>
          <w:sz w:val="24"/>
          <w:szCs w:val="24"/>
          <w:highlight w:val="none"/>
        </w:rPr>
        <w:t>4</w:t>
      </w:r>
      <w:bookmarkStart w:id="179" w:name="_Toc337558757"/>
      <w:bookmarkStart w:id="180" w:name="_Toc296503057"/>
      <w:bookmarkStart w:id="181" w:name="_Toc296346558"/>
      <w:r>
        <w:rPr>
          <w:rFonts w:hint="eastAsia" w:ascii="方正仿宋_GB2312" w:hAnsi="方正仿宋_GB2312" w:eastAsia="方正仿宋_GB2312" w:cs="方正仿宋_GB2312"/>
          <w:b w:val="0"/>
          <w:color w:val="000000"/>
          <w:sz w:val="24"/>
          <w:szCs w:val="24"/>
          <w:highlight w:val="none"/>
        </w:rPr>
        <w:t>.4 商定或确定</w:t>
      </w:r>
      <w:bookmarkEnd w:id="178"/>
    </w:p>
    <w:bookmarkEnd w:id="179"/>
    <w:bookmarkEnd w:id="180"/>
    <w:bookmarkEnd w:id="181"/>
    <w:p w14:paraId="4138A1D6">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合同当事人进行商定或确定时，总监理工程师应当会同合同当事人尽量通过协商达成一致，不能达成一致的，由总监理工程师按照合同约定审慎做出公正的确定。</w:t>
      </w:r>
    </w:p>
    <w:p w14:paraId="370E02B8">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6BEC3924">
      <w:pPr>
        <w:pStyle w:val="5"/>
        <w:spacing w:before="120" w:after="120" w:line="360" w:lineRule="exact"/>
        <w:rPr>
          <w:rFonts w:hint="eastAsia" w:ascii="方正仿宋_GB2312" w:hAnsi="方正仿宋_GB2312" w:eastAsia="方正仿宋_GB2312" w:cs="方正仿宋_GB2312"/>
          <w:b/>
          <w:bCs/>
          <w:color w:val="000000"/>
          <w:sz w:val="24"/>
          <w:szCs w:val="24"/>
          <w:highlight w:val="none"/>
        </w:rPr>
      </w:pPr>
      <w:bookmarkStart w:id="182" w:name="_Toc351203532"/>
      <w:r>
        <w:rPr>
          <w:rFonts w:hint="eastAsia" w:ascii="方正仿宋_GB2312" w:hAnsi="方正仿宋_GB2312" w:eastAsia="方正仿宋_GB2312" w:cs="方正仿宋_GB2312"/>
          <w:b/>
          <w:bCs/>
          <w:color w:val="000000"/>
          <w:sz w:val="24"/>
          <w:szCs w:val="24"/>
          <w:highlight w:val="none"/>
        </w:rPr>
        <w:t>5</w:t>
      </w:r>
      <w:bookmarkStart w:id="183" w:name="_Toc337558758"/>
      <w:r>
        <w:rPr>
          <w:rFonts w:hint="eastAsia" w:ascii="方正仿宋_GB2312" w:hAnsi="方正仿宋_GB2312" w:eastAsia="方正仿宋_GB2312" w:cs="方正仿宋_GB2312"/>
          <w:b/>
          <w:bCs/>
          <w:color w:val="000000"/>
          <w:sz w:val="24"/>
          <w:szCs w:val="24"/>
          <w:highlight w:val="none"/>
        </w:rPr>
        <w:t>. 工程质量</w:t>
      </w:r>
      <w:bookmarkEnd w:id="182"/>
    </w:p>
    <w:bookmarkEnd w:id="183"/>
    <w:p w14:paraId="2F8D792C">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184" w:name="_Toc351203533"/>
      <w:r>
        <w:rPr>
          <w:rFonts w:hint="eastAsia" w:ascii="方正仿宋_GB2312" w:hAnsi="方正仿宋_GB2312" w:eastAsia="方正仿宋_GB2312" w:cs="方正仿宋_GB2312"/>
          <w:b w:val="0"/>
          <w:color w:val="000000"/>
          <w:sz w:val="24"/>
          <w:szCs w:val="24"/>
          <w:highlight w:val="none"/>
        </w:rPr>
        <w:t>5</w:t>
      </w:r>
      <w:bookmarkStart w:id="185" w:name="_Toc337558759"/>
      <w:r>
        <w:rPr>
          <w:rFonts w:hint="eastAsia" w:ascii="方正仿宋_GB2312" w:hAnsi="方正仿宋_GB2312" w:eastAsia="方正仿宋_GB2312" w:cs="方正仿宋_GB2312"/>
          <w:b w:val="0"/>
          <w:color w:val="000000"/>
          <w:sz w:val="24"/>
          <w:szCs w:val="24"/>
          <w:highlight w:val="none"/>
        </w:rPr>
        <w:t>.1质量要求</w:t>
      </w:r>
      <w:bookmarkEnd w:id="184"/>
    </w:p>
    <w:bookmarkEnd w:id="185"/>
    <w:p w14:paraId="742F94F1">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5.1.1 工程质量标准必须符合现行国家有关工程施工质量验收规范和标准的要求。有关工程质量的特殊标准或要求由合同当事人在专用合同条款中约定。</w:t>
      </w:r>
    </w:p>
    <w:p w14:paraId="78A97749">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5.1.2 因发包人原因造成工程质量未达到合同约定标准的，由发包人承担由此增加的费用和（或）延误的工期，并支付承包人合理的利润。</w:t>
      </w:r>
    </w:p>
    <w:p w14:paraId="0557B0CA">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5.1.3 因承包人原因造成工程质量未达到合同约定标准的，发包人有权要求承包人返工直至工程质量达到合同约定的标准为止，并由承包人承担由此增加的费用和（或）延误的工期。</w:t>
      </w:r>
    </w:p>
    <w:p w14:paraId="619B3D53">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186" w:name="_Toc351203534"/>
      <w:r>
        <w:rPr>
          <w:rFonts w:hint="eastAsia" w:ascii="方正仿宋_GB2312" w:hAnsi="方正仿宋_GB2312" w:eastAsia="方正仿宋_GB2312" w:cs="方正仿宋_GB2312"/>
          <w:b w:val="0"/>
          <w:color w:val="000000"/>
          <w:sz w:val="24"/>
          <w:szCs w:val="24"/>
          <w:highlight w:val="none"/>
        </w:rPr>
        <w:t>5</w:t>
      </w:r>
      <w:bookmarkStart w:id="187" w:name="_Toc337558760"/>
      <w:r>
        <w:rPr>
          <w:rFonts w:hint="eastAsia" w:ascii="方正仿宋_GB2312" w:hAnsi="方正仿宋_GB2312" w:eastAsia="方正仿宋_GB2312" w:cs="方正仿宋_GB2312"/>
          <w:b w:val="0"/>
          <w:color w:val="000000"/>
          <w:sz w:val="24"/>
          <w:szCs w:val="24"/>
          <w:highlight w:val="none"/>
        </w:rPr>
        <w:t>.2质量保证措施</w:t>
      </w:r>
      <w:bookmarkEnd w:id="186"/>
    </w:p>
    <w:bookmarkEnd w:id="187"/>
    <w:p w14:paraId="21EFBFFB">
      <w:pPr>
        <w:autoSpaceDE w:val="0"/>
        <w:autoSpaceDN w:val="0"/>
        <w:adjustRightInd w:val="0"/>
        <w:spacing w:line="360" w:lineRule="exact"/>
        <w:ind w:firstLine="480" w:firstLineChars="200"/>
        <w:jc w:val="left"/>
        <w:outlineLvl w:val="0"/>
        <w:rPr>
          <w:rFonts w:hint="eastAsia" w:ascii="方正仿宋_GB2312" w:hAnsi="方正仿宋_GB2312" w:eastAsia="方正仿宋_GB2312" w:cs="方正仿宋_GB2312"/>
          <w:color w:val="000000"/>
          <w:kern w:val="0"/>
          <w:sz w:val="24"/>
          <w:szCs w:val="24"/>
          <w:highlight w:val="none"/>
        </w:rPr>
      </w:pPr>
      <w:bookmarkStart w:id="188" w:name="_Toc14359"/>
      <w:bookmarkStart w:id="189" w:name="_Toc16583"/>
      <w:bookmarkStart w:id="190" w:name="_Toc27190"/>
      <w:r>
        <w:rPr>
          <w:rFonts w:hint="eastAsia" w:ascii="方正仿宋_GB2312" w:hAnsi="方正仿宋_GB2312" w:eastAsia="方正仿宋_GB2312" w:cs="方正仿宋_GB2312"/>
          <w:color w:val="000000"/>
          <w:kern w:val="0"/>
          <w:sz w:val="24"/>
          <w:szCs w:val="24"/>
          <w:highlight w:val="none"/>
        </w:rPr>
        <w:t>5.2.1 发包人的质量管理</w:t>
      </w:r>
      <w:bookmarkEnd w:id="188"/>
      <w:bookmarkEnd w:id="189"/>
      <w:bookmarkEnd w:id="190"/>
    </w:p>
    <w:p w14:paraId="2A0F3EB4">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发包人应按照法律规定及合同约定完成与工程质量有关的各项工作。</w:t>
      </w:r>
    </w:p>
    <w:p w14:paraId="18D29EC9">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5.2.2 承包人的质量管理</w:t>
      </w:r>
    </w:p>
    <w:p w14:paraId="2A3DE4BA">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3AEAF984">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承包人应对施工人员进行质量教育和技术培训，定期考核施工人员的劳动技能，严格执行施工规范和操作规程。</w:t>
      </w:r>
    </w:p>
    <w:p w14:paraId="1B08DBC5">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0CC3785F">
      <w:pPr>
        <w:autoSpaceDE w:val="0"/>
        <w:autoSpaceDN w:val="0"/>
        <w:adjustRightInd w:val="0"/>
        <w:spacing w:line="360" w:lineRule="exact"/>
        <w:ind w:firstLine="480" w:firstLineChars="200"/>
        <w:jc w:val="left"/>
        <w:outlineLvl w:val="0"/>
        <w:rPr>
          <w:rFonts w:hint="eastAsia" w:ascii="方正仿宋_GB2312" w:hAnsi="方正仿宋_GB2312" w:eastAsia="方正仿宋_GB2312" w:cs="方正仿宋_GB2312"/>
          <w:color w:val="000000"/>
          <w:kern w:val="0"/>
          <w:sz w:val="24"/>
          <w:szCs w:val="24"/>
          <w:highlight w:val="none"/>
        </w:rPr>
      </w:pPr>
      <w:bookmarkStart w:id="191" w:name="_Toc22930"/>
      <w:bookmarkStart w:id="192" w:name="_Toc16252"/>
      <w:bookmarkStart w:id="193" w:name="_Toc20897"/>
      <w:r>
        <w:rPr>
          <w:rFonts w:hint="eastAsia" w:ascii="方正仿宋_GB2312" w:hAnsi="方正仿宋_GB2312" w:eastAsia="方正仿宋_GB2312" w:cs="方正仿宋_GB2312"/>
          <w:color w:val="000000"/>
          <w:kern w:val="0"/>
          <w:sz w:val="24"/>
          <w:szCs w:val="24"/>
          <w:highlight w:val="none"/>
        </w:rPr>
        <w:t>5.2.3 监理人的质量检查和检验</w:t>
      </w:r>
      <w:bookmarkEnd w:id="191"/>
      <w:bookmarkEnd w:id="192"/>
      <w:bookmarkEnd w:id="193"/>
    </w:p>
    <w:p w14:paraId="47A8D418">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055F5284">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6C0DD599">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194" w:name="_Toc351203535"/>
      <w:r>
        <w:rPr>
          <w:rFonts w:hint="eastAsia" w:ascii="方正仿宋_GB2312" w:hAnsi="方正仿宋_GB2312" w:eastAsia="方正仿宋_GB2312" w:cs="方正仿宋_GB2312"/>
          <w:b w:val="0"/>
          <w:color w:val="000000"/>
          <w:sz w:val="24"/>
          <w:szCs w:val="24"/>
          <w:highlight w:val="none"/>
        </w:rPr>
        <w:t>5</w:t>
      </w:r>
      <w:bookmarkStart w:id="195" w:name="_Toc337558761"/>
      <w:r>
        <w:rPr>
          <w:rFonts w:hint="eastAsia" w:ascii="方正仿宋_GB2312" w:hAnsi="方正仿宋_GB2312" w:eastAsia="方正仿宋_GB2312" w:cs="方正仿宋_GB2312"/>
          <w:b w:val="0"/>
          <w:color w:val="000000"/>
          <w:sz w:val="24"/>
          <w:szCs w:val="24"/>
          <w:highlight w:val="none"/>
        </w:rPr>
        <w:t>.3 隐蔽工程检查</w:t>
      </w:r>
      <w:bookmarkEnd w:id="194"/>
    </w:p>
    <w:bookmarkEnd w:id="195"/>
    <w:p w14:paraId="51B6D71E">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5.3.1承包人自检</w:t>
      </w:r>
    </w:p>
    <w:p w14:paraId="46032A39">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承包人应当对工程隐蔽部位进行自检，并经自检确认是否具备覆盖条件。</w:t>
      </w:r>
    </w:p>
    <w:p w14:paraId="6E377957">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5.3.2检查程序</w:t>
      </w:r>
    </w:p>
    <w:p w14:paraId="060986D6">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12A3B1FE">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4EE32C24">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7FAA072A">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5.3.3 重新检查</w:t>
      </w:r>
    </w:p>
    <w:p w14:paraId="79456E74">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47BD9565">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5.3.4 承包人私自覆盖</w:t>
      </w:r>
    </w:p>
    <w:p w14:paraId="682498EE">
      <w:pPr>
        <w:spacing w:line="360" w:lineRule="exact"/>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3DA3F2F2">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196" w:name="_Toc351203536"/>
      <w:r>
        <w:rPr>
          <w:rFonts w:hint="eastAsia" w:ascii="方正仿宋_GB2312" w:hAnsi="方正仿宋_GB2312" w:eastAsia="方正仿宋_GB2312" w:cs="方正仿宋_GB2312"/>
          <w:b w:val="0"/>
          <w:color w:val="000000"/>
          <w:sz w:val="24"/>
          <w:szCs w:val="24"/>
          <w:highlight w:val="none"/>
        </w:rPr>
        <w:t>5</w:t>
      </w:r>
      <w:bookmarkStart w:id="197" w:name="_Toc337558762"/>
      <w:r>
        <w:rPr>
          <w:rFonts w:hint="eastAsia" w:ascii="方正仿宋_GB2312" w:hAnsi="方正仿宋_GB2312" w:eastAsia="方正仿宋_GB2312" w:cs="方正仿宋_GB2312"/>
          <w:b w:val="0"/>
          <w:color w:val="000000"/>
          <w:sz w:val="24"/>
          <w:szCs w:val="24"/>
          <w:highlight w:val="none"/>
        </w:rPr>
        <w:t>.4不合格工程的处理</w:t>
      </w:r>
      <w:bookmarkEnd w:id="196"/>
    </w:p>
    <w:bookmarkEnd w:id="197"/>
    <w:p w14:paraId="741CE376">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625B99C2">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5.4.2 因发包人原因造成工程不合格的，由此增加的费用和（或）延误的工期由发包人承担，并支付承包人合理的利润。</w:t>
      </w:r>
    </w:p>
    <w:p w14:paraId="49CD659D">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198" w:name="_Toc351203537"/>
      <w:r>
        <w:rPr>
          <w:rFonts w:hint="eastAsia" w:ascii="方正仿宋_GB2312" w:hAnsi="方正仿宋_GB2312" w:eastAsia="方正仿宋_GB2312" w:cs="方正仿宋_GB2312"/>
          <w:b w:val="0"/>
          <w:color w:val="000000"/>
          <w:sz w:val="24"/>
          <w:szCs w:val="24"/>
          <w:highlight w:val="none"/>
        </w:rPr>
        <w:t>5.5 质量争议检测</w:t>
      </w:r>
      <w:bookmarkEnd w:id="198"/>
    </w:p>
    <w:p w14:paraId="195F8009">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合同当事人对工程质量有争议的，由双方协商确定的工程质量检测机构鉴定，由此产生的费用及因此造成的损失，由责任方承担。</w:t>
      </w:r>
    </w:p>
    <w:p w14:paraId="554863DC">
      <w:pPr>
        <w:autoSpaceDE w:val="0"/>
        <w:autoSpaceDN w:val="0"/>
        <w:adjustRightInd w:val="0"/>
        <w:spacing w:line="360" w:lineRule="exact"/>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合同当事人均有责任的，由双方根据其责任分别承担。合同当事人无法达成一致的，按照第4.4款〔商定或确定〕执行。</w:t>
      </w:r>
    </w:p>
    <w:p w14:paraId="536B8867">
      <w:pPr>
        <w:pStyle w:val="5"/>
        <w:spacing w:before="120" w:after="120" w:line="360" w:lineRule="exact"/>
        <w:rPr>
          <w:rFonts w:hint="eastAsia" w:ascii="方正仿宋_GB2312" w:hAnsi="方正仿宋_GB2312" w:eastAsia="方正仿宋_GB2312" w:cs="方正仿宋_GB2312"/>
          <w:b/>
          <w:bCs/>
          <w:color w:val="000000"/>
          <w:sz w:val="24"/>
          <w:szCs w:val="24"/>
          <w:highlight w:val="none"/>
        </w:rPr>
      </w:pPr>
      <w:bookmarkStart w:id="199" w:name="_Toc351203538"/>
      <w:r>
        <w:rPr>
          <w:rFonts w:hint="eastAsia" w:ascii="方正仿宋_GB2312" w:hAnsi="方正仿宋_GB2312" w:eastAsia="方正仿宋_GB2312" w:cs="方正仿宋_GB2312"/>
          <w:b/>
          <w:bCs/>
          <w:color w:val="000000"/>
          <w:sz w:val="24"/>
          <w:szCs w:val="24"/>
          <w:highlight w:val="none"/>
        </w:rPr>
        <w:t>6</w:t>
      </w:r>
      <w:bookmarkStart w:id="200" w:name="_Toc337558763"/>
      <w:r>
        <w:rPr>
          <w:rFonts w:hint="eastAsia" w:ascii="方正仿宋_GB2312" w:hAnsi="方正仿宋_GB2312" w:eastAsia="方正仿宋_GB2312" w:cs="方正仿宋_GB2312"/>
          <w:b/>
          <w:bCs/>
          <w:color w:val="000000"/>
          <w:sz w:val="24"/>
          <w:szCs w:val="24"/>
          <w:highlight w:val="none"/>
        </w:rPr>
        <w:t>. 安全文明施工与环境保护</w:t>
      </w:r>
      <w:bookmarkEnd w:id="199"/>
    </w:p>
    <w:bookmarkEnd w:id="200"/>
    <w:p w14:paraId="39C9599B">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201" w:name="_Toc351203539"/>
      <w:r>
        <w:rPr>
          <w:rFonts w:hint="eastAsia" w:ascii="方正仿宋_GB2312" w:hAnsi="方正仿宋_GB2312" w:eastAsia="方正仿宋_GB2312" w:cs="方正仿宋_GB2312"/>
          <w:b w:val="0"/>
          <w:color w:val="000000"/>
          <w:sz w:val="24"/>
          <w:szCs w:val="24"/>
          <w:highlight w:val="none"/>
        </w:rPr>
        <w:t>6</w:t>
      </w:r>
      <w:bookmarkStart w:id="202" w:name="_Toc337558764"/>
      <w:r>
        <w:rPr>
          <w:rFonts w:hint="eastAsia" w:ascii="方正仿宋_GB2312" w:hAnsi="方正仿宋_GB2312" w:eastAsia="方正仿宋_GB2312" w:cs="方正仿宋_GB2312"/>
          <w:b w:val="0"/>
          <w:color w:val="000000"/>
          <w:sz w:val="24"/>
          <w:szCs w:val="24"/>
          <w:highlight w:val="none"/>
        </w:rPr>
        <w:t>.1安全文明施工</w:t>
      </w:r>
      <w:bookmarkEnd w:id="201"/>
    </w:p>
    <w:bookmarkEnd w:id="202"/>
    <w:p w14:paraId="12EC5781">
      <w:pPr>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6.1.1安全生产要求</w:t>
      </w:r>
    </w:p>
    <w:p w14:paraId="0C5E628F">
      <w:pPr>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0353434D">
      <w:pPr>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在施工过程中，如遇到突发的地质变动、事先未知的地下施工障碍等影响施工安全的紧急情况，承包人应及时报告监理人和发包人，发包人应当及时下令停工并报</w:t>
      </w:r>
      <w:r>
        <w:rPr>
          <w:rFonts w:hint="eastAsia" w:ascii="方正仿宋_GB2312" w:hAnsi="方正仿宋_GB2312" w:eastAsia="方正仿宋_GB2312" w:cs="方正仿宋_GB2312"/>
          <w:color w:val="000000"/>
          <w:kern w:val="0"/>
          <w:sz w:val="24"/>
          <w:szCs w:val="24"/>
          <w:highlight w:val="none"/>
        </w:rPr>
        <w:t>政府有关行政管理部门</w:t>
      </w:r>
      <w:r>
        <w:rPr>
          <w:rFonts w:hint="eastAsia" w:ascii="方正仿宋_GB2312" w:hAnsi="方正仿宋_GB2312" w:eastAsia="方正仿宋_GB2312" w:cs="方正仿宋_GB2312"/>
          <w:color w:val="000000"/>
          <w:sz w:val="24"/>
          <w:szCs w:val="24"/>
          <w:highlight w:val="none"/>
        </w:rPr>
        <w:t>采取应急措施。</w:t>
      </w:r>
    </w:p>
    <w:p w14:paraId="40ADEF98">
      <w:pPr>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因安全生产需要暂停施工的，按照第7.8款〔暂停施工〕的约定执行。</w:t>
      </w:r>
    </w:p>
    <w:p w14:paraId="4F37D908">
      <w:pPr>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6.1.2 安全生产保证措施</w:t>
      </w:r>
    </w:p>
    <w:p w14:paraId="243A9778">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sz w:val="24"/>
          <w:szCs w:val="24"/>
          <w:highlight w:val="none"/>
        </w:rPr>
        <w:t>承包人应当按照有关</w:t>
      </w:r>
      <w:r>
        <w:rPr>
          <w:rFonts w:hint="eastAsia" w:ascii="方正仿宋_GB2312" w:hAnsi="方正仿宋_GB2312" w:eastAsia="方正仿宋_GB2312" w:cs="方正仿宋_GB2312"/>
          <w:color w:val="000000"/>
          <w:kern w:val="0"/>
          <w:sz w:val="24"/>
          <w:szCs w:val="24"/>
          <w:highlight w:val="none"/>
        </w:rPr>
        <w:t>规定编制安全技术措施或者专项施工方案，</w:t>
      </w:r>
      <w:r>
        <w:rPr>
          <w:rFonts w:hint="eastAsia" w:ascii="方正仿宋_GB2312" w:hAnsi="方正仿宋_GB2312" w:eastAsia="方正仿宋_GB2312" w:cs="方正仿宋_GB2312"/>
          <w:color w:val="000000"/>
          <w:sz w:val="24"/>
          <w:szCs w:val="24"/>
          <w:highlight w:val="none"/>
        </w:rPr>
        <w:t>建立安全生产责任制度、治安保卫制度及安全生产教育培训制度，并</w:t>
      </w:r>
      <w:r>
        <w:rPr>
          <w:rFonts w:hint="eastAsia" w:ascii="方正仿宋_GB2312" w:hAnsi="方正仿宋_GB2312" w:eastAsia="方正仿宋_GB2312" w:cs="方正仿宋_GB2312"/>
          <w:color w:val="000000"/>
          <w:kern w:val="0"/>
          <w:sz w:val="24"/>
          <w:szCs w:val="24"/>
          <w:highlight w:val="none"/>
        </w:rPr>
        <w:t>按安全生产法律规定及合同约定履行安全职责，如实</w:t>
      </w:r>
      <w:r>
        <w:rPr>
          <w:rFonts w:hint="eastAsia" w:ascii="方正仿宋_GB2312" w:hAnsi="方正仿宋_GB2312" w:eastAsia="方正仿宋_GB2312" w:cs="方正仿宋_GB2312"/>
          <w:color w:val="000000"/>
          <w:sz w:val="24"/>
          <w:szCs w:val="24"/>
          <w:highlight w:val="none"/>
        </w:rPr>
        <w:t>编制工程安全生产的有关记录，</w:t>
      </w:r>
      <w:r>
        <w:rPr>
          <w:rFonts w:hint="eastAsia" w:ascii="方正仿宋_GB2312" w:hAnsi="方正仿宋_GB2312" w:eastAsia="方正仿宋_GB2312" w:cs="方正仿宋_GB2312"/>
          <w:color w:val="000000"/>
          <w:kern w:val="0"/>
          <w:sz w:val="24"/>
          <w:szCs w:val="24"/>
          <w:highlight w:val="none"/>
        </w:rPr>
        <w:t>接受发包人、监理人及政府安全监督部门的检查与监督。</w:t>
      </w:r>
    </w:p>
    <w:p w14:paraId="46EF4DBC">
      <w:pPr>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6.1.3特别安全生产事项</w:t>
      </w:r>
    </w:p>
    <w:p w14:paraId="4CC71E7C">
      <w:pPr>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22116714">
      <w:pPr>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6C988D55">
      <w:pPr>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4CB2FF26">
      <w:pPr>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需单独编制危险性较大分部分项专项工程施工方案的，及要求进行专家论证的超过一定规模的危险性较大的分部分项工程，承包人应及时编制和组织论证。</w:t>
      </w:r>
    </w:p>
    <w:p w14:paraId="6A505065">
      <w:pPr>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6.1.4 治安保卫</w:t>
      </w:r>
    </w:p>
    <w:p w14:paraId="730478E2">
      <w:pPr>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除专用合同条款另有约定外，发包人应与当地公安部门协商，在现场建立治安管理机构或联防组织，统一管理施工场地的治安保卫事项，履行合同工程的治安保卫职责。</w:t>
      </w:r>
    </w:p>
    <w:p w14:paraId="1BFEC14A">
      <w:pPr>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发包人和承包人除应协助现场治安管理机构或联防组织维护施工场地的社会治安外，还应做好包括生活区在内的各自管辖区的治安保卫工作。</w:t>
      </w:r>
    </w:p>
    <w:p w14:paraId="3A78C7AD">
      <w:pPr>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5B1D2538">
      <w:pPr>
        <w:spacing w:line="360" w:lineRule="exact"/>
        <w:ind w:firstLine="480" w:firstLineChars="200"/>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sz w:val="24"/>
          <w:szCs w:val="24"/>
          <w:highlight w:val="none"/>
        </w:rPr>
        <w:t>6.1.5 文明施工</w:t>
      </w:r>
    </w:p>
    <w:p w14:paraId="53EF096B">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1FA6B306">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19AEF84F">
      <w:pPr>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6.1.6 安全文明施工费</w:t>
      </w:r>
    </w:p>
    <w:p w14:paraId="7136481F">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安全文明施工费由发包人承担，发包人不得以任何形式扣减该部分费用。因基准日期后合同所适用的法律或政府有关规定发生变化，增加的安全文明施工费由发包人承担。</w:t>
      </w:r>
    </w:p>
    <w:p w14:paraId="46415B90">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6101430F">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519E506A">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5BCE76D5">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6.1.7 紧急情况处理</w:t>
      </w:r>
    </w:p>
    <w:p w14:paraId="32BC2071">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5876B78C">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6.1.8 事故处理</w:t>
      </w:r>
    </w:p>
    <w:p w14:paraId="6E290419">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5793F02A">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6.1.9 安全生产责任</w:t>
      </w:r>
    </w:p>
    <w:p w14:paraId="7882393B">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6.1.9.1 发包人的安全责任</w:t>
      </w:r>
    </w:p>
    <w:p w14:paraId="24E600BB">
      <w:pPr>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发包人应负责赔偿以下各种情况造成的损失：</w:t>
      </w:r>
    </w:p>
    <w:p w14:paraId="34DBE3F6">
      <w:pPr>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（1）工程或工程的任何部分对土地的占用所造成的第三者财产损失；</w:t>
      </w:r>
    </w:p>
    <w:p w14:paraId="2A400348">
      <w:pPr>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（2）由于发包人原因在施工场地及其毗邻地带造成的第三者人身伤亡和财产损失；</w:t>
      </w:r>
    </w:p>
    <w:p w14:paraId="0ED6BE7D">
      <w:pPr>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（3）由于发包人原因对承包人、监理人造成的人员人身伤亡和财产损失；</w:t>
      </w:r>
    </w:p>
    <w:p w14:paraId="5B3F5A76">
      <w:pPr>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（4）由于发包人原因造成的发包人自身人员的人身伤害以及财产损失。</w:t>
      </w:r>
    </w:p>
    <w:p w14:paraId="7E344E5A">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6.1.9.2 承包人的安全责任</w:t>
      </w:r>
    </w:p>
    <w:p w14:paraId="4EB37CBB">
      <w:pPr>
        <w:spacing w:line="360" w:lineRule="exact"/>
        <w:ind w:firstLine="480" w:firstLineChars="200"/>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sz w:val="24"/>
          <w:szCs w:val="24"/>
          <w:highlight w:val="none"/>
        </w:rPr>
        <w:t>由于承包人原因在施工场地内及其毗邻地带造成的发包人、监理人以及第三者人员伤亡和财产损失，由承包人负责赔偿。</w:t>
      </w:r>
    </w:p>
    <w:p w14:paraId="14EA7009">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203" w:name="_Toc351203540"/>
      <w:r>
        <w:rPr>
          <w:rFonts w:hint="eastAsia" w:ascii="方正仿宋_GB2312" w:hAnsi="方正仿宋_GB2312" w:eastAsia="方正仿宋_GB2312" w:cs="方正仿宋_GB2312"/>
          <w:b w:val="0"/>
          <w:color w:val="000000"/>
          <w:sz w:val="24"/>
          <w:szCs w:val="24"/>
          <w:highlight w:val="none"/>
        </w:rPr>
        <w:t>6</w:t>
      </w:r>
      <w:bookmarkStart w:id="204" w:name="_Toc337558765"/>
      <w:r>
        <w:rPr>
          <w:rFonts w:hint="eastAsia" w:ascii="方正仿宋_GB2312" w:hAnsi="方正仿宋_GB2312" w:eastAsia="方正仿宋_GB2312" w:cs="方正仿宋_GB2312"/>
          <w:b w:val="0"/>
          <w:color w:val="000000"/>
          <w:sz w:val="24"/>
          <w:szCs w:val="24"/>
          <w:highlight w:val="none"/>
        </w:rPr>
        <w:t>.2 职业健康</w:t>
      </w:r>
      <w:bookmarkEnd w:id="203"/>
    </w:p>
    <w:bookmarkEnd w:id="204"/>
    <w:p w14:paraId="56CA4D0D">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6.2.1 劳动保护</w:t>
      </w:r>
    </w:p>
    <w:p w14:paraId="76B19EEE">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79345E40">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05BDCFBF">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7B88F87B">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6.2.2 生活条件</w:t>
      </w:r>
    </w:p>
    <w:p w14:paraId="6D7DC351">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5259EB36">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205" w:name="_Toc351203541"/>
      <w:r>
        <w:rPr>
          <w:rFonts w:hint="eastAsia" w:ascii="方正仿宋_GB2312" w:hAnsi="方正仿宋_GB2312" w:eastAsia="方正仿宋_GB2312" w:cs="方正仿宋_GB2312"/>
          <w:b w:val="0"/>
          <w:color w:val="000000"/>
          <w:sz w:val="24"/>
          <w:szCs w:val="24"/>
          <w:highlight w:val="none"/>
        </w:rPr>
        <w:t>6</w:t>
      </w:r>
      <w:bookmarkStart w:id="206" w:name="_Toc337558766"/>
      <w:r>
        <w:rPr>
          <w:rFonts w:hint="eastAsia" w:ascii="方正仿宋_GB2312" w:hAnsi="方正仿宋_GB2312" w:eastAsia="方正仿宋_GB2312" w:cs="方正仿宋_GB2312"/>
          <w:b w:val="0"/>
          <w:color w:val="000000"/>
          <w:sz w:val="24"/>
          <w:szCs w:val="24"/>
          <w:highlight w:val="none"/>
        </w:rPr>
        <w:t>.3 环境保护</w:t>
      </w:r>
      <w:bookmarkEnd w:id="205"/>
    </w:p>
    <w:bookmarkEnd w:id="206"/>
    <w:p w14:paraId="348C4834">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3B4B4A3B">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承包人应当承担因其原因引起的环境污染侵权损害赔偿责任，因上述环境污染引起纠纷而导致暂停施工的，由此增加的费用和（或）延误的工期由承包人承担。</w:t>
      </w:r>
    </w:p>
    <w:p w14:paraId="47DDFC38">
      <w:pPr>
        <w:pStyle w:val="5"/>
        <w:spacing w:before="120" w:after="120" w:line="360" w:lineRule="exact"/>
        <w:rPr>
          <w:rFonts w:hint="eastAsia" w:ascii="方正仿宋_GB2312" w:hAnsi="方正仿宋_GB2312" w:eastAsia="方正仿宋_GB2312" w:cs="方正仿宋_GB2312"/>
          <w:b/>
          <w:bCs/>
          <w:color w:val="000000"/>
          <w:sz w:val="24"/>
          <w:szCs w:val="24"/>
          <w:highlight w:val="none"/>
        </w:rPr>
      </w:pPr>
      <w:bookmarkStart w:id="207" w:name="_Toc351203542"/>
      <w:r>
        <w:rPr>
          <w:rFonts w:hint="eastAsia" w:ascii="方正仿宋_GB2312" w:hAnsi="方正仿宋_GB2312" w:eastAsia="方正仿宋_GB2312" w:cs="方正仿宋_GB2312"/>
          <w:b/>
          <w:bCs/>
          <w:color w:val="000000"/>
          <w:sz w:val="24"/>
          <w:szCs w:val="24"/>
          <w:highlight w:val="none"/>
        </w:rPr>
        <w:t>7</w:t>
      </w:r>
      <w:bookmarkStart w:id="208" w:name="_Toc337558767"/>
      <w:r>
        <w:rPr>
          <w:rFonts w:hint="eastAsia" w:ascii="方正仿宋_GB2312" w:hAnsi="方正仿宋_GB2312" w:eastAsia="方正仿宋_GB2312" w:cs="方正仿宋_GB2312"/>
          <w:b/>
          <w:bCs/>
          <w:color w:val="000000"/>
          <w:sz w:val="24"/>
          <w:szCs w:val="24"/>
          <w:highlight w:val="none"/>
        </w:rPr>
        <w:t>. 工期和进度</w:t>
      </w:r>
      <w:bookmarkEnd w:id="207"/>
    </w:p>
    <w:bookmarkEnd w:id="208"/>
    <w:p w14:paraId="06202A96">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209" w:name="_Toc351203543"/>
      <w:r>
        <w:rPr>
          <w:rFonts w:hint="eastAsia" w:ascii="方正仿宋_GB2312" w:hAnsi="方正仿宋_GB2312" w:eastAsia="方正仿宋_GB2312" w:cs="方正仿宋_GB2312"/>
          <w:b w:val="0"/>
          <w:color w:val="000000"/>
          <w:sz w:val="24"/>
          <w:szCs w:val="24"/>
          <w:highlight w:val="none"/>
        </w:rPr>
        <w:t>7</w:t>
      </w:r>
      <w:bookmarkStart w:id="210" w:name="_Toc337558768"/>
      <w:bookmarkStart w:id="211" w:name="_Toc296503066"/>
      <w:bookmarkStart w:id="212" w:name="_Toc296346567"/>
      <w:r>
        <w:rPr>
          <w:rFonts w:hint="eastAsia" w:ascii="方正仿宋_GB2312" w:hAnsi="方正仿宋_GB2312" w:eastAsia="方正仿宋_GB2312" w:cs="方正仿宋_GB2312"/>
          <w:b w:val="0"/>
          <w:color w:val="000000"/>
          <w:sz w:val="24"/>
          <w:szCs w:val="24"/>
          <w:highlight w:val="none"/>
        </w:rPr>
        <w:t>.1施工组织设计</w:t>
      </w:r>
      <w:bookmarkEnd w:id="209"/>
    </w:p>
    <w:bookmarkEnd w:id="210"/>
    <w:p w14:paraId="6EC192DA">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sz w:val="24"/>
          <w:szCs w:val="24"/>
          <w:highlight w:val="none"/>
        </w:rPr>
        <w:t>7.1.1</w:t>
      </w:r>
      <w:r>
        <w:rPr>
          <w:rFonts w:hint="eastAsia" w:ascii="方正仿宋_GB2312" w:hAnsi="方正仿宋_GB2312" w:eastAsia="方正仿宋_GB2312" w:cs="方正仿宋_GB2312"/>
          <w:color w:val="000000"/>
          <w:sz w:val="24"/>
          <w:szCs w:val="24"/>
          <w:highlight w:val="none"/>
        </w:rPr>
        <w:t xml:space="preserve"> </w:t>
      </w:r>
      <w:r>
        <w:rPr>
          <w:rFonts w:hint="eastAsia" w:ascii="方正仿宋_GB2312" w:hAnsi="方正仿宋_GB2312" w:eastAsia="方正仿宋_GB2312" w:cs="方正仿宋_GB2312"/>
          <w:color w:val="000000"/>
          <w:kern w:val="0"/>
          <w:sz w:val="24"/>
          <w:szCs w:val="24"/>
          <w:highlight w:val="none"/>
        </w:rPr>
        <w:t>施工组织设计的内容</w:t>
      </w:r>
    </w:p>
    <w:p w14:paraId="2D0C3A93">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施工组织设计应包含以下内容：</w:t>
      </w:r>
    </w:p>
    <w:p w14:paraId="4F55DD7D">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 xml:space="preserve">（1）施工方案； </w:t>
      </w:r>
    </w:p>
    <w:p w14:paraId="4F4E0B88">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（2）施工现场平面布置图；</w:t>
      </w:r>
    </w:p>
    <w:p w14:paraId="78D809C4">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 xml:space="preserve">（3）施工进度计划和保证措施； </w:t>
      </w:r>
    </w:p>
    <w:p w14:paraId="71E8640D">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（4）劳动力及材料供应计划；</w:t>
      </w:r>
    </w:p>
    <w:p w14:paraId="074607BF">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（5）施工机械设备的选用；</w:t>
      </w:r>
    </w:p>
    <w:p w14:paraId="6DD73759">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（6）质量保证体系及措施；</w:t>
      </w:r>
    </w:p>
    <w:p w14:paraId="1B4F8538">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（7）安全生产、文明施工措施；</w:t>
      </w:r>
    </w:p>
    <w:p w14:paraId="7449932E">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（8）环境保护、成本控制措施；</w:t>
      </w:r>
    </w:p>
    <w:p w14:paraId="13BAECD9">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（9）合同当事人约定的其他内容。</w:t>
      </w:r>
    </w:p>
    <w:p w14:paraId="2EC05C26">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sz w:val="24"/>
          <w:szCs w:val="24"/>
          <w:highlight w:val="none"/>
        </w:rPr>
        <w:t>7.1.2</w:t>
      </w:r>
      <w:r>
        <w:rPr>
          <w:rFonts w:hint="eastAsia" w:ascii="方正仿宋_GB2312" w:hAnsi="方正仿宋_GB2312" w:eastAsia="方正仿宋_GB2312" w:cs="方正仿宋_GB2312"/>
          <w:color w:val="000000"/>
          <w:sz w:val="24"/>
          <w:szCs w:val="24"/>
          <w:highlight w:val="none"/>
        </w:rPr>
        <w:t xml:space="preserve"> </w:t>
      </w:r>
      <w:r>
        <w:rPr>
          <w:rFonts w:hint="eastAsia" w:ascii="方正仿宋_GB2312" w:hAnsi="方正仿宋_GB2312" w:eastAsia="方正仿宋_GB2312" w:cs="方正仿宋_GB2312"/>
          <w:color w:val="000000"/>
          <w:kern w:val="0"/>
          <w:sz w:val="24"/>
          <w:szCs w:val="24"/>
          <w:highlight w:val="none"/>
        </w:rPr>
        <w:t>施工组织设计的提交和修改</w:t>
      </w:r>
    </w:p>
    <w:p w14:paraId="06A02E88">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2708D525">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施工进度计划的编制和修改按照第7.2款〔施工进度计划〕执行。</w:t>
      </w:r>
    </w:p>
    <w:p w14:paraId="185114B4">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213" w:name="_Toc351203544"/>
      <w:r>
        <w:rPr>
          <w:rFonts w:hint="eastAsia" w:ascii="方正仿宋_GB2312" w:hAnsi="方正仿宋_GB2312" w:eastAsia="方正仿宋_GB2312" w:cs="方正仿宋_GB2312"/>
          <w:b w:val="0"/>
          <w:color w:val="000000"/>
          <w:sz w:val="24"/>
          <w:szCs w:val="24"/>
          <w:highlight w:val="none"/>
        </w:rPr>
        <w:t>7</w:t>
      </w:r>
      <w:bookmarkStart w:id="214" w:name="_Toc337558769"/>
      <w:r>
        <w:rPr>
          <w:rFonts w:hint="eastAsia" w:ascii="方正仿宋_GB2312" w:hAnsi="方正仿宋_GB2312" w:eastAsia="方正仿宋_GB2312" w:cs="方正仿宋_GB2312"/>
          <w:b w:val="0"/>
          <w:color w:val="000000"/>
          <w:sz w:val="24"/>
          <w:szCs w:val="24"/>
          <w:highlight w:val="none"/>
        </w:rPr>
        <w:t>.2 施工进度计划</w:t>
      </w:r>
      <w:bookmarkEnd w:id="213"/>
    </w:p>
    <w:bookmarkEnd w:id="214"/>
    <w:p w14:paraId="05FB990E">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7.2.1 施工进度计划的编制</w:t>
      </w:r>
    </w:p>
    <w:p w14:paraId="69B055D1">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24BC456F">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sz w:val="24"/>
          <w:szCs w:val="24"/>
          <w:highlight w:val="none"/>
        </w:rPr>
        <w:t>7.2.2 施工进度计划的修订</w:t>
      </w:r>
    </w:p>
    <w:p w14:paraId="66D7120E">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0B7988DF">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215" w:name="_Toc351203545"/>
      <w:r>
        <w:rPr>
          <w:rFonts w:hint="eastAsia" w:ascii="方正仿宋_GB2312" w:hAnsi="方正仿宋_GB2312" w:eastAsia="方正仿宋_GB2312" w:cs="方正仿宋_GB2312"/>
          <w:b w:val="0"/>
          <w:color w:val="000000"/>
          <w:sz w:val="24"/>
          <w:szCs w:val="24"/>
          <w:highlight w:val="none"/>
        </w:rPr>
        <w:t>7</w:t>
      </w:r>
      <w:bookmarkStart w:id="216" w:name="_Toc337558770"/>
      <w:r>
        <w:rPr>
          <w:rFonts w:hint="eastAsia" w:ascii="方正仿宋_GB2312" w:hAnsi="方正仿宋_GB2312" w:eastAsia="方正仿宋_GB2312" w:cs="方正仿宋_GB2312"/>
          <w:b w:val="0"/>
          <w:color w:val="000000"/>
          <w:sz w:val="24"/>
          <w:szCs w:val="24"/>
          <w:highlight w:val="none"/>
        </w:rPr>
        <w:t>.3 开工</w:t>
      </w:r>
      <w:bookmarkEnd w:id="215"/>
    </w:p>
    <w:p w14:paraId="271FDF05">
      <w:pPr>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kern w:val="0"/>
          <w:sz w:val="24"/>
          <w:szCs w:val="24"/>
          <w:highlight w:val="none"/>
        </w:rPr>
        <w:t>7.3.1 开工准备</w:t>
      </w:r>
    </w:p>
    <w:p w14:paraId="46C11C1F">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06683BE2">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除专用合同条款另有约定外，合同当事人应按约定完成开工准备工作。</w:t>
      </w:r>
    </w:p>
    <w:p w14:paraId="4B020AFF">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7.3.2 开工通知</w:t>
      </w:r>
    </w:p>
    <w:bookmarkEnd w:id="216"/>
    <w:p w14:paraId="3D561FB1">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1191D277">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7BF0C135">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217" w:name="_Toc351203546"/>
      <w:r>
        <w:rPr>
          <w:rFonts w:hint="eastAsia" w:ascii="方正仿宋_GB2312" w:hAnsi="方正仿宋_GB2312" w:eastAsia="方正仿宋_GB2312" w:cs="方正仿宋_GB2312"/>
          <w:b w:val="0"/>
          <w:color w:val="000000"/>
          <w:sz w:val="24"/>
          <w:szCs w:val="24"/>
          <w:highlight w:val="none"/>
        </w:rPr>
        <w:t>7.4测量放线</w:t>
      </w:r>
      <w:bookmarkEnd w:id="217"/>
    </w:p>
    <w:p w14:paraId="6DA34265">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01616833">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5E89FD2A">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4DB7B191">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施工过程中对施工现场内水准点等测量标志物的保护工作由承包人负责。</w:t>
      </w:r>
      <w:bookmarkStart w:id="218" w:name="_Toc351203547"/>
    </w:p>
    <w:p w14:paraId="72D23E83">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r>
        <w:rPr>
          <w:rFonts w:hint="eastAsia" w:ascii="方正仿宋_GB2312" w:hAnsi="方正仿宋_GB2312" w:eastAsia="方正仿宋_GB2312" w:cs="方正仿宋_GB2312"/>
          <w:b w:val="0"/>
          <w:color w:val="000000"/>
          <w:sz w:val="24"/>
          <w:szCs w:val="24"/>
          <w:highlight w:val="none"/>
        </w:rPr>
        <w:t>7</w:t>
      </w:r>
      <w:bookmarkEnd w:id="211"/>
      <w:bookmarkEnd w:id="212"/>
      <w:bookmarkStart w:id="219" w:name="_Toc296346574"/>
      <w:bookmarkStart w:id="220" w:name="_Toc337558772"/>
      <w:bookmarkStart w:id="221" w:name="_Toc296503073"/>
      <w:r>
        <w:rPr>
          <w:rFonts w:hint="eastAsia" w:ascii="方正仿宋_GB2312" w:hAnsi="方正仿宋_GB2312" w:eastAsia="方正仿宋_GB2312" w:cs="方正仿宋_GB2312"/>
          <w:b w:val="0"/>
          <w:color w:val="000000"/>
          <w:sz w:val="24"/>
          <w:szCs w:val="24"/>
          <w:highlight w:val="none"/>
        </w:rPr>
        <w:t>.5 工期延误</w:t>
      </w:r>
      <w:bookmarkEnd w:id="218"/>
    </w:p>
    <w:bookmarkEnd w:id="219"/>
    <w:bookmarkEnd w:id="220"/>
    <w:bookmarkEnd w:id="221"/>
    <w:p w14:paraId="51DC1860">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7.5.1 因发包人原因导致工期延误</w:t>
      </w:r>
    </w:p>
    <w:p w14:paraId="657AFCBB">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 xml:space="preserve">在合同履行过程中，因下列情况导致工期延误和（或）费用增加的，由发包人承担由此延误的工期和（或）增加的费用，且发包人应支付承包人合理的利润： </w:t>
      </w:r>
    </w:p>
    <w:p w14:paraId="19C46259">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（1）发包人未能按合同约定提供图纸或所提供图纸不符合合同约定的；</w:t>
      </w:r>
    </w:p>
    <w:p w14:paraId="604C084F">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（2）发包人未能按合同约定提供施工现场、施工条件、基础资料、许可、批准等开工条件的；</w:t>
      </w:r>
    </w:p>
    <w:p w14:paraId="5C80C22A">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（3）发包人提供的测量基准点、基准线和水准点及其书面资料存在错误或疏漏的；</w:t>
      </w:r>
    </w:p>
    <w:p w14:paraId="5D1D6A1A">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（4）发包人未能在计划开工日期之日起7天内同意下达开工通知的；</w:t>
      </w:r>
    </w:p>
    <w:p w14:paraId="74C2C889">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（5）发包人未能按合同约定日期支付工程预付款、进度款或竣工结算款的；</w:t>
      </w:r>
    </w:p>
    <w:p w14:paraId="4FD1CCFD">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（6）监理人未按合同约定发出指示、批准等文件的；</w:t>
      </w:r>
    </w:p>
    <w:p w14:paraId="1A243BA8">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（7）专用合同条款中约定的其他情形。</w:t>
      </w:r>
    </w:p>
    <w:p w14:paraId="64BFD660">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2736A91E">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kern w:val="0"/>
          <w:sz w:val="24"/>
          <w:szCs w:val="24"/>
          <w:highlight w:val="none"/>
        </w:rPr>
        <w:t>7.5.2 因承包人原因导致工期延误</w:t>
      </w:r>
    </w:p>
    <w:p w14:paraId="21C95568">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bookmarkStart w:id="222" w:name="_Toc296503076"/>
      <w:bookmarkStart w:id="223" w:name="_Toc296346577"/>
      <w:r>
        <w:rPr>
          <w:rFonts w:hint="eastAsia" w:ascii="方正仿宋_GB2312" w:hAnsi="方正仿宋_GB2312" w:eastAsia="方正仿宋_GB2312" w:cs="方正仿宋_GB2312"/>
          <w:color w:val="000000"/>
          <w:kern w:val="0"/>
          <w:sz w:val="24"/>
          <w:szCs w:val="24"/>
          <w:highlight w:val="none"/>
        </w:rPr>
        <w:t>因</w:t>
      </w:r>
      <w:bookmarkEnd w:id="222"/>
      <w:bookmarkEnd w:id="223"/>
      <w:r>
        <w:rPr>
          <w:rFonts w:hint="eastAsia" w:ascii="方正仿宋_GB2312" w:hAnsi="方正仿宋_GB2312" w:eastAsia="方正仿宋_GB2312" w:cs="方正仿宋_GB2312"/>
          <w:color w:val="000000"/>
          <w:kern w:val="0"/>
          <w:sz w:val="24"/>
          <w:szCs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0337C886">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224" w:name="_Toc351203548"/>
      <w:r>
        <w:rPr>
          <w:rFonts w:hint="eastAsia" w:ascii="方正仿宋_GB2312" w:hAnsi="方正仿宋_GB2312" w:eastAsia="方正仿宋_GB2312" w:cs="方正仿宋_GB2312"/>
          <w:b w:val="0"/>
          <w:color w:val="000000"/>
          <w:sz w:val="24"/>
          <w:szCs w:val="24"/>
          <w:highlight w:val="none"/>
        </w:rPr>
        <w:t>7</w:t>
      </w:r>
      <w:bookmarkStart w:id="225" w:name="_Toc337558773"/>
      <w:bookmarkStart w:id="226" w:name="_Toc296503074"/>
      <w:bookmarkStart w:id="227" w:name="_Toc296346575"/>
      <w:bookmarkStart w:id="228" w:name="_Toc296503077"/>
      <w:bookmarkStart w:id="229" w:name="_Toc296346578"/>
      <w:r>
        <w:rPr>
          <w:rFonts w:hint="eastAsia" w:ascii="方正仿宋_GB2312" w:hAnsi="方正仿宋_GB2312" w:eastAsia="方正仿宋_GB2312" w:cs="方正仿宋_GB2312"/>
          <w:b w:val="0"/>
          <w:color w:val="000000"/>
          <w:sz w:val="24"/>
          <w:szCs w:val="24"/>
          <w:highlight w:val="none"/>
        </w:rPr>
        <w:t>.6 不利物质条件</w:t>
      </w:r>
      <w:bookmarkEnd w:id="224"/>
    </w:p>
    <w:bookmarkEnd w:id="225"/>
    <w:bookmarkEnd w:id="226"/>
    <w:bookmarkEnd w:id="227"/>
    <w:p w14:paraId="544BF294">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3D6F0A39">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3E11DFDC">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230" w:name="_Toc351203549"/>
      <w:r>
        <w:rPr>
          <w:rFonts w:hint="eastAsia" w:ascii="方正仿宋_GB2312" w:hAnsi="方正仿宋_GB2312" w:eastAsia="方正仿宋_GB2312" w:cs="方正仿宋_GB2312"/>
          <w:b w:val="0"/>
          <w:color w:val="000000"/>
          <w:sz w:val="24"/>
          <w:szCs w:val="24"/>
          <w:highlight w:val="none"/>
        </w:rPr>
        <w:t>7</w:t>
      </w:r>
      <w:bookmarkStart w:id="231" w:name="_Toc296503075"/>
      <w:bookmarkStart w:id="232" w:name="_Toc337558774"/>
      <w:bookmarkStart w:id="233" w:name="_Toc296346576"/>
      <w:r>
        <w:rPr>
          <w:rFonts w:hint="eastAsia" w:ascii="方正仿宋_GB2312" w:hAnsi="方正仿宋_GB2312" w:eastAsia="方正仿宋_GB2312" w:cs="方正仿宋_GB2312"/>
          <w:b w:val="0"/>
          <w:color w:val="000000"/>
          <w:sz w:val="24"/>
          <w:szCs w:val="24"/>
          <w:highlight w:val="none"/>
        </w:rPr>
        <w:t>.7 异常恶劣的气候条件</w:t>
      </w:r>
      <w:bookmarkEnd w:id="230"/>
    </w:p>
    <w:bookmarkEnd w:id="231"/>
    <w:bookmarkEnd w:id="232"/>
    <w:bookmarkEnd w:id="233"/>
    <w:p w14:paraId="3B5C9351">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05BDAE34">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34" w:name="_Toc351203550"/>
    </w:p>
    <w:p w14:paraId="57104317">
      <w:pPr>
        <w:autoSpaceDE w:val="0"/>
        <w:autoSpaceDN w:val="0"/>
        <w:adjustRightInd w:val="0"/>
        <w:spacing w:line="360" w:lineRule="exact"/>
        <w:ind w:firstLine="480" w:firstLineChars="200"/>
        <w:jc w:val="left"/>
        <w:outlineLvl w:val="0"/>
        <w:rPr>
          <w:rFonts w:hint="eastAsia" w:ascii="方正仿宋_GB2312" w:hAnsi="方正仿宋_GB2312" w:eastAsia="方正仿宋_GB2312" w:cs="方正仿宋_GB2312"/>
          <w:bCs/>
          <w:color w:val="000000"/>
          <w:sz w:val="24"/>
          <w:szCs w:val="24"/>
          <w:highlight w:val="none"/>
        </w:rPr>
      </w:pPr>
      <w:bookmarkStart w:id="235" w:name="_Toc8496"/>
      <w:bookmarkStart w:id="236" w:name="_Toc29437"/>
      <w:bookmarkStart w:id="237" w:name="_Toc16973"/>
      <w:r>
        <w:rPr>
          <w:rFonts w:hint="eastAsia" w:ascii="方正仿宋_GB2312" w:hAnsi="方正仿宋_GB2312" w:eastAsia="方正仿宋_GB2312" w:cs="方正仿宋_GB2312"/>
          <w:bCs/>
          <w:color w:val="000000"/>
          <w:sz w:val="24"/>
          <w:szCs w:val="24"/>
          <w:highlight w:val="none"/>
        </w:rPr>
        <w:t>7</w:t>
      </w:r>
      <w:bookmarkStart w:id="238" w:name="_Toc337558775"/>
      <w:r>
        <w:rPr>
          <w:rFonts w:hint="eastAsia" w:ascii="方正仿宋_GB2312" w:hAnsi="方正仿宋_GB2312" w:eastAsia="方正仿宋_GB2312" w:cs="方正仿宋_GB2312"/>
          <w:bCs/>
          <w:color w:val="000000"/>
          <w:sz w:val="24"/>
          <w:szCs w:val="24"/>
          <w:highlight w:val="none"/>
        </w:rPr>
        <w:t>.8 暂停施工</w:t>
      </w:r>
      <w:bookmarkEnd w:id="234"/>
      <w:bookmarkEnd w:id="235"/>
      <w:bookmarkEnd w:id="236"/>
      <w:bookmarkEnd w:id="237"/>
    </w:p>
    <w:bookmarkEnd w:id="228"/>
    <w:bookmarkEnd w:id="229"/>
    <w:bookmarkEnd w:id="238"/>
    <w:p w14:paraId="5946BC69">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7.8.1发包人原因引起的暂停施工</w:t>
      </w:r>
    </w:p>
    <w:p w14:paraId="105972B1">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因发包人原因引起暂停施工的，监理人经发包人同意后，应及时下达暂停施工指示。情况紧急且监理人未及时下达暂停施工指示的，按照第7.8.4项〔紧急情况下的暂停施工〕执行。</w:t>
      </w:r>
    </w:p>
    <w:p w14:paraId="167E3D5E">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因发包人原因引起的暂停施工，发包人应承担由此增加的费用和（或）延误的工期，</w:t>
      </w:r>
      <w:r>
        <w:rPr>
          <w:rFonts w:hint="eastAsia" w:ascii="方正仿宋_GB2312" w:hAnsi="方正仿宋_GB2312" w:eastAsia="方正仿宋_GB2312" w:cs="方正仿宋_GB2312"/>
          <w:kern w:val="0"/>
          <w:sz w:val="24"/>
          <w:szCs w:val="24"/>
          <w:highlight w:val="none"/>
        </w:rPr>
        <w:t>并支付承包人</w:t>
      </w:r>
      <w:r>
        <w:rPr>
          <w:rFonts w:hint="eastAsia" w:ascii="方正仿宋_GB2312" w:hAnsi="方正仿宋_GB2312" w:eastAsia="方正仿宋_GB2312" w:cs="方正仿宋_GB2312"/>
          <w:color w:val="000000"/>
          <w:kern w:val="0"/>
          <w:sz w:val="24"/>
          <w:szCs w:val="24"/>
          <w:highlight w:val="none"/>
        </w:rPr>
        <w:t>合理的利润。</w:t>
      </w:r>
    </w:p>
    <w:p w14:paraId="0094C82F">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7.8.2 承包人原因引起的暂停施工</w:t>
      </w:r>
    </w:p>
    <w:p w14:paraId="32C81B5D">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2669D777">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7.8.3 指示暂停施工</w:t>
      </w:r>
    </w:p>
    <w:p w14:paraId="426955E1">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监理人认为有必要时，并经发包人批准后，可向承包人作出暂停施工的指示，承包人应按监理人指示暂停施工。</w:t>
      </w:r>
    </w:p>
    <w:p w14:paraId="3FF65E7C">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7.8.4 紧急情况下的暂停施工</w:t>
      </w:r>
    </w:p>
    <w:p w14:paraId="3486339B">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57DCC87C">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7.8.5 暂停施工后的复工</w:t>
      </w:r>
    </w:p>
    <w:p w14:paraId="4BF97345">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0882D62C">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承包人无故拖延和拒绝复工的，承包人承担由此增加的费用和（或）延误的工期；因发包人原因无法按时复工的，按照第7.5.1项〔因发包人原因导致工期延误〕约定办理。</w:t>
      </w:r>
    </w:p>
    <w:p w14:paraId="3CE40073">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7.8.6 暂停施工持续56天以上</w:t>
      </w:r>
    </w:p>
    <w:p w14:paraId="27F12411">
      <w:pPr>
        <w:spacing w:line="360" w:lineRule="exact"/>
        <w:ind w:firstLine="468" w:firstLineChars="195"/>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179A3AAC">
      <w:pPr>
        <w:spacing w:line="360" w:lineRule="exact"/>
        <w:ind w:firstLine="468" w:firstLineChars="195"/>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3E03E5D8">
      <w:pPr>
        <w:spacing w:line="360" w:lineRule="exact"/>
        <w:ind w:left="16" w:firstLine="468" w:firstLineChars="195"/>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7.8.7 暂停施工期间的工程照管</w:t>
      </w:r>
    </w:p>
    <w:p w14:paraId="55FAC9DB">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暂停施工期间，承包人应负责妥善照管工程并提供安全保障，由此增加的费用由责任方承担。</w:t>
      </w:r>
    </w:p>
    <w:p w14:paraId="4818A24E">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7.8.8 暂停施工的措施</w:t>
      </w:r>
    </w:p>
    <w:p w14:paraId="42E626FA">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暂停施工期间，发包人和承包人均应采取必要的措施确保工程质量及安全，防止因暂停施工扩大损失。</w:t>
      </w:r>
    </w:p>
    <w:p w14:paraId="7F2629DC">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239" w:name="_Toc351203551"/>
      <w:r>
        <w:rPr>
          <w:rFonts w:hint="eastAsia" w:ascii="方正仿宋_GB2312" w:hAnsi="方正仿宋_GB2312" w:eastAsia="方正仿宋_GB2312" w:cs="方正仿宋_GB2312"/>
          <w:b w:val="0"/>
          <w:color w:val="000000"/>
          <w:sz w:val="24"/>
          <w:szCs w:val="24"/>
          <w:highlight w:val="none"/>
        </w:rPr>
        <w:t>7.9提前竣工</w:t>
      </w:r>
      <w:bookmarkEnd w:id="239"/>
    </w:p>
    <w:p w14:paraId="5896B554">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1C684122">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7.9.2 发包人要求承包人提前竣工，或承包人提出提前竣工的建议能够给发包人带来效益的，合同当事人可以在专用合同条款中约定提前竣工的奖励。</w:t>
      </w:r>
    </w:p>
    <w:p w14:paraId="168AA110">
      <w:pPr>
        <w:pStyle w:val="5"/>
        <w:spacing w:before="120" w:after="120" w:line="360" w:lineRule="exact"/>
        <w:rPr>
          <w:rFonts w:hint="eastAsia" w:ascii="方正仿宋_GB2312" w:hAnsi="方正仿宋_GB2312" w:eastAsia="方正仿宋_GB2312" w:cs="方正仿宋_GB2312"/>
          <w:b/>
          <w:bCs/>
          <w:color w:val="000000"/>
          <w:sz w:val="24"/>
          <w:szCs w:val="24"/>
          <w:highlight w:val="none"/>
        </w:rPr>
      </w:pPr>
      <w:bookmarkStart w:id="240" w:name="_Toc351203552"/>
      <w:r>
        <w:rPr>
          <w:rFonts w:hint="eastAsia" w:ascii="方正仿宋_GB2312" w:hAnsi="方正仿宋_GB2312" w:eastAsia="方正仿宋_GB2312" w:cs="方正仿宋_GB2312"/>
          <w:b/>
          <w:bCs/>
          <w:color w:val="000000"/>
          <w:sz w:val="24"/>
          <w:szCs w:val="24"/>
          <w:highlight w:val="none"/>
        </w:rPr>
        <w:t>8</w:t>
      </w:r>
      <w:bookmarkStart w:id="241" w:name="_Toc296503058"/>
      <w:bookmarkStart w:id="242" w:name="_Toc296346559"/>
      <w:bookmarkStart w:id="243" w:name="_Toc337558776"/>
      <w:r>
        <w:rPr>
          <w:rFonts w:hint="eastAsia" w:ascii="方正仿宋_GB2312" w:hAnsi="方正仿宋_GB2312" w:eastAsia="方正仿宋_GB2312" w:cs="方正仿宋_GB2312"/>
          <w:b/>
          <w:bCs/>
          <w:color w:val="000000"/>
          <w:sz w:val="24"/>
          <w:szCs w:val="24"/>
          <w:highlight w:val="none"/>
        </w:rPr>
        <w:t>. 材料与设备</w:t>
      </w:r>
      <w:bookmarkEnd w:id="240"/>
    </w:p>
    <w:bookmarkEnd w:id="241"/>
    <w:bookmarkEnd w:id="242"/>
    <w:bookmarkEnd w:id="243"/>
    <w:p w14:paraId="23E90FCD">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244" w:name="_Toc351203553"/>
      <w:r>
        <w:rPr>
          <w:rFonts w:hint="eastAsia" w:ascii="方正仿宋_GB2312" w:hAnsi="方正仿宋_GB2312" w:eastAsia="方正仿宋_GB2312" w:cs="方正仿宋_GB2312"/>
          <w:b w:val="0"/>
          <w:color w:val="000000"/>
          <w:sz w:val="24"/>
          <w:szCs w:val="24"/>
          <w:highlight w:val="none"/>
        </w:rPr>
        <w:t>8</w:t>
      </w:r>
      <w:bookmarkStart w:id="245" w:name="_Toc296503059"/>
      <w:bookmarkStart w:id="246" w:name="_Toc296346560"/>
      <w:bookmarkStart w:id="247" w:name="_Toc337558777"/>
      <w:bookmarkStart w:id="248" w:name="_Toc468936960"/>
      <w:r>
        <w:rPr>
          <w:rFonts w:hint="eastAsia" w:ascii="方正仿宋_GB2312" w:hAnsi="方正仿宋_GB2312" w:eastAsia="方正仿宋_GB2312" w:cs="方正仿宋_GB2312"/>
          <w:b w:val="0"/>
          <w:color w:val="000000"/>
          <w:sz w:val="24"/>
          <w:szCs w:val="24"/>
          <w:highlight w:val="none"/>
        </w:rPr>
        <w:t>.1发包人供应材料与工程设备</w:t>
      </w:r>
      <w:bookmarkEnd w:id="244"/>
    </w:p>
    <w:bookmarkEnd w:id="245"/>
    <w:bookmarkEnd w:id="246"/>
    <w:bookmarkEnd w:id="247"/>
    <w:p w14:paraId="264BE09A">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发包人自行供应材料、工程设备的，应在签订合同时在专用合同条款的附件《发包人供应材料设备一览表》中明确材料、工程设备的品种、规格、型号、数量、单价、质量等级和送达地点。</w:t>
      </w:r>
    </w:p>
    <w:p w14:paraId="1FF16018">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37A943D6">
      <w:pPr>
        <w:pStyle w:val="6"/>
        <w:spacing w:before="120" w:after="120" w:line="360" w:lineRule="exact"/>
        <w:ind w:firstLine="480" w:firstLineChars="200"/>
        <w:rPr>
          <w:rFonts w:hint="eastAsia" w:ascii="方正仿宋_GB2312" w:hAnsi="方正仿宋_GB2312" w:eastAsia="方正仿宋_GB2312" w:cs="方正仿宋_GB2312"/>
          <w:color w:val="000000"/>
          <w:sz w:val="24"/>
          <w:szCs w:val="24"/>
          <w:highlight w:val="none"/>
        </w:rPr>
      </w:pPr>
      <w:bookmarkStart w:id="249" w:name="_Toc351203554"/>
      <w:r>
        <w:rPr>
          <w:rFonts w:hint="eastAsia" w:ascii="方正仿宋_GB2312" w:hAnsi="方正仿宋_GB2312" w:eastAsia="方正仿宋_GB2312" w:cs="方正仿宋_GB2312"/>
          <w:b w:val="0"/>
          <w:color w:val="000000"/>
          <w:sz w:val="24"/>
          <w:szCs w:val="24"/>
          <w:highlight w:val="none"/>
        </w:rPr>
        <w:t>8</w:t>
      </w:r>
      <w:bookmarkStart w:id="250" w:name="_Toc296503060"/>
      <w:bookmarkStart w:id="251" w:name="_Toc296346561"/>
      <w:bookmarkStart w:id="252" w:name="_Toc337558778"/>
      <w:r>
        <w:rPr>
          <w:rFonts w:hint="eastAsia" w:ascii="方正仿宋_GB2312" w:hAnsi="方正仿宋_GB2312" w:eastAsia="方正仿宋_GB2312" w:cs="方正仿宋_GB2312"/>
          <w:b w:val="0"/>
          <w:color w:val="000000"/>
          <w:sz w:val="24"/>
          <w:szCs w:val="24"/>
          <w:highlight w:val="none"/>
        </w:rPr>
        <w:t>.2承包人采购材料与工程设备</w:t>
      </w:r>
      <w:bookmarkEnd w:id="249"/>
    </w:p>
    <w:bookmarkEnd w:id="250"/>
    <w:bookmarkEnd w:id="251"/>
    <w:bookmarkEnd w:id="252"/>
    <w:p w14:paraId="151C98C3">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46B87ECA">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253" w:name="_Toc351203555"/>
      <w:r>
        <w:rPr>
          <w:rFonts w:hint="eastAsia" w:ascii="方正仿宋_GB2312" w:hAnsi="方正仿宋_GB2312" w:eastAsia="方正仿宋_GB2312" w:cs="方正仿宋_GB2312"/>
          <w:b w:val="0"/>
          <w:color w:val="000000"/>
          <w:sz w:val="24"/>
          <w:szCs w:val="24"/>
          <w:highlight w:val="none"/>
        </w:rPr>
        <w:t>8</w:t>
      </w:r>
      <w:bookmarkStart w:id="254" w:name="_Toc296346562"/>
      <w:bookmarkStart w:id="255" w:name="_Toc296503061"/>
      <w:bookmarkStart w:id="256" w:name="_Toc337558779"/>
      <w:r>
        <w:rPr>
          <w:rFonts w:hint="eastAsia" w:ascii="方正仿宋_GB2312" w:hAnsi="方正仿宋_GB2312" w:eastAsia="方正仿宋_GB2312" w:cs="方正仿宋_GB2312"/>
          <w:b w:val="0"/>
          <w:color w:val="000000"/>
          <w:sz w:val="24"/>
          <w:szCs w:val="24"/>
          <w:highlight w:val="none"/>
        </w:rPr>
        <w:t>.3材料与工程设备的接收与拒收</w:t>
      </w:r>
      <w:bookmarkEnd w:id="253"/>
    </w:p>
    <w:bookmarkEnd w:id="254"/>
    <w:bookmarkEnd w:id="255"/>
    <w:bookmarkEnd w:id="256"/>
    <w:p w14:paraId="5FD839BE">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02476A21">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发包人提供的材料和工程设备的规格、数量或质量不符合合同约定的，或因发包人原因导致交货日期延误或交货地点变更等情况的，按照第16.1款〔发包人违约〕约定办理。</w:t>
      </w:r>
    </w:p>
    <w:p w14:paraId="2E5C0E77">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8.3.2 承包人采购的材料和工程设备，应保证产品质量合格，承包人应在材料和工程设备到货前24小时通知监理人检验。承</w:t>
      </w:r>
      <w:bookmarkStart w:id="257" w:name="_Toc250655469"/>
      <w:r>
        <w:rPr>
          <w:rFonts w:hint="eastAsia" w:ascii="方正仿宋_GB2312" w:hAnsi="方正仿宋_GB2312" w:eastAsia="方正仿宋_GB2312" w:cs="方正仿宋_GB2312"/>
          <w:color w:val="000000"/>
          <w:kern w:val="0"/>
          <w:sz w:val="24"/>
          <w:szCs w:val="24"/>
          <w:highlight w:val="none"/>
        </w:rPr>
        <w:t>包人进行永久设备、材料的制造和生产的，应符合相关质量标准，并向监理人提交材料的样本以及有关资料，并应在使用该材料或工程设备之前获得监理人同意。</w:t>
      </w:r>
    </w:p>
    <w:bookmarkEnd w:id="257"/>
    <w:p w14:paraId="6119ADD7">
      <w:pPr>
        <w:autoSpaceDE w:val="0"/>
        <w:autoSpaceDN w:val="0"/>
        <w:adjustRightInd w:val="0"/>
        <w:spacing w:line="360" w:lineRule="exact"/>
        <w:ind w:firstLine="360" w:firstLineChars="15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20DD3BF4">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258" w:name="_Toc351203556"/>
      <w:r>
        <w:rPr>
          <w:rFonts w:hint="eastAsia" w:ascii="方正仿宋_GB2312" w:hAnsi="方正仿宋_GB2312" w:eastAsia="方正仿宋_GB2312" w:cs="方正仿宋_GB2312"/>
          <w:b w:val="0"/>
          <w:color w:val="000000"/>
          <w:sz w:val="24"/>
          <w:szCs w:val="24"/>
          <w:highlight w:val="none"/>
        </w:rPr>
        <w:t>8</w:t>
      </w:r>
      <w:bookmarkStart w:id="259" w:name="_Toc296346563"/>
      <w:bookmarkStart w:id="260" w:name="_Toc296503062"/>
      <w:bookmarkStart w:id="261" w:name="_Toc337558780"/>
      <w:r>
        <w:rPr>
          <w:rFonts w:hint="eastAsia" w:ascii="方正仿宋_GB2312" w:hAnsi="方正仿宋_GB2312" w:eastAsia="方正仿宋_GB2312" w:cs="方正仿宋_GB2312"/>
          <w:b w:val="0"/>
          <w:color w:val="000000"/>
          <w:sz w:val="24"/>
          <w:szCs w:val="24"/>
          <w:highlight w:val="none"/>
        </w:rPr>
        <w:t>.4材料与工程设备的保管与使用</w:t>
      </w:r>
      <w:bookmarkEnd w:id="258"/>
    </w:p>
    <w:bookmarkEnd w:id="259"/>
    <w:bookmarkEnd w:id="260"/>
    <w:bookmarkEnd w:id="261"/>
    <w:p w14:paraId="5EFF1E36">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8.4.1 发包人供应</w:t>
      </w:r>
      <w:r>
        <w:rPr>
          <w:rFonts w:hint="eastAsia" w:ascii="方正仿宋_GB2312" w:hAnsi="方正仿宋_GB2312" w:eastAsia="方正仿宋_GB2312" w:cs="方正仿宋_GB2312"/>
          <w:color w:val="000000"/>
          <w:sz w:val="24"/>
          <w:szCs w:val="24"/>
          <w:highlight w:val="none"/>
        </w:rPr>
        <w:t>材料与</w:t>
      </w:r>
      <w:r>
        <w:rPr>
          <w:rFonts w:hint="eastAsia" w:ascii="方正仿宋_GB2312" w:hAnsi="方正仿宋_GB2312" w:eastAsia="方正仿宋_GB2312" w:cs="方正仿宋_GB2312"/>
          <w:color w:val="000000"/>
          <w:kern w:val="0"/>
          <w:sz w:val="24"/>
          <w:szCs w:val="24"/>
          <w:highlight w:val="none"/>
        </w:rPr>
        <w:t>工程</w:t>
      </w:r>
      <w:r>
        <w:rPr>
          <w:rFonts w:hint="eastAsia" w:ascii="方正仿宋_GB2312" w:hAnsi="方正仿宋_GB2312" w:eastAsia="方正仿宋_GB2312" w:cs="方正仿宋_GB2312"/>
          <w:color w:val="000000"/>
          <w:sz w:val="24"/>
          <w:szCs w:val="24"/>
          <w:highlight w:val="none"/>
        </w:rPr>
        <w:t>设备的保管与使用</w:t>
      </w:r>
    </w:p>
    <w:p w14:paraId="3B4BACB6">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3D37495C">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发包人供应的材料和工程设备使用前，由承包人负责检验，检验费用由发包人承担，不合格的不得使用。</w:t>
      </w:r>
    </w:p>
    <w:p w14:paraId="0799DE19">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8.4.2 承包人采购</w:t>
      </w:r>
      <w:r>
        <w:rPr>
          <w:rFonts w:hint="eastAsia" w:ascii="方正仿宋_GB2312" w:hAnsi="方正仿宋_GB2312" w:eastAsia="方正仿宋_GB2312" w:cs="方正仿宋_GB2312"/>
          <w:color w:val="000000"/>
          <w:sz w:val="24"/>
          <w:szCs w:val="24"/>
          <w:highlight w:val="none"/>
        </w:rPr>
        <w:t>材料与</w:t>
      </w:r>
      <w:r>
        <w:rPr>
          <w:rFonts w:hint="eastAsia" w:ascii="方正仿宋_GB2312" w:hAnsi="方正仿宋_GB2312" w:eastAsia="方正仿宋_GB2312" w:cs="方正仿宋_GB2312"/>
          <w:color w:val="000000"/>
          <w:kern w:val="0"/>
          <w:sz w:val="24"/>
          <w:szCs w:val="24"/>
          <w:highlight w:val="none"/>
        </w:rPr>
        <w:t>工程</w:t>
      </w:r>
      <w:r>
        <w:rPr>
          <w:rFonts w:hint="eastAsia" w:ascii="方正仿宋_GB2312" w:hAnsi="方正仿宋_GB2312" w:eastAsia="方正仿宋_GB2312" w:cs="方正仿宋_GB2312"/>
          <w:color w:val="000000"/>
          <w:sz w:val="24"/>
          <w:szCs w:val="24"/>
          <w:highlight w:val="none"/>
        </w:rPr>
        <w:t>设备的保管与使用</w:t>
      </w:r>
    </w:p>
    <w:p w14:paraId="36F9E4C2">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6AFF5217">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发包人或监理人发现承包人使用不符合设计或有关标准要求的材料和工程设备时，有权要求承包人进行修复、拆除或重新采购，由此增加的费用和（或）延误的工期，由承包人承担。</w:t>
      </w:r>
    </w:p>
    <w:p w14:paraId="267D1B86">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262" w:name="_Toc351203557"/>
      <w:r>
        <w:rPr>
          <w:rFonts w:hint="eastAsia" w:ascii="方正仿宋_GB2312" w:hAnsi="方正仿宋_GB2312" w:eastAsia="方正仿宋_GB2312" w:cs="方正仿宋_GB2312"/>
          <w:b w:val="0"/>
          <w:color w:val="000000"/>
          <w:sz w:val="24"/>
          <w:szCs w:val="24"/>
          <w:highlight w:val="none"/>
        </w:rPr>
        <w:t>8.5禁止使用不合格的材料和工程设备</w:t>
      </w:r>
      <w:bookmarkEnd w:id="262"/>
    </w:p>
    <w:p w14:paraId="360A10D0">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8.5.1 监理人有权拒绝承包人提供的不合格材料或工程设备，并要求承包人立即进行更换。监理人应在更换后再次进行检查和检验，由此增加的费用和（或）延误的工期由承包人承担。</w:t>
      </w:r>
    </w:p>
    <w:p w14:paraId="6DFD4AB7">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8.5.2 监理人发现承包人使用了不合格的材料和工程设备，承包人应按照监理人的指示立即改正，并禁止在工程中继续使用不合格的材料和工程设备。</w:t>
      </w:r>
    </w:p>
    <w:p w14:paraId="5F25ABBA">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8.5.3 发包人提供的材料或工程设备不符合合同要求的，承包人有权拒绝，并可要求发包人更换，由此增加的费用和（或）延误的工期由发包人承担，并支付承包人合理的利润。</w:t>
      </w:r>
    </w:p>
    <w:p w14:paraId="3F1C3A86">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263" w:name="_Toc351203558"/>
      <w:r>
        <w:rPr>
          <w:rFonts w:hint="eastAsia" w:ascii="方正仿宋_GB2312" w:hAnsi="方正仿宋_GB2312" w:eastAsia="方正仿宋_GB2312" w:cs="方正仿宋_GB2312"/>
          <w:b w:val="0"/>
          <w:color w:val="000000"/>
          <w:sz w:val="24"/>
          <w:szCs w:val="24"/>
          <w:highlight w:val="none"/>
        </w:rPr>
        <w:t>8.6 样品</w:t>
      </w:r>
      <w:bookmarkEnd w:id="263"/>
    </w:p>
    <w:p w14:paraId="7F5372B0">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8.6.1</w:t>
      </w:r>
      <w:r>
        <w:rPr>
          <w:rFonts w:hint="eastAsia" w:ascii="方正仿宋_GB2312" w:hAnsi="方正仿宋_GB2312" w:eastAsia="方正仿宋_GB2312" w:cs="方正仿宋_GB2312"/>
          <w:color w:val="000000"/>
          <w:kern w:val="0"/>
          <w:sz w:val="24"/>
          <w:szCs w:val="24"/>
          <w:highlight w:val="none"/>
        </w:rPr>
        <w:tab/>
      </w:r>
      <w:r>
        <w:rPr>
          <w:rFonts w:hint="eastAsia" w:ascii="方正仿宋_GB2312" w:hAnsi="方正仿宋_GB2312" w:eastAsia="方正仿宋_GB2312" w:cs="方正仿宋_GB2312"/>
          <w:color w:val="000000"/>
          <w:kern w:val="0"/>
          <w:sz w:val="24"/>
          <w:szCs w:val="24"/>
          <w:highlight w:val="none"/>
        </w:rPr>
        <w:t>样品的报送与封存</w:t>
      </w:r>
    </w:p>
    <w:p w14:paraId="293D03E0">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需要承包人报送样品的材料或工程设备，样品的种类、名称、规格、数量等要求均应在专用合同条款中约定。样品的报送程序如下：</w:t>
      </w:r>
    </w:p>
    <w:p w14:paraId="5F30DB19">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6364B57B">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676A441C">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（3）经发包人和监理人审批确认的样品应按约定的方法封样，封存的样品作为检验工程相关部分的标准之一。承包人在施工过程中不得使用与样品不符的材料或工程设备。</w:t>
      </w:r>
    </w:p>
    <w:p w14:paraId="0C1E7104">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1E946D2D">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8.6.2 样品的保管</w:t>
      </w:r>
    </w:p>
    <w:p w14:paraId="3DC8244B">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经批准的样品应由监理人负责封存于现场，承包人应在现场为保存样品提供适当和固定的场所并保持适当和良好的存储环境条件。</w:t>
      </w:r>
    </w:p>
    <w:p w14:paraId="4C262DA8">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264" w:name="_Toc351203559"/>
      <w:r>
        <w:rPr>
          <w:rFonts w:hint="eastAsia" w:ascii="方正仿宋_GB2312" w:hAnsi="方正仿宋_GB2312" w:eastAsia="方正仿宋_GB2312" w:cs="方正仿宋_GB2312"/>
          <w:b w:val="0"/>
          <w:color w:val="000000"/>
          <w:sz w:val="24"/>
          <w:szCs w:val="24"/>
          <w:highlight w:val="none"/>
        </w:rPr>
        <w:t>8.7材料与工程设备的替代</w:t>
      </w:r>
      <w:bookmarkEnd w:id="264"/>
    </w:p>
    <w:p w14:paraId="6096B658">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8.7.1 出现下列情况需要使用替代材料和工程设备的，承包人应按照第8.7.2项约定的程序执行：</w:t>
      </w:r>
    </w:p>
    <w:p w14:paraId="45285CC8">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（1）基准日期后生效的法律规定禁止使用的；</w:t>
      </w:r>
    </w:p>
    <w:p w14:paraId="54E12CBD">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（2）发包人要求使用替代品的；</w:t>
      </w:r>
    </w:p>
    <w:p w14:paraId="39843A01">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（3）因其他原因必须使用替代品的。</w:t>
      </w:r>
    </w:p>
    <w:p w14:paraId="31606B52">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8.7.2 承包人应在使用替代材料和工程设备28天前书面通知监理人，并附下列文件：</w:t>
      </w:r>
    </w:p>
    <w:p w14:paraId="2EFB2DAF">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（1）被替代的材料和工程设备的名称、数量、规格、型号、品牌、性能、价格及其他相关资料；</w:t>
      </w:r>
    </w:p>
    <w:p w14:paraId="2EBC5065">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（2）替代品的名称、数量、规格、型号、品牌、性能、价格及其他相关资料；</w:t>
      </w:r>
    </w:p>
    <w:p w14:paraId="4FD97B31">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（3）替代品与被替代产品之间的差异以及使用替代品可能对工程产生的影响；</w:t>
      </w:r>
    </w:p>
    <w:p w14:paraId="5B4515B8">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（4）替代品与被替代产品的价格差异；</w:t>
      </w:r>
    </w:p>
    <w:p w14:paraId="1422C12E">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（5）使用替代品的理由和原因说明；</w:t>
      </w:r>
    </w:p>
    <w:p w14:paraId="29DA642E">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（6）监理人要求的其他文件。</w:t>
      </w:r>
    </w:p>
    <w:p w14:paraId="3AF8E034">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监理人应在收到通知后14天内向承包人发出经发包人签认的书面指示；监理人逾期发出书面指示的，视为发包人和监理人同意使用替代品。</w:t>
      </w:r>
    </w:p>
    <w:p w14:paraId="3261D30A">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377FBB82">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265" w:name="_Toc351203560"/>
      <w:r>
        <w:rPr>
          <w:rFonts w:hint="eastAsia" w:ascii="方正仿宋_GB2312" w:hAnsi="方正仿宋_GB2312" w:eastAsia="方正仿宋_GB2312" w:cs="方正仿宋_GB2312"/>
          <w:b w:val="0"/>
          <w:color w:val="000000"/>
          <w:sz w:val="24"/>
          <w:szCs w:val="24"/>
          <w:highlight w:val="none"/>
        </w:rPr>
        <w:t>8.8施工设备和临时设施</w:t>
      </w:r>
      <w:bookmarkEnd w:id="265"/>
    </w:p>
    <w:p w14:paraId="5E68B486">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8.8.1 承包人提供的施工设备和临时设施</w:t>
      </w:r>
    </w:p>
    <w:p w14:paraId="13CF10EF">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4D41B4FB">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除专用合同条款另有约定外，承包人应自行承担修建临时设施的费用，需要临时占地的，应由发包人办理申请手续并承担相应费用。</w:t>
      </w:r>
    </w:p>
    <w:p w14:paraId="7CA7A469">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8.8.2发包人提供的施工设备和临时设施</w:t>
      </w:r>
    </w:p>
    <w:p w14:paraId="7412CB50">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发包人提供的施工设备或临时设施在专用合同条款中约定。</w:t>
      </w:r>
    </w:p>
    <w:p w14:paraId="36E9D30E">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8.8.3要求承包人增加或更换施工设备</w:t>
      </w:r>
    </w:p>
    <w:p w14:paraId="2FE15A0F">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0608F754">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266" w:name="_Toc351203561"/>
      <w:r>
        <w:rPr>
          <w:rFonts w:hint="eastAsia" w:ascii="方正仿宋_GB2312" w:hAnsi="方正仿宋_GB2312" w:eastAsia="方正仿宋_GB2312" w:cs="方正仿宋_GB2312"/>
          <w:b w:val="0"/>
          <w:color w:val="000000"/>
          <w:sz w:val="24"/>
          <w:szCs w:val="24"/>
          <w:highlight w:val="none"/>
        </w:rPr>
        <w:t>8</w:t>
      </w:r>
      <w:bookmarkStart w:id="267" w:name="_Toc337558781"/>
      <w:bookmarkStart w:id="268" w:name="_Toc296346564"/>
      <w:bookmarkStart w:id="269" w:name="_Toc296503063"/>
      <w:r>
        <w:rPr>
          <w:rFonts w:hint="eastAsia" w:ascii="方正仿宋_GB2312" w:hAnsi="方正仿宋_GB2312" w:eastAsia="方正仿宋_GB2312" w:cs="方正仿宋_GB2312"/>
          <w:b w:val="0"/>
          <w:color w:val="000000"/>
          <w:sz w:val="24"/>
          <w:szCs w:val="24"/>
          <w:highlight w:val="none"/>
        </w:rPr>
        <w:t>.9材料与设备专用</w:t>
      </w:r>
      <w:bookmarkEnd w:id="266"/>
      <w:r>
        <w:rPr>
          <w:rFonts w:hint="eastAsia" w:ascii="方正仿宋_GB2312" w:hAnsi="方正仿宋_GB2312" w:eastAsia="方正仿宋_GB2312" w:cs="方正仿宋_GB2312"/>
          <w:b w:val="0"/>
          <w:color w:val="000000"/>
          <w:sz w:val="24"/>
          <w:szCs w:val="24"/>
          <w:highlight w:val="none"/>
        </w:rPr>
        <w:t>要求</w:t>
      </w:r>
    </w:p>
    <w:bookmarkEnd w:id="267"/>
    <w:bookmarkEnd w:id="268"/>
    <w:bookmarkEnd w:id="269"/>
    <w:p w14:paraId="4E85B4AF">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承包人运入施工现场的材料、工程设备、施工设备以及在施工场地建设的临时设施，包括备品备件、安装工具与资料，必须专用</w:t>
      </w:r>
      <w:r>
        <w:rPr>
          <w:rFonts w:hint="eastAsia" w:ascii="方正仿宋_GB2312" w:hAnsi="方正仿宋_GB2312" w:eastAsia="方正仿宋_GB2312" w:cs="方正仿宋_GB2312"/>
          <w:color w:val="000000"/>
          <w:kern w:val="0"/>
          <w:sz w:val="24"/>
          <w:szCs w:val="24"/>
          <w:highlight w:val="none"/>
          <w:lang w:eastAsia="zh-CN"/>
        </w:rPr>
        <w:t>白工</w:t>
      </w:r>
      <w:r>
        <w:rPr>
          <w:rFonts w:hint="eastAsia" w:ascii="方正仿宋_GB2312" w:hAnsi="方正仿宋_GB2312" w:eastAsia="方正仿宋_GB2312" w:cs="方正仿宋_GB2312"/>
          <w:color w:val="000000"/>
          <w:kern w:val="0"/>
          <w:sz w:val="24"/>
          <w:szCs w:val="24"/>
          <w:highlight w:val="none"/>
        </w:rPr>
        <w:t>程。未经发包人批准，承包人不得运出施工现场或挪作他用；</w:t>
      </w:r>
      <w:bookmarkEnd w:id="248"/>
      <w:r>
        <w:rPr>
          <w:rFonts w:hint="eastAsia" w:ascii="方正仿宋_GB2312" w:hAnsi="方正仿宋_GB2312" w:eastAsia="方正仿宋_GB2312" w:cs="方正仿宋_GB2312"/>
          <w:color w:val="000000"/>
          <w:kern w:val="0"/>
          <w:sz w:val="24"/>
          <w:szCs w:val="24"/>
          <w:highlight w:val="none"/>
        </w:rPr>
        <w:t>经发包人批准，承包人可以根据施工进度计划撤走闲置的施工设备和其他物品。</w:t>
      </w:r>
    </w:p>
    <w:p w14:paraId="388217BE">
      <w:pPr>
        <w:pStyle w:val="5"/>
        <w:spacing w:before="120" w:after="120" w:line="360" w:lineRule="exact"/>
        <w:rPr>
          <w:rFonts w:hint="eastAsia" w:ascii="方正仿宋_GB2312" w:hAnsi="方正仿宋_GB2312" w:eastAsia="方正仿宋_GB2312" w:cs="方正仿宋_GB2312"/>
          <w:b/>
          <w:bCs/>
          <w:color w:val="000000"/>
          <w:sz w:val="24"/>
          <w:szCs w:val="24"/>
          <w:highlight w:val="none"/>
        </w:rPr>
      </w:pPr>
      <w:bookmarkStart w:id="270" w:name="_Toc351203562"/>
      <w:r>
        <w:rPr>
          <w:rFonts w:hint="eastAsia" w:ascii="方正仿宋_GB2312" w:hAnsi="方正仿宋_GB2312" w:eastAsia="方正仿宋_GB2312" w:cs="方正仿宋_GB2312"/>
          <w:b/>
          <w:bCs/>
          <w:color w:val="000000"/>
          <w:sz w:val="24"/>
          <w:szCs w:val="24"/>
          <w:highlight w:val="none"/>
        </w:rPr>
        <w:t>9</w:t>
      </w:r>
      <w:bookmarkStart w:id="271" w:name="_Toc337558782"/>
      <w:bookmarkStart w:id="272" w:name="_Toc296346584"/>
      <w:bookmarkStart w:id="273" w:name="_Toc296503083"/>
      <w:r>
        <w:rPr>
          <w:rFonts w:hint="eastAsia" w:ascii="方正仿宋_GB2312" w:hAnsi="方正仿宋_GB2312" w:eastAsia="方正仿宋_GB2312" w:cs="方正仿宋_GB2312"/>
          <w:b/>
          <w:bCs/>
          <w:color w:val="000000"/>
          <w:sz w:val="24"/>
          <w:szCs w:val="24"/>
          <w:highlight w:val="none"/>
        </w:rPr>
        <w:t>. 试验与检验</w:t>
      </w:r>
      <w:bookmarkEnd w:id="270"/>
    </w:p>
    <w:bookmarkEnd w:id="271"/>
    <w:p w14:paraId="67D80160">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274" w:name="_Toc351203563"/>
      <w:r>
        <w:rPr>
          <w:rFonts w:hint="eastAsia" w:ascii="方正仿宋_GB2312" w:hAnsi="方正仿宋_GB2312" w:eastAsia="方正仿宋_GB2312" w:cs="方正仿宋_GB2312"/>
          <w:b w:val="0"/>
          <w:color w:val="000000"/>
          <w:sz w:val="24"/>
          <w:szCs w:val="24"/>
          <w:highlight w:val="none"/>
        </w:rPr>
        <w:t>9</w:t>
      </w:r>
      <w:bookmarkStart w:id="275" w:name="_Toc337558783"/>
      <w:r>
        <w:rPr>
          <w:rFonts w:hint="eastAsia" w:ascii="方正仿宋_GB2312" w:hAnsi="方正仿宋_GB2312" w:eastAsia="方正仿宋_GB2312" w:cs="方正仿宋_GB2312"/>
          <w:b w:val="0"/>
          <w:color w:val="000000"/>
          <w:sz w:val="24"/>
          <w:szCs w:val="24"/>
          <w:highlight w:val="none"/>
        </w:rPr>
        <w:t>.1试验设备与试验人员</w:t>
      </w:r>
      <w:bookmarkEnd w:id="274"/>
    </w:p>
    <w:bookmarkEnd w:id="275"/>
    <w:p w14:paraId="70C37363">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46C981B4">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9.1.2 承包人应按专用合同条款的约定提供试验设备、取样装置、试验场所和试验条件，并向监理人提交相应进场计划表。</w:t>
      </w:r>
    </w:p>
    <w:p w14:paraId="0ACE6263">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承包人配置的试验设备要符合相应试验规程的要求并经过具有资质的检测单位检测，且在正式使用该试验设备前，需要经过监理人与承包人共同校定。</w:t>
      </w:r>
    </w:p>
    <w:p w14:paraId="65E5D7C4">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9.1.3 承包人应向监理人提交试验人员的名单及其岗位、资格等证明资料，试验人员必须能够熟练进行相应的检测试验，承包人对试验人员的试验程序和试验结果的正确性负责。</w:t>
      </w:r>
    </w:p>
    <w:p w14:paraId="34A39AEE">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276" w:name="_Toc351203564"/>
      <w:r>
        <w:rPr>
          <w:rFonts w:hint="eastAsia" w:ascii="方正仿宋_GB2312" w:hAnsi="方正仿宋_GB2312" w:eastAsia="方正仿宋_GB2312" w:cs="方正仿宋_GB2312"/>
          <w:b w:val="0"/>
          <w:color w:val="000000"/>
          <w:sz w:val="24"/>
          <w:szCs w:val="24"/>
          <w:highlight w:val="none"/>
        </w:rPr>
        <w:t>9</w:t>
      </w:r>
      <w:bookmarkStart w:id="277" w:name="_Toc337558784"/>
      <w:r>
        <w:rPr>
          <w:rFonts w:hint="eastAsia" w:ascii="方正仿宋_GB2312" w:hAnsi="方正仿宋_GB2312" w:eastAsia="方正仿宋_GB2312" w:cs="方正仿宋_GB2312"/>
          <w:b w:val="0"/>
          <w:color w:val="000000"/>
          <w:sz w:val="24"/>
          <w:szCs w:val="24"/>
          <w:highlight w:val="none"/>
        </w:rPr>
        <w:t>.2取样</w:t>
      </w:r>
      <w:bookmarkEnd w:id="276"/>
    </w:p>
    <w:bookmarkEnd w:id="277"/>
    <w:p w14:paraId="740F3B10">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试验属于自检性质的，承包人可以单独取样。试验属于监理人抽检性质的，可由监理人取样，也可由承包人的试验人员在监理人的监督下取样。</w:t>
      </w:r>
    </w:p>
    <w:p w14:paraId="6467E335">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278" w:name="_Toc351203565"/>
      <w:r>
        <w:rPr>
          <w:rFonts w:hint="eastAsia" w:ascii="方正仿宋_GB2312" w:hAnsi="方正仿宋_GB2312" w:eastAsia="方正仿宋_GB2312" w:cs="方正仿宋_GB2312"/>
          <w:b w:val="0"/>
          <w:color w:val="000000"/>
          <w:sz w:val="24"/>
          <w:szCs w:val="24"/>
          <w:highlight w:val="none"/>
        </w:rPr>
        <w:t>9</w:t>
      </w:r>
      <w:bookmarkStart w:id="279" w:name="_Toc337558785"/>
      <w:r>
        <w:rPr>
          <w:rFonts w:hint="eastAsia" w:ascii="方正仿宋_GB2312" w:hAnsi="方正仿宋_GB2312" w:eastAsia="方正仿宋_GB2312" w:cs="方正仿宋_GB2312"/>
          <w:b w:val="0"/>
          <w:color w:val="000000"/>
          <w:sz w:val="24"/>
          <w:szCs w:val="24"/>
          <w:highlight w:val="none"/>
        </w:rPr>
        <w:t>.3材料、工程设备和工程的试验和检验</w:t>
      </w:r>
      <w:bookmarkEnd w:id="278"/>
    </w:p>
    <w:bookmarkEnd w:id="279"/>
    <w:p w14:paraId="76D22745">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7C97C4F3">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4785543D">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49CCF74E">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280" w:name="_Toc351203566"/>
      <w:r>
        <w:rPr>
          <w:rFonts w:hint="eastAsia" w:ascii="方正仿宋_GB2312" w:hAnsi="方正仿宋_GB2312" w:eastAsia="方正仿宋_GB2312" w:cs="方正仿宋_GB2312"/>
          <w:b w:val="0"/>
          <w:color w:val="000000"/>
          <w:sz w:val="24"/>
          <w:szCs w:val="24"/>
          <w:highlight w:val="none"/>
        </w:rPr>
        <w:t>9</w:t>
      </w:r>
      <w:bookmarkStart w:id="281" w:name="_Toc337558786"/>
      <w:r>
        <w:rPr>
          <w:rFonts w:hint="eastAsia" w:ascii="方正仿宋_GB2312" w:hAnsi="方正仿宋_GB2312" w:eastAsia="方正仿宋_GB2312" w:cs="方正仿宋_GB2312"/>
          <w:b w:val="0"/>
          <w:color w:val="000000"/>
          <w:sz w:val="24"/>
          <w:szCs w:val="24"/>
          <w:highlight w:val="none"/>
        </w:rPr>
        <w:t>.4现场工艺试验</w:t>
      </w:r>
      <w:bookmarkEnd w:id="280"/>
    </w:p>
    <w:bookmarkEnd w:id="281"/>
    <w:p w14:paraId="63F63FEB">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73AF2079">
      <w:pPr>
        <w:pStyle w:val="5"/>
        <w:spacing w:before="120" w:after="120" w:line="360" w:lineRule="exact"/>
        <w:rPr>
          <w:rFonts w:hint="eastAsia" w:ascii="方正仿宋_GB2312" w:hAnsi="方正仿宋_GB2312" w:eastAsia="方正仿宋_GB2312" w:cs="方正仿宋_GB2312"/>
          <w:b/>
          <w:bCs/>
          <w:color w:val="000000"/>
          <w:sz w:val="24"/>
          <w:szCs w:val="24"/>
          <w:highlight w:val="none"/>
        </w:rPr>
      </w:pPr>
      <w:bookmarkStart w:id="282" w:name="_Toc351203567"/>
      <w:r>
        <w:rPr>
          <w:rFonts w:hint="eastAsia" w:ascii="方正仿宋_GB2312" w:hAnsi="方正仿宋_GB2312" w:eastAsia="方正仿宋_GB2312" w:cs="方正仿宋_GB2312"/>
          <w:b/>
          <w:bCs/>
          <w:color w:val="000000"/>
          <w:sz w:val="24"/>
          <w:szCs w:val="24"/>
          <w:highlight w:val="none"/>
        </w:rPr>
        <w:t>1</w:t>
      </w:r>
      <w:bookmarkStart w:id="283" w:name="_Toc337558787"/>
      <w:r>
        <w:rPr>
          <w:rFonts w:hint="eastAsia" w:ascii="方正仿宋_GB2312" w:hAnsi="方正仿宋_GB2312" w:eastAsia="方正仿宋_GB2312" w:cs="方正仿宋_GB2312"/>
          <w:b/>
          <w:bCs/>
          <w:color w:val="000000"/>
          <w:sz w:val="24"/>
          <w:szCs w:val="24"/>
          <w:highlight w:val="none"/>
        </w:rPr>
        <w:t>0. 变更</w:t>
      </w:r>
      <w:bookmarkEnd w:id="272"/>
      <w:bookmarkEnd w:id="273"/>
      <w:bookmarkEnd w:id="282"/>
    </w:p>
    <w:bookmarkEnd w:id="283"/>
    <w:p w14:paraId="7BDCE32F">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284" w:name="_Toc351203568"/>
      <w:r>
        <w:rPr>
          <w:rFonts w:hint="eastAsia" w:ascii="方正仿宋_GB2312" w:hAnsi="方正仿宋_GB2312" w:eastAsia="方正仿宋_GB2312" w:cs="方正仿宋_GB2312"/>
          <w:b w:val="0"/>
          <w:color w:val="000000"/>
          <w:sz w:val="24"/>
          <w:szCs w:val="24"/>
          <w:highlight w:val="none"/>
        </w:rPr>
        <w:t>1</w:t>
      </w:r>
      <w:bookmarkStart w:id="285" w:name="_Toc296503084"/>
      <w:bookmarkStart w:id="286" w:name="_Toc296346585"/>
      <w:bookmarkStart w:id="287" w:name="_Toc337558788"/>
      <w:r>
        <w:rPr>
          <w:rFonts w:hint="eastAsia" w:ascii="方正仿宋_GB2312" w:hAnsi="方正仿宋_GB2312" w:eastAsia="方正仿宋_GB2312" w:cs="方正仿宋_GB2312"/>
          <w:b w:val="0"/>
          <w:color w:val="000000"/>
          <w:sz w:val="24"/>
          <w:szCs w:val="24"/>
          <w:highlight w:val="none"/>
        </w:rPr>
        <w:t>0.1变更的范围</w:t>
      </w:r>
      <w:bookmarkEnd w:id="284"/>
    </w:p>
    <w:bookmarkEnd w:id="285"/>
    <w:bookmarkEnd w:id="286"/>
    <w:bookmarkEnd w:id="287"/>
    <w:p w14:paraId="54B3BDEF">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除专用合同条款另有约定外，合同履行过程中发生以下情形的，应按照本条约定进行变更：</w:t>
      </w:r>
    </w:p>
    <w:p w14:paraId="44CEB201">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（1）增加或减少合同中任何工作，或追加额外的工作；</w:t>
      </w:r>
    </w:p>
    <w:p w14:paraId="09AC0D75">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（2）取消合同中任何工作，但转由他人实施的工作除外；</w:t>
      </w:r>
    </w:p>
    <w:p w14:paraId="25ABF969">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（3）改变合同中任何工作的质量标准或其他特性；</w:t>
      </w:r>
    </w:p>
    <w:p w14:paraId="0E80E65F">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（4）改变工程的基线、标高、位置和尺寸；</w:t>
      </w:r>
    </w:p>
    <w:p w14:paraId="358D3D7C">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（5）改变工程的时间安排或实施顺序。</w:t>
      </w:r>
    </w:p>
    <w:p w14:paraId="595DBF4B">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288" w:name="_Toc351203569"/>
      <w:r>
        <w:rPr>
          <w:rFonts w:hint="eastAsia" w:ascii="方正仿宋_GB2312" w:hAnsi="方正仿宋_GB2312" w:eastAsia="方正仿宋_GB2312" w:cs="方正仿宋_GB2312"/>
          <w:b w:val="0"/>
          <w:color w:val="000000"/>
          <w:sz w:val="24"/>
          <w:szCs w:val="24"/>
          <w:highlight w:val="none"/>
        </w:rPr>
        <w:t>1</w:t>
      </w:r>
      <w:bookmarkStart w:id="289" w:name="_Toc337558789"/>
      <w:bookmarkStart w:id="290" w:name="_Toc296346586"/>
      <w:bookmarkStart w:id="291" w:name="_Toc296503085"/>
      <w:r>
        <w:rPr>
          <w:rFonts w:hint="eastAsia" w:ascii="方正仿宋_GB2312" w:hAnsi="方正仿宋_GB2312" w:eastAsia="方正仿宋_GB2312" w:cs="方正仿宋_GB2312"/>
          <w:b w:val="0"/>
          <w:color w:val="000000"/>
          <w:sz w:val="24"/>
          <w:szCs w:val="24"/>
          <w:highlight w:val="none"/>
        </w:rPr>
        <w:t>0.2变更权</w:t>
      </w:r>
      <w:bookmarkEnd w:id="288"/>
    </w:p>
    <w:bookmarkEnd w:id="289"/>
    <w:bookmarkEnd w:id="290"/>
    <w:bookmarkEnd w:id="291"/>
    <w:p w14:paraId="3FA57E66">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0A002258">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涉及设计变更的，应由设计人提供变更后的图纸和说明。如变更超过原设计标准或批准的建设规模时，发包人应及时办理规划、设计变更等审批手续。</w:t>
      </w:r>
    </w:p>
    <w:p w14:paraId="59E5B497">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292" w:name="_Toc351203570"/>
      <w:r>
        <w:rPr>
          <w:rFonts w:hint="eastAsia" w:ascii="方正仿宋_GB2312" w:hAnsi="方正仿宋_GB2312" w:eastAsia="方正仿宋_GB2312" w:cs="方正仿宋_GB2312"/>
          <w:b w:val="0"/>
          <w:color w:val="000000"/>
          <w:sz w:val="24"/>
          <w:szCs w:val="24"/>
          <w:highlight w:val="none"/>
        </w:rPr>
        <w:t>1</w:t>
      </w:r>
      <w:bookmarkStart w:id="293" w:name="_Toc296346587"/>
      <w:bookmarkStart w:id="294" w:name="_Toc337558790"/>
      <w:bookmarkStart w:id="295" w:name="_Toc296503086"/>
      <w:r>
        <w:rPr>
          <w:rFonts w:hint="eastAsia" w:ascii="方正仿宋_GB2312" w:hAnsi="方正仿宋_GB2312" w:eastAsia="方正仿宋_GB2312" w:cs="方正仿宋_GB2312"/>
          <w:b w:val="0"/>
          <w:color w:val="000000"/>
          <w:sz w:val="24"/>
          <w:szCs w:val="24"/>
          <w:highlight w:val="none"/>
        </w:rPr>
        <w:t>0.3变更程序</w:t>
      </w:r>
      <w:bookmarkEnd w:id="292"/>
    </w:p>
    <w:bookmarkEnd w:id="293"/>
    <w:bookmarkEnd w:id="294"/>
    <w:bookmarkEnd w:id="295"/>
    <w:p w14:paraId="0D3FFD1D">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sz w:val="24"/>
          <w:szCs w:val="24"/>
          <w:highlight w:val="none"/>
        </w:rPr>
        <w:t>10</w:t>
      </w:r>
      <w:r>
        <w:rPr>
          <w:rFonts w:hint="eastAsia" w:ascii="方正仿宋_GB2312" w:hAnsi="方正仿宋_GB2312" w:eastAsia="方正仿宋_GB2312" w:cs="方正仿宋_GB2312"/>
          <w:color w:val="000000"/>
          <w:kern w:val="0"/>
          <w:sz w:val="24"/>
          <w:szCs w:val="24"/>
          <w:highlight w:val="none"/>
        </w:rPr>
        <w:t>.3.1 发包人提出变更</w:t>
      </w:r>
    </w:p>
    <w:p w14:paraId="7CD2C7E8">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发包人提出变更的，应通过监理人向承包人发出变更指示，变更指示应说明计划变更的工程范围和变更的内容。</w:t>
      </w:r>
    </w:p>
    <w:p w14:paraId="5F7D2F4D">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sz w:val="24"/>
          <w:szCs w:val="24"/>
          <w:highlight w:val="none"/>
        </w:rPr>
        <w:t>10</w:t>
      </w:r>
      <w:r>
        <w:rPr>
          <w:rFonts w:hint="eastAsia" w:ascii="方正仿宋_GB2312" w:hAnsi="方正仿宋_GB2312" w:eastAsia="方正仿宋_GB2312" w:cs="方正仿宋_GB2312"/>
          <w:color w:val="000000"/>
          <w:kern w:val="0"/>
          <w:sz w:val="24"/>
          <w:szCs w:val="24"/>
          <w:highlight w:val="none"/>
        </w:rPr>
        <w:t>.3.2 监理人提出变更建议</w:t>
      </w:r>
    </w:p>
    <w:p w14:paraId="39F11CB9">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2CE24061">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10.3.3 变更执行</w:t>
      </w:r>
    </w:p>
    <w:p w14:paraId="70E2838F">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0237BE09">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296" w:name="_Toc351203571"/>
      <w:r>
        <w:rPr>
          <w:rFonts w:hint="eastAsia" w:ascii="方正仿宋_GB2312" w:hAnsi="方正仿宋_GB2312" w:eastAsia="方正仿宋_GB2312" w:cs="方正仿宋_GB2312"/>
          <w:b w:val="0"/>
          <w:color w:val="000000"/>
          <w:sz w:val="24"/>
          <w:szCs w:val="24"/>
          <w:highlight w:val="none"/>
        </w:rPr>
        <w:t>1</w:t>
      </w:r>
      <w:bookmarkStart w:id="297" w:name="_Toc337558791"/>
      <w:bookmarkStart w:id="298" w:name="_Toc296503087"/>
      <w:bookmarkStart w:id="299" w:name="_Toc296346588"/>
      <w:r>
        <w:rPr>
          <w:rFonts w:hint="eastAsia" w:ascii="方正仿宋_GB2312" w:hAnsi="方正仿宋_GB2312" w:eastAsia="方正仿宋_GB2312" w:cs="方正仿宋_GB2312"/>
          <w:b w:val="0"/>
          <w:color w:val="000000"/>
          <w:sz w:val="24"/>
          <w:szCs w:val="24"/>
          <w:highlight w:val="none"/>
        </w:rPr>
        <w:t>0.4变更估价</w:t>
      </w:r>
      <w:bookmarkEnd w:id="296"/>
    </w:p>
    <w:bookmarkEnd w:id="297"/>
    <w:bookmarkEnd w:id="298"/>
    <w:bookmarkEnd w:id="299"/>
    <w:p w14:paraId="5354B595">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10.4.1 变更估价原则</w:t>
      </w:r>
    </w:p>
    <w:p w14:paraId="6470C9BB">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除专用合同条款另有约定外，变更估价按照本款约定处理：</w:t>
      </w:r>
    </w:p>
    <w:p w14:paraId="0641F29B">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（1）已标价工程量清单或预算书有相同项目的，按照相同项目单价认定；</w:t>
      </w:r>
    </w:p>
    <w:p w14:paraId="2CC73E92">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（2）已标价工程量清单或预算书中无相同项目，但有类似项目的，参照类似项目的单价认定；</w:t>
      </w:r>
    </w:p>
    <w:p w14:paraId="48918F0F">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0F40DA40">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10.4.2 变更估价程序</w:t>
      </w:r>
    </w:p>
    <w:p w14:paraId="7D9936B8">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194CCD7C">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因变更引起的价格调整应计入最近一期的进度款中支付。</w:t>
      </w:r>
    </w:p>
    <w:p w14:paraId="33730A5F">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300" w:name="_Toc351203572"/>
      <w:r>
        <w:rPr>
          <w:rFonts w:hint="eastAsia" w:ascii="方正仿宋_GB2312" w:hAnsi="方正仿宋_GB2312" w:eastAsia="方正仿宋_GB2312" w:cs="方正仿宋_GB2312"/>
          <w:b w:val="0"/>
          <w:color w:val="000000"/>
          <w:sz w:val="24"/>
          <w:szCs w:val="24"/>
          <w:highlight w:val="none"/>
        </w:rPr>
        <w:t>1</w:t>
      </w:r>
      <w:bookmarkStart w:id="301" w:name="_Toc296346595"/>
      <w:bookmarkStart w:id="302" w:name="_Toc337558792"/>
      <w:bookmarkStart w:id="303" w:name="_Toc296503094"/>
      <w:r>
        <w:rPr>
          <w:rFonts w:hint="eastAsia" w:ascii="方正仿宋_GB2312" w:hAnsi="方正仿宋_GB2312" w:eastAsia="方正仿宋_GB2312" w:cs="方正仿宋_GB2312"/>
          <w:b w:val="0"/>
          <w:color w:val="000000"/>
          <w:sz w:val="24"/>
          <w:szCs w:val="24"/>
          <w:highlight w:val="none"/>
        </w:rPr>
        <w:t>0.5承包人的合理化建议</w:t>
      </w:r>
      <w:bookmarkEnd w:id="300"/>
    </w:p>
    <w:bookmarkEnd w:id="301"/>
    <w:bookmarkEnd w:id="302"/>
    <w:bookmarkEnd w:id="303"/>
    <w:p w14:paraId="62A0DA49">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承包人提出合理化建议的，应向监理人提交合理化建议说明，说明建议的内容和理由，以及实施该建议对合同价格和工期的影响。</w:t>
      </w:r>
    </w:p>
    <w:p w14:paraId="63C90D75">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00E68AAC">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合理化建议降低了合同价格或者提高了工程经济效益的，发包人可对承包人给予奖励，奖励的方法和金额在专用合同条款中约定。</w:t>
      </w:r>
    </w:p>
    <w:p w14:paraId="566F37BA">
      <w:pPr>
        <w:pStyle w:val="6"/>
        <w:spacing w:before="120" w:after="120" w:line="360" w:lineRule="exact"/>
        <w:ind w:firstLine="480" w:firstLineChars="200"/>
        <w:rPr>
          <w:rFonts w:hint="eastAsia" w:ascii="方正仿宋_GB2312" w:hAnsi="方正仿宋_GB2312" w:eastAsia="方正仿宋_GB2312" w:cs="方正仿宋_GB2312"/>
          <w:color w:val="000000"/>
          <w:sz w:val="24"/>
          <w:szCs w:val="24"/>
          <w:highlight w:val="none"/>
        </w:rPr>
      </w:pPr>
      <w:bookmarkStart w:id="304" w:name="_Toc351203573"/>
      <w:r>
        <w:rPr>
          <w:rFonts w:hint="eastAsia" w:ascii="方正仿宋_GB2312" w:hAnsi="方正仿宋_GB2312" w:eastAsia="方正仿宋_GB2312" w:cs="方正仿宋_GB2312"/>
          <w:b w:val="0"/>
          <w:color w:val="000000"/>
          <w:sz w:val="24"/>
          <w:szCs w:val="24"/>
          <w:highlight w:val="none"/>
        </w:rPr>
        <w:t>1</w:t>
      </w:r>
      <w:bookmarkStart w:id="305" w:name="_Toc337558793"/>
      <w:r>
        <w:rPr>
          <w:rFonts w:hint="eastAsia" w:ascii="方正仿宋_GB2312" w:hAnsi="方正仿宋_GB2312" w:eastAsia="方正仿宋_GB2312" w:cs="方正仿宋_GB2312"/>
          <w:b w:val="0"/>
          <w:color w:val="000000"/>
          <w:sz w:val="24"/>
          <w:szCs w:val="24"/>
          <w:highlight w:val="none"/>
        </w:rPr>
        <w:t>0.6变更引起的工期调整</w:t>
      </w:r>
      <w:bookmarkEnd w:id="304"/>
      <w:r>
        <w:rPr>
          <w:rFonts w:hint="eastAsia" w:ascii="方正仿宋_GB2312" w:hAnsi="方正仿宋_GB2312" w:eastAsia="方正仿宋_GB2312" w:cs="方正仿宋_GB2312"/>
          <w:b w:val="0"/>
          <w:color w:val="000000"/>
          <w:sz w:val="24"/>
          <w:szCs w:val="24"/>
          <w:highlight w:val="none"/>
        </w:rPr>
        <w:t xml:space="preserve"> </w:t>
      </w:r>
      <w:bookmarkEnd w:id="305"/>
      <w:r>
        <w:rPr>
          <w:rFonts w:hint="eastAsia" w:ascii="方正仿宋_GB2312" w:hAnsi="方正仿宋_GB2312" w:eastAsia="方正仿宋_GB2312" w:cs="方正仿宋_GB2312"/>
          <w:b w:val="0"/>
          <w:color w:val="000000"/>
          <w:sz w:val="24"/>
          <w:szCs w:val="24"/>
          <w:highlight w:val="none"/>
        </w:rPr>
        <w:t xml:space="preserve"> </w:t>
      </w:r>
      <w:r>
        <w:rPr>
          <w:rFonts w:hint="eastAsia" w:ascii="方正仿宋_GB2312" w:hAnsi="方正仿宋_GB2312" w:eastAsia="方正仿宋_GB2312" w:cs="方正仿宋_GB2312"/>
          <w:color w:val="000000"/>
          <w:sz w:val="24"/>
          <w:szCs w:val="24"/>
          <w:highlight w:val="none"/>
        </w:rPr>
        <w:t xml:space="preserve"> </w:t>
      </w:r>
    </w:p>
    <w:p w14:paraId="6DE2DB51">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因变更引起工期变化的，合同当事人均可要求调整合同工期，由合同当事人按照第4.4款〔商定或确定〕并参考工程所在地的工期定额标准确定增减工期天数。</w:t>
      </w:r>
    </w:p>
    <w:p w14:paraId="36E0DD32">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306" w:name="_Toc351203574"/>
      <w:r>
        <w:rPr>
          <w:rFonts w:hint="eastAsia" w:ascii="方正仿宋_GB2312" w:hAnsi="方正仿宋_GB2312" w:eastAsia="方正仿宋_GB2312" w:cs="方正仿宋_GB2312"/>
          <w:b w:val="0"/>
          <w:color w:val="000000"/>
          <w:sz w:val="24"/>
          <w:szCs w:val="24"/>
          <w:highlight w:val="none"/>
        </w:rPr>
        <w:t>10.7暂估价</w:t>
      </w:r>
      <w:bookmarkEnd w:id="306"/>
    </w:p>
    <w:p w14:paraId="1AC7DCD9">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暂估价专业分包工程、服务、材料和工程设备的明细由合同当事人在专用合同条款中约定。</w:t>
      </w:r>
    </w:p>
    <w:p w14:paraId="597B6B5E">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sz w:val="24"/>
          <w:szCs w:val="24"/>
          <w:highlight w:val="none"/>
        </w:rPr>
        <w:t>10.7.1</w:t>
      </w:r>
      <w:r>
        <w:rPr>
          <w:rFonts w:hint="eastAsia" w:ascii="方正仿宋_GB2312" w:hAnsi="方正仿宋_GB2312" w:eastAsia="方正仿宋_GB2312" w:cs="方正仿宋_GB2312"/>
          <w:color w:val="000000"/>
          <w:kern w:val="0"/>
          <w:sz w:val="24"/>
          <w:szCs w:val="24"/>
          <w:highlight w:val="none"/>
        </w:rPr>
        <w:t xml:space="preserve"> 依法必须招标的暂估价项目</w:t>
      </w:r>
    </w:p>
    <w:p w14:paraId="5950CF13">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对于依法必须招标的暂估价项目，采取以下第1种方式确定。合同当事人也可以在专用合同条款中选择其他招标方式。</w:t>
      </w:r>
    </w:p>
    <w:p w14:paraId="3F42AA59">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第1种方式：对于依法必须招标的暂估价项目，由承包人招标，对该暂估价项目的确认和批准按照以下约定执行：</w:t>
      </w:r>
    </w:p>
    <w:p w14:paraId="4B39598B">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201F4D51">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6A52F0B6">
      <w:pPr>
        <w:spacing w:line="360" w:lineRule="exact"/>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3F055B70">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4FAF4586">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sz w:val="24"/>
          <w:szCs w:val="24"/>
          <w:highlight w:val="none"/>
        </w:rPr>
        <w:t>10.7.2</w:t>
      </w:r>
      <w:r>
        <w:rPr>
          <w:rFonts w:hint="eastAsia" w:ascii="方正仿宋_GB2312" w:hAnsi="方正仿宋_GB2312" w:eastAsia="方正仿宋_GB2312" w:cs="方正仿宋_GB2312"/>
          <w:color w:val="000000"/>
          <w:kern w:val="0"/>
          <w:sz w:val="24"/>
          <w:szCs w:val="24"/>
          <w:highlight w:val="none"/>
        </w:rPr>
        <w:t>不属于依法必须招标的暂估价项目</w:t>
      </w:r>
    </w:p>
    <w:p w14:paraId="4B3C6E1B">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 xml:space="preserve">除专用合同条款另有约定外，对于不属于依法必须招标的暂估价项目，采取以下第1种方式确定： </w:t>
      </w:r>
    </w:p>
    <w:p w14:paraId="20951131">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第1种方式：对于不属于依法必须招标的暂估价项目，按本项约定确认和批准：</w:t>
      </w:r>
    </w:p>
    <w:p w14:paraId="247576C3">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2E5B16C2">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（2）发包人认为承包人确定的供应商、分包人无法满足工程质量或合同要求的，发包人可以要求承包人重新确定暂估价项目的供应商、分包人;</w:t>
      </w:r>
    </w:p>
    <w:p w14:paraId="3EA3B09E">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（3）承包人应当在签订暂估价合同后7天内，将暂估价合同副本报送发包人留存。</w:t>
      </w:r>
    </w:p>
    <w:p w14:paraId="6F2A2B24">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第2种方式：承包人按照第10.7.1项〔依法必须招标的暂估价项目〕约定的第1种方式确定暂估价项目。</w:t>
      </w:r>
    </w:p>
    <w:p w14:paraId="7ABA2FCA">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sz w:val="24"/>
          <w:szCs w:val="24"/>
          <w:highlight w:val="none"/>
        </w:rPr>
        <w:t>第3种方式：</w:t>
      </w:r>
      <w:r>
        <w:rPr>
          <w:rFonts w:hint="eastAsia" w:ascii="方正仿宋_GB2312" w:hAnsi="方正仿宋_GB2312" w:eastAsia="方正仿宋_GB2312" w:cs="方正仿宋_GB2312"/>
          <w:color w:val="000000"/>
          <w:kern w:val="0"/>
          <w:sz w:val="24"/>
          <w:szCs w:val="24"/>
          <w:highlight w:val="none"/>
        </w:rPr>
        <w:t>承包人直接实施的暂估价项目</w:t>
      </w:r>
    </w:p>
    <w:p w14:paraId="095DE654">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承包人具备实施暂估价项目的资格和条件的，经发包人和承包人协商一致后，可由承包人自行实施暂估价项目，合同当事人可以在专用合同条款约定具体事项。</w:t>
      </w:r>
    </w:p>
    <w:p w14:paraId="51A9C4D6">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7A6F5DBD">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307" w:name="_Toc351203575"/>
      <w:r>
        <w:rPr>
          <w:rFonts w:hint="eastAsia" w:ascii="方正仿宋_GB2312" w:hAnsi="方正仿宋_GB2312" w:eastAsia="方正仿宋_GB2312" w:cs="方正仿宋_GB2312"/>
          <w:b w:val="0"/>
          <w:color w:val="000000"/>
          <w:sz w:val="24"/>
          <w:szCs w:val="24"/>
          <w:highlight w:val="none"/>
        </w:rPr>
        <w:t>1</w:t>
      </w:r>
      <w:bookmarkStart w:id="308" w:name="_Toc337558794"/>
      <w:bookmarkStart w:id="309" w:name="_Toc322522561"/>
      <w:bookmarkStart w:id="310" w:name="_Toc296503090"/>
      <w:bookmarkStart w:id="311" w:name="_Toc296346591"/>
      <w:r>
        <w:rPr>
          <w:rFonts w:hint="eastAsia" w:ascii="方正仿宋_GB2312" w:hAnsi="方正仿宋_GB2312" w:eastAsia="方正仿宋_GB2312" w:cs="方正仿宋_GB2312"/>
          <w:b w:val="0"/>
          <w:color w:val="000000"/>
          <w:sz w:val="24"/>
          <w:szCs w:val="24"/>
          <w:highlight w:val="none"/>
        </w:rPr>
        <w:t>0.8暂列金额</w:t>
      </w:r>
      <w:bookmarkEnd w:id="307"/>
    </w:p>
    <w:bookmarkEnd w:id="308"/>
    <w:p w14:paraId="030BAF0F">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暂列金额应按照发包人的要求使用，发包人的要求应通过监理人发出。合同当事人可以在专用合同条款中协商确定有关事项。</w:t>
      </w:r>
    </w:p>
    <w:bookmarkEnd w:id="309"/>
    <w:bookmarkEnd w:id="310"/>
    <w:bookmarkEnd w:id="311"/>
    <w:p w14:paraId="41A2FA85">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312" w:name="_Toc351203576"/>
      <w:r>
        <w:rPr>
          <w:rFonts w:hint="eastAsia" w:ascii="方正仿宋_GB2312" w:hAnsi="方正仿宋_GB2312" w:eastAsia="方正仿宋_GB2312" w:cs="方正仿宋_GB2312"/>
          <w:b w:val="0"/>
          <w:color w:val="000000"/>
          <w:sz w:val="24"/>
          <w:szCs w:val="24"/>
          <w:highlight w:val="none"/>
        </w:rPr>
        <w:t>1</w:t>
      </w:r>
      <w:bookmarkStart w:id="313" w:name="_Toc296503091"/>
      <w:bookmarkStart w:id="314" w:name="_Toc296346592"/>
      <w:bookmarkStart w:id="315" w:name="_Toc337558796"/>
      <w:r>
        <w:rPr>
          <w:rFonts w:hint="eastAsia" w:ascii="方正仿宋_GB2312" w:hAnsi="方正仿宋_GB2312" w:eastAsia="方正仿宋_GB2312" w:cs="方正仿宋_GB2312"/>
          <w:b w:val="0"/>
          <w:color w:val="000000"/>
          <w:sz w:val="24"/>
          <w:szCs w:val="24"/>
          <w:highlight w:val="none"/>
        </w:rPr>
        <w:t>0.9计日工</w:t>
      </w:r>
      <w:bookmarkEnd w:id="312"/>
      <w:r>
        <w:rPr>
          <w:rFonts w:hint="eastAsia" w:ascii="方正仿宋_GB2312" w:hAnsi="方正仿宋_GB2312" w:eastAsia="方正仿宋_GB2312" w:cs="方正仿宋_GB2312"/>
          <w:b w:val="0"/>
          <w:color w:val="000000"/>
          <w:sz w:val="24"/>
          <w:szCs w:val="24"/>
          <w:highlight w:val="none"/>
        </w:rPr>
        <w:t xml:space="preserve"> </w:t>
      </w:r>
      <w:bookmarkEnd w:id="313"/>
      <w:bookmarkEnd w:id="314"/>
      <w:bookmarkEnd w:id="315"/>
    </w:p>
    <w:p w14:paraId="31FFA9A1">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4A873143">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采用计日工计价的任何一项工作，承包人应在该项工作实施过程中，每天提交以下报表和有关凭证报送监理人审查：</w:t>
      </w:r>
    </w:p>
    <w:p w14:paraId="1E3B39B0">
      <w:pPr>
        <w:spacing w:line="360" w:lineRule="exact"/>
        <w:ind w:firstLine="360" w:firstLineChars="15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（1）工作名称、内容和数量；</w:t>
      </w:r>
    </w:p>
    <w:p w14:paraId="5318A443">
      <w:pPr>
        <w:spacing w:line="360" w:lineRule="exact"/>
        <w:ind w:firstLine="360" w:firstLineChars="15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（2）投入该工作的所有人员的姓名、专业、工种、级别和耗用工时；</w:t>
      </w:r>
    </w:p>
    <w:p w14:paraId="13E8135E">
      <w:pPr>
        <w:spacing w:line="360" w:lineRule="exact"/>
        <w:ind w:firstLine="360" w:firstLineChars="15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（3）投入该工作的材料类别和数量；</w:t>
      </w:r>
    </w:p>
    <w:p w14:paraId="4DD1995A">
      <w:pPr>
        <w:spacing w:line="360" w:lineRule="exact"/>
        <w:ind w:firstLine="360" w:firstLineChars="15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（4）投入该工作的施工设备型号、台数和耗用台时；</w:t>
      </w:r>
    </w:p>
    <w:p w14:paraId="0E4FA06B">
      <w:pPr>
        <w:spacing w:line="360" w:lineRule="exact"/>
        <w:ind w:firstLine="360" w:firstLineChars="15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（5）其他有关资料和凭证。</w:t>
      </w:r>
    </w:p>
    <w:p w14:paraId="10803CA9">
      <w:pPr>
        <w:spacing w:line="360" w:lineRule="exact"/>
        <w:ind w:firstLine="360" w:firstLineChars="15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 xml:space="preserve"> 计日工由承包人汇总后，列入最近一期进度付款申请单，由监理人审查并经发包人批准后列入进度付款。</w:t>
      </w:r>
    </w:p>
    <w:p w14:paraId="02B11858">
      <w:pPr>
        <w:pStyle w:val="5"/>
        <w:spacing w:before="120" w:after="120" w:line="360" w:lineRule="exact"/>
        <w:rPr>
          <w:rFonts w:hint="eastAsia" w:ascii="方正仿宋_GB2312" w:hAnsi="方正仿宋_GB2312" w:eastAsia="方正仿宋_GB2312" w:cs="方正仿宋_GB2312"/>
          <w:b/>
          <w:bCs/>
          <w:color w:val="000000"/>
          <w:sz w:val="24"/>
          <w:szCs w:val="24"/>
          <w:highlight w:val="none"/>
        </w:rPr>
      </w:pPr>
      <w:bookmarkStart w:id="316" w:name="_Toc351203577"/>
      <w:r>
        <w:rPr>
          <w:rFonts w:hint="eastAsia" w:ascii="方正仿宋_GB2312" w:hAnsi="方正仿宋_GB2312" w:eastAsia="方正仿宋_GB2312" w:cs="方正仿宋_GB2312"/>
          <w:b/>
          <w:bCs/>
          <w:color w:val="000000"/>
          <w:sz w:val="24"/>
          <w:szCs w:val="24"/>
          <w:highlight w:val="none"/>
        </w:rPr>
        <w:t>11. 价格调整</w:t>
      </w:r>
      <w:bookmarkEnd w:id="316"/>
    </w:p>
    <w:p w14:paraId="5F8B81E0">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317" w:name="_Toc351203578"/>
      <w:bookmarkStart w:id="318" w:name="_Toc296346593"/>
      <w:bookmarkStart w:id="319" w:name="_Toc337558797"/>
      <w:bookmarkStart w:id="320" w:name="_Toc296503092"/>
      <w:r>
        <w:rPr>
          <w:rFonts w:hint="eastAsia" w:ascii="方正仿宋_GB2312" w:hAnsi="方正仿宋_GB2312" w:eastAsia="方正仿宋_GB2312" w:cs="方正仿宋_GB2312"/>
          <w:b w:val="0"/>
          <w:color w:val="000000"/>
          <w:sz w:val="24"/>
          <w:szCs w:val="24"/>
          <w:highlight w:val="none"/>
        </w:rPr>
        <w:t>11.1市场价格波动引起的调整</w:t>
      </w:r>
      <w:bookmarkEnd w:id="317"/>
    </w:p>
    <w:bookmarkEnd w:id="318"/>
    <w:bookmarkEnd w:id="319"/>
    <w:bookmarkEnd w:id="320"/>
    <w:p w14:paraId="081878F5">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除专用合同条款另有约定外，市场价格波动超过合同当事人约定的范围，合同价格应当调整。合同当事人可以在专用合同条款中约定选择以下一种方式对合同价格进行调整：</w:t>
      </w:r>
    </w:p>
    <w:p w14:paraId="2B6484AD">
      <w:pPr>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第1种方式：采用价格指数进行价格调整。</w:t>
      </w:r>
    </w:p>
    <w:p w14:paraId="2AB2FBA0">
      <w:pPr>
        <w:tabs>
          <w:tab w:val="left" w:pos="0"/>
          <w:tab w:val="left" w:pos="360"/>
          <w:tab w:val="left" w:pos="540"/>
        </w:tabs>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（1）价格调整公式</w:t>
      </w:r>
    </w:p>
    <w:p w14:paraId="6F6EFC49">
      <w:pPr>
        <w:tabs>
          <w:tab w:val="left" w:pos="0"/>
          <w:tab w:val="left" w:pos="360"/>
          <w:tab w:val="left" w:pos="540"/>
        </w:tabs>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因人工、材料和设备等价格波动影响合同价格时，根据专用合同条款中约定的数据，按以下公式计算差额并调整合同价格：</w:t>
      </w:r>
    </w:p>
    <w:p w14:paraId="5E331F05">
      <w:pPr>
        <w:keepNext w:val="0"/>
        <w:keepLines w:val="0"/>
        <w:pageBreakBefore w:val="0"/>
        <w:widowControl w:val="0"/>
        <w:tabs>
          <w:tab w:val="left" w:pos="0"/>
          <w:tab w:val="left" w:pos="360"/>
          <w:tab w:val="left" w:pos="540"/>
        </w:tabs>
        <w:kinsoku/>
        <w:wordWrap/>
        <w:overflowPunct/>
        <w:topLinePunct w:val="0"/>
        <w:autoSpaceDE/>
        <w:autoSpaceDN/>
        <w:bidi w:val="0"/>
        <w:adjustRightInd/>
        <w:snapToGrid/>
        <w:spacing w:line="900" w:lineRule="exact"/>
        <w:ind w:firstLine="480" w:firstLineChars="200"/>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position w:val="-30"/>
          <w:sz w:val="24"/>
          <w:szCs w:val="24"/>
          <w:highlight w:val="none"/>
        </w:rPr>
        <w:object>
          <v:shape id="_x0000_i1025" o:spt="75" type="#_x0000_t75" style="height:43.9pt;width:359.85pt;" o:ole="t" filled="f" o:preferrelative="t" stroked="f" coordsize="21600,21600">
            <v:path/>
            <v:fill on="f" focussize="0,0"/>
            <v:stroke on="f"/>
            <v:imagedata r:id="rId27" embosscolor="#FFFFFF" o:title=""/>
            <o:lock v:ext="edit" grouping="f" rotation="f" text="f" aspectratio="t"/>
            <w10:wrap type="none"/>
            <w10:anchorlock/>
          </v:shape>
          <o:OLEObject Type="Embed" ProgID="Equation.KSEE3" ShapeID="_x0000_i1025" DrawAspect="Content" ObjectID="_1468075725" r:id="rId26">
            <o:LockedField>false</o:LockedField>
          </o:OLEObject>
        </w:object>
      </w:r>
    </w:p>
    <w:p w14:paraId="37E16DB6">
      <w:pPr>
        <w:tabs>
          <w:tab w:val="left" w:pos="0"/>
          <w:tab w:val="left" w:pos="360"/>
          <w:tab w:val="left" w:pos="540"/>
        </w:tabs>
        <w:spacing w:line="360" w:lineRule="exact"/>
        <w:ind w:firstLine="64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公式中：ΔP——需调整的价格差额；</w:t>
      </w:r>
    </w:p>
    <w:p w14:paraId="1B6B06B5">
      <w:pPr>
        <w:tabs>
          <w:tab w:val="left" w:pos="0"/>
          <w:tab w:val="left" w:pos="360"/>
          <w:tab w:val="left" w:pos="540"/>
        </w:tabs>
        <w:spacing w:line="360" w:lineRule="exact"/>
        <w:ind w:firstLine="1440" w:firstLineChars="6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position w:val="-6"/>
          <w:sz w:val="24"/>
          <w:szCs w:val="24"/>
          <w:highlight w:val="none"/>
        </w:rPr>
        <w:object>
          <v:shape id="_x0000_i1026" o:spt="75" type="#_x0000_t75" style="height:17.95pt;width:17.95pt;" o:ole="t" filled="f" o:preferrelative="t" stroked="f" coordsize="21600,21600">
            <v:path/>
            <v:fill on="f" focussize="0,0"/>
            <v:stroke on="f"/>
            <v:imagedata r:id="rId29" embosscolor="#FFFFFF" o:title=""/>
            <o:lock v:ext="edit" grouping="f" rotation="f" text="f" aspectratio="t"/>
            <w10:wrap type="none"/>
            <w10:anchorlock/>
          </v:shape>
          <o:OLEObject Type="Embed" ProgID="Equation.KSEE3" ShapeID="_x0000_i1026" DrawAspect="Content" ObjectID="_1468075726" r:id="rId28">
            <o:LockedField>false</o:LockedField>
          </o:OLEObject>
        </w:object>
      </w:r>
      <w:r>
        <w:rPr>
          <w:rFonts w:hint="eastAsia" w:ascii="方正仿宋_GB2312" w:hAnsi="方正仿宋_GB2312" w:eastAsia="方正仿宋_GB2312" w:cs="方正仿宋_GB2312"/>
          <w:color w:val="000000"/>
          <w:sz w:val="24"/>
          <w:szCs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53CDA68A">
      <w:pPr>
        <w:tabs>
          <w:tab w:val="left" w:pos="0"/>
          <w:tab w:val="left" w:pos="360"/>
          <w:tab w:val="left" w:pos="540"/>
        </w:tabs>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A——定值权重（即不调部分的权重）；</w:t>
      </w:r>
    </w:p>
    <w:p w14:paraId="77E21BA0">
      <w:pPr>
        <w:tabs>
          <w:tab w:val="left" w:pos="0"/>
          <w:tab w:val="left" w:pos="360"/>
          <w:tab w:val="left" w:pos="540"/>
        </w:tabs>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position w:val="-10"/>
          <w:sz w:val="24"/>
          <w:szCs w:val="24"/>
          <w:highlight w:val="none"/>
        </w:rPr>
        <w:object>
          <v:shape id="_x0000_i1027" o:spt="75" type="#_x0000_t75" style="height:21pt;width:101pt;" o:ole="t" filled="f" o:preferrelative="t" stroked="f" coordsize="21600,21600">
            <v:path/>
            <v:fill on="f" focussize="0,0"/>
            <v:stroke on="f"/>
            <v:imagedata r:id="rId31" embosscolor="#FFFFFF" o:title=""/>
            <o:lock v:ext="edit" grouping="f" rotation="f" text="f" aspectratio="t"/>
            <w10:wrap type="none"/>
            <w10:anchorlock/>
          </v:shape>
          <o:OLEObject Type="Embed" ProgID="Equation.KSEE3" ShapeID="_x0000_i1027" DrawAspect="Content" ObjectID="_1468075727" r:id="rId30">
            <o:LockedField>false</o:LockedField>
          </o:OLEObject>
        </w:object>
      </w:r>
      <w:r>
        <w:rPr>
          <w:rFonts w:hint="eastAsia" w:ascii="方正仿宋_GB2312" w:hAnsi="方正仿宋_GB2312" w:eastAsia="方正仿宋_GB2312" w:cs="方正仿宋_GB2312"/>
          <w:color w:val="000000"/>
          <w:sz w:val="24"/>
          <w:szCs w:val="24"/>
          <w:highlight w:val="none"/>
        </w:rPr>
        <w:t>——各可调因子的变值权重（即可调部分的权重），为各可调因子在签约合同价中所占的比例；</w:t>
      </w:r>
    </w:p>
    <w:p w14:paraId="12B534DA">
      <w:pPr>
        <w:tabs>
          <w:tab w:val="left" w:pos="0"/>
          <w:tab w:val="left" w:pos="360"/>
          <w:tab w:val="left" w:pos="540"/>
        </w:tabs>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position w:val="-10"/>
          <w:sz w:val="24"/>
          <w:szCs w:val="24"/>
          <w:highlight w:val="none"/>
        </w:rPr>
        <w:object>
          <v:shape id="_x0000_i1028" o:spt="75" type="#_x0000_t75" style="height:20.6pt;width:102.05pt;" o:ole="t" filled="f" o:preferrelative="t" stroked="f" coordsize="21600,21600">
            <v:path/>
            <v:fill on="f" focussize="0,0"/>
            <v:stroke on="f"/>
            <v:imagedata r:id="rId33" embosscolor="#FFFFFF" o:title=""/>
            <o:lock v:ext="edit" grouping="f" rotation="f" text="f" aspectratio="t"/>
            <w10:wrap type="none"/>
            <w10:anchorlock/>
          </v:shape>
          <o:OLEObject Type="Embed" ProgID="Equation.KSEE3" ShapeID="_x0000_i1028" DrawAspect="Content" ObjectID="_1468075728" r:id="rId32">
            <o:LockedField>false</o:LockedField>
          </o:OLEObject>
        </w:object>
      </w:r>
      <w:r>
        <w:rPr>
          <w:rFonts w:hint="eastAsia" w:ascii="方正仿宋_GB2312" w:hAnsi="方正仿宋_GB2312" w:eastAsia="方正仿宋_GB2312" w:cs="方正仿宋_GB2312"/>
          <w:color w:val="000000"/>
          <w:sz w:val="24"/>
          <w:szCs w:val="24"/>
          <w:highlight w:val="none"/>
        </w:rPr>
        <w:t>——各可调因子的现行价格指数，指约定的付款证书相关周期最后一天的前42天的各可调因子的价格指数；</w:t>
      </w:r>
    </w:p>
    <w:p w14:paraId="7EE7AE96">
      <w:pPr>
        <w:tabs>
          <w:tab w:val="left" w:pos="0"/>
          <w:tab w:val="left" w:pos="360"/>
          <w:tab w:val="left" w:pos="540"/>
        </w:tabs>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position w:val="-10"/>
          <w:sz w:val="24"/>
          <w:szCs w:val="24"/>
          <w:highlight w:val="none"/>
        </w:rPr>
        <w:object>
          <v:shape id="_x0000_i1029" o:spt="75" type="#_x0000_t75" style="height:20.2pt;width:108pt;" o:ole="t" filled="f" o:preferrelative="t" stroked="f" coordsize="21600,21600">
            <v:path/>
            <v:fill on="f" focussize="0,0"/>
            <v:stroke on="f"/>
            <v:imagedata r:id="rId35" embosscolor="#FFFFFF" o:title=""/>
            <o:lock v:ext="edit" grouping="f" rotation="f" text="f" aspectratio="t"/>
            <w10:wrap type="none"/>
            <w10:anchorlock/>
          </v:shape>
          <o:OLEObject Type="Embed" ProgID="Equation.KSEE3" ShapeID="_x0000_i1029" DrawAspect="Content" ObjectID="_1468075729" r:id="rId34">
            <o:LockedField>false</o:LockedField>
          </o:OLEObject>
        </w:object>
      </w:r>
      <w:r>
        <w:rPr>
          <w:rFonts w:hint="eastAsia" w:ascii="方正仿宋_GB2312" w:hAnsi="方正仿宋_GB2312" w:eastAsia="方正仿宋_GB2312" w:cs="方正仿宋_GB2312"/>
          <w:color w:val="000000"/>
          <w:sz w:val="24"/>
          <w:szCs w:val="24"/>
          <w:highlight w:val="none"/>
        </w:rPr>
        <w:t>——各可调因子的基本价格指数，指基准日期的各可调因子的价格指数。</w:t>
      </w:r>
    </w:p>
    <w:p w14:paraId="79F60900">
      <w:pPr>
        <w:tabs>
          <w:tab w:val="left" w:pos="0"/>
          <w:tab w:val="left" w:pos="360"/>
          <w:tab w:val="left" w:pos="540"/>
        </w:tabs>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2E71088D">
      <w:pPr>
        <w:tabs>
          <w:tab w:val="left" w:pos="0"/>
          <w:tab w:val="left" w:pos="360"/>
          <w:tab w:val="left" w:pos="540"/>
        </w:tabs>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（2）暂时确定调整差额</w:t>
      </w:r>
    </w:p>
    <w:p w14:paraId="1618DB79">
      <w:pPr>
        <w:tabs>
          <w:tab w:val="left" w:pos="0"/>
          <w:tab w:val="left" w:pos="360"/>
          <w:tab w:val="left" w:pos="540"/>
        </w:tabs>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在计算调整差额时无现行价格指数的，合同当事人同意暂用前次价格指数计算。实际价格指数有调整的，合同当事人进行相应调整。</w:t>
      </w:r>
    </w:p>
    <w:p w14:paraId="188AB0F2">
      <w:pPr>
        <w:tabs>
          <w:tab w:val="left" w:pos="0"/>
          <w:tab w:val="left" w:pos="360"/>
          <w:tab w:val="left" w:pos="540"/>
        </w:tabs>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（3）权重的调整</w:t>
      </w:r>
    </w:p>
    <w:p w14:paraId="59DAA517">
      <w:pPr>
        <w:tabs>
          <w:tab w:val="left" w:pos="0"/>
          <w:tab w:val="left" w:pos="360"/>
          <w:tab w:val="left" w:pos="540"/>
        </w:tabs>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因变更导致合同约定的权重不合理时，按照第4.4款〔商定或确定〕执行。</w:t>
      </w:r>
    </w:p>
    <w:p w14:paraId="3D5BA541">
      <w:pPr>
        <w:tabs>
          <w:tab w:val="left" w:pos="0"/>
          <w:tab w:val="left" w:pos="360"/>
          <w:tab w:val="left" w:pos="540"/>
        </w:tabs>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（4）因承包人原因工期延误后的价格调整</w:t>
      </w:r>
    </w:p>
    <w:p w14:paraId="553A5712">
      <w:pPr>
        <w:tabs>
          <w:tab w:val="left" w:pos="0"/>
          <w:tab w:val="left" w:pos="360"/>
          <w:tab w:val="left" w:pos="540"/>
        </w:tabs>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2205A254">
      <w:pPr>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第2种方式：采用造价信息进行价格调整。</w:t>
      </w:r>
    </w:p>
    <w:p w14:paraId="6EA1BB51">
      <w:pPr>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17512503">
      <w:pPr>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327F9DEA">
      <w:pPr>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（2）材料、工程设备价格变化的价款调整按照发包人提供的基准价格，按以下风险范围规定执行:</w:t>
      </w:r>
    </w:p>
    <w:p w14:paraId="59AD3086">
      <w:pPr>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698FD24A">
      <w:pPr>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12C0CDAF">
      <w:pPr>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7D25CC45">
      <w:pPr>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④承包人应在采购材料前将采购数量和新的材料单价报发包人核对，发包人确认用</w:t>
      </w:r>
      <w:r>
        <w:rPr>
          <w:rFonts w:hint="eastAsia" w:ascii="方正仿宋_GB2312" w:hAnsi="方正仿宋_GB2312" w:eastAsia="方正仿宋_GB2312" w:cs="方正仿宋_GB2312"/>
          <w:color w:val="000000"/>
          <w:sz w:val="24"/>
          <w:szCs w:val="24"/>
          <w:highlight w:val="none"/>
          <w:lang w:eastAsia="zh-CN"/>
        </w:rPr>
        <w:t>白工</w:t>
      </w:r>
      <w:r>
        <w:rPr>
          <w:rFonts w:hint="eastAsia" w:ascii="方正仿宋_GB2312" w:hAnsi="方正仿宋_GB2312" w:eastAsia="方正仿宋_GB2312" w:cs="方正仿宋_GB2312"/>
          <w:color w:val="000000"/>
          <w:sz w:val="24"/>
          <w:szCs w:val="24"/>
          <w:highlight w:val="none"/>
        </w:rPr>
        <w:t>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469D17D2">
      <w:pPr>
        <w:spacing w:line="360" w:lineRule="exact"/>
        <w:ind w:firstLine="480" w:firstLineChars="200"/>
        <w:rPr>
          <w:rFonts w:hint="eastAsia" w:ascii="方正仿宋_GB2312" w:hAnsi="方正仿宋_GB2312" w:eastAsia="方正仿宋_GB2312" w:cs="方正仿宋_GB2312"/>
          <w:color w:val="000000"/>
          <w:sz w:val="24"/>
          <w:szCs w:val="24"/>
          <w:highlight w:val="none"/>
        </w:rPr>
      </w:pPr>
      <w:bookmarkStart w:id="321" w:name="OLE_LINK3"/>
      <w:r>
        <w:rPr>
          <w:rFonts w:hint="eastAsia" w:ascii="方正仿宋_GB2312" w:hAnsi="方正仿宋_GB2312" w:eastAsia="方正仿宋_GB2312" w:cs="方正仿宋_GB2312"/>
          <w:color w:val="000000"/>
          <w:sz w:val="24"/>
          <w:szCs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2851BA8E">
      <w:pPr>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（3）施工机械台班单价或施工机械使用费发生变化超过省级或行业建设主管部门或其授权的工程造价管理机构规定的范围时，按规定调整合同价格。</w:t>
      </w:r>
    </w:p>
    <w:p w14:paraId="0A0BE972">
      <w:pPr>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第3种方式：专用合同条款约定的其他方式。</w:t>
      </w:r>
    </w:p>
    <w:p w14:paraId="2EC22A05">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322" w:name="_Toc351203579"/>
      <w:bookmarkStart w:id="323" w:name="_Toc296503093"/>
      <w:bookmarkStart w:id="324" w:name="_Toc296346594"/>
      <w:bookmarkStart w:id="325" w:name="_Toc337558798"/>
      <w:r>
        <w:rPr>
          <w:rFonts w:hint="eastAsia" w:ascii="方正仿宋_GB2312" w:hAnsi="方正仿宋_GB2312" w:eastAsia="方正仿宋_GB2312" w:cs="方正仿宋_GB2312"/>
          <w:b w:val="0"/>
          <w:color w:val="000000"/>
          <w:sz w:val="24"/>
          <w:szCs w:val="24"/>
          <w:highlight w:val="none"/>
        </w:rPr>
        <w:t>11.2法律变化引起的调整</w:t>
      </w:r>
      <w:bookmarkEnd w:id="322"/>
    </w:p>
    <w:bookmarkEnd w:id="323"/>
    <w:bookmarkEnd w:id="324"/>
    <w:bookmarkEnd w:id="325"/>
    <w:p w14:paraId="1D3D9958">
      <w:pPr>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7CFB4012">
      <w:pPr>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因法律变化引起的合同价格和工期调整，合同当事人无法达成一致的，由总监理工程师按第4.4款〔商定或确定〕的约定处理。</w:t>
      </w:r>
    </w:p>
    <w:p w14:paraId="19E7C450">
      <w:pPr>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kern w:val="0"/>
          <w:sz w:val="24"/>
          <w:szCs w:val="24"/>
          <w:highlight w:val="none"/>
        </w:rPr>
        <w:t>因承包人原因造成工期延误，在工期延误期间出现法律变化的，由此增加的费用和（或）延误的工期由承包人承担。</w:t>
      </w:r>
    </w:p>
    <w:p w14:paraId="4E0090FC">
      <w:pPr>
        <w:pStyle w:val="5"/>
        <w:spacing w:before="120" w:after="120" w:line="360" w:lineRule="exact"/>
        <w:rPr>
          <w:rFonts w:hint="eastAsia" w:ascii="方正仿宋_GB2312" w:hAnsi="方正仿宋_GB2312" w:eastAsia="方正仿宋_GB2312" w:cs="方正仿宋_GB2312"/>
          <w:b/>
          <w:bCs/>
          <w:color w:val="000000"/>
          <w:sz w:val="24"/>
          <w:szCs w:val="24"/>
          <w:highlight w:val="none"/>
        </w:rPr>
      </w:pPr>
      <w:bookmarkStart w:id="326" w:name="_Toc351203580"/>
      <w:bookmarkStart w:id="327" w:name="_Toc337558799"/>
      <w:bookmarkStart w:id="328" w:name="_Toc296346597"/>
      <w:bookmarkStart w:id="329" w:name="_Toc296503096"/>
      <w:r>
        <w:rPr>
          <w:rFonts w:hint="eastAsia" w:ascii="方正仿宋_GB2312" w:hAnsi="方正仿宋_GB2312" w:eastAsia="方正仿宋_GB2312" w:cs="方正仿宋_GB2312"/>
          <w:b/>
          <w:bCs/>
          <w:color w:val="000000"/>
          <w:sz w:val="24"/>
          <w:szCs w:val="24"/>
          <w:highlight w:val="none"/>
        </w:rPr>
        <w:t>12. 合同价格、计量与支付</w:t>
      </w:r>
      <w:bookmarkEnd w:id="326"/>
    </w:p>
    <w:bookmarkEnd w:id="327"/>
    <w:p w14:paraId="60ED579B">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330" w:name="_Toc351203581"/>
      <w:bookmarkStart w:id="331" w:name="_Toc337558800"/>
      <w:r>
        <w:rPr>
          <w:rFonts w:hint="eastAsia" w:ascii="方正仿宋_GB2312" w:hAnsi="方正仿宋_GB2312" w:eastAsia="方正仿宋_GB2312" w:cs="方正仿宋_GB2312"/>
          <w:b w:val="0"/>
          <w:color w:val="000000"/>
          <w:sz w:val="24"/>
          <w:szCs w:val="24"/>
          <w:highlight w:val="none"/>
        </w:rPr>
        <w:t>12.1 合同价</w:t>
      </w:r>
      <w:bookmarkEnd w:id="328"/>
      <w:bookmarkEnd w:id="329"/>
      <w:r>
        <w:rPr>
          <w:rFonts w:hint="eastAsia" w:ascii="方正仿宋_GB2312" w:hAnsi="方正仿宋_GB2312" w:eastAsia="方正仿宋_GB2312" w:cs="方正仿宋_GB2312"/>
          <w:b w:val="0"/>
          <w:color w:val="000000"/>
          <w:sz w:val="24"/>
          <w:szCs w:val="24"/>
          <w:highlight w:val="none"/>
        </w:rPr>
        <w:t>格形式</w:t>
      </w:r>
      <w:bookmarkEnd w:id="330"/>
    </w:p>
    <w:bookmarkEnd w:id="331"/>
    <w:p w14:paraId="317309D1">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 xml:space="preserve">发包人和承包人应在合同协议书中选择下列一种合同价格形式： </w:t>
      </w:r>
    </w:p>
    <w:p w14:paraId="3F3171B4">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1.单价合同</w:t>
      </w:r>
    </w:p>
    <w:p w14:paraId="47A8A760">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单价合同是指合同当事人约定以工程量清单及其综合单价进行合同价格计算、调整和确认的建设工程施工合同，</w:t>
      </w:r>
      <w:r>
        <w:rPr>
          <w:rFonts w:hint="eastAsia" w:ascii="方正仿宋_GB2312" w:hAnsi="方正仿宋_GB2312" w:eastAsia="方正仿宋_GB2312" w:cs="方正仿宋_GB2312"/>
          <w:sz w:val="24"/>
          <w:szCs w:val="24"/>
          <w:highlight w:val="none"/>
        </w:rPr>
        <w:t>在约定的范围内合同单价不作调整</w:t>
      </w:r>
      <w:r>
        <w:rPr>
          <w:rFonts w:hint="eastAsia" w:ascii="方正仿宋_GB2312" w:hAnsi="方正仿宋_GB2312" w:eastAsia="方正仿宋_GB2312" w:cs="方正仿宋_GB2312"/>
          <w:color w:val="000000"/>
          <w:kern w:val="0"/>
          <w:sz w:val="24"/>
          <w:szCs w:val="24"/>
          <w:highlight w:val="none"/>
        </w:rPr>
        <w:t>。合同当事人应在专用合同条款中约定综合单价包含的风险范围和风险费用的计算方法</w:t>
      </w:r>
      <w:r>
        <w:rPr>
          <w:rFonts w:hint="eastAsia" w:ascii="方正仿宋_GB2312" w:hAnsi="方正仿宋_GB2312" w:eastAsia="方正仿宋_GB2312" w:cs="方正仿宋_GB2312"/>
          <w:sz w:val="24"/>
          <w:szCs w:val="24"/>
          <w:highlight w:val="none"/>
        </w:rPr>
        <w:t>，</w:t>
      </w:r>
      <w:r>
        <w:rPr>
          <w:rFonts w:hint="eastAsia" w:ascii="方正仿宋_GB2312" w:hAnsi="方正仿宋_GB2312" w:eastAsia="方正仿宋_GB2312" w:cs="方正仿宋_GB2312"/>
          <w:color w:val="000000"/>
          <w:kern w:val="0"/>
          <w:sz w:val="24"/>
          <w:szCs w:val="24"/>
          <w:highlight w:val="none"/>
        </w:rPr>
        <w:t>并约定风险范围以外的合同价格的调整方法，其中因市场价格波动引起的调整按第11.1款〔市场价格波动引起的调整〕约定执行。</w:t>
      </w:r>
    </w:p>
    <w:p w14:paraId="1AF88BAE">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2.总价合同</w:t>
      </w:r>
    </w:p>
    <w:p w14:paraId="47104A9E">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总价合同是指合同当事人约定以施工图、已标价工程量清单或预算书及有关条件进行合同价格计算、调整和确认的建设工程施工合同，</w:t>
      </w:r>
      <w:r>
        <w:rPr>
          <w:rFonts w:hint="eastAsia" w:ascii="方正仿宋_GB2312" w:hAnsi="方正仿宋_GB2312" w:eastAsia="方正仿宋_GB2312" w:cs="方正仿宋_GB2312"/>
          <w:sz w:val="24"/>
          <w:szCs w:val="24"/>
          <w:highlight w:val="none"/>
        </w:rPr>
        <w:t>在约定的范围内合同总价不作调整</w:t>
      </w:r>
      <w:r>
        <w:rPr>
          <w:rFonts w:hint="eastAsia" w:ascii="方正仿宋_GB2312" w:hAnsi="方正仿宋_GB2312" w:eastAsia="方正仿宋_GB2312" w:cs="方正仿宋_GB2312"/>
          <w:color w:val="000000"/>
          <w:kern w:val="0"/>
          <w:sz w:val="24"/>
          <w:szCs w:val="24"/>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5C01AED5">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3.其它价格形式</w:t>
      </w:r>
    </w:p>
    <w:p w14:paraId="47AD4A06">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合同当事人可在专用合同条款中约定其他合同价格形式。</w:t>
      </w:r>
    </w:p>
    <w:p w14:paraId="1580FF94">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332" w:name="_Toc296503097"/>
      <w:bookmarkStart w:id="333" w:name="_Toc296346598"/>
      <w:bookmarkStart w:id="334" w:name="_Toc351203582"/>
      <w:bookmarkStart w:id="335" w:name="_Toc337558801"/>
      <w:r>
        <w:rPr>
          <w:rFonts w:hint="eastAsia" w:ascii="方正仿宋_GB2312" w:hAnsi="方正仿宋_GB2312" w:eastAsia="方正仿宋_GB2312" w:cs="方正仿宋_GB2312"/>
          <w:b w:val="0"/>
          <w:color w:val="000000"/>
          <w:sz w:val="24"/>
          <w:szCs w:val="24"/>
          <w:highlight w:val="none"/>
        </w:rPr>
        <w:t>12.2预</w:t>
      </w:r>
      <w:bookmarkEnd w:id="332"/>
      <w:bookmarkEnd w:id="333"/>
      <w:bookmarkStart w:id="336" w:name="_Toc296503100"/>
      <w:bookmarkStart w:id="337" w:name="_Toc296346601"/>
      <w:r>
        <w:rPr>
          <w:rFonts w:hint="eastAsia" w:ascii="方正仿宋_GB2312" w:hAnsi="方正仿宋_GB2312" w:eastAsia="方正仿宋_GB2312" w:cs="方正仿宋_GB2312"/>
          <w:b w:val="0"/>
          <w:color w:val="000000"/>
          <w:sz w:val="24"/>
          <w:szCs w:val="24"/>
          <w:highlight w:val="none"/>
        </w:rPr>
        <w:t>付款</w:t>
      </w:r>
      <w:bookmarkEnd w:id="334"/>
    </w:p>
    <w:bookmarkEnd w:id="335"/>
    <w:bookmarkEnd w:id="336"/>
    <w:bookmarkEnd w:id="337"/>
    <w:p w14:paraId="41F29C6C">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sz w:val="24"/>
          <w:szCs w:val="24"/>
          <w:highlight w:val="none"/>
        </w:rPr>
        <w:t>12.2.</w:t>
      </w:r>
      <w:r>
        <w:rPr>
          <w:rFonts w:hint="eastAsia" w:ascii="方正仿宋_GB2312" w:hAnsi="方正仿宋_GB2312" w:eastAsia="方正仿宋_GB2312" w:cs="方正仿宋_GB2312"/>
          <w:color w:val="000000"/>
          <w:kern w:val="0"/>
          <w:sz w:val="24"/>
          <w:szCs w:val="24"/>
          <w:highlight w:val="none"/>
        </w:rPr>
        <w:t>1预付款的支付</w:t>
      </w:r>
    </w:p>
    <w:p w14:paraId="341A1CC6">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预付款的支付按照专用合同条款约定执行，但至迟应在开工通知载明的开工日期7天前支付。预付款应当用于材料、工程设备、施工设备的采购及修建临时工程、组织施工队伍进场等。</w:t>
      </w:r>
    </w:p>
    <w:p w14:paraId="78B195E1">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除专用合同条款另有约定外，预付款在进度付款中同比例扣回。</w:t>
      </w:r>
      <w:bookmarkEnd w:id="321"/>
      <w:r>
        <w:rPr>
          <w:rFonts w:hint="eastAsia" w:ascii="方正仿宋_GB2312" w:hAnsi="方正仿宋_GB2312" w:eastAsia="方正仿宋_GB2312" w:cs="方正仿宋_GB2312"/>
          <w:color w:val="000000"/>
          <w:kern w:val="0"/>
          <w:sz w:val="24"/>
          <w:szCs w:val="24"/>
          <w:highlight w:val="none"/>
        </w:rPr>
        <w:t>在颁发工程接收证书前，提前解除合同的，尚未扣完的预付款应与合同价款一并结算。</w:t>
      </w:r>
    </w:p>
    <w:p w14:paraId="60AFA23C">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发包人逾期支付预付款超过7天的，承包人有权向发包人发出要求预付的催告通知，发包人收到通知后7天内仍未支付的，承包人有权暂停施工，并按第16.1.1项〔发包人违约的情形〕执行。</w:t>
      </w:r>
    </w:p>
    <w:p w14:paraId="0629AB5D">
      <w:pPr>
        <w:spacing w:line="360" w:lineRule="exact"/>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12.2.2 预付款担保</w:t>
      </w:r>
    </w:p>
    <w:p w14:paraId="4CAFC45F">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51F69745">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发包人在工程款中逐期扣回预付款后，预付款担保额度应相应减少，但剩余的预付款担保金额不得低于未被扣回的预付款金额。</w:t>
      </w:r>
    </w:p>
    <w:p w14:paraId="7405408B">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338" w:name="_Toc351203583"/>
      <w:bookmarkStart w:id="339" w:name="_Toc337558802"/>
      <w:r>
        <w:rPr>
          <w:rFonts w:hint="eastAsia" w:ascii="方正仿宋_GB2312" w:hAnsi="方正仿宋_GB2312" w:eastAsia="方正仿宋_GB2312" w:cs="方正仿宋_GB2312"/>
          <w:b w:val="0"/>
          <w:color w:val="000000"/>
          <w:sz w:val="24"/>
          <w:szCs w:val="24"/>
          <w:highlight w:val="none"/>
        </w:rPr>
        <w:t>12.3计量</w:t>
      </w:r>
      <w:bookmarkEnd w:id="338"/>
    </w:p>
    <w:bookmarkEnd w:id="339"/>
    <w:p w14:paraId="0ACBC383">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12.3.1 计量原则</w:t>
      </w:r>
    </w:p>
    <w:p w14:paraId="5BA2BFE3">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工程量计量按照合同约定的工程量计算规则、图纸及变更指示等进行计量。工程量计算规则应以相关的国家标准、行业标准等为依据，由合同当事人在专用合同条款中约定。</w:t>
      </w:r>
    </w:p>
    <w:p w14:paraId="423A64D9">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12.3.2 计量周期</w:t>
      </w:r>
    </w:p>
    <w:p w14:paraId="2854958C">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除专用合同条款另有约定外，工程量的计量按月进行。</w:t>
      </w:r>
    </w:p>
    <w:p w14:paraId="4A27F294">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12.3.3 单价合同的计量</w:t>
      </w:r>
    </w:p>
    <w:p w14:paraId="51BAF226">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除专用合同条款另有约定外，单价合同的计量按照本项约定执行：</w:t>
      </w:r>
    </w:p>
    <w:p w14:paraId="7ED44C76">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（1）承包人应于每月25日向监理人报送上月20日至当月19日已完成的工程量报告，并附具进度付款申请单、已完成工程量报表和有关资料。</w:t>
      </w:r>
    </w:p>
    <w:p w14:paraId="7A7F4B4C">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59DC53C4">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（3）监理人未在收到承包人提交的工程量报表后的7天内完成审核的，承包人报送的工程量报告中的工程量视为承包人实际完成的工程量，据此计算工程价款。</w:t>
      </w:r>
    </w:p>
    <w:p w14:paraId="4106F18B">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12.3.4 总价合同的计量</w:t>
      </w:r>
    </w:p>
    <w:p w14:paraId="715C1983">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除专用合同条款另有约定外，按月计量支付的总价合同，按照本项约定执行：</w:t>
      </w:r>
    </w:p>
    <w:p w14:paraId="500F269E">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（1）承包人应于每月25日向监理人报送上月20日至当月19日已完成的工程量报告，并附具进度付款申请单、已完成工程量报表和有关资料。</w:t>
      </w:r>
    </w:p>
    <w:p w14:paraId="270D3D7B">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518D1617">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（3）监理人未在收到承包人提交的工程量报表后的7天内完成复核的，承包人提交的工程量报告中的工程量视为承包人实际完成的工程量。</w:t>
      </w:r>
    </w:p>
    <w:p w14:paraId="20C087F8">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12.3.5 总价合同采用支付分解表计量支付的，可以按照第12.3.4项〔总价合同的计量〕约定进行计量，但合同价款按照支付分解表进行支付。</w:t>
      </w:r>
    </w:p>
    <w:p w14:paraId="048B437B">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12.3.6 其他价格形式合同的计量</w:t>
      </w:r>
    </w:p>
    <w:p w14:paraId="6788CA32">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合同当事人可在专用合同条款中约定其他价格形式合同的计量方式和程序。</w:t>
      </w:r>
    </w:p>
    <w:p w14:paraId="05C40862">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340" w:name="_Toc296346602"/>
      <w:bookmarkStart w:id="341" w:name="_Toc296503101"/>
      <w:bookmarkStart w:id="342" w:name="_Toc351203584"/>
      <w:bookmarkStart w:id="343" w:name="_Toc337558803"/>
      <w:r>
        <w:rPr>
          <w:rFonts w:hint="eastAsia" w:ascii="方正仿宋_GB2312" w:hAnsi="方正仿宋_GB2312" w:eastAsia="方正仿宋_GB2312" w:cs="方正仿宋_GB2312"/>
          <w:b w:val="0"/>
          <w:color w:val="000000"/>
          <w:sz w:val="24"/>
          <w:szCs w:val="24"/>
          <w:highlight w:val="none"/>
        </w:rPr>
        <w:t>12.4工程进度款支</w:t>
      </w:r>
      <w:bookmarkEnd w:id="340"/>
      <w:bookmarkEnd w:id="341"/>
      <w:r>
        <w:rPr>
          <w:rFonts w:hint="eastAsia" w:ascii="方正仿宋_GB2312" w:hAnsi="方正仿宋_GB2312" w:eastAsia="方正仿宋_GB2312" w:cs="方正仿宋_GB2312"/>
          <w:b w:val="0"/>
          <w:color w:val="000000"/>
          <w:sz w:val="24"/>
          <w:szCs w:val="24"/>
          <w:highlight w:val="none"/>
        </w:rPr>
        <w:t>付</w:t>
      </w:r>
      <w:bookmarkEnd w:id="342"/>
    </w:p>
    <w:bookmarkEnd w:id="343"/>
    <w:p w14:paraId="18650469">
      <w:pPr>
        <w:autoSpaceDE w:val="0"/>
        <w:autoSpaceDN w:val="0"/>
        <w:adjustRightInd w:val="0"/>
        <w:spacing w:line="360" w:lineRule="exact"/>
        <w:ind w:firstLine="480" w:firstLineChars="200"/>
        <w:jc w:val="left"/>
        <w:outlineLvl w:val="0"/>
        <w:rPr>
          <w:rFonts w:hint="eastAsia" w:ascii="方正仿宋_GB2312" w:hAnsi="方正仿宋_GB2312" w:eastAsia="方正仿宋_GB2312" w:cs="方正仿宋_GB2312"/>
          <w:color w:val="000000"/>
          <w:kern w:val="0"/>
          <w:sz w:val="24"/>
          <w:szCs w:val="24"/>
          <w:highlight w:val="none"/>
        </w:rPr>
      </w:pPr>
      <w:bookmarkStart w:id="344" w:name="_Toc5122"/>
      <w:bookmarkStart w:id="345" w:name="_Toc494"/>
      <w:bookmarkStart w:id="346" w:name="_Toc7963"/>
      <w:r>
        <w:rPr>
          <w:rFonts w:hint="eastAsia" w:ascii="方正仿宋_GB2312" w:hAnsi="方正仿宋_GB2312" w:eastAsia="方正仿宋_GB2312" w:cs="方正仿宋_GB2312"/>
          <w:color w:val="000000"/>
          <w:sz w:val="24"/>
          <w:szCs w:val="24"/>
          <w:highlight w:val="none"/>
        </w:rPr>
        <w:t>12.4</w:t>
      </w:r>
      <w:r>
        <w:rPr>
          <w:rFonts w:hint="eastAsia" w:ascii="方正仿宋_GB2312" w:hAnsi="方正仿宋_GB2312" w:eastAsia="方正仿宋_GB2312" w:cs="方正仿宋_GB2312"/>
          <w:color w:val="000000"/>
          <w:kern w:val="0"/>
          <w:sz w:val="24"/>
          <w:szCs w:val="24"/>
          <w:highlight w:val="none"/>
        </w:rPr>
        <w:t>.1 付款周期</w:t>
      </w:r>
      <w:bookmarkEnd w:id="344"/>
      <w:bookmarkEnd w:id="345"/>
      <w:bookmarkEnd w:id="346"/>
    </w:p>
    <w:p w14:paraId="3A421C6C">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除专用合同条款另有约定外，付款周期应按照第12.3.2项〔计量周期〕的约定与计量周期保持一致。</w:t>
      </w:r>
    </w:p>
    <w:p w14:paraId="6C7D1284">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sz w:val="24"/>
          <w:szCs w:val="24"/>
          <w:highlight w:val="none"/>
        </w:rPr>
        <w:t>12.4</w:t>
      </w:r>
      <w:r>
        <w:rPr>
          <w:rFonts w:hint="eastAsia" w:ascii="方正仿宋_GB2312" w:hAnsi="方正仿宋_GB2312" w:eastAsia="方正仿宋_GB2312" w:cs="方正仿宋_GB2312"/>
          <w:color w:val="000000"/>
          <w:kern w:val="0"/>
          <w:sz w:val="24"/>
          <w:szCs w:val="24"/>
          <w:highlight w:val="none"/>
        </w:rPr>
        <w:t>.2 进度付款申请单的编制</w:t>
      </w:r>
    </w:p>
    <w:p w14:paraId="32D26C58">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除专用合同条款另有约定外，进度付款申请单应包括下列内容：</w:t>
      </w:r>
    </w:p>
    <w:p w14:paraId="4EE4CC47">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（1）截至本次付款周期已完成工作对应的金额；</w:t>
      </w:r>
    </w:p>
    <w:p w14:paraId="46526906">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（2）根据第10条〔变更〕应增加和扣减的变更金额；</w:t>
      </w:r>
    </w:p>
    <w:p w14:paraId="23CF3B4E">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（3）根据第12.2款〔预付款〕约定应支付的预付款和扣减的返还预付款；</w:t>
      </w:r>
    </w:p>
    <w:p w14:paraId="797A9C72">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（4）根据第15.3款〔质量保证金〕约定应扣减的质量保证金；</w:t>
      </w:r>
    </w:p>
    <w:p w14:paraId="19350AB5">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（5）根据第19条〔索赔〕应增加和扣减的索赔金额；</w:t>
      </w:r>
    </w:p>
    <w:p w14:paraId="0D12540D">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（6）对已签发的进度款支付证书中出现错误的修正，应在本次进度付款中支付或扣除的金额；</w:t>
      </w:r>
    </w:p>
    <w:p w14:paraId="4CAD4D4A">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（7）根据合同约定应增加和扣减的其他金额。</w:t>
      </w:r>
    </w:p>
    <w:p w14:paraId="0F7CC1A3">
      <w:pPr>
        <w:autoSpaceDE w:val="0"/>
        <w:autoSpaceDN w:val="0"/>
        <w:adjustRightInd w:val="0"/>
        <w:spacing w:line="360" w:lineRule="exact"/>
        <w:ind w:firstLine="480" w:firstLineChars="200"/>
        <w:jc w:val="left"/>
        <w:outlineLvl w:val="0"/>
        <w:rPr>
          <w:rFonts w:hint="eastAsia" w:ascii="方正仿宋_GB2312" w:hAnsi="方正仿宋_GB2312" w:eastAsia="方正仿宋_GB2312" w:cs="方正仿宋_GB2312"/>
          <w:color w:val="000000"/>
          <w:kern w:val="0"/>
          <w:sz w:val="24"/>
          <w:szCs w:val="24"/>
          <w:highlight w:val="none"/>
        </w:rPr>
      </w:pPr>
      <w:bookmarkStart w:id="347" w:name="_Toc24342"/>
      <w:bookmarkStart w:id="348" w:name="_Toc15056"/>
      <w:bookmarkStart w:id="349" w:name="_Toc23606"/>
      <w:r>
        <w:rPr>
          <w:rFonts w:hint="eastAsia" w:ascii="方正仿宋_GB2312" w:hAnsi="方正仿宋_GB2312" w:eastAsia="方正仿宋_GB2312" w:cs="方正仿宋_GB2312"/>
          <w:color w:val="000000"/>
          <w:kern w:val="0"/>
          <w:sz w:val="24"/>
          <w:szCs w:val="24"/>
          <w:highlight w:val="none"/>
        </w:rPr>
        <w:t>12.4.3 进度付款申请单的提交</w:t>
      </w:r>
      <w:bookmarkEnd w:id="347"/>
      <w:bookmarkEnd w:id="348"/>
      <w:bookmarkEnd w:id="349"/>
    </w:p>
    <w:p w14:paraId="3B7D3DFF">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（1）单价合同进度付款申请单的提交</w:t>
      </w:r>
    </w:p>
    <w:p w14:paraId="08A6A066">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5AA468D2">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（2）总价合同进度付款申请单的提交</w:t>
      </w:r>
    </w:p>
    <w:p w14:paraId="3D72C7F6">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总价合同按月计量支付的，承包人按照第12.3.4项〔总价合同的计量〕约定的时间按月向监理人提交进度付款申请单，并附上已完成工程量报表和有关资料。</w:t>
      </w:r>
    </w:p>
    <w:p w14:paraId="68772FC8">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总价合同按支付分解表支付的，承包人应按照第12.4.6项〔支付分解表〕及第12.4.2项〔进度付款申请单的编制〕的约定向监理人提交进度付款申请单。</w:t>
      </w:r>
    </w:p>
    <w:p w14:paraId="7344A947">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（3）其他价格形式合同的进度付款申请单的提交</w:t>
      </w:r>
    </w:p>
    <w:p w14:paraId="42C33B0F">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合同当事人可在专用合同条款中约定其他价格形式合同的进度付款申请单的编制和提交程序。</w:t>
      </w:r>
    </w:p>
    <w:p w14:paraId="7D8E9E1B">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sz w:val="24"/>
          <w:szCs w:val="24"/>
          <w:highlight w:val="none"/>
        </w:rPr>
        <w:t>12.4</w:t>
      </w:r>
      <w:r>
        <w:rPr>
          <w:rFonts w:hint="eastAsia" w:ascii="方正仿宋_GB2312" w:hAnsi="方正仿宋_GB2312" w:eastAsia="方正仿宋_GB2312" w:cs="方正仿宋_GB2312"/>
          <w:color w:val="000000"/>
          <w:kern w:val="0"/>
          <w:sz w:val="24"/>
          <w:szCs w:val="24"/>
          <w:highlight w:val="none"/>
        </w:rPr>
        <w:t>.4 进度款审核和支付</w:t>
      </w:r>
    </w:p>
    <w:p w14:paraId="3F29A439">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214A3E9F">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3C73C20A">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3D12E809">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（3）发包人签发进度款支付证书或临时进度款支付证书，不表明发包人已同意、批准或接受了承包人完成的相应部分的工作。</w:t>
      </w:r>
    </w:p>
    <w:p w14:paraId="7FE2EE0C">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12.4.5 进度付款的修正</w:t>
      </w:r>
    </w:p>
    <w:p w14:paraId="356A66A9">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在对已签发的进度款支付证书进行阶段汇总和复核中发现错误、遗漏或重复的，发包人和承包人均有权提出修正申请。经发包人和承包人同意的修正，应在下期进度付款中支付或扣除。</w:t>
      </w:r>
    </w:p>
    <w:p w14:paraId="187F93FF">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12.4.6 支付分解表</w:t>
      </w:r>
    </w:p>
    <w:p w14:paraId="6B64FE38">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1.支付分解表的编制要求</w:t>
      </w:r>
    </w:p>
    <w:p w14:paraId="586E5A68">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（1）支付分解表中所列的每期付款金额，应为第12.4.2项〔进度付款申请单的编制〕第（1）目的估算金额；</w:t>
      </w:r>
    </w:p>
    <w:p w14:paraId="6BD96C11">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（2）实际进度与施工进度计划不一致的，合同当事人可按照第4.4款〔商定或确定〕修改支付分解表；</w:t>
      </w:r>
    </w:p>
    <w:p w14:paraId="023AF05B">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（3）不采用支付分解表的，承包人应向发包人和监理人提交按季度编制的支付估算分解表，用于支付参考。</w:t>
      </w:r>
    </w:p>
    <w:p w14:paraId="51A8BF03">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2.总价合同支付分解表的编制与审批</w:t>
      </w:r>
    </w:p>
    <w:p w14:paraId="6AA5C4BD">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7BB6F39C">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3A070267">
      <w:pPr>
        <w:spacing w:line="360" w:lineRule="exact"/>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 xml:space="preserve">    （3）发包人逾期未完成支付分解表审批的，也未及时要求承包人进行修正和提供补充资料的，则承包人提交的支付分解表视为已经获得发包人批准。</w:t>
      </w:r>
    </w:p>
    <w:p w14:paraId="03CDE08E">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3.单价合同的总价项目支付分解表的编制与审批</w:t>
      </w:r>
    </w:p>
    <w:p w14:paraId="5B0CBEDF">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748FC3D7">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350" w:name="_Toc351203585"/>
      <w:r>
        <w:rPr>
          <w:rFonts w:hint="eastAsia" w:ascii="方正仿宋_GB2312" w:hAnsi="方正仿宋_GB2312" w:eastAsia="方正仿宋_GB2312" w:cs="方正仿宋_GB2312"/>
          <w:b w:val="0"/>
          <w:color w:val="000000"/>
          <w:sz w:val="24"/>
          <w:szCs w:val="24"/>
          <w:highlight w:val="none"/>
        </w:rPr>
        <w:t>12.5支付账户</w:t>
      </w:r>
      <w:bookmarkEnd w:id="350"/>
    </w:p>
    <w:p w14:paraId="54E6492B">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发包人应将合同价款支付至合同协议书中约定的承包人账户。</w:t>
      </w:r>
    </w:p>
    <w:p w14:paraId="342F0B0F">
      <w:pPr>
        <w:pStyle w:val="5"/>
        <w:spacing w:before="120" w:after="120" w:line="360" w:lineRule="exact"/>
        <w:rPr>
          <w:rFonts w:hint="eastAsia" w:ascii="方正仿宋_GB2312" w:hAnsi="方正仿宋_GB2312" w:eastAsia="方正仿宋_GB2312" w:cs="方正仿宋_GB2312"/>
          <w:b/>
          <w:bCs/>
          <w:color w:val="000000"/>
          <w:sz w:val="24"/>
          <w:szCs w:val="24"/>
          <w:highlight w:val="none"/>
        </w:rPr>
      </w:pPr>
      <w:bookmarkStart w:id="351" w:name="_Toc351203586"/>
      <w:bookmarkStart w:id="352" w:name="_Toc296503106"/>
      <w:bookmarkStart w:id="353" w:name="_Toc322522574"/>
      <w:bookmarkStart w:id="354" w:name="_Toc337558804"/>
      <w:bookmarkStart w:id="355" w:name="_Toc296346607"/>
      <w:r>
        <w:rPr>
          <w:rFonts w:hint="eastAsia" w:ascii="方正仿宋_GB2312" w:hAnsi="方正仿宋_GB2312" w:eastAsia="方正仿宋_GB2312" w:cs="方正仿宋_GB2312"/>
          <w:b/>
          <w:bCs/>
          <w:color w:val="000000"/>
          <w:sz w:val="24"/>
          <w:szCs w:val="24"/>
          <w:highlight w:val="none"/>
        </w:rPr>
        <w:t>13. 验收和工程试车</w:t>
      </w:r>
      <w:bookmarkEnd w:id="351"/>
    </w:p>
    <w:bookmarkEnd w:id="352"/>
    <w:bookmarkEnd w:id="353"/>
    <w:bookmarkEnd w:id="354"/>
    <w:bookmarkEnd w:id="355"/>
    <w:p w14:paraId="048C23D2">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356" w:name="_Toc351203587"/>
      <w:bookmarkStart w:id="357" w:name="_Toc337558805"/>
      <w:bookmarkStart w:id="358" w:name="_Toc296503110"/>
      <w:bookmarkStart w:id="359" w:name="_Toc296346611"/>
      <w:r>
        <w:rPr>
          <w:rFonts w:hint="eastAsia" w:ascii="方正仿宋_GB2312" w:hAnsi="方正仿宋_GB2312" w:eastAsia="方正仿宋_GB2312" w:cs="方正仿宋_GB2312"/>
          <w:b w:val="0"/>
          <w:color w:val="000000"/>
          <w:sz w:val="24"/>
          <w:szCs w:val="24"/>
          <w:highlight w:val="none"/>
        </w:rPr>
        <w:t>13.1分部分项工程验收</w:t>
      </w:r>
      <w:bookmarkEnd w:id="356"/>
    </w:p>
    <w:bookmarkEnd w:id="357"/>
    <w:p w14:paraId="62888D5D">
      <w:pPr>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13.1.1 分部分项工程质量应符合国家有关工程施工验收规范、标准及合同约定，承包人应按照施工组织设计的要求完成分部分项工程施工。</w:t>
      </w:r>
    </w:p>
    <w:p w14:paraId="1F5A0227">
      <w:pPr>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13.1.2 除专用合同条款另有约定外，分部分项工程经承包人自检合格并具备验收条件的，承包人应提前48小时通知监理人进行验收。</w:t>
      </w:r>
      <w:r>
        <w:rPr>
          <w:rFonts w:hint="eastAsia" w:ascii="方正仿宋_GB2312" w:hAnsi="方正仿宋_GB2312" w:eastAsia="方正仿宋_GB2312" w:cs="方正仿宋_GB2312"/>
          <w:color w:val="000000"/>
          <w:kern w:val="0"/>
          <w:sz w:val="24"/>
          <w:szCs w:val="24"/>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方正仿宋_GB2312" w:hAnsi="方正仿宋_GB2312" w:eastAsia="方正仿宋_GB2312" w:cs="方正仿宋_GB2312"/>
          <w:color w:val="000000"/>
          <w:sz w:val="24"/>
          <w:szCs w:val="24"/>
          <w:highlight w:val="none"/>
        </w:rPr>
        <w:t>分部分项工程未经验收的，不得进入下一道工序施工。</w:t>
      </w:r>
    </w:p>
    <w:p w14:paraId="4227A7D8">
      <w:pPr>
        <w:spacing w:line="36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分部分项工程的验收资料应当作为竣工资料的组成部分。</w:t>
      </w:r>
    </w:p>
    <w:p w14:paraId="2958EE16">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360" w:name="_Toc351203588"/>
      <w:bookmarkStart w:id="361" w:name="_Toc337558806"/>
      <w:r>
        <w:rPr>
          <w:rFonts w:hint="eastAsia" w:ascii="方正仿宋_GB2312" w:hAnsi="方正仿宋_GB2312" w:eastAsia="方正仿宋_GB2312" w:cs="方正仿宋_GB2312"/>
          <w:b w:val="0"/>
          <w:color w:val="000000"/>
          <w:sz w:val="24"/>
          <w:szCs w:val="24"/>
          <w:highlight w:val="none"/>
        </w:rPr>
        <w:t>13.2竣工验收</w:t>
      </w:r>
      <w:bookmarkEnd w:id="360"/>
    </w:p>
    <w:bookmarkEnd w:id="358"/>
    <w:bookmarkEnd w:id="359"/>
    <w:bookmarkEnd w:id="361"/>
    <w:p w14:paraId="7B9B924E">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13.2.1竣工验收条件</w:t>
      </w:r>
    </w:p>
    <w:p w14:paraId="0F26B93B">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工程具备以下条件的，承包人可以申请竣工验收：</w:t>
      </w:r>
    </w:p>
    <w:p w14:paraId="1A15335D">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（1）除发包人同意的甩项工作和缺陷修补工作外，合同范围内的全部工程以及有关工作，包括合同要求的试验、试运行以及检验均已完成，并符合合同要求；</w:t>
      </w:r>
    </w:p>
    <w:p w14:paraId="438CB0EB">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（2）已按合同约定编制了甩项工作和缺陷修补工作清单以及相应的施工计划；</w:t>
      </w:r>
    </w:p>
    <w:p w14:paraId="1729B8C5">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（3）已按合同约定的内容和份数备齐竣工资料。</w:t>
      </w:r>
    </w:p>
    <w:p w14:paraId="120B3544">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13.2.2竣工验收程序</w:t>
      </w:r>
    </w:p>
    <w:p w14:paraId="4915D016">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除专用合同条款另有约定外，承包人申请竣工验收的，应当按照以下程序进行：</w:t>
      </w:r>
    </w:p>
    <w:p w14:paraId="5F100956">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02F98846">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2C2FCC2C">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（3）竣工验收合格的，发包人应在验收合格后14天内向承包人签发工程接收证书。发包人无正当理由逾期不颁发工程接收证书的，自验收合格后第15天起视为已颁发工程接收证书。</w:t>
      </w:r>
    </w:p>
    <w:p w14:paraId="0C4CDB61">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1EA789E0">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6A829187">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79E8A742">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13.2.3竣工日期</w:t>
      </w:r>
    </w:p>
    <w:p w14:paraId="175D91BF">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362" w:name="#go14"/>
      <w:bookmarkEnd w:id="362"/>
      <w:r>
        <w:rPr>
          <w:rFonts w:hint="eastAsia" w:ascii="方正仿宋_GB2312" w:hAnsi="方正仿宋_GB2312" w:eastAsia="方正仿宋_GB2312" w:cs="方正仿宋_GB2312"/>
          <w:color w:val="000000"/>
          <w:kern w:val="0"/>
          <w:sz w:val="24"/>
          <w:szCs w:val="24"/>
          <w:highlight w:val="none"/>
        </w:rPr>
        <w:t>收申请报告的日期为实际竣工日期；工程未经竣工验收，发包人擅自使用的，以转移占有工程之日为实际竣工日期。</w:t>
      </w:r>
    </w:p>
    <w:p w14:paraId="304CB5D8">
      <w:pPr>
        <w:spacing w:line="360" w:lineRule="exact"/>
        <w:ind w:firstLine="480" w:firstLineChars="200"/>
        <w:jc w:val="left"/>
        <w:outlineLvl w:val="0"/>
        <w:rPr>
          <w:rFonts w:hint="eastAsia" w:ascii="方正仿宋_GB2312" w:hAnsi="方正仿宋_GB2312" w:eastAsia="方正仿宋_GB2312" w:cs="方正仿宋_GB2312"/>
          <w:color w:val="000000"/>
          <w:kern w:val="0"/>
          <w:sz w:val="24"/>
          <w:szCs w:val="24"/>
          <w:highlight w:val="none"/>
        </w:rPr>
      </w:pPr>
      <w:bookmarkStart w:id="363" w:name="_Toc24710"/>
      <w:bookmarkStart w:id="364" w:name="_Toc25290"/>
      <w:bookmarkStart w:id="365" w:name="_Toc20901"/>
      <w:r>
        <w:rPr>
          <w:rFonts w:hint="eastAsia" w:ascii="方正仿宋_GB2312" w:hAnsi="方正仿宋_GB2312" w:eastAsia="方正仿宋_GB2312" w:cs="方正仿宋_GB2312"/>
          <w:color w:val="000000"/>
          <w:kern w:val="0"/>
          <w:sz w:val="24"/>
          <w:szCs w:val="24"/>
          <w:highlight w:val="none"/>
        </w:rPr>
        <w:t>13.2.4 拒绝接收全部或部分工程</w:t>
      </w:r>
      <w:bookmarkEnd w:id="363"/>
      <w:bookmarkEnd w:id="364"/>
      <w:bookmarkEnd w:id="365"/>
    </w:p>
    <w:p w14:paraId="3F9BC2D9">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72DA2F5">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13.2.5 移交、接收全部与部分工程</w:t>
      </w:r>
    </w:p>
    <w:p w14:paraId="75758A3D">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除专用合同条款另有约定外，合同当事人应当在颁发工程接收证书后7天内完成工程的移交。</w:t>
      </w:r>
    </w:p>
    <w:p w14:paraId="43000DE0">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35A77EBB">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3C34090F">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366" w:name="_Toc351203589"/>
      <w:bookmarkStart w:id="367" w:name="_Toc296503111"/>
      <w:bookmarkStart w:id="368" w:name="_Toc337558807"/>
      <w:bookmarkStart w:id="369" w:name="_Toc296346612"/>
      <w:r>
        <w:rPr>
          <w:rFonts w:hint="eastAsia" w:ascii="方正仿宋_GB2312" w:hAnsi="方正仿宋_GB2312" w:eastAsia="方正仿宋_GB2312" w:cs="方正仿宋_GB2312"/>
          <w:b w:val="0"/>
          <w:color w:val="000000"/>
          <w:sz w:val="24"/>
          <w:szCs w:val="24"/>
          <w:highlight w:val="none"/>
        </w:rPr>
        <w:t>13.3工程试车</w:t>
      </w:r>
      <w:bookmarkEnd w:id="366"/>
    </w:p>
    <w:bookmarkEnd w:id="367"/>
    <w:bookmarkEnd w:id="368"/>
    <w:bookmarkEnd w:id="369"/>
    <w:p w14:paraId="3637A6EA">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13.3.1试车程序</w:t>
      </w:r>
    </w:p>
    <w:p w14:paraId="2EB18376">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工程需要试车的，除专用合同条款另有约定外，试车内容应与承包人承包范围相一致，试车费用由承包人承担。工程试车应按如下程序进行：</w:t>
      </w:r>
    </w:p>
    <w:p w14:paraId="75AB5F43">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3B72FAAA">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26B598DA">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2EBB609A">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13.3.2 试车中的责任</w:t>
      </w:r>
    </w:p>
    <w:p w14:paraId="6A639409">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6849CBA4">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06BDE754">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13.3.3 投料试车</w:t>
      </w:r>
    </w:p>
    <w:p w14:paraId="20F0575F">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如需进行投料试车的，发包人应在工程竣工验收后组织投料试车。发包人要求在工程竣工验收前进行或需要承包人配合时，应征得承包人同意，并在专用合同条款中约定有关事项。</w:t>
      </w:r>
    </w:p>
    <w:p w14:paraId="73DCA6B8">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269AEB05">
      <w:pPr>
        <w:pStyle w:val="6"/>
        <w:spacing w:before="120" w:after="120" w:line="360" w:lineRule="exact"/>
        <w:rPr>
          <w:rFonts w:hint="eastAsia" w:ascii="方正仿宋_GB2312" w:hAnsi="方正仿宋_GB2312" w:eastAsia="方正仿宋_GB2312" w:cs="方正仿宋_GB2312"/>
          <w:b w:val="0"/>
          <w:color w:val="000000"/>
          <w:sz w:val="24"/>
          <w:szCs w:val="24"/>
          <w:highlight w:val="none"/>
        </w:rPr>
      </w:pPr>
      <w:bookmarkStart w:id="370" w:name="_Toc337558808"/>
      <w:r>
        <w:rPr>
          <w:rFonts w:hint="eastAsia" w:ascii="方正仿宋_GB2312" w:hAnsi="方正仿宋_GB2312" w:eastAsia="方正仿宋_GB2312" w:cs="方正仿宋_GB2312"/>
          <w:b w:val="0"/>
          <w:color w:val="000000"/>
          <w:sz w:val="24"/>
          <w:szCs w:val="24"/>
          <w:highlight w:val="none"/>
        </w:rPr>
        <w:t xml:space="preserve">    </w:t>
      </w:r>
      <w:bookmarkStart w:id="371" w:name="_Toc351203590"/>
      <w:r>
        <w:rPr>
          <w:rFonts w:hint="eastAsia" w:ascii="方正仿宋_GB2312" w:hAnsi="方正仿宋_GB2312" w:eastAsia="方正仿宋_GB2312" w:cs="方正仿宋_GB2312"/>
          <w:b w:val="0"/>
          <w:color w:val="000000"/>
          <w:sz w:val="24"/>
          <w:szCs w:val="24"/>
          <w:highlight w:val="none"/>
        </w:rPr>
        <w:t>13.4提前交付单位工程的验收</w:t>
      </w:r>
      <w:bookmarkEnd w:id="371"/>
    </w:p>
    <w:bookmarkEnd w:id="370"/>
    <w:p w14:paraId="27CAD5CC">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13.4.1 发包人需要在工程竣工前使用单位工程的，或承包人提出提前交付已经竣工的单位工程且经发包人同意的，可进行单位工程验收，验收的程序按照第13.2款〔竣工验收〕的约定进行。</w:t>
      </w:r>
    </w:p>
    <w:p w14:paraId="36C29C65">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6CCF628B">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13.4.2 发包人要求在工程竣工前交付单位工程，由此导致承包人费用增加和（或）工期延误的，由发包人承担由此增加的费用和（或）延误的工期，并支付承包人合理的利润。</w:t>
      </w:r>
    </w:p>
    <w:p w14:paraId="5DF8C74A">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372" w:name="_Toc351203591"/>
      <w:r>
        <w:rPr>
          <w:rFonts w:hint="eastAsia" w:ascii="方正仿宋_GB2312" w:hAnsi="方正仿宋_GB2312" w:eastAsia="方正仿宋_GB2312" w:cs="方正仿宋_GB2312"/>
          <w:b w:val="0"/>
          <w:color w:val="000000"/>
          <w:sz w:val="24"/>
          <w:szCs w:val="24"/>
          <w:highlight w:val="none"/>
        </w:rPr>
        <w:t>13.5 施工期运行</w:t>
      </w:r>
      <w:bookmarkEnd w:id="372"/>
    </w:p>
    <w:p w14:paraId="4E45C3A9">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5776B056">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13.5.2 在施工期运行中发现工程或工程设备损坏或存在缺陷的，由承包人按第15.2款〔缺陷责任期〕约定进行修复。</w:t>
      </w:r>
    </w:p>
    <w:p w14:paraId="395D93E4">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373" w:name="_Toc296346613"/>
      <w:bookmarkStart w:id="374" w:name="_Toc296503112"/>
      <w:bookmarkStart w:id="375" w:name="_Toc351203592"/>
      <w:bookmarkStart w:id="376" w:name="_Toc337558809"/>
      <w:r>
        <w:rPr>
          <w:rFonts w:hint="eastAsia" w:ascii="方正仿宋_GB2312" w:hAnsi="方正仿宋_GB2312" w:eastAsia="方正仿宋_GB2312" w:cs="方正仿宋_GB2312"/>
          <w:b w:val="0"/>
          <w:color w:val="000000"/>
          <w:sz w:val="24"/>
          <w:szCs w:val="24"/>
          <w:highlight w:val="none"/>
        </w:rPr>
        <w:t>13.6 竣工退</w:t>
      </w:r>
      <w:bookmarkEnd w:id="373"/>
      <w:bookmarkEnd w:id="374"/>
      <w:r>
        <w:rPr>
          <w:rFonts w:hint="eastAsia" w:ascii="方正仿宋_GB2312" w:hAnsi="方正仿宋_GB2312" w:eastAsia="方正仿宋_GB2312" w:cs="方正仿宋_GB2312"/>
          <w:b w:val="0"/>
          <w:color w:val="000000"/>
          <w:sz w:val="24"/>
          <w:szCs w:val="24"/>
          <w:highlight w:val="none"/>
        </w:rPr>
        <w:t>场</w:t>
      </w:r>
      <w:bookmarkEnd w:id="375"/>
    </w:p>
    <w:bookmarkEnd w:id="376"/>
    <w:p w14:paraId="37944BB7">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13.6.1 竣工退场</w:t>
      </w:r>
    </w:p>
    <w:p w14:paraId="34CCB74D">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颁发工程接收证书后，承包人应按以下要求对施工现场进行清理：</w:t>
      </w:r>
    </w:p>
    <w:p w14:paraId="6686B98C">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（1）施工现场内残留的垃圾已全部清除出场；</w:t>
      </w:r>
    </w:p>
    <w:p w14:paraId="60D3137A">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（2）临时工程已拆除，场地已进行清理、平整或复原；</w:t>
      </w:r>
    </w:p>
    <w:p w14:paraId="175B2F25">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（3）按合同约定应撤离的人员、承包人施工设备和剩余的材料，包括废弃的施工设备和材料，已按计划撤离施工现场；</w:t>
      </w:r>
    </w:p>
    <w:p w14:paraId="6CF3EF58">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（4）施工现场周边及其附近道路、河道的施工堆积物，已全部清理；</w:t>
      </w:r>
    </w:p>
    <w:p w14:paraId="71FB066F">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（5）施工现场其他场地清理工作已全部完成。</w:t>
      </w:r>
    </w:p>
    <w:p w14:paraId="5B6215BA">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51F00A0E">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13.6.2 地表还原</w:t>
      </w:r>
    </w:p>
    <w:p w14:paraId="0ABF9F2D">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248576C8">
      <w:pPr>
        <w:pStyle w:val="5"/>
        <w:spacing w:before="120" w:after="120" w:line="360" w:lineRule="exact"/>
        <w:rPr>
          <w:rFonts w:hint="eastAsia" w:ascii="方正仿宋_GB2312" w:hAnsi="方正仿宋_GB2312" w:eastAsia="方正仿宋_GB2312" w:cs="方正仿宋_GB2312"/>
          <w:b/>
          <w:bCs/>
          <w:color w:val="000000"/>
          <w:sz w:val="24"/>
          <w:szCs w:val="24"/>
          <w:highlight w:val="none"/>
        </w:rPr>
      </w:pPr>
      <w:bookmarkStart w:id="377" w:name="_Toc351203593"/>
      <w:bookmarkStart w:id="378" w:name="_Toc337558810"/>
      <w:bookmarkStart w:id="379" w:name="_Toc296503113"/>
      <w:bookmarkStart w:id="380" w:name="_Toc296346614"/>
      <w:r>
        <w:rPr>
          <w:rFonts w:hint="eastAsia" w:ascii="方正仿宋_GB2312" w:hAnsi="方正仿宋_GB2312" w:eastAsia="方正仿宋_GB2312" w:cs="方正仿宋_GB2312"/>
          <w:b/>
          <w:bCs/>
          <w:color w:val="000000"/>
          <w:sz w:val="24"/>
          <w:szCs w:val="24"/>
          <w:highlight w:val="none"/>
        </w:rPr>
        <w:t>14. 竣工结算</w:t>
      </w:r>
      <w:bookmarkEnd w:id="377"/>
    </w:p>
    <w:bookmarkEnd w:id="378"/>
    <w:p w14:paraId="7CE9C39E">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381" w:name="_Toc351203594"/>
      <w:bookmarkStart w:id="382" w:name="_Toc337558811"/>
      <w:r>
        <w:rPr>
          <w:rFonts w:hint="eastAsia" w:ascii="方正仿宋_GB2312" w:hAnsi="方正仿宋_GB2312" w:eastAsia="方正仿宋_GB2312" w:cs="方正仿宋_GB2312"/>
          <w:b w:val="0"/>
          <w:color w:val="000000"/>
          <w:sz w:val="24"/>
          <w:szCs w:val="24"/>
          <w:highlight w:val="none"/>
        </w:rPr>
        <w:t>14.1 竣工结算申请</w:t>
      </w:r>
      <w:bookmarkEnd w:id="381"/>
    </w:p>
    <w:bookmarkEnd w:id="382"/>
    <w:p w14:paraId="7DB3A482">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kern w:val="0"/>
          <w:sz w:val="24"/>
          <w:szCs w:val="24"/>
          <w:highlight w:val="none"/>
        </w:rPr>
        <w:t>除专用合同条款另有约定外，</w:t>
      </w:r>
      <w:r>
        <w:rPr>
          <w:rFonts w:hint="eastAsia" w:ascii="方正仿宋_GB2312" w:hAnsi="方正仿宋_GB2312" w:eastAsia="方正仿宋_GB2312" w:cs="方正仿宋_GB2312"/>
          <w:color w:val="000000"/>
          <w:sz w:val="24"/>
          <w:szCs w:val="24"/>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14:paraId="45ACED33">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除专用合同条款另有约定外，竣工结算申请单应包括以下内容：</w:t>
      </w:r>
    </w:p>
    <w:p w14:paraId="77B07BEF">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（1）竣工结算合同价格；</w:t>
      </w:r>
    </w:p>
    <w:p w14:paraId="0DC26903">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（2）发包人已支付承包人的款项；</w:t>
      </w:r>
    </w:p>
    <w:p w14:paraId="5FB8A265">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 xml:space="preserve">（3）应扣留的质量保证金。已缴纳履约保证金的或提供其他工程质量担保方式的除外； </w:t>
      </w:r>
    </w:p>
    <w:p w14:paraId="5325F7D1">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（4）发包人应支付承包人的合同价款。</w:t>
      </w:r>
    </w:p>
    <w:p w14:paraId="080576F4">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383" w:name="_Toc351203595"/>
      <w:bookmarkStart w:id="384" w:name="_Toc337558812"/>
      <w:r>
        <w:rPr>
          <w:rFonts w:hint="eastAsia" w:ascii="方正仿宋_GB2312" w:hAnsi="方正仿宋_GB2312" w:eastAsia="方正仿宋_GB2312" w:cs="方正仿宋_GB2312"/>
          <w:b w:val="0"/>
          <w:color w:val="000000"/>
          <w:sz w:val="24"/>
          <w:szCs w:val="24"/>
          <w:highlight w:val="none"/>
        </w:rPr>
        <w:t>14.2 竣工结算审核</w:t>
      </w:r>
      <w:bookmarkEnd w:id="383"/>
    </w:p>
    <w:bookmarkEnd w:id="384"/>
    <w:p w14:paraId="169EBCCD">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方正仿宋_GB2312" w:hAnsi="方正仿宋_GB2312" w:eastAsia="方正仿宋_GB2312" w:cs="方正仿宋_GB2312"/>
          <w:color w:val="000000"/>
          <w:sz w:val="24"/>
          <w:szCs w:val="24"/>
          <w:highlight w:val="none"/>
        </w:rPr>
        <w:t>发包人对竣工</w:t>
      </w:r>
      <w:r>
        <w:rPr>
          <w:rFonts w:hint="eastAsia" w:ascii="方正仿宋_GB2312" w:hAnsi="方正仿宋_GB2312" w:eastAsia="方正仿宋_GB2312" w:cs="方正仿宋_GB2312"/>
          <w:color w:val="000000"/>
          <w:kern w:val="0"/>
          <w:sz w:val="24"/>
          <w:szCs w:val="24"/>
          <w:highlight w:val="none"/>
        </w:rPr>
        <w:t>结算</w:t>
      </w:r>
      <w:r>
        <w:rPr>
          <w:rFonts w:hint="eastAsia" w:ascii="方正仿宋_GB2312" w:hAnsi="方正仿宋_GB2312" w:eastAsia="方正仿宋_GB2312" w:cs="方正仿宋_GB2312"/>
          <w:color w:val="000000"/>
          <w:sz w:val="24"/>
          <w:szCs w:val="24"/>
          <w:highlight w:val="none"/>
        </w:rPr>
        <w:t>申请单有异议的，有权要求承包人进行修正和提供补充资料，承包人应提交修正后的竣工</w:t>
      </w:r>
      <w:r>
        <w:rPr>
          <w:rFonts w:hint="eastAsia" w:ascii="方正仿宋_GB2312" w:hAnsi="方正仿宋_GB2312" w:eastAsia="方正仿宋_GB2312" w:cs="方正仿宋_GB2312"/>
          <w:color w:val="000000"/>
          <w:kern w:val="0"/>
          <w:sz w:val="24"/>
          <w:szCs w:val="24"/>
          <w:highlight w:val="none"/>
        </w:rPr>
        <w:t>结算</w:t>
      </w:r>
      <w:r>
        <w:rPr>
          <w:rFonts w:hint="eastAsia" w:ascii="方正仿宋_GB2312" w:hAnsi="方正仿宋_GB2312" w:eastAsia="方正仿宋_GB2312" w:cs="方正仿宋_GB2312"/>
          <w:color w:val="000000"/>
          <w:sz w:val="24"/>
          <w:szCs w:val="24"/>
          <w:highlight w:val="none"/>
        </w:rPr>
        <w:t>申请单。</w:t>
      </w:r>
    </w:p>
    <w:p w14:paraId="0EB68975">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5B429004">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66ACB678">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6E1D2D16">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385" w:name="_Toc351203596"/>
      <w:bookmarkStart w:id="386" w:name="_Toc337558813"/>
      <w:r>
        <w:rPr>
          <w:rFonts w:hint="eastAsia" w:ascii="方正仿宋_GB2312" w:hAnsi="方正仿宋_GB2312" w:eastAsia="方正仿宋_GB2312" w:cs="方正仿宋_GB2312"/>
          <w:b w:val="0"/>
          <w:color w:val="000000"/>
          <w:sz w:val="24"/>
          <w:szCs w:val="24"/>
          <w:highlight w:val="none"/>
        </w:rPr>
        <w:t>14.3 甩项竣工协议</w:t>
      </w:r>
      <w:bookmarkEnd w:id="385"/>
    </w:p>
    <w:bookmarkEnd w:id="386"/>
    <w:p w14:paraId="69DEEFFE">
      <w:pPr>
        <w:autoSpaceDE w:val="0"/>
        <w:autoSpaceDN w:val="0"/>
        <w:adjustRightInd w:val="0"/>
        <w:spacing w:line="360" w:lineRule="exact"/>
        <w:ind w:firstLine="470" w:firstLineChars="196"/>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sz w:val="24"/>
          <w:szCs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345E28D9">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387" w:name="_Toc351203597"/>
      <w:bookmarkStart w:id="388" w:name="_Toc337558814"/>
      <w:r>
        <w:rPr>
          <w:rFonts w:hint="eastAsia" w:ascii="方正仿宋_GB2312" w:hAnsi="方正仿宋_GB2312" w:eastAsia="方正仿宋_GB2312" w:cs="方正仿宋_GB2312"/>
          <w:b w:val="0"/>
          <w:color w:val="000000"/>
          <w:sz w:val="24"/>
          <w:szCs w:val="24"/>
          <w:highlight w:val="none"/>
        </w:rPr>
        <w:t>14.4 最终结清</w:t>
      </w:r>
      <w:bookmarkEnd w:id="387"/>
    </w:p>
    <w:bookmarkEnd w:id="388"/>
    <w:p w14:paraId="4202C32C">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14.4.1 最终结清申请单</w:t>
      </w:r>
    </w:p>
    <w:p w14:paraId="37EED002">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（1）除专用合同条款另有约定外，承包人应在缺陷责任期终止证书颁发后7天内，按专用合同条款约定的份数向发包人提交最终结清申请单，并提供相关证明材料。</w:t>
      </w:r>
    </w:p>
    <w:p w14:paraId="212D329E">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除专用合同条款另有约定外，</w:t>
      </w:r>
      <w:r>
        <w:rPr>
          <w:rFonts w:hint="eastAsia" w:ascii="方正仿宋_GB2312" w:hAnsi="方正仿宋_GB2312" w:eastAsia="方正仿宋_GB2312" w:cs="方正仿宋_GB2312"/>
          <w:color w:val="000000"/>
          <w:kern w:val="0"/>
          <w:sz w:val="24"/>
          <w:szCs w:val="24"/>
          <w:highlight w:val="none"/>
        </w:rPr>
        <w:t>最终结清申请单</w:t>
      </w:r>
      <w:r>
        <w:rPr>
          <w:rFonts w:hint="eastAsia" w:ascii="方正仿宋_GB2312" w:hAnsi="方正仿宋_GB2312" w:eastAsia="方正仿宋_GB2312" w:cs="方正仿宋_GB2312"/>
          <w:color w:val="000000"/>
          <w:sz w:val="24"/>
          <w:szCs w:val="24"/>
          <w:highlight w:val="none"/>
        </w:rPr>
        <w:t>应列明质量保证金、应扣除的质量保证金、缺陷责任期内发生的增减费用。</w:t>
      </w:r>
    </w:p>
    <w:p w14:paraId="37BDB079">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（2）发包人对最终结清申请单内容有异议的，有权要求承包人进行修正和提供补充资料，承包人应向发包人提交修正后的最终结清申请单。</w:t>
      </w:r>
    </w:p>
    <w:p w14:paraId="3CC7572B">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14.4.2 最终结清证书和支付</w:t>
      </w:r>
    </w:p>
    <w:p w14:paraId="10B15D72">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1B65BC2F">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1003987B">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（3）承包人对发包人颁发的最终结清证书有异议的，按第20条〔争议解决〕的约定办理。</w:t>
      </w:r>
    </w:p>
    <w:p w14:paraId="3B993A90">
      <w:pPr>
        <w:pStyle w:val="5"/>
        <w:spacing w:before="120" w:after="120" w:line="360" w:lineRule="exact"/>
        <w:rPr>
          <w:rFonts w:hint="eastAsia" w:ascii="方正仿宋_GB2312" w:hAnsi="方正仿宋_GB2312" w:eastAsia="方正仿宋_GB2312" w:cs="方正仿宋_GB2312"/>
          <w:b/>
          <w:bCs/>
          <w:color w:val="000000"/>
          <w:sz w:val="24"/>
          <w:szCs w:val="24"/>
          <w:highlight w:val="none"/>
        </w:rPr>
      </w:pPr>
      <w:bookmarkStart w:id="389" w:name="_Toc351203598"/>
      <w:bookmarkStart w:id="390" w:name="_Toc337558815"/>
      <w:r>
        <w:rPr>
          <w:rFonts w:hint="eastAsia" w:ascii="方正仿宋_GB2312" w:hAnsi="方正仿宋_GB2312" w:eastAsia="方正仿宋_GB2312" w:cs="方正仿宋_GB2312"/>
          <w:b/>
          <w:bCs/>
          <w:color w:val="000000"/>
          <w:sz w:val="24"/>
          <w:szCs w:val="24"/>
          <w:highlight w:val="none"/>
        </w:rPr>
        <w:t>15. 缺陷责任与保修</w:t>
      </w:r>
      <w:bookmarkEnd w:id="389"/>
    </w:p>
    <w:bookmarkEnd w:id="379"/>
    <w:bookmarkEnd w:id="380"/>
    <w:bookmarkEnd w:id="390"/>
    <w:p w14:paraId="7874DD5A">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391" w:name="_Toc351203599"/>
      <w:bookmarkStart w:id="392" w:name="_Toc337558816"/>
      <w:bookmarkStart w:id="393" w:name="_Toc296503114"/>
      <w:bookmarkStart w:id="394" w:name="_Toc296346615"/>
      <w:r>
        <w:rPr>
          <w:rFonts w:hint="eastAsia" w:ascii="方正仿宋_GB2312" w:hAnsi="方正仿宋_GB2312" w:eastAsia="方正仿宋_GB2312" w:cs="方正仿宋_GB2312"/>
          <w:b w:val="0"/>
          <w:color w:val="000000"/>
          <w:sz w:val="24"/>
          <w:szCs w:val="24"/>
          <w:highlight w:val="none"/>
        </w:rPr>
        <w:t>15.1 工程保修的原则</w:t>
      </w:r>
      <w:bookmarkEnd w:id="391"/>
    </w:p>
    <w:bookmarkEnd w:id="392"/>
    <w:p w14:paraId="3DA240F3">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在工程移交发包人后，因承包人原因产生的质量缺陷，承包人应承担质量缺陷责任和保修义务。缺陷责任期届满，承包人仍应按合同约定的工程各部位保修年限承担保修义务。</w:t>
      </w:r>
    </w:p>
    <w:p w14:paraId="0AA554BB">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395" w:name="_Toc351203600"/>
      <w:bookmarkStart w:id="396" w:name="_Toc337558817"/>
      <w:r>
        <w:rPr>
          <w:rFonts w:hint="eastAsia" w:ascii="方正仿宋_GB2312" w:hAnsi="方正仿宋_GB2312" w:eastAsia="方正仿宋_GB2312" w:cs="方正仿宋_GB2312"/>
          <w:b w:val="0"/>
          <w:color w:val="000000"/>
          <w:sz w:val="24"/>
          <w:szCs w:val="24"/>
          <w:highlight w:val="none"/>
        </w:rPr>
        <w:t>15.2 缺陷责任期</w:t>
      </w:r>
      <w:bookmarkEnd w:id="393"/>
      <w:bookmarkEnd w:id="394"/>
      <w:bookmarkEnd w:id="395"/>
    </w:p>
    <w:bookmarkEnd w:id="396"/>
    <w:p w14:paraId="6F5E6D9E">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15.2.1 缺陷责任期从工程通过竣工验收之日起计算，合同当事人应在专用合同条款约定缺陷责任期的具体期限，但该期限最长不超过24个月。</w:t>
      </w:r>
    </w:p>
    <w:p w14:paraId="41564C3D">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432A9662">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方正仿宋_GB2312" w:hAnsi="方正仿宋_GB2312" w:eastAsia="方正仿宋_GB2312" w:cs="方正仿宋_GB2312"/>
          <w:bCs/>
          <w:color w:val="000000"/>
          <w:sz w:val="24"/>
          <w:szCs w:val="24"/>
          <w:highlight w:val="none"/>
        </w:rPr>
        <w:t>包人延长缺陷责任期，</w:t>
      </w:r>
      <w:r>
        <w:rPr>
          <w:rFonts w:hint="eastAsia" w:ascii="方正仿宋_GB2312" w:hAnsi="方正仿宋_GB2312" w:eastAsia="方正仿宋_GB2312" w:cs="方正仿宋_GB2312"/>
          <w:color w:val="000000"/>
          <w:kern w:val="0"/>
          <w:sz w:val="24"/>
          <w:szCs w:val="24"/>
          <w:highlight w:val="none"/>
        </w:rPr>
        <w:t>并应在原缺陷责任期届满前发出延长通知。</w:t>
      </w:r>
      <w:r>
        <w:rPr>
          <w:rFonts w:hint="eastAsia" w:ascii="方正仿宋_GB2312" w:hAnsi="方正仿宋_GB2312" w:eastAsia="方正仿宋_GB2312" w:cs="方正仿宋_GB2312"/>
          <w:bCs/>
          <w:color w:val="000000"/>
          <w:sz w:val="24"/>
          <w:szCs w:val="24"/>
          <w:highlight w:val="none"/>
        </w:rPr>
        <w:t>但缺陷责任期（含延长部分）最长</w:t>
      </w:r>
      <w:r>
        <w:rPr>
          <w:rFonts w:hint="eastAsia" w:ascii="方正仿宋_GB2312" w:hAnsi="方正仿宋_GB2312" w:eastAsia="方正仿宋_GB2312" w:cs="方正仿宋_GB2312"/>
          <w:color w:val="000000"/>
          <w:kern w:val="0"/>
          <w:sz w:val="24"/>
          <w:szCs w:val="24"/>
          <w:highlight w:val="none"/>
        </w:rPr>
        <w:t>不能超过24个月。</w:t>
      </w:r>
    </w:p>
    <w:p w14:paraId="796996F7">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由他人原因造成的缺陷，发包人负责组织维修，承包人不承担费用，且发包人不得从保证金中扣除费用。</w:t>
      </w:r>
    </w:p>
    <w:p w14:paraId="54D903A4">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15.2.3 任何一项缺陷或损坏修复后，经检查证明其影响了工程或工程设备的使用性能，承包人应重新进行合同约定的试验和试运行，试验和试运行的全部费用应由责任方承担。</w:t>
      </w:r>
    </w:p>
    <w:p w14:paraId="7B36D94F">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2C93E9BA">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397" w:name="_Toc351203601"/>
      <w:bookmarkStart w:id="398" w:name="_Toc337558818"/>
      <w:bookmarkStart w:id="399" w:name="_Toc296346616"/>
      <w:bookmarkStart w:id="400" w:name="_Toc296503115"/>
      <w:r>
        <w:rPr>
          <w:rFonts w:hint="eastAsia" w:ascii="方正仿宋_GB2312" w:hAnsi="方正仿宋_GB2312" w:eastAsia="方正仿宋_GB2312" w:cs="方正仿宋_GB2312"/>
          <w:b w:val="0"/>
          <w:color w:val="000000"/>
          <w:sz w:val="24"/>
          <w:szCs w:val="24"/>
          <w:highlight w:val="none"/>
        </w:rPr>
        <w:t>15.3 质量保证金</w:t>
      </w:r>
      <w:bookmarkEnd w:id="397"/>
    </w:p>
    <w:bookmarkEnd w:id="398"/>
    <w:p w14:paraId="2673F95B">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经合同当事人协商一致扣留质量保证金的，应在专用合同条款中予以明确。</w:t>
      </w:r>
    </w:p>
    <w:p w14:paraId="198992C9">
      <w:pPr>
        <w:spacing w:line="360" w:lineRule="exact"/>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在工程项目竣工前，承包人已经提供履约担保的，发包人不得同时预留工程质量保证金。</w:t>
      </w:r>
    </w:p>
    <w:p w14:paraId="62E189D8">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p>
    <w:p w14:paraId="4BD76A26">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15.3.1 承包人提供质量保证金的方式</w:t>
      </w:r>
    </w:p>
    <w:p w14:paraId="733292A7">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承包人提供质量保证金有以下三种方式：</w:t>
      </w:r>
    </w:p>
    <w:p w14:paraId="78C262C8">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 xml:space="preserve">（1）质量保证金保函； </w:t>
      </w:r>
    </w:p>
    <w:p w14:paraId="3FF5EC90">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（2）相应比例的工程款；</w:t>
      </w:r>
    </w:p>
    <w:p w14:paraId="1555EC0F">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（3）双方约定的其他方式。</w:t>
      </w:r>
    </w:p>
    <w:p w14:paraId="030F77C1">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除专用合同条款另有约定外，质量保证金原则上采用上述第（1）种方式。</w:t>
      </w:r>
    </w:p>
    <w:p w14:paraId="7F481873">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15.3.2 质量保证金的扣留</w:t>
      </w:r>
    </w:p>
    <w:p w14:paraId="21767E3D">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质量保证金的扣留有以下三种方式：</w:t>
      </w:r>
    </w:p>
    <w:p w14:paraId="69A3393A">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（1）在支付工程进度款时逐次扣留，在此情形下，质量保证金的计算基数不包括预付款的支付、扣回以及价格调整的金额；</w:t>
      </w:r>
    </w:p>
    <w:p w14:paraId="5A2E2D9B">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（2）工</w:t>
      </w:r>
      <w:bookmarkStart w:id="401" w:name="#go6"/>
      <w:bookmarkEnd w:id="401"/>
      <w:r>
        <w:rPr>
          <w:rFonts w:hint="eastAsia" w:ascii="方正仿宋_GB2312" w:hAnsi="方正仿宋_GB2312" w:eastAsia="方正仿宋_GB2312" w:cs="方正仿宋_GB2312"/>
          <w:color w:val="000000"/>
          <w:kern w:val="0"/>
          <w:sz w:val="24"/>
          <w:szCs w:val="24"/>
          <w:highlight w:val="none"/>
        </w:rPr>
        <w:t>程竣工结算时一次性扣留质量保证金；</w:t>
      </w:r>
    </w:p>
    <w:p w14:paraId="3D3E578E">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（3）双方约定的其他扣留方式。</w:t>
      </w:r>
    </w:p>
    <w:p w14:paraId="5ACBA451">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除专用合同条款另有约定外，质量保证金的扣留原则上采用上述第（1）种方式。</w:t>
      </w:r>
    </w:p>
    <w:p w14:paraId="0248FC98">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w:t>
      </w:r>
      <w:bookmarkStart w:id="402" w:name="#go4"/>
      <w:bookmarkEnd w:id="402"/>
      <w:r>
        <w:rPr>
          <w:rFonts w:hint="eastAsia" w:ascii="方正仿宋_GB2312" w:hAnsi="方正仿宋_GB2312" w:eastAsia="方正仿宋_GB2312" w:cs="方正仿宋_GB2312"/>
          <w:color w:val="000000"/>
          <w:kern w:val="0"/>
          <w:sz w:val="24"/>
          <w:szCs w:val="24"/>
          <w:highlight w:val="none"/>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3207314C">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发包人在退还质量保证金的同时按照中国人民银行发布的同期同类贷款基准利率支付利息。</w:t>
      </w:r>
    </w:p>
    <w:p w14:paraId="58B76E1D">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 xml:space="preserve">15.3.3 </w:t>
      </w:r>
      <w:r>
        <w:rPr>
          <w:rFonts w:hint="eastAsia" w:ascii="方正仿宋_GB2312" w:hAnsi="方正仿宋_GB2312" w:eastAsia="方正仿宋_GB2312" w:cs="方正仿宋_GB2312"/>
          <w:color w:val="000000"/>
          <w:sz w:val="24"/>
          <w:szCs w:val="24"/>
          <w:highlight w:val="none"/>
        </w:rPr>
        <w:t>质量保证金</w:t>
      </w:r>
      <w:r>
        <w:rPr>
          <w:rFonts w:hint="eastAsia" w:ascii="方正仿宋_GB2312" w:hAnsi="方正仿宋_GB2312" w:eastAsia="方正仿宋_GB2312" w:cs="方正仿宋_GB2312"/>
          <w:color w:val="000000"/>
          <w:kern w:val="0"/>
          <w:sz w:val="24"/>
          <w:szCs w:val="24"/>
          <w:highlight w:val="none"/>
        </w:rPr>
        <w:t>的退还</w:t>
      </w:r>
    </w:p>
    <w:p w14:paraId="1829C48C">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缺陷责任期内，承包人认真履行合同约定的责任，到期后，承包人可向发包人申请返还保证金。</w:t>
      </w:r>
    </w:p>
    <w:p w14:paraId="7E6E6DA3">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265927F6">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发包人和承包人对保证金预留、返还以及工程维修质量、费用有争议的，按本合同第20条约定的争议和纠纷解决程序处理。</w:t>
      </w:r>
    </w:p>
    <w:p w14:paraId="21D12372">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403" w:name="_Toc351203602"/>
      <w:bookmarkStart w:id="404" w:name="_Toc337558819"/>
      <w:r>
        <w:rPr>
          <w:rFonts w:hint="eastAsia" w:ascii="方正仿宋_GB2312" w:hAnsi="方正仿宋_GB2312" w:eastAsia="方正仿宋_GB2312" w:cs="方正仿宋_GB2312"/>
          <w:b w:val="0"/>
          <w:color w:val="000000"/>
          <w:sz w:val="24"/>
          <w:szCs w:val="24"/>
          <w:highlight w:val="none"/>
        </w:rPr>
        <w:t>15.4 保修</w:t>
      </w:r>
      <w:bookmarkEnd w:id="403"/>
    </w:p>
    <w:bookmarkEnd w:id="399"/>
    <w:bookmarkEnd w:id="400"/>
    <w:bookmarkEnd w:id="404"/>
    <w:p w14:paraId="50088F5E">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15.4.1保修责任</w:t>
      </w:r>
    </w:p>
    <w:p w14:paraId="519D81D3">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482EF0F5">
      <w:pPr>
        <w:spacing w:line="360" w:lineRule="exact"/>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发包人未经竣工验收擅自使用工程的，保修期自</w:t>
      </w:r>
      <w:r>
        <w:rPr>
          <w:rFonts w:hint="eastAsia" w:ascii="方正仿宋_GB2312" w:hAnsi="方正仿宋_GB2312" w:eastAsia="方正仿宋_GB2312" w:cs="方正仿宋_GB2312"/>
          <w:color w:val="000000"/>
          <w:kern w:val="0"/>
          <w:sz w:val="24"/>
          <w:szCs w:val="24"/>
          <w:highlight w:val="none"/>
        </w:rPr>
        <w:t>转移占有之日起算</w:t>
      </w:r>
      <w:r>
        <w:rPr>
          <w:rFonts w:hint="eastAsia" w:ascii="方正仿宋_GB2312" w:hAnsi="方正仿宋_GB2312" w:eastAsia="方正仿宋_GB2312" w:cs="方正仿宋_GB2312"/>
          <w:color w:val="000000"/>
          <w:sz w:val="24"/>
          <w:szCs w:val="24"/>
          <w:highlight w:val="none"/>
        </w:rPr>
        <w:t>。</w:t>
      </w:r>
    </w:p>
    <w:p w14:paraId="374C48ED">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15.4.2 修复费用</w:t>
      </w:r>
    </w:p>
    <w:p w14:paraId="04C3320F">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保修期内，修复的费用按照以下约定处理：</w:t>
      </w:r>
    </w:p>
    <w:p w14:paraId="4235AAC2">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（1）保修期内，因承包人原因造成工程的缺陷、损坏，承包人应负责修复，并承担修复的费用以及因工程的缺陷、损坏造成的人身伤害和财产损失；</w:t>
      </w:r>
    </w:p>
    <w:p w14:paraId="4983496D">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（2）保修期内，因发包人使用不当造成工程的缺陷、损坏，可以委托承包人修复，但发包人应承担修复的费用，并支付承包人合理利润；</w:t>
      </w:r>
    </w:p>
    <w:p w14:paraId="1DEF0A48">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（3）因其他原因造成工程的缺陷、损坏，可以委托承包人修复，发包人应承担修复的费用，并支付承包人合理的利润，因工程的缺陷、损坏造成的人身伤害和财产损失由责任方承担。</w:t>
      </w:r>
    </w:p>
    <w:p w14:paraId="587E16FA">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15.4.3 修复通知</w:t>
      </w:r>
    </w:p>
    <w:p w14:paraId="4587F8F0">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6B997AA0">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15.4.4 未能修复</w:t>
      </w:r>
    </w:p>
    <w:p w14:paraId="36139BCA">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31AFB836">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15.4.5 承包人出入权</w:t>
      </w:r>
    </w:p>
    <w:p w14:paraId="0D6638E0">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6E855436">
      <w:pPr>
        <w:pStyle w:val="5"/>
        <w:spacing w:before="120" w:after="120" w:line="360" w:lineRule="exact"/>
        <w:rPr>
          <w:rFonts w:hint="eastAsia" w:ascii="方正仿宋_GB2312" w:hAnsi="方正仿宋_GB2312" w:eastAsia="方正仿宋_GB2312" w:cs="方正仿宋_GB2312"/>
          <w:b/>
          <w:bCs/>
          <w:color w:val="000000"/>
          <w:sz w:val="24"/>
          <w:szCs w:val="24"/>
          <w:highlight w:val="none"/>
        </w:rPr>
      </w:pPr>
      <w:bookmarkStart w:id="405" w:name="_Toc351203603"/>
      <w:bookmarkStart w:id="406" w:name="_Toc337558820"/>
      <w:r>
        <w:rPr>
          <w:rFonts w:hint="eastAsia" w:ascii="方正仿宋_GB2312" w:hAnsi="方正仿宋_GB2312" w:eastAsia="方正仿宋_GB2312" w:cs="方正仿宋_GB2312"/>
          <w:b/>
          <w:bCs/>
          <w:color w:val="000000"/>
          <w:sz w:val="24"/>
          <w:szCs w:val="24"/>
          <w:highlight w:val="none"/>
        </w:rPr>
        <w:t>16. 违约</w:t>
      </w:r>
      <w:bookmarkEnd w:id="405"/>
    </w:p>
    <w:bookmarkEnd w:id="406"/>
    <w:p w14:paraId="1CC52AFE">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407" w:name="_Toc296503129"/>
      <w:bookmarkStart w:id="408" w:name="_Toc296346630"/>
      <w:bookmarkStart w:id="409" w:name="_Toc351203604"/>
      <w:bookmarkStart w:id="410" w:name="_Toc337558821"/>
      <w:r>
        <w:rPr>
          <w:rFonts w:hint="eastAsia" w:ascii="方正仿宋_GB2312" w:hAnsi="方正仿宋_GB2312" w:eastAsia="方正仿宋_GB2312" w:cs="方正仿宋_GB2312"/>
          <w:b w:val="0"/>
          <w:color w:val="000000"/>
          <w:sz w:val="24"/>
          <w:szCs w:val="24"/>
          <w:highlight w:val="none"/>
        </w:rPr>
        <w:t>16.1 发</w:t>
      </w:r>
      <w:bookmarkEnd w:id="407"/>
      <w:bookmarkEnd w:id="408"/>
      <w:r>
        <w:rPr>
          <w:rFonts w:hint="eastAsia" w:ascii="方正仿宋_GB2312" w:hAnsi="方正仿宋_GB2312" w:eastAsia="方正仿宋_GB2312" w:cs="方正仿宋_GB2312"/>
          <w:b w:val="0"/>
          <w:color w:val="000000"/>
          <w:sz w:val="24"/>
          <w:szCs w:val="24"/>
          <w:highlight w:val="none"/>
        </w:rPr>
        <w:t>包人违约</w:t>
      </w:r>
      <w:bookmarkEnd w:id="409"/>
    </w:p>
    <w:bookmarkEnd w:id="410"/>
    <w:p w14:paraId="766CB82F">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16.1.1 发包人违约的情形</w:t>
      </w:r>
    </w:p>
    <w:p w14:paraId="1C357061">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在合同履行过程中发生的下列情形，属于发包人违约：</w:t>
      </w:r>
    </w:p>
    <w:p w14:paraId="53CCF647">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（1）因发包人原因未能在计划开工日期前7天内下达开工通知的；</w:t>
      </w:r>
    </w:p>
    <w:p w14:paraId="328E9965">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（2）因发包人原因未能按合同约定支付合同价款的；</w:t>
      </w:r>
    </w:p>
    <w:p w14:paraId="65C42797">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（3）发包人违反第10.1款〔变更的范围〕第（2）项约定，自行实施被取消的工作或转由他人实施的；</w:t>
      </w:r>
    </w:p>
    <w:p w14:paraId="5D6D72B8">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（4）发包人提供的材料、工程设备的规格、数量或质量不符合合同约定，或因发包人原因导致交货日期延误或交货地点变更等情况的；</w:t>
      </w:r>
    </w:p>
    <w:p w14:paraId="3D61B930">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（5）因发包人违反合同约定造成暂停施工的；</w:t>
      </w:r>
    </w:p>
    <w:p w14:paraId="1042A2EF">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（6）发包人无正当理由没有在约定期限内发出复工指示，导致承包人无法复工的；</w:t>
      </w:r>
    </w:p>
    <w:p w14:paraId="05353177">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（7）发包人明确表示或者以其行为表明不履行合同主要义务的；</w:t>
      </w:r>
    </w:p>
    <w:p w14:paraId="388FA473">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（8）发包人未能按照合同约定履行其他义务的。</w:t>
      </w:r>
    </w:p>
    <w:p w14:paraId="30E200E0">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0B0BACD8">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16.1.2 发包人违约的责任</w:t>
      </w:r>
    </w:p>
    <w:p w14:paraId="537C1539">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发包人应承担因其违约给承包人增加的费用和（或）延误的工期，并支付承包人合理的利润。此外，合同当事人可在专用合同条款中另行约定发包人违约责任的承担方式和计算方法。</w:t>
      </w:r>
    </w:p>
    <w:p w14:paraId="0B812CF9">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16.1.3 因发包人违约解除合同</w:t>
      </w:r>
    </w:p>
    <w:p w14:paraId="17281C33">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098BE8BE">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kern w:val="0"/>
          <w:sz w:val="24"/>
          <w:szCs w:val="24"/>
          <w:highlight w:val="none"/>
        </w:rPr>
        <w:t>16.1.4 因发包人违约解除合同后的付款</w:t>
      </w:r>
    </w:p>
    <w:p w14:paraId="0F7BCA73">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承包人按照本款约定解除合同的，发包人应在解除合同后28天内支付下列款项，并解除履约担保：</w:t>
      </w:r>
    </w:p>
    <w:p w14:paraId="31991059">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（1）合同解除前所完成工作的价款；</w:t>
      </w:r>
    </w:p>
    <w:p w14:paraId="4D21AB5F">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（2）承包人为工程施工订购并已付款的材料、工程设备和其他物品的价款；</w:t>
      </w:r>
    </w:p>
    <w:p w14:paraId="6936610E">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（3）承包人撤离施工现场以及遣散承包人人员的款项；</w:t>
      </w:r>
    </w:p>
    <w:p w14:paraId="54284889">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（4）按照合同约定在合同解除前应支付的违约金；</w:t>
      </w:r>
    </w:p>
    <w:p w14:paraId="138E13F5">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（5）按照合同约定应当支付给承包人的其他款项；</w:t>
      </w:r>
    </w:p>
    <w:p w14:paraId="75D9486B">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（6）按照合同约定应退还的质量保证金；</w:t>
      </w:r>
    </w:p>
    <w:p w14:paraId="7BE9BDD8">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（7）因解除合同给承包人造成的损失。</w:t>
      </w:r>
    </w:p>
    <w:p w14:paraId="39646B6D">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合同当事人未能就解除合同后的结清达成一致的，按照第20条〔争议解决〕的约定处理。</w:t>
      </w:r>
    </w:p>
    <w:p w14:paraId="76476C4A">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承包人应妥善做好已完工程和与工程有关的已购材料、工程设备的保护和移交工作，并将施工设备和人员撤出施工现场，发包人应为承包人撤出提供必要条件。</w:t>
      </w:r>
    </w:p>
    <w:p w14:paraId="6B9DB33C">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411" w:name="_Toc351203605"/>
      <w:bookmarkStart w:id="412" w:name="_Toc296346632"/>
      <w:bookmarkStart w:id="413" w:name="_Toc296503131"/>
      <w:bookmarkStart w:id="414" w:name="_Toc337558822"/>
      <w:r>
        <w:rPr>
          <w:rFonts w:hint="eastAsia" w:ascii="方正仿宋_GB2312" w:hAnsi="方正仿宋_GB2312" w:eastAsia="方正仿宋_GB2312" w:cs="方正仿宋_GB2312"/>
          <w:b w:val="0"/>
          <w:color w:val="000000"/>
          <w:sz w:val="24"/>
          <w:szCs w:val="24"/>
          <w:highlight w:val="none"/>
        </w:rPr>
        <w:t>16.2 承包人违约</w:t>
      </w:r>
      <w:bookmarkEnd w:id="411"/>
    </w:p>
    <w:bookmarkEnd w:id="412"/>
    <w:bookmarkEnd w:id="413"/>
    <w:bookmarkEnd w:id="414"/>
    <w:p w14:paraId="7899C218">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16.2.1 承包人违约的情形</w:t>
      </w:r>
    </w:p>
    <w:p w14:paraId="5B086A45">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在合同履行过程中发生的下列情形，属于承包人违约：</w:t>
      </w:r>
    </w:p>
    <w:p w14:paraId="2F56FD9E">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（1）承包人违反合同约定进行转包或违法分包的；</w:t>
      </w:r>
    </w:p>
    <w:p w14:paraId="40BC71BB">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（2）承包人违反合同约定采购和使用不合格的材料和工程设备的；</w:t>
      </w:r>
    </w:p>
    <w:p w14:paraId="455D8B99">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 xml:space="preserve">（3）因承包人原因导致工程质量不符合合同要求的； </w:t>
      </w:r>
    </w:p>
    <w:p w14:paraId="545B2AF9">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（4）承包人违反第8.9款〔材料与设备专用要求〕的约定，未经批准，私自将已按照合同约定进入施工现场的材料或设备撤离施工现场的；</w:t>
      </w:r>
    </w:p>
    <w:p w14:paraId="792722E7">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（5）承包人未能按施工进度计划及时完成合同约定的工作，造成工期延误的；</w:t>
      </w:r>
    </w:p>
    <w:p w14:paraId="77FC6B0D">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（6）承包人在缺陷责任期及保修期内，未能在合理期限对工程缺陷进行修复，或拒绝按发包人要求进行修复的；</w:t>
      </w:r>
    </w:p>
    <w:p w14:paraId="1F8A02F2">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（7）承包人明确表示或者以其行为表明不履行合同主要义务的；</w:t>
      </w:r>
    </w:p>
    <w:p w14:paraId="57203394">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（8）承包人未能按照合同约定履行其他义务的。</w:t>
      </w:r>
    </w:p>
    <w:p w14:paraId="4A70E087">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承包人发生除本项第（7）目约定以外的其他违约情况时，监理人可向承包人发出整改通知，要求其在指定的期限内改正。</w:t>
      </w:r>
    </w:p>
    <w:p w14:paraId="16373243">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16.2.2 承包人违约的责任</w:t>
      </w:r>
    </w:p>
    <w:p w14:paraId="61AA59F8">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承包人应承担因其违约行为而增加的费用和（或）延误的工期。此外，合同当事人可在专用合同条款中另行约定承包人违约责任的承担方式和计算方法。</w:t>
      </w:r>
    </w:p>
    <w:p w14:paraId="400F283A">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16.2.3 因承包人违约解除合同</w:t>
      </w:r>
    </w:p>
    <w:p w14:paraId="3AA9742E">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466DB227">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16.2.4因承包人违约解除合同后的处理</w:t>
      </w:r>
    </w:p>
    <w:p w14:paraId="46841FC6">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因承包人原因导致合同解除的，则合同当事人应在合同解除后28天内完成估价、付款和清算，并按以下约定执行：</w:t>
      </w:r>
    </w:p>
    <w:p w14:paraId="79B06C09">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（1）合同解除后，按第4.4款〔商定或确定〕商定或确定承包人实际完成工作对应的合同价款，以及承包人已提供的材料、工程设备、施工设备和临时工程等的价值；</w:t>
      </w:r>
    </w:p>
    <w:p w14:paraId="7E01F964">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（2）合同解除后，承包人应支付的违约金；</w:t>
      </w:r>
    </w:p>
    <w:p w14:paraId="27EDF4EB">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（3）合同解除后，因解除合同给发包人造成的损失；</w:t>
      </w:r>
    </w:p>
    <w:p w14:paraId="249B4BDD">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（4）合同解除后，承包人应按照发包人要求和监理人的指示完成现场的清理和撤离；</w:t>
      </w:r>
    </w:p>
    <w:p w14:paraId="313205F6">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（5）发包人和承包人应在合同解除后进行清算，出具最终结清付款证书，结清全部款项。</w:t>
      </w:r>
    </w:p>
    <w:p w14:paraId="189C7A98">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0FF745C6">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16.2.5采购合同权益转让</w:t>
      </w:r>
    </w:p>
    <w:p w14:paraId="730CD2F1">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3006CC81">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415" w:name="_Toc351203606"/>
      <w:r>
        <w:rPr>
          <w:rFonts w:hint="eastAsia" w:ascii="方正仿宋_GB2312" w:hAnsi="方正仿宋_GB2312" w:eastAsia="方正仿宋_GB2312" w:cs="方正仿宋_GB2312"/>
          <w:b w:val="0"/>
          <w:color w:val="000000"/>
          <w:sz w:val="24"/>
          <w:szCs w:val="24"/>
          <w:highlight w:val="none"/>
        </w:rPr>
        <w:t>16.3 第三人造成的违约</w:t>
      </w:r>
      <w:bookmarkEnd w:id="415"/>
    </w:p>
    <w:p w14:paraId="1B88E895">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在履行合同过程中，一方当事人因第三人的原因造成违约的，应当向对方当事人承担违约责任。一方当事人和第三人之间的纠纷，依照法律规定或者按照约定解决。</w:t>
      </w:r>
    </w:p>
    <w:p w14:paraId="18EB6515">
      <w:pPr>
        <w:pStyle w:val="5"/>
        <w:spacing w:before="120" w:after="120" w:line="360" w:lineRule="exact"/>
        <w:rPr>
          <w:rFonts w:hint="eastAsia" w:ascii="方正仿宋_GB2312" w:hAnsi="方正仿宋_GB2312" w:eastAsia="方正仿宋_GB2312" w:cs="方正仿宋_GB2312"/>
          <w:b/>
          <w:bCs/>
          <w:color w:val="000000"/>
          <w:sz w:val="24"/>
          <w:szCs w:val="24"/>
          <w:highlight w:val="none"/>
        </w:rPr>
      </w:pPr>
      <w:bookmarkStart w:id="416" w:name="_Toc351203607"/>
      <w:bookmarkStart w:id="417" w:name="_Toc337558823"/>
      <w:bookmarkStart w:id="418" w:name="_Toc296346617"/>
      <w:bookmarkStart w:id="419" w:name="_Toc296503116"/>
      <w:r>
        <w:rPr>
          <w:rFonts w:hint="eastAsia" w:ascii="方正仿宋_GB2312" w:hAnsi="方正仿宋_GB2312" w:eastAsia="方正仿宋_GB2312" w:cs="方正仿宋_GB2312"/>
          <w:b/>
          <w:bCs/>
          <w:color w:val="000000"/>
          <w:sz w:val="24"/>
          <w:szCs w:val="24"/>
          <w:highlight w:val="none"/>
        </w:rPr>
        <w:t>17. 不可抗力</w:t>
      </w:r>
      <w:bookmarkEnd w:id="416"/>
      <w:r>
        <w:rPr>
          <w:rFonts w:hint="eastAsia" w:ascii="方正仿宋_GB2312" w:hAnsi="方正仿宋_GB2312" w:eastAsia="方正仿宋_GB2312" w:cs="方正仿宋_GB2312"/>
          <w:b/>
          <w:bCs/>
          <w:color w:val="000000"/>
          <w:sz w:val="24"/>
          <w:szCs w:val="24"/>
          <w:highlight w:val="none"/>
        </w:rPr>
        <w:t xml:space="preserve"> </w:t>
      </w:r>
      <w:bookmarkEnd w:id="417"/>
      <w:bookmarkEnd w:id="418"/>
      <w:bookmarkEnd w:id="419"/>
    </w:p>
    <w:p w14:paraId="30F37994">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420" w:name="_Toc351203608"/>
      <w:bookmarkStart w:id="421" w:name="_Toc296346618"/>
      <w:bookmarkStart w:id="422" w:name="_Toc337558824"/>
      <w:bookmarkStart w:id="423" w:name="_Toc296503117"/>
      <w:r>
        <w:rPr>
          <w:rFonts w:hint="eastAsia" w:ascii="方正仿宋_GB2312" w:hAnsi="方正仿宋_GB2312" w:eastAsia="方正仿宋_GB2312" w:cs="方正仿宋_GB2312"/>
          <w:b w:val="0"/>
          <w:color w:val="000000"/>
          <w:sz w:val="24"/>
          <w:szCs w:val="24"/>
          <w:highlight w:val="none"/>
        </w:rPr>
        <w:t>17.1 不可抗力的确认</w:t>
      </w:r>
      <w:bookmarkEnd w:id="420"/>
    </w:p>
    <w:bookmarkEnd w:id="421"/>
    <w:bookmarkEnd w:id="422"/>
    <w:bookmarkEnd w:id="423"/>
    <w:p w14:paraId="767F6595">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1534E011">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7CBF3B94">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424" w:name="_Toc351203609"/>
      <w:bookmarkStart w:id="425" w:name="_Toc296346619"/>
      <w:bookmarkStart w:id="426" w:name="_Toc296503118"/>
      <w:bookmarkStart w:id="427" w:name="_Toc337558825"/>
      <w:r>
        <w:rPr>
          <w:rFonts w:hint="eastAsia" w:ascii="方正仿宋_GB2312" w:hAnsi="方正仿宋_GB2312" w:eastAsia="方正仿宋_GB2312" w:cs="方正仿宋_GB2312"/>
          <w:b w:val="0"/>
          <w:color w:val="000000"/>
          <w:sz w:val="24"/>
          <w:szCs w:val="24"/>
          <w:highlight w:val="none"/>
        </w:rPr>
        <w:t>17.2 不可抗力的通知</w:t>
      </w:r>
      <w:bookmarkEnd w:id="424"/>
    </w:p>
    <w:bookmarkEnd w:id="425"/>
    <w:bookmarkEnd w:id="426"/>
    <w:bookmarkEnd w:id="427"/>
    <w:p w14:paraId="6AB93D41">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合同一方当事人遇到不可抗力事件，使其履行合同义务受到阻碍时，应立即通知合同另一方当事人和监理人，书面说明不可抗力和受阻碍的详细情况，并提供必要的证明。</w:t>
      </w:r>
    </w:p>
    <w:p w14:paraId="6F880580">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5B4266B4">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428" w:name="_Toc351203610"/>
      <w:bookmarkStart w:id="429" w:name="_Toc296346620"/>
      <w:bookmarkStart w:id="430" w:name="_Toc337558826"/>
      <w:bookmarkStart w:id="431" w:name="_Toc296503119"/>
      <w:r>
        <w:rPr>
          <w:rFonts w:hint="eastAsia" w:ascii="方正仿宋_GB2312" w:hAnsi="方正仿宋_GB2312" w:eastAsia="方正仿宋_GB2312" w:cs="方正仿宋_GB2312"/>
          <w:b w:val="0"/>
          <w:color w:val="000000"/>
          <w:sz w:val="24"/>
          <w:szCs w:val="24"/>
          <w:highlight w:val="none"/>
        </w:rPr>
        <w:t>17.3 不可抗力后果的承担</w:t>
      </w:r>
      <w:bookmarkEnd w:id="428"/>
    </w:p>
    <w:bookmarkEnd w:id="429"/>
    <w:bookmarkEnd w:id="430"/>
    <w:bookmarkEnd w:id="431"/>
    <w:p w14:paraId="22E31C83">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17.3.1 不可抗力引起的后果及造成的损失由合同当事人按照法律规定及合同约定各自承担。不可抗力发生前已完成的工程应当按照合同约定进行计量支付。</w:t>
      </w:r>
    </w:p>
    <w:p w14:paraId="6C4C925A">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17.3.2 不可抗力导致的人员伤亡、财产损失、费用增加和（或）工期延误等后果，由合同当事人按以下原则承担：</w:t>
      </w:r>
    </w:p>
    <w:p w14:paraId="0D4FA362">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（1）永久工程、已运至施工现场的材料和工程设备的损坏，以及因工程损坏造成的第三人人员伤亡和财产损失由发包人承担；</w:t>
      </w:r>
    </w:p>
    <w:p w14:paraId="130FEEDE">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（2）承包人施工设备的损坏由承包人承担；</w:t>
      </w:r>
    </w:p>
    <w:p w14:paraId="0C0F6B0E">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（3）发包人和承包人承担各自人员伤亡和财产的损失；</w:t>
      </w:r>
    </w:p>
    <w:p w14:paraId="3CD75198">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1BA8F95D">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（5）因不可抗力引起或将引起工期延误，发包人要求赶工的，由此增加的赶工费用由发包人承担；</w:t>
      </w:r>
    </w:p>
    <w:p w14:paraId="66B1A95B">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（6）承包人在停工期间按照发包人要求照管、清理和修复工程的费用由发包人承担。</w:t>
      </w:r>
    </w:p>
    <w:p w14:paraId="2A4401FD">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不可抗力发生后，合同当事人均应采取措施尽量避免和减少损失的扩大，任何一方当事人没有采取有效措施导致损失扩大的，应对扩大的损失承担责任。</w:t>
      </w:r>
    </w:p>
    <w:p w14:paraId="2B2D40F6">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因合同一方迟延履行合同义务，在迟延履行期间遭遇不可抗力的，不免除其违约责任。</w:t>
      </w:r>
    </w:p>
    <w:p w14:paraId="658E7A93">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432" w:name="_Toc351203611"/>
      <w:bookmarkStart w:id="433" w:name="_Toc337558827"/>
      <w:r>
        <w:rPr>
          <w:rFonts w:hint="eastAsia" w:ascii="方正仿宋_GB2312" w:hAnsi="方正仿宋_GB2312" w:eastAsia="方正仿宋_GB2312" w:cs="方正仿宋_GB2312"/>
          <w:b w:val="0"/>
          <w:color w:val="000000"/>
          <w:sz w:val="24"/>
          <w:szCs w:val="24"/>
          <w:highlight w:val="none"/>
        </w:rPr>
        <w:t>17.4 因不可抗力解除合同</w:t>
      </w:r>
      <w:bookmarkEnd w:id="432"/>
    </w:p>
    <w:bookmarkEnd w:id="433"/>
    <w:p w14:paraId="17D6216C">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330AB62B">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（1）合同解除前承包人已完成工作的价款；</w:t>
      </w:r>
    </w:p>
    <w:p w14:paraId="356B31AD">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（2）承包人为工程订购的并已交付给承包人，或承包人有责任接受交付的材料、工程设备和其他物品的价款；</w:t>
      </w:r>
    </w:p>
    <w:p w14:paraId="4EF081E4">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（3）发包人要求承包人退货或解除订货合同而产生的费用，或因不能退货或解除合同而产生的损失；</w:t>
      </w:r>
    </w:p>
    <w:p w14:paraId="40F917E3">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（4）承包人撤离施工现场以及遣散承包人人员的费用；</w:t>
      </w:r>
    </w:p>
    <w:p w14:paraId="7BD666E1">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（5）按照合同约定在合同解除前应支付给承包人的其他款项；</w:t>
      </w:r>
    </w:p>
    <w:p w14:paraId="72440C5F">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（6）扣减承包人按照合同约定应向发包人支付的款项；</w:t>
      </w:r>
    </w:p>
    <w:p w14:paraId="24AE60D4">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（7）双方商定或确定的其他款项。</w:t>
      </w:r>
    </w:p>
    <w:p w14:paraId="64509213">
      <w:pPr>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除专用合同条款另有约定外，合同解除后，发包人应在商定或确定上述款项后28天内完成上述款项的支付。</w:t>
      </w:r>
    </w:p>
    <w:p w14:paraId="074CC27A">
      <w:pPr>
        <w:pStyle w:val="5"/>
        <w:spacing w:before="120" w:after="120" w:line="360" w:lineRule="exact"/>
        <w:rPr>
          <w:rFonts w:hint="eastAsia" w:ascii="方正仿宋_GB2312" w:hAnsi="方正仿宋_GB2312" w:eastAsia="方正仿宋_GB2312" w:cs="方正仿宋_GB2312"/>
          <w:b/>
          <w:bCs/>
          <w:color w:val="000000"/>
          <w:sz w:val="24"/>
          <w:szCs w:val="24"/>
          <w:highlight w:val="none"/>
        </w:rPr>
      </w:pPr>
      <w:bookmarkStart w:id="434" w:name="_Toc351203612"/>
      <w:bookmarkStart w:id="435" w:name="_Toc337558828"/>
      <w:bookmarkStart w:id="436" w:name="_Toc296503120"/>
      <w:bookmarkStart w:id="437" w:name="_Toc296346621"/>
      <w:r>
        <w:rPr>
          <w:rFonts w:hint="eastAsia" w:ascii="方正仿宋_GB2312" w:hAnsi="方正仿宋_GB2312" w:eastAsia="方正仿宋_GB2312" w:cs="方正仿宋_GB2312"/>
          <w:b/>
          <w:bCs/>
          <w:color w:val="000000"/>
          <w:sz w:val="24"/>
          <w:szCs w:val="24"/>
          <w:highlight w:val="none"/>
        </w:rPr>
        <w:t>18. 保险</w:t>
      </w:r>
      <w:bookmarkEnd w:id="434"/>
    </w:p>
    <w:bookmarkEnd w:id="435"/>
    <w:bookmarkEnd w:id="436"/>
    <w:bookmarkEnd w:id="437"/>
    <w:p w14:paraId="78D1D443">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438" w:name="_Toc351203613"/>
      <w:bookmarkStart w:id="439" w:name="_Toc337558829"/>
      <w:bookmarkStart w:id="440" w:name="_Toc296346622"/>
      <w:bookmarkStart w:id="441" w:name="_Toc296503121"/>
      <w:r>
        <w:rPr>
          <w:rFonts w:hint="eastAsia" w:ascii="方正仿宋_GB2312" w:hAnsi="方正仿宋_GB2312" w:eastAsia="方正仿宋_GB2312" w:cs="方正仿宋_GB2312"/>
          <w:b w:val="0"/>
          <w:color w:val="000000"/>
          <w:sz w:val="24"/>
          <w:szCs w:val="24"/>
          <w:highlight w:val="none"/>
        </w:rPr>
        <w:t>18.1 工程保险</w:t>
      </w:r>
      <w:bookmarkEnd w:id="438"/>
    </w:p>
    <w:bookmarkEnd w:id="439"/>
    <w:bookmarkEnd w:id="440"/>
    <w:bookmarkEnd w:id="441"/>
    <w:p w14:paraId="141D974A">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除专用合同条款另有约定外，发包人应投保建筑工程一切险或安装工程一切险；发包人委托承包人投保的，因投保产生的保险费和其他相关费用由发包人承担。</w:t>
      </w:r>
    </w:p>
    <w:p w14:paraId="29B57AAD">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442" w:name="_Toc351203614"/>
      <w:bookmarkStart w:id="443" w:name="_Toc337558830"/>
      <w:bookmarkStart w:id="444" w:name="_Toc296503122"/>
      <w:bookmarkStart w:id="445" w:name="_Toc296346623"/>
      <w:r>
        <w:rPr>
          <w:rFonts w:hint="eastAsia" w:ascii="方正仿宋_GB2312" w:hAnsi="方正仿宋_GB2312" w:eastAsia="方正仿宋_GB2312" w:cs="方正仿宋_GB2312"/>
          <w:b w:val="0"/>
          <w:color w:val="000000"/>
          <w:sz w:val="24"/>
          <w:szCs w:val="24"/>
          <w:highlight w:val="none"/>
        </w:rPr>
        <w:t>18.2 工伤保险</w:t>
      </w:r>
      <w:bookmarkEnd w:id="442"/>
    </w:p>
    <w:bookmarkEnd w:id="443"/>
    <w:bookmarkEnd w:id="444"/>
    <w:bookmarkEnd w:id="445"/>
    <w:p w14:paraId="32E8DA1D">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18.2.1 发包人应依照法律规定参加工伤保险，并为在施工现场的全部员工办理工伤保险，缴纳工伤保险费，并要求监理人及由发包人为履行合同聘请的第三方依法参加工伤保险。</w:t>
      </w:r>
    </w:p>
    <w:p w14:paraId="0638D6E2">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18.2.2 承包人应依照法律规定参加工伤保险，并为其履行合同的全部员工办理工伤保险，缴纳工伤保险费，并要求分包人及由承包人为履行合同聘请的第三方依法参加工伤保险。</w:t>
      </w:r>
    </w:p>
    <w:p w14:paraId="589059D1">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446" w:name="_Toc351203615"/>
      <w:bookmarkStart w:id="447" w:name="_Toc337558831"/>
      <w:bookmarkStart w:id="448" w:name="_Toc296346626"/>
      <w:bookmarkStart w:id="449" w:name="_Toc296503125"/>
      <w:r>
        <w:rPr>
          <w:rFonts w:hint="eastAsia" w:ascii="方正仿宋_GB2312" w:hAnsi="方正仿宋_GB2312" w:eastAsia="方正仿宋_GB2312" w:cs="方正仿宋_GB2312"/>
          <w:b w:val="0"/>
          <w:color w:val="000000"/>
          <w:sz w:val="24"/>
          <w:szCs w:val="24"/>
          <w:highlight w:val="none"/>
        </w:rPr>
        <w:t>18.3其他保险</w:t>
      </w:r>
      <w:bookmarkEnd w:id="446"/>
    </w:p>
    <w:bookmarkEnd w:id="447"/>
    <w:bookmarkEnd w:id="448"/>
    <w:bookmarkEnd w:id="449"/>
    <w:p w14:paraId="1CCAED6A">
      <w:pPr>
        <w:spacing w:line="360" w:lineRule="exact"/>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发包人和承包人可以为其施工现场的全部人员办理意外伤害保险并支付保险费，包括其员工及为履行合同聘请的第三方的人员，具体事项由合同当事人在专用合同条款约定。</w:t>
      </w:r>
    </w:p>
    <w:p w14:paraId="1ED2F309">
      <w:pPr>
        <w:spacing w:line="360" w:lineRule="exact"/>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除专用合同条款另有约定外，承包人应为其施工设备等办理财产保险。</w:t>
      </w:r>
    </w:p>
    <w:p w14:paraId="0A634007">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450" w:name="_Toc351203616"/>
      <w:r>
        <w:rPr>
          <w:rFonts w:hint="eastAsia" w:ascii="方正仿宋_GB2312" w:hAnsi="方正仿宋_GB2312" w:eastAsia="方正仿宋_GB2312" w:cs="方正仿宋_GB2312"/>
          <w:b w:val="0"/>
          <w:color w:val="000000"/>
          <w:sz w:val="24"/>
          <w:szCs w:val="24"/>
          <w:highlight w:val="none"/>
        </w:rPr>
        <w:t>18.4持续保险</w:t>
      </w:r>
      <w:bookmarkEnd w:id="450"/>
    </w:p>
    <w:p w14:paraId="5EE11EF1">
      <w:pPr>
        <w:spacing w:line="360" w:lineRule="exact"/>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合同当事人应与保险人保持联系，使保险人能够随时了解工程实施中的变动，并确保按保险合同条款要求持续保险。</w:t>
      </w:r>
    </w:p>
    <w:p w14:paraId="4B85B014">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451" w:name="_Toc351203617"/>
      <w:bookmarkStart w:id="452" w:name="_Toc296503126"/>
      <w:bookmarkStart w:id="453" w:name="_Toc296346627"/>
      <w:bookmarkStart w:id="454" w:name="_Toc337558832"/>
      <w:r>
        <w:rPr>
          <w:rFonts w:hint="eastAsia" w:ascii="方正仿宋_GB2312" w:hAnsi="方正仿宋_GB2312" w:eastAsia="方正仿宋_GB2312" w:cs="方正仿宋_GB2312"/>
          <w:b w:val="0"/>
          <w:color w:val="000000"/>
          <w:sz w:val="24"/>
          <w:szCs w:val="24"/>
          <w:highlight w:val="none"/>
        </w:rPr>
        <w:t>18.5 保险凭证</w:t>
      </w:r>
      <w:bookmarkEnd w:id="451"/>
    </w:p>
    <w:bookmarkEnd w:id="452"/>
    <w:bookmarkEnd w:id="453"/>
    <w:bookmarkEnd w:id="454"/>
    <w:p w14:paraId="14C1AD4A">
      <w:pPr>
        <w:spacing w:line="360" w:lineRule="exact"/>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合同当事人应及时向另一方当事人提交其已投保的各项保险的凭证和保险单复印件。</w:t>
      </w:r>
    </w:p>
    <w:p w14:paraId="438402B1">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455" w:name="_Toc351203618"/>
      <w:bookmarkStart w:id="456" w:name="_Toc296346628"/>
      <w:bookmarkStart w:id="457" w:name="_Toc337558833"/>
      <w:bookmarkStart w:id="458" w:name="_Toc296503127"/>
      <w:r>
        <w:rPr>
          <w:rFonts w:hint="eastAsia" w:ascii="方正仿宋_GB2312" w:hAnsi="方正仿宋_GB2312" w:eastAsia="方正仿宋_GB2312" w:cs="方正仿宋_GB2312"/>
          <w:b w:val="0"/>
          <w:color w:val="000000"/>
          <w:sz w:val="24"/>
          <w:szCs w:val="24"/>
          <w:highlight w:val="none"/>
        </w:rPr>
        <w:t>18.6 未按约定投保的补救</w:t>
      </w:r>
      <w:bookmarkEnd w:id="455"/>
    </w:p>
    <w:bookmarkEnd w:id="456"/>
    <w:bookmarkEnd w:id="457"/>
    <w:bookmarkEnd w:id="458"/>
    <w:p w14:paraId="577215BD">
      <w:pPr>
        <w:spacing w:line="360" w:lineRule="exact"/>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76B92088">
      <w:pPr>
        <w:spacing w:line="360" w:lineRule="exact"/>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6B5A4B02">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459" w:name="_Toc351203619"/>
      <w:bookmarkStart w:id="460" w:name="_Toc337558834"/>
      <w:r>
        <w:rPr>
          <w:rFonts w:hint="eastAsia" w:ascii="方正仿宋_GB2312" w:hAnsi="方正仿宋_GB2312" w:eastAsia="方正仿宋_GB2312" w:cs="方正仿宋_GB2312"/>
          <w:b w:val="0"/>
          <w:color w:val="000000"/>
          <w:sz w:val="24"/>
          <w:szCs w:val="24"/>
          <w:highlight w:val="none"/>
        </w:rPr>
        <w:t>18.7 通知义务</w:t>
      </w:r>
      <w:bookmarkEnd w:id="459"/>
    </w:p>
    <w:bookmarkEnd w:id="460"/>
    <w:p w14:paraId="05ABFED6">
      <w:pPr>
        <w:spacing w:line="360" w:lineRule="exact"/>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6B503B23">
      <w:pPr>
        <w:spacing w:line="360" w:lineRule="exact"/>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保险事故发生时，投保人应按照保险合同规定的条件和期限及时向保险人报告。发包人和承包人应当在知道保险事故发生后及时通知对方。</w:t>
      </w:r>
    </w:p>
    <w:p w14:paraId="47320A98">
      <w:pPr>
        <w:pStyle w:val="5"/>
        <w:spacing w:before="120" w:after="120" w:line="360" w:lineRule="exact"/>
        <w:rPr>
          <w:rFonts w:hint="eastAsia" w:ascii="方正仿宋_GB2312" w:hAnsi="方正仿宋_GB2312" w:eastAsia="方正仿宋_GB2312" w:cs="方正仿宋_GB2312"/>
          <w:b/>
          <w:bCs/>
          <w:color w:val="000000"/>
          <w:sz w:val="24"/>
          <w:szCs w:val="24"/>
          <w:highlight w:val="none"/>
        </w:rPr>
      </w:pPr>
      <w:bookmarkStart w:id="461" w:name="_Toc351203620"/>
      <w:bookmarkStart w:id="462" w:name="_Toc296503140"/>
      <w:bookmarkStart w:id="463" w:name="_Toc296346641"/>
      <w:bookmarkStart w:id="464" w:name="_Toc337558835"/>
      <w:r>
        <w:rPr>
          <w:rFonts w:hint="eastAsia" w:ascii="方正仿宋_GB2312" w:hAnsi="方正仿宋_GB2312" w:eastAsia="方正仿宋_GB2312" w:cs="方正仿宋_GB2312"/>
          <w:b/>
          <w:bCs/>
          <w:color w:val="000000"/>
          <w:sz w:val="24"/>
          <w:szCs w:val="24"/>
          <w:highlight w:val="none"/>
        </w:rPr>
        <w:t>19. 索赔</w:t>
      </w:r>
      <w:bookmarkEnd w:id="461"/>
    </w:p>
    <w:bookmarkEnd w:id="462"/>
    <w:bookmarkEnd w:id="463"/>
    <w:bookmarkEnd w:id="464"/>
    <w:p w14:paraId="4D9465B7">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465" w:name="_Toc351203621"/>
      <w:bookmarkStart w:id="466" w:name="_Toc337558836"/>
      <w:bookmarkStart w:id="467" w:name="_Toc296503141"/>
      <w:bookmarkStart w:id="468" w:name="_Toc296346642"/>
      <w:r>
        <w:rPr>
          <w:rFonts w:hint="eastAsia" w:ascii="方正仿宋_GB2312" w:hAnsi="方正仿宋_GB2312" w:eastAsia="方正仿宋_GB2312" w:cs="方正仿宋_GB2312"/>
          <w:b w:val="0"/>
          <w:color w:val="000000"/>
          <w:sz w:val="24"/>
          <w:szCs w:val="24"/>
          <w:highlight w:val="none"/>
        </w:rPr>
        <w:t>19.1承包人的索赔</w:t>
      </w:r>
      <w:bookmarkEnd w:id="465"/>
    </w:p>
    <w:bookmarkEnd w:id="466"/>
    <w:bookmarkEnd w:id="467"/>
    <w:bookmarkEnd w:id="468"/>
    <w:p w14:paraId="151F679C">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根据合同约定，承包人认为有权得到追加付款和（或）延长工期的，应按以下程序向发包人提出索赔：</w:t>
      </w:r>
    </w:p>
    <w:p w14:paraId="5D6EA1F6">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5DFAE266">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（2）承包人应在发出索赔意向通知书后28天内，向监理人正式递交索赔报告；索赔报告应详细说明索赔理由以及要求追加的付款金额和（或）延长的工期，并附必要的记录和证明材料；</w:t>
      </w:r>
    </w:p>
    <w:p w14:paraId="2B8C1F88">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（3）索赔事件具有持续影响的，承包人应按合理时间间隔继续递交延续索赔通知，说明持续影响的实际情况和记录，列出累计的追加付款金额和（或）工期延长天数；</w:t>
      </w:r>
    </w:p>
    <w:p w14:paraId="06A0C5CE">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（4）在索赔事件影响结束后28天内，承包人应向监理人递交最终索赔报告，说明最终要求索赔的追加付款金额和（或）延长的工期，并附必要的记录和证明材料。</w:t>
      </w:r>
    </w:p>
    <w:p w14:paraId="3237744B">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469" w:name="_Toc351203622"/>
      <w:bookmarkStart w:id="470" w:name="_Toc296503142"/>
      <w:bookmarkStart w:id="471" w:name="_Toc296346643"/>
      <w:bookmarkStart w:id="472" w:name="_Toc337558837"/>
      <w:r>
        <w:rPr>
          <w:rFonts w:hint="eastAsia" w:ascii="方正仿宋_GB2312" w:hAnsi="方正仿宋_GB2312" w:eastAsia="方正仿宋_GB2312" w:cs="方正仿宋_GB2312"/>
          <w:b w:val="0"/>
          <w:color w:val="000000"/>
          <w:sz w:val="24"/>
          <w:szCs w:val="24"/>
          <w:highlight w:val="none"/>
        </w:rPr>
        <w:t>19.2 对承包人索赔的处理</w:t>
      </w:r>
      <w:bookmarkEnd w:id="469"/>
    </w:p>
    <w:bookmarkEnd w:id="470"/>
    <w:bookmarkEnd w:id="471"/>
    <w:bookmarkEnd w:id="472"/>
    <w:p w14:paraId="66E55234">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对承包人索赔的处理如下：</w:t>
      </w:r>
    </w:p>
    <w:p w14:paraId="6594C93C">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（1）监理人应在收到索赔报告后14天内完成审查并报送发包人。监理人对索赔报告存在异议的，有权要求承包人提交全部原始记录副本；</w:t>
      </w:r>
    </w:p>
    <w:p w14:paraId="3CE4144E">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68B21D5E">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（3）承包人接受索赔处理结果的，索赔款项在当期进度款中进行支付；承包人不接受索赔处理结果的，按照第20条〔争议解决〕约定处理。</w:t>
      </w:r>
    </w:p>
    <w:p w14:paraId="4032E494">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473" w:name="_Toc351203623"/>
      <w:bookmarkStart w:id="474" w:name="_Toc337558838"/>
      <w:bookmarkStart w:id="475" w:name="_Toc296346644"/>
      <w:bookmarkStart w:id="476" w:name="_Toc296503143"/>
      <w:r>
        <w:rPr>
          <w:rFonts w:hint="eastAsia" w:ascii="方正仿宋_GB2312" w:hAnsi="方正仿宋_GB2312" w:eastAsia="方正仿宋_GB2312" w:cs="方正仿宋_GB2312"/>
          <w:b w:val="0"/>
          <w:color w:val="000000"/>
          <w:sz w:val="24"/>
          <w:szCs w:val="24"/>
          <w:highlight w:val="none"/>
        </w:rPr>
        <w:t>19.3发包人的索赔</w:t>
      </w:r>
      <w:bookmarkEnd w:id="473"/>
    </w:p>
    <w:bookmarkEnd w:id="474"/>
    <w:bookmarkEnd w:id="475"/>
    <w:bookmarkEnd w:id="476"/>
    <w:p w14:paraId="1607D979">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根据合同约定，发包人认为有权得到赔付金额和（或）延长缺陷责任期的，监理人应向承包人发出通知并附有详细的证明。</w:t>
      </w:r>
    </w:p>
    <w:p w14:paraId="027C05C7">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7065F56E">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477" w:name="_Toc351203624"/>
      <w:bookmarkStart w:id="478" w:name="_Toc337558839"/>
      <w:bookmarkStart w:id="479" w:name="_Toc296346645"/>
      <w:bookmarkStart w:id="480" w:name="_Toc296503144"/>
      <w:r>
        <w:rPr>
          <w:rFonts w:hint="eastAsia" w:ascii="方正仿宋_GB2312" w:hAnsi="方正仿宋_GB2312" w:eastAsia="方正仿宋_GB2312" w:cs="方正仿宋_GB2312"/>
          <w:b w:val="0"/>
          <w:color w:val="000000"/>
          <w:sz w:val="24"/>
          <w:szCs w:val="24"/>
          <w:highlight w:val="none"/>
        </w:rPr>
        <w:t>19.4 对发包人索赔的处理</w:t>
      </w:r>
      <w:bookmarkEnd w:id="477"/>
    </w:p>
    <w:bookmarkEnd w:id="478"/>
    <w:bookmarkEnd w:id="479"/>
    <w:bookmarkEnd w:id="480"/>
    <w:p w14:paraId="6423084D">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对发包人索赔的处理如下：</w:t>
      </w:r>
    </w:p>
    <w:p w14:paraId="03E0FF6C">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（1）承包人收到发包人提交的索赔报告后，应及时审查索赔报告的内容、查验发包人证明材料；</w:t>
      </w:r>
    </w:p>
    <w:p w14:paraId="6003B450">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（2）承包人应在收到索赔报告或有关索赔的进一步证明材料后28天内，将索赔处理结果答复发包人。如果承包人未在上述期限内作出答复的，则视为对发包人索赔要求的认可；</w:t>
      </w:r>
    </w:p>
    <w:p w14:paraId="33B49B1B">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（3）承包人接受索赔处理结果的，发包人可从应支付给承包人的合同价款中扣除赔付的金额或延长缺陷责任期；发包人不接受索赔处理结果的，按第20条〔争议解决〕约定处理。</w:t>
      </w:r>
    </w:p>
    <w:p w14:paraId="4D7B9F24">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481" w:name="_Toc351203625"/>
      <w:r>
        <w:rPr>
          <w:rFonts w:hint="eastAsia" w:ascii="方正仿宋_GB2312" w:hAnsi="方正仿宋_GB2312" w:eastAsia="方正仿宋_GB2312" w:cs="方正仿宋_GB2312"/>
          <w:b w:val="0"/>
          <w:color w:val="000000"/>
          <w:sz w:val="24"/>
          <w:szCs w:val="24"/>
          <w:highlight w:val="none"/>
        </w:rPr>
        <w:t>19.5 提出索赔的期限</w:t>
      </w:r>
      <w:bookmarkEnd w:id="481"/>
    </w:p>
    <w:p w14:paraId="506BA2AE">
      <w:pPr>
        <w:spacing w:line="360" w:lineRule="exact"/>
        <w:ind w:firstLine="480" w:firstLineChars="200"/>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（1）承包人按第14.2款〔竣工结算审核〕约定接收竣工付款证书后，应被视为已无权再提出在工程接收证书颁发前所发生的任何索赔。</w:t>
      </w:r>
    </w:p>
    <w:p w14:paraId="7D740DA3">
      <w:pPr>
        <w:spacing w:line="360" w:lineRule="exact"/>
        <w:ind w:firstLine="480" w:firstLineChars="200"/>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（2）承包人按第14.4款〔最终结清〕提交的最终结清申请单中，只限于提出工程接收证书颁发后发生的索赔。提出索赔的期限自接受最终结清证书时终止。</w:t>
      </w:r>
    </w:p>
    <w:p w14:paraId="3C181A8B">
      <w:pPr>
        <w:pStyle w:val="5"/>
        <w:spacing w:before="120" w:after="120" w:line="360" w:lineRule="exact"/>
        <w:rPr>
          <w:rFonts w:hint="eastAsia" w:ascii="方正仿宋_GB2312" w:hAnsi="方正仿宋_GB2312" w:eastAsia="方正仿宋_GB2312" w:cs="方正仿宋_GB2312"/>
          <w:b/>
          <w:bCs/>
          <w:color w:val="000000"/>
          <w:sz w:val="24"/>
          <w:szCs w:val="24"/>
          <w:highlight w:val="none"/>
        </w:rPr>
      </w:pPr>
      <w:bookmarkStart w:id="482" w:name="_Toc351203626"/>
      <w:r>
        <w:rPr>
          <w:rFonts w:hint="eastAsia" w:ascii="方正仿宋_GB2312" w:hAnsi="方正仿宋_GB2312" w:eastAsia="方正仿宋_GB2312" w:cs="方正仿宋_GB2312"/>
          <w:b/>
          <w:bCs/>
          <w:color w:val="000000"/>
          <w:sz w:val="24"/>
          <w:szCs w:val="24"/>
          <w:highlight w:val="none"/>
        </w:rPr>
        <w:t>20</w:t>
      </w:r>
      <w:bookmarkStart w:id="483" w:name="_Toc296503146"/>
      <w:bookmarkStart w:id="484" w:name="_Toc296346647"/>
      <w:bookmarkStart w:id="485" w:name="_Toc337558840"/>
      <w:r>
        <w:rPr>
          <w:rFonts w:hint="eastAsia" w:ascii="方正仿宋_GB2312" w:hAnsi="方正仿宋_GB2312" w:eastAsia="方正仿宋_GB2312" w:cs="方正仿宋_GB2312"/>
          <w:b/>
          <w:bCs/>
          <w:color w:val="000000"/>
          <w:sz w:val="24"/>
          <w:szCs w:val="24"/>
          <w:highlight w:val="none"/>
        </w:rPr>
        <w:t>. 争议解决</w:t>
      </w:r>
      <w:bookmarkEnd w:id="482"/>
    </w:p>
    <w:bookmarkEnd w:id="483"/>
    <w:bookmarkEnd w:id="484"/>
    <w:bookmarkEnd w:id="485"/>
    <w:p w14:paraId="73E9D500">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486" w:name="_Toc351203627"/>
      <w:bookmarkStart w:id="487" w:name="_Toc296346648"/>
      <w:bookmarkStart w:id="488" w:name="_Toc337558841"/>
      <w:bookmarkStart w:id="489" w:name="_Toc296503147"/>
      <w:r>
        <w:rPr>
          <w:rFonts w:hint="eastAsia" w:ascii="方正仿宋_GB2312" w:hAnsi="方正仿宋_GB2312" w:eastAsia="方正仿宋_GB2312" w:cs="方正仿宋_GB2312"/>
          <w:b w:val="0"/>
          <w:color w:val="000000"/>
          <w:sz w:val="24"/>
          <w:szCs w:val="24"/>
          <w:highlight w:val="none"/>
        </w:rPr>
        <w:t>20.1和解</w:t>
      </w:r>
      <w:bookmarkEnd w:id="486"/>
    </w:p>
    <w:bookmarkEnd w:id="487"/>
    <w:bookmarkEnd w:id="488"/>
    <w:bookmarkEnd w:id="489"/>
    <w:p w14:paraId="64D3840B">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合同当事人可以就争议自行和解，自行和解达成协议的经双方签字并盖章后作为合同补充文件，双方均应遵照执行。</w:t>
      </w:r>
    </w:p>
    <w:p w14:paraId="62F6FC80">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490" w:name="_Toc351203628"/>
      <w:r>
        <w:rPr>
          <w:rFonts w:hint="eastAsia" w:ascii="方正仿宋_GB2312" w:hAnsi="方正仿宋_GB2312" w:eastAsia="方正仿宋_GB2312" w:cs="方正仿宋_GB2312"/>
          <w:b w:val="0"/>
          <w:color w:val="000000"/>
          <w:sz w:val="24"/>
          <w:szCs w:val="24"/>
          <w:highlight w:val="none"/>
        </w:rPr>
        <w:t>20</w:t>
      </w:r>
      <w:bookmarkStart w:id="491" w:name="_Toc296503148"/>
      <w:bookmarkStart w:id="492" w:name="_Toc296346649"/>
      <w:bookmarkStart w:id="493" w:name="_Toc337558842"/>
      <w:r>
        <w:rPr>
          <w:rFonts w:hint="eastAsia" w:ascii="方正仿宋_GB2312" w:hAnsi="方正仿宋_GB2312" w:eastAsia="方正仿宋_GB2312" w:cs="方正仿宋_GB2312"/>
          <w:b w:val="0"/>
          <w:color w:val="000000"/>
          <w:sz w:val="24"/>
          <w:szCs w:val="24"/>
          <w:highlight w:val="none"/>
        </w:rPr>
        <w:t>.2调解</w:t>
      </w:r>
      <w:bookmarkEnd w:id="490"/>
    </w:p>
    <w:bookmarkEnd w:id="491"/>
    <w:bookmarkEnd w:id="492"/>
    <w:bookmarkEnd w:id="493"/>
    <w:p w14:paraId="5980B1BA">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合同当事人可以就争议请求建设行政主管部门、行业协会或其他第三方进行调解，调解达成协议的，经双方签字并盖章后作为合同补充文件，双方均应遵照执行。</w:t>
      </w:r>
    </w:p>
    <w:p w14:paraId="5E11DFB7">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494" w:name="_Toc351203629"/>
      <w:bookmarkStart w:id="495" w:name="_Toc296503149"/>
      <w:bookmarkStart w:id="496" w:name="_Toc296346650"/>
      <w:bookmarkStart w:id="497" w:name="_Toc337558843"/>
      <w:r>
        <w:rPr>
          <w:rFonts w:hint="eastAsia" w:ascii="方正仿宋_GB2312" w:hAnsi="方正仿宋_GB2312" w:eastAsia="方正仿宋_GB2312" w:cs="方正仿宋_GB2312"/>
          <w:b w:val="0"/>
          <w:color w:val="000000"/>
          <w:sz w:val="24"/>
          <w:szCs w:val="24"/>
          <w:highlight w:val="none"/>
        </w:rPr>
        <w:t>20.3争议评审</w:t>
      </w:r>
      <w:bookmarkEnd w:id="494"/>
    </w:p>
    <w:bookmarkEnd w:id="495"/>
    <w:bookmarkEnd w:id="496"/>
    <w:bookmarkEnd w:id="497"/>
    <w:p w14:paraId="2846292B">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 xml:space="preserve">合同当事人在专用合同条款中约定采取争议评审方式解决争议以及评审规则，并按下列约定执行： </w:t>
      </w:r>
    </w:p>
    <w:p w14:paraId="4504F5F8">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20.3.1 争议评审小组的确定</w:t>
      </w:r>
    </w:p>
    <w:p w14:paraId="72D77FB7">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合同当事人可以共同选择一名或三名争议评审员，组成争议评审小组。除专用合同条款另有约定外，合同当事人应当自合同签订后28天内，或者争议发生后14天内，选定争议评审员。</w:t>
      </w:r>
    </w:p>
    <w:p w14:paraId="24D70758">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1331D1C9">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除专用合同条款另有约定外，评审员报酬由发包人和承包人各承担一半。</w:t>
      </w:r>
    </w:p>
    <w:p w14:paraId="59CBEAF1">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20.3.2 争议评审小组的决定</w:t>
      </w:r>
    </w:p>
    <w:p w14:paraId="04F0F9AC">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0B6965F0">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20.3.3 争议评审小组决定的效力</w:t>
      </w:r>
    </w:p>
    <w:p w14:paraId="34B54778">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争议评审小组作出的书面决定经合同当事人签字确认后，对双方具有约束力，双方应遵照执行。</w:t>
      </w:r>
    </w:p>
    <w:p w14:paraId="05416D7B">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任何一方当事人不接受争议评审小组决定或不履行争议评审小组决定的，双方可选择采用其他争议解决方式。</w:t>
      </w:r>
    </w:p>
    <w:p w14:paraId="5A942493">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498" w:name="_Toc351203630"/>
      <w:bookmarkStart w:id="499" w:name="_Toc296503150"/>
      <w:bookmarkStart w:id="500" w:name="_Toc296346651"/>
      <w:bookmarkStart w:id="501" w:name="_Toc337558844"/>
      <w:r>
        <w:rPr>
          <w:rFonts w:hint="eastAsia" w:ascii="方正仿宋_GB2312" w:hAnsi="方正仿宋_GB2312" w:eastAsia="方正仿宋_GB2312" w:cs="方正仿宋_GB2312"/>
          <w:b w:val="0"/>
          <w:color w:val="000000"/>
          <w:sz w:val="24"/>
          <w:szCs w:val="24"/>
          <w:highlight w:val="none"/>
        </w:rPr>
        <w:t>20.4仲裁或诉讼</w:t>
      </w:r>
      <w:bookmarkEnd w:id="498"/>
    </w:p>
    <w:bookmarkEnd w:id="499"/>
    <w:bookmarkEnd w:id="500"/>
    <w:bookmarkEnd w:id="501"/>
    <w:p w14:paraId="2B5BBF18">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因合同及合同有关事项产生的争议，合同当事人可以在专用合同条款中约定以下一种方式解决争议：</w:t>
      </w:r>
    </w:p>
    <w:p w14:paraId="7B230079">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（1）向约定的仲裁委员会申请仲裁；</w:t>
      </w:r>
    </w:p>
    <w:p w14:paraId="26F74D69">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（2）向有管辖权的人民法院起诉。</w:t>
      </w:r>
    </w:p>
    <w:p w14:paraId="0188D25B">
      <w:pPr>
        <w:pStyle w:val="6"/>
        <w:spacing w:before="120" w:after="120" w:line="360" w:lineRule="exact"/>
        <w:ind w:firstLine="480" w:firstLineChars="200"/>
        <w:rPr>
          <w:rFonts w:hint="eastAsia" w:ascii="方正仿宋_GB2312" w:hAnsi="方正仿宋_GB2312" w:eastAsia="方正仿宋_GB2312" w:cs="方正仿宋_GB2312"/>
          <w:b w:val="0"/>
          <w:color w:val="000000"/>
          <w:sz w:val="24"/>
          <w:szCs w:val="24"/>
          <w:highlight w:val="none"/>
        </w:rPr>
      </w:pPr>
      <w:bookmarkStart w:id="502" w:name="_Toc351203631"/>
      <w:bookmarkStart w:id="503" w:name="_Toc296503152"/>
      <w:bookmarkStart w:id="504" w:name="_Toc296346653"/>
      <w:bookmarkStart w:id="505" w:name="_Toc337558845"/>
      <w:r>
        <w:rPr>
          <w:rFonts w:hint="eastAsia" w:ascii="方正仿宋_GB2312" w:hAnsi="方正仿宋_GB2312" w:eastAsia="方正仿宋_GB2312" w:cs="方正仿宋_GB2312"/>
          <w:b w:val="0"/>
          <w:color w:val="000000"/>
          <w:sz w:val="24"/>
          <w:szCs w:val="24"/>
          <w:highlight w:val="none"/>
        </w:rPr>
        <w:t>20.5争议解决条款效力</w:t>
      </w:r>
      <w:bookmarkEnd w:id="502"/>
    </w:p>
    <w:bookmarkEnd w:id="503"/>
    <w:bookmarkEnd w:id="504"/>
    <w:bookmarkEnd w:id="505"/>
    <w:p w14:paraId="6A9D1105">
      <w:pPr>
        <w:autoSpaceDE w:val="0"/>
        <w:autoSpaceDN w:val="0"/>
        <w:adjustRightInd w:val="0"/>
        <w:spacing w:line="360" w:lineRule="exact"/>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 xml:space="preserve">合同有关争议解决的条款独立存在，合同的变更、解除、终止、无效或者被撤销均不影响其效力。 </w:t>
      </w:r>
    </w:p>
    <w:p w14:paraId="0DC55DBE">
      <w:pPr>
        <w:pStyle w:val="5"/>
        <w:jc w:val="center"/>
        <w:rPr>
          <w:rFonts w:hint="eastAsia" w:ascii="方正仿宋_GB2312" w:hAnsi="方正仿宋_GB2312" w:eastAsia="方正仿宋_GB2312" w:cs="方正仿宋_GB2312"/>
          <w:sz w:val="24"/>
          <w:szCs w:val="24"/>
          <w:highlight w:val="none"/>
          <w:lang w:eastAsia="zh-CN"/>
        </w:rPr>
      </w:pPr>
      <w:bookmarkStart w:id="506" w:name="_Toc16417"/>
      <w:r>
        <w:rPr>
          <w:rFonts w:hint="eastAsia" w:ascii="方正仿宋_GB2312" w:hAnsi="方正仿宋_GB2312" w:eastAsia="方正仿宋_GB2312" w:cs="方正仿宋_GB2312"/>
          <w:sz w:val="24"/>
          <w:szCs w:val="24"/>
          <w:highlight w:val="none"/>
        </w:rPr>
        <w:br w:type="page"/>
      </w:r>
      <w:bookmarkEnd w:id="506"/>
      <w:r>
        <w:rPr>
          <w:rFonts w:hint="eastAsia" w:ascii="方正仿宋_GB2312" w:hAnsi="方正仿宋_GB2312" w:eastAsia="方正仿宋_GB2312" w:cs="方正仿宋_GB2312"/>
          <w:sz w:val="24"/>
          <w:szCs w:val="24"/>
          <w:highlight w:val="none"/>
        </w:rPr>
        <w:t>第三部分 专用合同条款</w:t>
      </w:r>
    </w:p>
    <w:p w14:paraId="7CBA75BE">
      <w:pPr>
        <w:pStyle w:val="4"/>
        <w:numPr>
          <w:ilvl w:val="0"/>
          <w:numId w:val="0"/>
        </w:numPr>
        <w:jc w:val="both"/>
        <w:outlineLvl w:val="2"/>
        <w:rPr>
          <w:rFonts w:hint="eastAsia" w:ascii="方正仿宋_GB2312" w:hAnsi="方正仿宋_GB2312" w:eastAsia="方正仿宋_GB2312" w:cs="方正仿宋_GB2312"/>
          <w:b w:val="0"/>
          <w:color w:val="000000"/>
          <w:sz w:val="24"/>
          <w:szCs w:val="24"/>
          <w:highlight w:val="none"/>
        </w:rPr>
      </w:pPr>
      <w:bookmarkStart w:id="507" w:name="_Toc12881"/>
      <w:bookmarkStart w:id="508" w:name="_Toc9224"/>
      <w:bookmarkStart w:id="509" w:name="_Toc20106"/>
      <w:r>
        <w:rPr>
          <w:rFonts w:hint="eastAsia" w:ascii="方正仿宋_GB2312" w:hAnsi="方正仿宋_GB2312" w:eastAsia="方正仿宋_GB2312" w:cs="方正仿宋_GB2312"/>
          <w:b w:val="0"/>
          <w:color w:val="000000"/>
          <w:sz w:val="24"/>
          <w:szCs w:val="24"/>
          <w:highlight w:val="none"/>
        </w:rPr>
        <w:t>1</w:t>
      </w:r>
      <w:bookmarkStart w:id="510" w:name="_Toc292559361"/>
      <w:bookmarkStart w:id="511" w:name="_Toc292559866"/>
      <w:bookmarkStart w:id="512" w:name="_Toc296891196"/>
      <w:bookmarkStart w:id="513" w:name="_Toc296944495"/>
      <w:bookmarkStart w:id="514" w:name="_Toc297120456"/>
      <w:bookmarkStart w:id="515" w:name="_Toc296890984"/>
      <w:bookmarkStart w:id="516" w:name="_Toc296346657"/>
      <w:bookmarkStart w:id="517" w:name="_Toc297048342"/>
      <w:bookmarkStart w:id="518" w:name="_Toc296347155"/>
      <w:bookmarkStart w:id="519" w:name="_Toc296503156"/>
      <w:r>
        <w:rPr>
          <w:rFonts w:hint="eastAsia" w:ascii="方正仿宋_GB2312" w:hAnsi="方正仿宋_GB2312" w:eastAsia="方正仿宋_GB2312" w:cs="方正仿宋_GB2312"/>
          <w:b w:val="0"/>
          <w:color w:val="000000"/>
          <w:sz w:val="24"/>
          <w:szCs w:val="24"/>
          <w:highlight w:val="none"/>
        </w:rPr>
        <w:t>. 一般约定</w:t>
      </w:r>
      <w:bookmarkEnd w:id="507"/>
      <w:bookmarkEnd w:id="508"/>
      <w:bookmarkEnd w:id="509"/>
    </w:p>
    <w:bookmarkEnd w:id="510"/>
    <w:bookmarkEnd w:id="511"/>
    <w:bookmarkEnd w:id="512"/>
    <w:bookmarkEnd w:id="513"/>
    <w:bookmarkEnd w:id="514"/>
    <w:bookmarkEnd w:id="515"/>
    <w:bookmarkEnd w:id="516"/>
    <w:bookmarkEnd w:id="517"/>
    <w:bookmarkEnd w:id="518"/>
    <w:bookmarkEnd w:id="519"/>
    <w:p w14:paraId="31B4C18F">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520" w:name="_Toc31390"/>
      <w:bookmarkStart w:id="521" w:name="_Toc21044"/>
      <w:r>
        <w:rPr>
          <w:rFonts w:hint="eastAsia" w:ascii="方正仿宋_GB2312" w:hAnsi="方正仿宋_GB2312" w:eastAsia="方正仿宋_GB2312" w:cs="方正仿宋_GB2312"/>
          <w:color w:val="000000"/>
          <w:sz w:val="24"/>
          <w:szCs w:val="24"/>
          <w:highlight w:val="none"/>
        </w:rPr>
        <w:t>1.1 词语定义</w:t>
      </w:r>
      <w:bookmarkEnd w:id="520"/>
      <w:bookmarkEnd w:id="521"/>
    </w:p>
    <w:p w14:paraId="2AE472A3">
      <w:pPr>
        <w:spacing w:line="360" w:lineRule="auto"/>
        <w:ind w:firstLine="480" w:firstLineChars="200"/>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1.1.1合同</w:t>
      </w:r>
    </w:p>
    <w:p w14:paraId="7A8B70CA">
      <w:pPr>
        <w:spacing w:line="360" w:lineRule="auto"/>
        <w:ind w:firstLine="480" w:firstLineChars="200"/>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1.1.1.10其他合同文件包括：</w:t>
      </w:r>
      <w:r>
        <w:rPr>
          <w:rFonts w:hint="eastAsia" w:ascii="方正仿宋_GB2312" w:hAnsi="方正仿宋_GB2312" w:eastAsia="方正仿宋_GB2312" w:cs="方正仿宋_GB2312"/>
          <w:color w:val="000000"/>
          <w:sz w:val="24"/>
          <w:szCs w:val="24"/>
          <w:highlight w:val="none"/>
          <w:u w:val="single"/>
        </w:rPr>
        <w:t xml:space="preserve">                      </w:t>
      </w:r>
      <w:r>
        <w:rPr>
          <w:rFonts w:hint="eastAsia" w:ascii="方正仿宋_GB2312" w:hAnsi="方正仿宋_GB2312" w:eastAsia="方正仿宋_GB2312" w:cs="方正仿宋_GB2312"/>
          <w:color w:val="000000"/>
          <w:sz w:val="24"/>
          <w:szCs w:val="24"/>
          <w:highlight w:val="none"/>
        </w:rPr>
        <w:t>。</w:t>
      </w:r>
    </w:p>
    <w:p w14:paraId="32CE443F">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1.1.2 合同当事人及其他相关方</w:t>
      </w:r>
    </w:p>
    <w:p w14:paraId="69AE8D4F">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1.1.2.4监理人：</w:t>
      </w:r>
    </w:p>
    <w:p w14:paraId="698DAD03">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名    称：</w:t>
      </w:r>
      <w:r>
        <w:rPr>
          <w:rFonts w:hint="eastAsia" w:ascii="方正仿宋_GB2312" w:hAnsi="方正仿宋_GB2312" w:eastAsia="方正仿宋_GB2312" w:cs="方正仿宋_GB2312"/>
          <w:color w:val="000000"/>
          <w:sz w:val="24"/>
          <w:szCs w:val="24"/>
          <w:highlight w:val="none"/>
          <w:u w:val="single"/>
        </w:rPr>
        <w:t xml:space="preserve">                </w:t>
      </w:r>
      <w:r>
        <w:rPr>
          <w:rFonts w:hint="eastAsia" w:ascii="方正仿宋_GB2312" w:hAnsi="方正仿宋_GB2312" w:eastAsia="方正仿宋_GB2312" w:cs="方正仿宋_GB2312"/>
          <w:color w:val="000000"/>
          <w:sz w:val="24"/>
          <w:szCs w:val="24"/>
          <w:highlight w:val="none"/>
        </w:rPr>
        <w:t>；</w:t>
      </w:r>
    </w:p>
    <w:p w14:paraId="52AC114C">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资质类别和等级：</w:t>
      </w:r>
      <w:r>
        <w:rPr>
          <w:rFonts w:hint="eastAsia" w:ascii="方正仿宋_GB2312" w:hAnsi="方正仿宋_GB2312" w:eastAsia="方正仿宋_GB2312" w:cs="方正仿宋_GB2312"/>
          <w:color w:val="000000"/>
          <w:sz w:val="24"/>
          <w:szCs w:val="24"/>
          <w:highlight w:val="none"/>
          <w:u w:val="single"/>
        </w:rPr>
        <w:t>               </w:t>
      </w:r>
      <w:r>
        <w:rPr>
          <w:rFonts w:hint="eastAsia" w:ascii="方正仿宋_GB2312" w:hAnsi="方正仿宋_GB2312" w:eastAsia="方正仿宋_GB2312" w:cs="方正仿宋_GB2312"/>
          <w:color w:val="000000"/>
          <w:sz w:val="24"/>
          <w:szCs w:val="24"/>
          <w:highlight w:val="none"/>
        </w:rPr>
        <w:t>；</w:t>
      </w:r>
    </w:p>
    <w:p w14:paraId="1DE7A31D">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联系电话：</w:t>
      </w:r>
      <w:r>
        <w:rPr>
          <w:rFonts w:hint="eastAsia" w:ascii="方正仿宋_GB2312" w:hAnsi="方正仿宋_GB2312" w:eastAsia="方正仿宋_GB2312" w:cs="方正仿宋_GB2312"/>
          <w:color w:val="000000"/>
          <w:sz w:val="24"/>
          <w:szCs w:val="24"/>
          <w:highlight w:val="none"/>
          <w:u w:val="single"/>
        </w:rPr>
        <w:t>                </w:t>
      </w:r>
      <w:r>
        <w:rPr>
          <w:rFonts w:hint="eastAsia" w:ascii="方正仿宋_GB2312" w:hAnsi="方正仿宋_GB2312" w:eastAsia="方正仿宋_GB2312" w:cs="方正仿宋_GB2312"/>
          <w:color w:val="000000"/>
          <w:sz w:val="24"/>
          <w:szCs w:val="24"/>
          <w:highlight w:val="none"/>
        </w:rPr>
        <w:t>；</w:t>
      </w:r>
    </w:p>
    <w:p w14:paraId="7CEE3DEE">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电子信箱：</w:t>
      </w:r>
      <w:r>
        <w:rPr>
          <w:rFonts w:hint="eastAsia" w:ascii="方正仿宋_GB2312" w:hAnsi="方正仿宋_GB2312" w:eastAsia="方正仿宋_GB2312" w:cs="方正仿宋_GB2312"/>
          <w:color w:val="000000"/>
          <w:sz w:val="24"/>
          <w:szCs w:val="24"/>
          <w:highlight w:val="none"/>
          <w:u w:val="single"/>
        </w:rPr>
        <w:t>                </w:t>
      </w:r>
      <w:r>
        <w:rPr>
          <w:rFonts w:hint="eastAsia" w:ascii="方正仿宋_GB2312" w:hAnsi="方正仿宋_GB2312" w:eastAsia="方正仿宋_GB2312" w:cs="方正仿宋_GB2312"/>
          <w:color w:val="000000"/>
          <w:sz w:val="24"/>
          <w:szCs w:val="24"/>
          <w:highlight w:val="none"/>
        </w:rPr>
        <w:t>；</w:t>
      </w:r>
    </w:p>
    <w:p w14:paraId="67414C5A">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通信地址：</w:t>
      </w:r>
      <w:r>
        <w:rPr>
          <w:rFonts w:hint="eastAsia" w:ascii="方正仿宋_GB2312" w:hAnsi="方正仿宋_GB2312" w:eastAsia="方正仿宋_GB2312" w:cs="方正仿宋_GB2312"/>
          <w:color w:val="000000"/>
          <w:sz w:val="24"/>
          <w:szCs w:val="24"/>
          <w:highlight w:val="none"/>
          <w:u w:val="single"/>
        </w:rPr>
        <w:t>                </w:t>
      </w:r>
      <w:r>
        <w:rPr>
          <w:rFonts w:hint="eastAsia" w:ascii="方正仿宋_GB2312" w:hAnsi="方正仿宋_GB2312" w:eastAsia="方正仿宋_GB2312" w:cs="方正仿宋_GB2312"/>
          <w:color w:val="000000"/>
          <w:sz w:val="24"/>
          <w:szCs w:val="24"/>
          <w:highlight w:val="none"/>
        </w:rPr>
        <w:t>。</w:t>
      </w:r>
    </w:p>
    <w:p w14:paraId="559DB1C3">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1.1.2.5 设计人：</w:t>
      </w:r>
    </w:p>
    <w:p w14:paraId="4F3CEB5C">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名    称：</w:t>
      </w:r>
      <w:r>
        <w:rPr>
          <w:rFonts w:hint="eastAsia" w:ascii="方正仿宋_GB2312" w:hAnsi="方正仿宋_GB2312" w:eastAsia="方正仿宋_GB2312" w:cs="方正仿宋_GB2312"/>
          <w:color w:val="000000"/>
          <w:sz w:val="24"/>
          <w:szCs w:val="24"/>
          <w:highlight w:val="none"/>
          <w:u w:val="single"/>
        </w:rPr>
        <w:t xml:space="preserve">                 </w:t>
      </w:r>
      <w:r>
        <w:rPr>
          <w:rFonts w:hint="eastAsia" w:ascii="方正仿宋_GB2312" w:hAnsi="方正仿宋_GB2312" w:eastAsia="方正仿宋_GB2312" w:cs="方正仿宋_GB2312"/>
          <w:color w:val="000000"/>
          <w:sz w:val="24"/>
          <w:szCs w:val="24"/>
          <w:highlight w:val="none"/>
        </w:rPr>
        <w:t>；</w:t>
      </w:r>
    </w:p>
    <w:p w14:paraId="68669C67">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资质类别和等级：</w:t>
      </w:r>
      <w:r>
        <w:rPr>
          <w:rFonts w:hint="eastAsia" w:ascii="方正仿宋_GB2312" w:hAnsi="方正仿宋_GB2312" w:eastAsia="方正仿宋_GB2312" w:cs="方正仿宋_GB2312"/>
          <w:color w:val="000000"/>
          <w:sz w:val="24"/>
          <w:szCs w:val="24"/>
          <w:highlight w:val="none"/>
          <w:u w:val="single"/>
        </w:rPr>
        <w:t>               </w:t>
      </w:r>
      <w:r>
        <w:rPr>
          <w:rFonts w:hint="eastAsia" w:ascii="方正仿宋_GB2312" w:hAnsi="方正仿宋_GB2312" w:eastAsia="方正仿宋_GB2312" w:cs="方正仿宋_GB2312"/>
          <w:color w:val="000000"/>
          <w:sz w:val="24"/>
          <w:szCs w:val="24"/>
          <w:highlight w:val="none"/>
        </w:rPr>
        <w:t>；</w:t>
      </w:r>
    </w:p>
    <w:p w14:paraId="2461B91B">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联系电话：</w:t>
      </w:r>
      <w:r>
        <w:rPr>
          <w:rFonts w:hint="eastAsia" w:ascii="方正仿宋_GB2312" w:hAnsi="方正仿宋_GB2312" w:eastAsia="方正仿宋_GB2312" w:cs="方正仿宋_GB2312"/>
          <w:color w:val="000000"/>
          <w:sz w:val="24"/>
          <w:szCs w:val="24"/>
          <w:highlight w:val="none"/>
          <w:u w:val="single"/>
        </w:rPr>
        <w:t>                 </w:t>
      </w:r>
      <w:r>
        <w:rPr>
          <w:rFonts w:hint="eastAsia" w:ascii="方正仿宋_GB2312" w:hAnsi="方正仿宋_GB2312" w:eastAsia="方正仿宋_GB2312" w:cs="方正仿宋_GB2312"/>
          <w:color w:val="000000"/>
          <w:sz w:val="24"/>
          <w:szCs w:val="24"/>
          <w:highlight w:val="none"/>
        </w:rPr>
        <w:t>；</w:t>
      </w:r>
    </w:p>
    <w:p w14:paraId="63D38727">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电子信箱：</w:t>
      </w:r>
      <w:r>
        <w:rPr>
          <w:rFonts w:hint="eastAsia" w:ascii="方正仿宋_GB2312" w:hAnsi="方正仿宋_GB2312" w:eastAsia="方正仿宋_GB2312" w:cs="方正仿宋_GB2312"/>
          <w:color w:val="000000"/>
          <w:sz w:val="24"/>
          <w:szCs w:val="24"/>
          <w:highlight w:val="none"/>
          <w:u w:val="single"/>
        </w:rPr>
        <w:t xml:space="preserve">                    </w:t>
      </w:r>
      <w:r>
        <w:rPr>
          <w:rFonts w:hint="eastAsia" w:ascii="方正仿宋_GB2312" w:hAnsi="方正仿宋_GB2312" w:eastAsia="方正仿宋_GB2312" w:cs="方正仿宋_GB2312"/>
          <w:color w:val="000000"/>
          <w:sz w:val="24"/>
          <w:szCs w:val="24"/>
          <w:highlight w:val="none"/>
        </w:rPr>
        <w:t>；</w:t>
      </w:r>
    </w:p>
    <w:p w14:paraId="08030300">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通信地址：</w:t>
      </w:r>
      <w:r>
        <w:rPr>
          <w:rFonts w:hint="eastAsia" w:ascii="方正仿宋_GB2312" w:hAnsi="方正仿宋_GB2312" w:eastAsia="方正仿宋_GB2312" w:cs="方正仿宋_GB2312"/>
          <w:color w:val="000000"/>
          <w:sz w:val="24"/>
          <w:szCs w:val="24"/>
          <w:highlight w:val="none"/>
          <w:u w:val="single"/>
        </w:rPr>
        <w:t>                </w:t>
      </w:r>
      <w:r>
        <w:rPr>
          <w:rFonts w:hint="eastAsia" w:ascii="方正仿宋_GB2312" w:hAnsi="方正仿宋_GB2312" w:eastAsia="方正仿宋_GB2312" w:cs="方正仿宋_GB2312"/>
          <w:color w:val="000000"/>
          <w:sz w:val="24"/>
          <w:szCs w:val="24"/>
          <w:highlight w:val="none"/>
        </w:rPr>
        <w:t>。</w:t>
      </w:r>
    </w:p>
    <w:p w14:paraId="74317752">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1.1.3 工程和设备</w:t>
      </w:r>
    </w:p>
    <w:p w14:paraId="0E1F7785">
      <w:pPr>
        <w:spacing w:line="360" w:lineRule="auto"/>
        <w:ind w:firstLine="480" w:firstLineChars="200"/>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rPr>
        <w:t>1.1.3.7 作为施工现场组成部分的其他场所包括：</w:t>
      </w:r>
      <w:r>
        <w:rPr>
          <w:rFonts w:hint="eastAsia" w:ascii="方正仿宋_GB2312" w:hAnsi="方正仿宋_GB2312" w:eastAsia="方正仿宋_GB2312" w:cs="方正仿宋_GB2312"/>
          <w:color w:val="000000"/>
          <w:sz w:val="24"/>
          <w:szCs w:val="24"/>
          <w:highlight w:val="none"/>
          <w:u w:val="single"/>
        </w:rPr>
        <w:t xml:space="preserve">           </w:t>
      </w:r>
    </w:p>
    <w:p w14:paraId="74D219F9">
      <w:pPr>
        <w:spacing w:line="360" w:lineRule="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     </w:t>
      </w:r>
      <w:r>
        <w:rPr>
          <w:rFonts w:hint="eastAsia" w:ascii="方正仿宋_GB2312" w:hAnsi="方正仿宋_GB2312" w:eastAsia="方正仿宋_GB2312" w:cs="方正仿宋_GB2312"/>
          <w:color w:val="000000"/>
          <w:sz w:val="24"/>
          <w:szCs w:val="24"/>
          <w:highlight w:val="none"/>
        </w:rPr>
        <w:t>。</w:t>
      </w:r>
    </w:p>
    <w:p w14:paraId="74624727">
      <w:pPr>
        <w:spacing w:line="360" w:lineRule="auto"/>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1.1.3.9 永久占地包括：</w:t>
      </w:r>
      <w:r>
        <w:rPr>
          <w:rFonts w:hint="eastAsia" w:ascii="方正仿宋_GB2312" w:hAnsi="方正仿宋_GB2312" w:eastAsia="方正仿宋_GB2312" w:cs="方正仿宋_GB2312"/>
          <w:color w:val="000000"/>
          <w:sz w:val="24"/>
          <w:szCs w:val="24"/>
          <w:highlight w:val="none"/>
          <w:u w:val="single"/>
        </w:rPr>
        <w:t xml:space="preserve">                        </w:t>
      </w:r>
      <w:r>
        <w:rPr>
          <w:rFonts w:hint="eastAsia" w:ascii="方正仿宋_GB2312" w:hAnsi="方正仿宋_GB2312" w:eastAsia="方正仿宋_GB2312" w:cs="方正仿宋_GB2312"/>
          <w:color w:val="000000"/>
          <w:kern w:val="0"/>
          <w:sz w:val="24"/>
          <w:szCs w:val="24"/>
          <w:highlight w:val="none"/>
        </w:rPr>
        <w:t>。</w:t>
      </w:r>
    </w:p>
    <w:p w14:paraId="2ED4EC3B">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kern w:val="0"/>
          <w:sz w:val="24"/>
          <w:szCs w:val="24"/>
          <w:highlight w:val="none"/>
        </w:rPr>
        <w:t>1.1.3.10 临时占地包括：</w:t>
      </w:r>
      <w:r>
        <w:rPr>
          <w:rFonts w:hint="eastAsia" w:ascii="方正仿宋_GB2312" w:hAnsi="方正仿宋_GB2312" w:eastAsia="方正仿宋_GB2312" w:cs="方正仿宋_GB2312"/>
          <w:color w:val="000000"/>
          <w:sz w:val="24"/>
          <w:szCs w:val="24"/>
          <w:highlight w:val="none"/>
          <w:u w:val="single"/>
        </w:rPr>
        <w:t xml:space="preserve">                       </w:t>
      </w:r>
      <w:r>
        <w:rPr>
          <w:rFonts w:hint="eastAsia" w:ascii="方正仿宋_GB2312" w:hAnsi="方正仿宋_GB2312" w:eastAsia="方正仿宋_GB2312" w:cs="方正仿宋_GB2312"/>
          <w:color w:val="000000"/>
          <w:kern w:val="0"/>
          <w:sz w:val="24"/>
          <w:szCs w:val="24"/>
          <w:highlight w:val="none"/>
        </w:rPr>
        <w:t>。</w:t>
      </w:r>
    </w:p>
    <w:p w14:paraId="3681519E">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522" w:name="_Toc10927"/>
      <w:bookmarkStart w:id="523" w:name="_Toc1863"/>
      <w:r>
        <w:rPr>
          <w:rFonts w:hint="eastAsia" w:ascii="方正仿宋_GB2312" w:hAnsi="方正仿宋_GB2312" w:eastAsia="方正仿宋_GB2312" w:cs="方正仿宋_GB2312"/>
          <w:color w:val="000000"/>
          <w:sz w:val="24"/>
          <w:szCs w:val="24"/>
          <w:highlight w:val="none"/>
        </w:rPr>
        <w:t>1.3法律</w:t>
      </w:r>
      <w:bookmarkEnd w:id="522"/>
      <w:bookmarkEnd w:id="523"/>
      <w:r>
        <w:rPr>
          <w:rFonts w:hint="eastAsia" w:ascii="方正仿宋_GB2312" w:hAnsi="方正仿宋_GB2312" w:eastAsia="方正仿宋_GB2312" w:cs="方正仿宋_GB2312"/>
          <w:color w:val="000000"/>
          <w:sz w:val="24"/>
          <w:szCs w:val="24"/>
          <w:highlight w:val="none"/>
        </w:rPr>
        <w:t xml:space="preserve"> </w:t>
      </w:r>
    </w:p>
    <w:p w14:paraId="7B79DE8B">
      <w:pPr>
        <w:autoSpaceDE w:val="0"/>
        <w:autoSpaceDN w:val="0"/>
        <w:adjustRightInd w:val="0"/>
        <w:spacing w:line="360" w:lineRule="auto"/>
        <w:ind w:left="596" w:leftChars="284"/>
        <w:jc w:val="left"/>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rPr>
        <w:t>适用于合同的其他规范性文件：</w:t>
      </w:r>
      <w:r>
        <w:rPr>
          <w:rFonts w:hint="eastAsia" w:ascii="方正仿宋_GB2312" w:hAnsi="方正仿宋_GB2312" w:eastAsia="方正仿宋_GB2312" w:cs="方正仿宋_GB2312"/>
          <w:color w:val="000000"/>
          <w:sz w:val="24"/>
          <w:szCs w:val="24"/>
          <w:highlight w:val="none"/>
          <w:u w:val="single"/>
        </w:rPr>
        <w:t xml:space="preserve">     </w:t>
      </w:r>
    </w:p>
    <w:p w14:paraId="66542777">
      <w:pPr>
        <w:autoSpaceDE w:val="0"/>
        <w:autoSpaceDN w:val="0"/>
        <w:adjustRightInd w:val="0"/>
        <w:spacing w:line="360" w:lineRule="auto"/>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6C899A35">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524" w:name="_Toc28418"/>
      <w:bookmarkStart w:id="525" w:name="_Toc27338"/>
      <w:r>
        <w:rPr>
          <w:rFonts w:hint="eastAsia" w:ascii="方正仿宋_GB2312" w:hAnsi="方正仿宋_GB2312" w:eastAsia="方正仿宋_GB2312" w:cs="方正仿宋_GB2312"/>
          <w:color w:val="000000"/>
          <w:sz w:val="24"/>
          <w:szCs w:val="24"/>
          <w:highlight w:val="none"/>
        </w:rPr>
        <w:t>1.4 标准和规范</w:t>
      </w:r>
      <w:bookmarkEnd w:id="524"/>
      <w:bookmarkEnd w:id="525"/>
    </w:p>
    <w:p w14:paraId="79CF36EC">
      <w:pPr>
        <w:spacing w:line="360" w:lineRule="auto"/>
        <w:ind w:left="596" w:leftChars="284"/>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1.4.1适用于工程的标准规范包括：</w:t>
      </w:r>
      <w:r>
        <w:rPr>
          <w:rFonts w:hint="eastAsia" w:ascii="方正仿宋_GB2312" w:hAnsi="方正仿宋_GB2312" w:eastAsia="方正仿宋_GB2312" w:cs="方正仿宋_GB2312"/>
          <w:color w:val="000000"/>
          <w:sz w:val="24"/>
          <w:szCs w:val="24"/>
          <w:highlight w:val="none"/>
          <w:u w:val="single"/>
        </w:rPr>
        <w:t>          </w:t>
      </w:r>
      <w:r>
        <w:rPr>
          <w:rFonts w:hint="eastAsia" w:ascii="方正仿宋_GB2312" w:hAnsi="方正仿宋_GB2312" w:eastAsia="方正仿宋_GB2312" w:cs="方正仿宋_GB2312"/>
          <w:color w:val="000000"/>
          <w:sz w:val="24"/>
          <w:szCs w:val="24"/>
          <w:highlight w:val="none"/>
        </w:rPr>
        <w:t xml:space="preserve"> </w:t>
      </w:r>
    </w:p>
    <w:p w14:paraId="4CC39DDA">
      <w:pPr>
        <w:spacing w:line="360" w:lineRule="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      </w:t>
      </w:r>
      <w:r>
        <w:rPr>
          <w:rFonts w:hint="eastAsia" w:ascii="方正仿宋_GB2312" w:hAnsi="方正仿宋_GB2312" w:eastAsia="方正仿宋_GB2312" w:cs="方正仿宋_GB2312"/>
          <w:color w:val="000000"/>
          <w:sz w:val="24"/>
          <w:szCs w:val="24"/>
          <w:highlight w:val="none"/>
        </w:rPr>
        <w:t>。</w:t>
      </w:r>
    </w:p>
    <w:p w14:paraId="4789B9C3">
      <w:pPr>
        <w:spacing w:line="360" w:lineRule="auto"/>
        <w:ind w:firstLine="480" w:firstLineChars="200"/>
        <w:outlineLvl w:val="9"/>
        <w:rPr>
          <w:rFonts w:hint="eastAsia" w:ascii="方正仿宋_GB2312" w:hAnsi="方正仿宋_GB2312" w:eastAsia="方正仿宋_GB2312" w:cs="方正仿宋_GB2312"/>
          <w:color w:val="000000"/>
          <w:kern w:val="0"/>
          <w:sz w:val="24"/>
          <w:szCs w:val="24"/>
          <w:highlight w:val="none"/>
          <w:u w:val="single"/>
        </w:rPr>
      </w:pPr>
      <w:r>
        <w:rPr>
          <w:rFonts w:hint="eastAsia" w:ascii="方正仿宋_GB2312" w:hAnsi="方正仿宋_GB2312" w:eastAsia="方正仿宋_GB2312" w:cs="方正仿宋_GB2312"/>
          <w:color w:val="000000"/>
          <w:kern w:val="0"/>
          <w:sz w:val="24"/>
          <w:szCs w:val="24"/>
          <w:highlight w:val="none"/>
        </w:rPr>
        <w:t>1.4.2 发包人提供国外标准、规范的名称：</w:t>
      </w:r>
      <w:r>
        <w:rPr>
          <w:rFonts w:hint="eastAsia" w:ascii="方正仿宋_GB2312" w:hAnsi="方正仿宋_GB2312" w:eastAsia="方正仿宋_GB2312" w:cs="方正仿宋_GB2312"/>
          <w:color w:val="000000"/>
          <w:kern w:val="0"/>
          <w:sz w:val="24"/>
          <w:szCs w:val="24"/>
          <w:highlight w:val="none"/>
          <w:u w:val="single"/>
        </w:rPr>
        <w:t xml:space="preserve">                 </w:t>
      </w:r>
    </w:p>
    <w:p w14:paraId="67AE8DBF">
      <w:pPr>
        <w:spacing w:line="360" w:lineRule="auto"/>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u w:val="single"/>
        </w:rPr>
        <w:t xml:space="preserve">                                                         </w:t>
      </w:r>
      <w:r>
        <w:rPr>
          <w:rFonts w:hint="eastAsia" w:ascii="方正仿宋_GB2312" w:hAnsi="方正仿宋_GB2312" w:eastAsia="方正仿宋_GB2312" w:cs="方正仿宋_GB2312"/>
          <w:color w:val="000000"/>
          <w:kern w:val="0"/>
          <w:sz w:val="24"/>
          <w:szCs w:val="24"/>
          <w:highlight w:val="none"/>
        </w:rPr>
        <w:t>；</w:t>
      </w:r>
    </w:p>
    <w:p w14:paraId="053D0849">
      <w:pPr>
        <w:spacing w:line="360" w:lineRule="auto"/>
        <w:ind w:firstLine="480" w:firstLineChars="200"/>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发包人提供国外标准、规范的份数：</w:t>
      </w:r>
      <w:r>
        <w:rPr>
          <w:rFonts w:hint="eastAsia" w:ascii="方正仿宋_GB2312" w:hAnsi="方正仿宋_GB2312" w:eastAsia="方正仿宋_GB2312" w:cs="方正仿宋_GB2312"/>
          <w:color w:val="000000"/>
          <w:kern w:val="0"/>
          <w:sz w:val="24"/>
          <w:szCs w:val="24"/>
          <w:highlight w:val="none"/>
          <w:u w:val="single"/>
        </w:rPr>
        <w:t xml:space="preserve">                      </w:t>
      </w:r>
      <w:r>
        <w:rPr>
          <w:rFonts w:hint="eastAsia" w:ascii="方正仿宋_GB2312" w:hAnsi="方正仿宋_GB2312" w:eastAsia="方正仿宋_GB2312" w:cs="方正仿宋_GB2312"/>
          <w:color w:val="000000"/>
          <w:kern w:val="0"/>
          <w:sz w:val="24"/>
          <w:szCs w:val="24"/>
          <w:highlight w:val="none"/>
        </w:rPr>
        <w:t>；</w:t>
      </w:r>
    </w:p>
    <w:p w14:paraId="58B6B1F4">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发包人提供国外标准、规范的名称：</w:t>
      </w:r>
      <w:r>
        <w:rPr>
          <w:rFonts w:hint="eastAsia" w:ascii="方正仿宋_GB2312" w:hAnsi="方正仿宋_GB2312" w:eastAsia="方正仿宋_GB2312" w:cs="方正仿宋_GB2312"/>
          <w:color w:val="000000"/>
          <w:kern w:val="0"/>
          <w:sz w:val="24"/>
          <w:szCs w:val="24"/>
          <w:highlight w:val="none"/>
          <w:u w:val="single"/>
        </w:rPr>
        <w:t xml:space="preserve">                      </w:t>
      </w:r>
      <w:r>
        <w:rPr>
          <w:rFonts w:hint="eastAsia" w:ascii="方正仿宋_GB2312" w:hAnsi="方正仿宋_GB2312" w:eastAsia="方正仿宋_GB2312" w:cs="方正仿宋_GB2312"/>
          <w:color w:val="000000"/>
          <w:kern w:val="0"/>
          <w:sz w:val="24"/>
          <w:szCs w:val="24"/>
          <w:highlight w:val="none"/>
        </w:rPr>
        <w:t>。</w:t>
      </w:r>
    </w:p>
    <w:p w14:paraId="46944F5A">
      <w:pPr>
        <w:spacing w:line="360" w:lineRule="auto"/>
        <w:ind w:left="596" w:leftChars="284"/>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1.4.3发包人对工程的技术标准和功能要求的特殊要求：</w:t>
      </w:r>
    </w:p>
    <w:p w14:paraId="5E5E3A1C">
      <w:pPr>
        <w:spacing w:line="360" w:lineRule="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1DAEA8DE">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526" w:name="_Toc4131"/>
      <w:bookmarkStart w:id="527" w:name="_Toc13625"/>
      <w:r>
        <w:rPr>
          <w:rFonts w:hint="eastAsia" w:ascii="方正仿宋_GB2312" w:hAnsi="方正仿宋_GB2312" w:eastAsia="方正仿宋_GB2312" w:cs="方正仿宋_GB2312"/>
          <w:color w:val="000000"/>
          <w:sz w:val="24"/>
          <w:szCs w:val="24"/>
          <w:highlight w:val="none"/>
        </w:rPr>
        <w:t>1.5 合同文件的优先顺序</w:t>
      </w:r>
      <w:bookmarkEnd w:id="526"/>
      <w:bookmarkEnd w:id="527"/>
    </w:p>
    <w:p w14:paraId="3BDD87DD">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合同文件组成及优先顺序为：</w:t>
      </w:r>
      <w:r>
        <w:rPr>
          <w:rFonts w:hint="eastAsia" w:ascii="方正仿宋_GB2312" w:hAnsi="方正仿宋_GB2312" w:eastAsia="方正仿宋_GB2312" w:cs="方正仿宋_GB2312"/>
          <w:color w:val="000000"/>
          <w:sz w:val="24"/>
          <w:szCs w:val="24"/>
          <w:highlight w:val="none"/>
          <w:u w:val="single"/>
        </w:rPr>
        <w:t></w:t>
      </w:r>
      <w:r>
        <w:rPr>
          <w:rFonts w:hint="eastAsia" w:ascii="方正仿宋_GB2312" w:hAnsi="方正仿宋_GB2312" w:eastAsia="方正仿宋_GB2312" w:cs="方正仿宋_GB2312"/>
          <w:color w:val="000000"/>
          <w:sz w:val="24"/>
          <w:szCs w:val="24"/>
          <w:highlight w:val="none"/>
        </w:rPr>
        <w:t xml:space="preserve"> </w:t>
      </w:r>
      <w:r>
        <w:rPr>
          <w:rFonts w:hint="eastAsia" w:ascii="方正仿宋_GB2312" w:hAnsi="方正仿宋_GB2312" w:eastAsia="方正仿宋_GB2312" w:cs="方正仿宋_GB2312"/>
          <w:color w:val="000000"/>
          <w:sz w:val="24"/>
          <w:szCs w:val="24"/>
          <w:highlight w:val="none"/>
          <w:u w:val="single"/>
        </w:rPr>
        <w:t></w:t>
      </w:r>
      <w:r>
        <w:rPr>
          <w:rFonts w:hint="eastAsia" w:ascii="方正仿宋_GB2312" w:hAnsi="方正仿宋_GB2312" w:eastAsia="方正仿宋_GB2312" w:cs="方正仿宋_GB2312"/>
          <w:color w:val="000000"/>
          <w:sz w:val="24"/>
          <w:szCs w:val="24"/>
          <w:highlight w:val="none"/>
        </w:rPr>
        <w:t>。</w:t>
      </w:r>
    </w:p>
    <w:p w14:paraId="645D48E7">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528" w:name="_Toc16246"/>
      <w:bookmarkStart w:id="529" w:name="_Toc24418"/>
      <w:r>
        <w:rPr>
          <w:rFonts w:hint="eastAsia" w:ascii="方正仿宋_GB2312" w:hAnsi="方正仿宋_GB2312" w:eastAsia="方正仿宋_GB2312" w:cs="方正仿宋_GB2312"/>
          <w:color w:val="000000"/>
          <w:sz w:val="24"/>
          <w:szCs w:val="24"/>
          <w:highlight w:val="none"/>
        </w:rPr>
        <w:t>1.6 图纸和承包人文件</w:t>
      </w:r>
      <w:bookmarkEnd w:id="528"/>
      <w:bookmarkEnd w:id="529"/>
      <w:r>
        <w:rPr>
          <w:rFonts w:hint="eastAsia" w:ascii="方正仿宋_GB2312" w:hAnsi="方正仿宋_GB2312" w:eastAsia="方正仿宋_GB2312" w:cs="方正仿宋_GB2312"/>
          <w:color w:val="000000"/>
          <w:sz w:val="24"/>
          <w:szCs w:val="24"/>
          <w:highlight w:val="none"/>
        </w:rPr>
        <w:tab/>
      </w:r>
    </w:p>
    <w:p w14:paraId="73C5245B">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1.6.1 图纸的提供</w:t>
      </w:r>
    </w:p>
    <w:p w14:paraId="0EA1AB03">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发包人向承包人提供图纸的期限：</w:t>
      </w:r>
      <w:r>
        <w:rPr>
          <w:rFonts w:hint="eastAsia" w:ascii="方正仿宋_GB2312" w:hAnsi="方正仿宋_GB2312" w:eastAsia="方正仿宋_GB2312" w:cs="方正仿宋_GB2312"/>
          <w:color w:val="000000"/>
          <w:sz w:val="24"/>
          <w:szCs w:val="24"/>
          <w:highlight w:val="none"/>
          <w:u w:val="single"/>
        </w:rPr>
        <w:t>    </w:t>
      </w:r>
      <w:r>
        <w:rPr>
          <w:rFonts w:hint="eastAsia" w:ascii="方正仿宋_GB2312" w:hAnsi="方正仿宋_GB2312" w:eastAsia="方正仿宋_GB2312" w:cs="方正仿宋_GB2312"/>
          <w:color w:val="000000"/>
          <w:sz w:val="24"/>
          <w:szCs w:val="24"/>
          <w:highlight w:val="none"/>
        </w:rPr>
        <w:t>；</w:t>
      </w:r>
    </w:p>
    <w:p w14:paraId="146507E6">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发包人向承包人提供图纸的数量：</w:t>
      </w:r>
      <w:r>
        <w:rPr>
          <w:rFonts w:hint="eastAsia" w:ascii="方正仿宋_GB2312" w:hAnsi="方正仿宋_GB2312" w:eastAsia="方正仿宋_GB2312" w:cs="方正仿宋_GB2312"/>
          <w:color w:val="000000"/>
          <w:sz w:val="24"/>
          <w:szCs w:val="24"/>
          <w:highlight w:val="none"/>
          <w:u w:val="single"/>
        </w:rPr>
        <w:t>    </w:t>
      </w:r>
      <w:r>
        <w:rPr>
          <w:rFonts w:hint="eastAsia" w:ascii="方正仿宋_GB2312" w:hAnsi="方正仿宋_GB2312" w:eastAsia="方正仿宋_GB2312" w:cs="方正仿宋_GB2312"/>
          <w:color w:val="000000"/>
          <w:sz w:val="24"/>
          <w:szCs w:val="24"/>
          <w:highlight w:val="none"/>
        </w:rPr>
        <w:t>；</w:t>
      </w:r>
    </w:p>
    <w:p w14:paraId="2125199A">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发包人向承包人提供图纸的内容：</w:t>
      </w:r>
      <w:r>
        <w:rPr>
          <w:rFonts w:hint="eastAsia" w:ascii="方正仿宋_GB2312" w:hAnsi="方正仿宋_GB2312" w:eastAsia="方正仿宋_GB2312" w:cs="方正仿宋_GB2312"/>
          <w:color w:val="000000"/>
          <w:sz w:val="24"/>
          <w:szCs w:val="24"/>
          <w:highlight w:val="none"/>
          <w:u w:val="single"/>
        </w:rPr>
        <w:t>    </w:t>
      </w:r>
      <w:r>
        <w:rPr>
          <w:rFonts w:hint="eastAsia" w:ascii="方正仿宋_GB2312" w:hAnsi="方正仿宋_GB2312" w:eastAsia="方正仿宋_GB2312" w:cs="方正仿宋_GB2312"/>
          <w:color w:val="000000"/>
          <w:sz w:val="24"/>
          <w:szCs w:val="24"/>
          <w:highlight w:val="none"/>
        </w:rPr>
        <w:t>。</w:t>
      </w:r>
    </w:p>
    <w:p w14:paraId="49116AA2">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1.6.4 承包人文件</w:t>
      </w:r>
    </w:p>
    <w:p w14:paraId="18AE7134">
      <w:pPr>
        <w:spacing w:line="360" w:lineRule="auto"/>
        <w:ind w:left="596" w:leftChars="284"/>
        <w:jc w:val="left"/>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rPr>
        <w:t>需要由承包人提供的文件，包括：</w:t>
      </w:r>
      <w:r>
        <w:rPr>
          <w:rFonts w:hint="eastAsia" w:ascii="方正仿宋_GB2312" w:hAnsi="方正仿宋_GB2312" w:eastAsia="方正仿宋_GB2312" w:cs="方正仿宋_GB2312"/>
          <w:color w:val="000000"/>
          <w:sz w:val="24"/>
          <w:szCs w:val="24"/>
          <w:highlight w:val="none"/>
          <w:u w:val="single"/>
        </w:rPr>
        <w:t>          </w:t>
      </w:r>
    </w:p>
    <w:p w14:paraId="2D4C3957">
      <w:pPr>
        <w:spacing w:line="360" w:lineRule="auto"/>
        <w:ind w:left="596" w:leftChars="284"/>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 </w:t>
      </w:r>
      <w:r>
        <w:rPr>
          <w:rFonts w:hint="eastAsia" w:ascii="方正仿宋_GB2312" w:hAnsi="方正仿宋_GB2312" w:eastAsia="方正仿宋_GB2312" w:cs="方正仿宋_GB2312"/>
          <w:color w:val="000000"/>
          <w:sz w:val="24"/>
          <w:szCs w:val="24"/>
          <w:highlight w:val="none"/>
        </w:rPr>
        <w:t>；</w:t>
      </w:r>
    </w:p>
    <w:p w14:paraId="4D3DF3DF">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承包人提供的文件的期限为：</w:t>
      </w:r>
      <w:r>
        <w:rPr>
          <w:rFonts w:hint="eastAsia" w:ascii="方正仿宋_GB2312" w:hAnsi="方正仿宋_GB2312" w:eastAsia="方正仿宋_GB2312" w:cs="方正仿宋_GB2312"/>
          <w:color w:val="000000"/>
          <w:sz w:val="24"/>
          <w:szCs w:val="24"/>
          <w:highlight w:val="none"/>
          <w:u w:val="single"/>
        </w:rPr>
        <w:t>       </w:t>
      </w:r>
      <w:r>
        <w:rPr>
          <w:rFonts w:hint="eastAsia" w:ascii="方正仿宋_GB2312" w:hAnsi="方正仿宋_GB2312" w:eastAsia="方正仿宋_GB2312" w:cs="方正仿宋_GB2312"/>
          <w:color w:val="000000"/>
          <w:sz w:val="24"/>
          <w:szCs w:val="24"/>
          <w:highlight w:val="none"/>
        </w:rPr>
        <w:t>；</w:t>
      </w:r>
    </w:p>
    <w:p w14:paraId="1AD85FF6">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承包人提供的文件的数量为：</w:t>
      </w:r>
      <w:r>
        <w:rPr>
          <w:rFonts w:hint="eastAsia" w:ascii="方正仿宋_GB2312" w:hAnsi="方正仿宋_GB2312" w:eastAsia="方正仿宋_GB2312" w:cs="方正仿宋_GB2312"/>
          <w:color w:val="000000"/>
          <w:sz w:val="24"/>
          <w:szCs w:val="24"/>
          <w:highlight w:val="none"/>
          <w:u w:val="single"/>
        </w:rPr>
        <w:t>          </w:t>
      </w:r>
      <w:r>
        <w:rPr>
          <w:rFonts w:hint="eastAsia" w:ascii="方正仿宋_GB2312" w:hAnsi="方正仿宋_GB2312" w:eastAsia="方正仿宋_GB2312" w:cs="方正仿宋_GB2312"/>
          <w:color w:val="000000"/>
          <w:sz w:val="24"/>
          <w:szCs w:val="24"/>
          <w:highlight w:val="none"/>
        </w:rPr>
        <w:t>；</w:t>
      </w:r>
    </w:p>
    <w:p w14:paraId="6CF379E3">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承包人提供的文件的形式为：</w:t>
      </w:r>
      <w:r>
        <w:rPr>
          <w:rFonts w:hint="eastAsia" w:ascii="方正仿宋_GB2312" w:hAnsi="方正仿宋_GB2312" w:eastAsia="方正仿宋_GB2312" w:cs="方正仿宋_GB2312"/>
          <w:color w:val="000000"/>
          <w:sz w:val="24"/>
          <w:szCs w:val="24"/>
          <w:highlight w:val="none"/>
          <w:u w:val="single"/>
        </w:rPr>
        <w:t>       </w:t>
      </w:r>
      <w:r>
        <w:rPr>
          <w:rFonts w:hint="eastAsia" w:ascii="方正仿宋_GB2312" w:hAnsi="方正仿宋_GB2312" w:eastAsia="方正仿宋_GB2312" w:cs="方正仿宋_GB2312"/>
          <w:color w:val="000000"/>
          <w:sz w:val="24"/>
          <w:szCs w:val="24"/>
          <w:highlight w:val="none"/>
        </w:rPr>
        <w:t>；</w:t>
      </w:r>
    </w:p>
    <w:p w14:paraId="0151D6F0">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发包人审批承包人文件的期限：</w:t>
      </w:r>
      <w:r>
        <w:rPr>
          <w:rFonts w:hint="eastAsia" w:ascii="方正仿宋_GB2312" w:hAnsi="方正仿宋_GB2312" w:eastAsia="方正仿宋_GB2312" w:cs="方正仿宋_GB2312"/>
          <w:color w:val="000000"/>
          <w:sz w:val="24"/>
          <w:szCs w:val="24"/>
          <w:highlight w:val="none"/>
          <w:u w:val="single"/>
        </w:rPr>
        <w:t>       </w:t>
      </w:r>
      <w:r>
        <w:rPr>
          <w:rFonts w:hint="eastAsia" w:ascii="方正仿宋_GB2312" w:hAnsi="方正仿宋_GB2312" w:eastAsia="方正仿宋_GB2312" w:cs="方正仿宋_GB2312"/>
          <w:color w:val="000000"/>
          <w:sz w:val="24"/>
          <w:szCs w:val="24"/>
          <w:highlight w:val="none"/>
        </w:rPr>
        <w:t>。</w:t>
      </w:r>
    </w:p>
    <w:p w14:paraId="75E4312D">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1.6.5 现场图纸准备</w:t>
      </w:r>
    </w:p>
    <w:p w14:paraId="57BB57E4">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关于现场图纸准备的约定：</w:t>
      </w:r>
      <w:r>
        <w:rPr>
          <w:rFonts w:hint="eastAsia" w:ascii="方正仿宋_GB2312" w:hAnsi="方正仿宋_GB2312" w:eastAsia="方正仿宋_GB2312" w:cs="方正仿宋_GB2312"/>
          <w:color w:val="000000"/>
          <w:sz w:val="24"/>
          <w:szCs w:val="24"/>
          <w:highlight w:val="none"/>
          <w:u w:val="single"/>
        </w:rPr>
        <w:t>          </w:t>
      </w:r>
      <w:r>
        <w:rPr>
          <w:rFonts w:hint="eastAsia" w:ascii="方正仿宋_GB2312" w:hAnsi="方正仿宋_GB2312" w:eastAsia="方正仿宋_GB2312" w:cs="方正仿宋_GB2312"/>
          <w:color w:val="000000"/>
          <w:sz w:val="24"/>
          <w:szCs w:val="24"/>
          <w:highlight w:val="none"/>
        </w:rPr>
        <w:t>。</w:t>
      </w:r>
    </w:p>
    <w:p w14:paraId="735FB788">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530" w:name="_Toc8945"/>
      <w:bookmarkStart w:id="531" w:name="_Toc19154"/>
      <w:r>
        <w:rPr>
          <w:rFonts w:hint="eastAsia" w:ascii="方正仿宋_GB2312" w:hAnsi="方正仿宋_GB2312" w:eastAsia="方正仿宋_GB2312" w:cs="方正仿宋_GB2312"/>
          <w:color w:val="000000"/>
          <w:sz w:val="24"/>
          <w:szCs w:val="24"/>
          <w:highlight w:val="none"/>
        </w:rPr>
        <w:t>1.7 联络</w:t>
      </w:r>
      <w:bookmarkEnd w:id="530"/>
      <w:bookmarkEnd w:id="531"/>
    </w:p>
    <w:p w14:paraId="3A1D676D">
      <w:pPr>
        <w:spacing w:line="360" w:lineRule="auto"/>
        <w:ind w:firstLine="480" w:firstLineChars="200"/>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1.7.1发包人和承包人应当在</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kern w:val="0"/>
          <w:sz w:val="24"/>
          <w:szCs w:val="24"/>
          <w:highlight w:val="none"/>
        </w:rPr>
        <w:t>天内将与合同有关的通知、批准、证明、证书、指示、指令、要求、请求、同意、意见、确定和决定等书面函件送达对方当事人。</w:t>
      </w:r>
    </w:p>
    <w:p w14:paraId="15026C5C">
      <w:pPr>
        <w:spacing w:line="360" w:lineRule="auto"/>
        <w:ind w:firstLine="480" w:firstLineChars="200"/>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1.7.2 发包人接收文件的地点：</w:t>
      </w:r>
      <w:r>
        <w:rPr>
          <w:rFonts w:hint="eastAsia" w:ascii="方正仿宋_GB2312" w:hAnsi="方正仿宋_GB2312" w:eastAsia="方正仿宋_GB2312" w:cs="方正仿宋_GB2312"/>
          <w:color w:val="000000"/>
          <w:sz w:val="24"/>
          <w:szCs w:val="24"/>
          <w:highlight w:val="none"/>
          <w:u w:val="single"/>
        </w:rPr>
        <w:t>      </w:t>
      </w:r>
      <w:r>
        <w:rPr>
          <w:rFonts w:hint="eastAsia" w:ascii="方正仿宋_GB2312" w:hAnsi="方正仿宋_GB2312" w:eastAsia="方正仿宋_GB2312" w:cs="方正仿宋_GB2312"/>
          <w:color w:val="000000"/>
          <w:kern w:val="0"/>
          <w:sz w:val="24"/>
          <w:szCs w:val="24"/>
          <w:highlight w:val="none"/>
        </w:rPr>
        <w:t>；</w:t>
      </w:r>
    </w:p>
    <w:p w14:paraId="197E28D5">
      <w:pPr>
        <w:spacing w:line="360" w:lineRule="auto"/>
        <w:ind w:firstLine="480" w:firstLineChars="200"/>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发包人指定的接收人为：</w:t>
      </w:r>
      <w:r>
        <w:rPr>
          <w:rFonts w:hint="eastAsia" w:ascii="方正仿宋_GB2312" w:hAnsi="方正仿宋_GB2312" w:eastAsia="方正仿宋_GB2312" w:cs="方正仿宋_GB2312"/>
          <w:color w:val="000000"/>
          <w:sz w:val="24"/>
          <w:szCs w:val="24"/>
          <w:highlight w:val="none"/>
          <w:u w:val="single"/>
        </w:rPr>
        <w:t>               </w:t>
      </w:r>
      <w:r>
        <w:rPr>
          <w:rFonts w:hint="eastAsia" w:ascii="方正仿宋_GB2312" w:hAnsi="方正仿宋_GB2312" w:eastAsia="方正仿宋_GB2312" w:cs="方正仿宋_GB2312"/>
          <w:color w:val="000000"/>
          <w:kern w:val="0"/>
          <w:sz w:val="24"/>
          <w:szCs w:val="24"/>
          <w:highlight w:val="none"/>
        </w:rPr>
        <w:t>。</w:t>
      </w:r>
    </w:p>
    <w:p w14:paraId="5444FDFB">
      <w:pPr>
        <w:spacing w:line="360" w:lineRule="auto"/>
        <w:ind w:firstLine="480" w:firstLineChars="200"/>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承包人接收文件的地点：</w:t>
      </w:r>
      <w:r>
        <w:rPr>
          <w:rFonts w:hint="eastAsia" w:ascii="方正仿宋_GB2312" w:hAnsi="方正仿宋_GB2312" w:eastAsia="方正仿宋_GB2312" w:cs="方正仿宋_GB2312"/>
          <w:color w:val="000000"/>
          <w:sz w:val="24"/>
          <w:szCs w:val="24"/>
          <w:highlight w:val="none"/>
          <w:u w:val="single"/>
        </w:rPr>
        <w:t>             </w:t>
      </w:r>
      <w:r>
        <w:rPr>
          <w:rFonts w:hint="eastAsia" w:ascii="方正仿宋_GB2312" w:hAnsi="方正仿宋_GB2312" w:eastAsia="方正仿宋_GB2312" w:cs="方正仿宋_GB2312"/>
          <w:color w:val="000000"/>
          <w:kern w:val="0"/>
          <w:sz w:val="24"/>
          <w:szCs w:val="24"/>
          <w:highlight w:val="none"/>
        </w:rPr>
        <w:t>；</w:t>
      </w:r>
    </w:p>
    <w:p w14:paraId="406EA2EB">
      <w:pPr>
        <w:spacing w:line="360" w:lineRule="auto"/>
        <w:ind w:firstLine="480" w:firstLineChars="200"/>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承包人指定的接收人为：</w:t>
      </w:r>
      <w:r>
        <w:rPr>
          <w:rFonts w:hint="eastAsia" w:ascii="方正仿宋_GB2312" w:hAnsi="方正仿宋_GB2312" w:eastAsia="方正仿宋_GB2312" w:cs="方正仿宋_GB2312"/>
          <w:color w:val="000000"/>
          <w:sz w:val="24"/>
          <w:szCs w:val="24"/>
          <w:highlight w:val="none"/>
          <w:u w:val="single"/>
        </w:rPr>
        <w:t>             </w:t>
      </w:r>
      <w:r>
        <w:rPr>
          <w:rFonts w:hint="eastAsia" w:ascii="方正仿宋_GB2312" w:hAnsi="方正仿宋_GB2312" w:eastAsia="方正仿宋_GB2312" w:cs="方正仿宋_GB2312"/>
          <w:color w:val="000000"/>
          <w:kern w:val="0"/>
          <w:sz w:val="24"/>
          <w:szCs w:val="24"/>
          <w:highlight w:val="none"/>
        </w:rPr>
        <w:t>。</w:t>
      </w:r>
    </w:p>
    <w:p w14:paraId="5998D156">
      <w:pPr>
        <w:spacing w:line="360" w:lineRule="auto"/>
        <w:ind w:firstLine="480" w:firstLineChars="200"/>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监理人接收文件的地点：</w:t>
      </w:r>
      <w:r>
        <w:rPr>
          <w:rFonts w:hint="eastAsia" w:ascii="方正仿宋_GB2312" w:hAnsi="方正仿宋_GB2312" w:eastAsia="方正仿宋_GB2312" w:cs="方正仿宋_GB2312"/>
          <w:color w:val="000000"/>
          <w:sz w:val="24"/>
          <w:szCs w:val="24"/>
          <w:highlight w:val="none"/>
          <w:u w:val="single"/>
        </w:rPr>
        <w:t>            </w:t>
      </w:r>
      <w:r>
        <w:rPr>
          <w:rFonts w:hint="eastAsia" w:ascii="方正仿宋_GB2312" w:hAnsi="方正仿宋_GB2312" w:eastAsia="方正仿宋_GB2312" w:cs="方正仿宋_GB2312"/>
          <w:color w:val="000000"/>
          <w:kern w:val="0"/>
          <w:sz w:val="24"/>
          <w:szCs w:val="24"/>
          <w:highlight w:val="none"/>
        </w:rPr>
        <w:t>；</w:t>
      </w:r>
    </w:p>
    <w:p w14:paraId="12877A77">
      <w:pPr>
        <w:spacing w:line="360" w:lineRule="auto"/>
        <w:ind w:firstLine="480" w:firstLineChars="200"/>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监理人指定的接收人为：</w:t>
      </w:r>
      <w:r>
        <w:rPr>
          <w:rFonts w:hint="eastAsia" w:ascii="方正仿宋_GB2312" w:hAnsi="方正仿宋_GB2312" w:eastAsia="方正仿宋_GB2312" w:cs="方正仿宋_GB2312"/>
          <w:color w:val="000000"/>
          <w:sz w:val="24"/>
          <w:szCs w:val="24"/>
          <w:highlight w:val="none"/>
          <w:u w:val="single"/>
        </w:rPr>
        <w:t>            </w:t>
      </w:r>
      <w:r>
        <w:rPr>
          <w:rFonts w:hint="eastAsia" w:ascii="方正仿宋_GB2312" w:hAnsi="方正仿宋_GB2312" w:eastAsia="方正仿宋_GB2312" w:cs="方正仿宋_GB2312"/>
          <w:color w:val="000000"/>
          <w:kern w:val="0"/>
          <w:sz w:val="24"/>
          <w:szCs w:val="24"/>
          <w:highlight w:val="none"/>
        </w:rPr>
        <w:t>。</w:t>
      </w:r>
    </w:p>
    <w:p w14:paraId="3B3E422B">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532" w:name="_Toc10442"/>
      <w:bookmarkStart w:id="533" w:name="_Toc13942"/>
      <w:r>
        <w:rPr>
          <w:rFonts w:hint="eastAsia" w:ascii="方正仿宋_GB2312" w:hAnsi="方正仿宋_GB2312" w:eastAsia="方正仿宋_GB2312" w:cs="方正仿宋_GB2312"/>
          <w:color w:val="000000"/>
          <w:sz w:val="24"/>
          <w:szCs w:val="24"/>
          <w:highlight w:val="none"/>
        </w:rPr>
        <w:t>1.10 交通运输</w:t>
      </w:r>
      <w:bookmarkEnd w:id="532"/>
      <w:bookmarkEnd w:id="533"/>
    </w:p>
    <w:p w14:paraId="3DABB4F0">
      <w:pPr>
        <w:spacing w:line="360" w:lineRule="auto"/>
        <w:ind w:firstLine="480" w:firstLineChars="200"/>
        <w:outlineLvl w:val="9"/>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bookmarkStart w:id="534" w:name="_Toc300934943"/>
      <w:bookmarkStart w:id="535" w:name="_Toc303539100"/>
      <w:bookmarkStart w:id="536" w:name="_Toc312677986"/>
      <w:bookmarkStart w:id="537" w:name="_Toc318581155"/>
      <w:bookmarkStart w:id="538" w:name="_Toc304295521"/>
      <w:r>
        <w:rPr>
          <w:rFonts w:hint="eastAsia" w:ascii="方正仿宋_GB2312" w:hAnsi="方正仿宋_GB2312" w:eastAsia="方正仿宋_GB2312" w:cs="方正仿宋_GB2312"/>
          <w:sz w:val="24"/>
          <w:szCs w:val="24"/>
          <w:highlight w:val="none"/>
        </w:rPr>
        <w:t>.10.1 出入现场的权利</w:t>
      </w:r>
    </w:p>
    <w:p w14:paraId="5C257109">
      <w:pPr>
        <w:spacing w:line="360" w:lineRule="auto"/>
        <w:ind w:left="596" w:leftChars="284"/>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sz w:val="24"/>
          <w:szCs w:val="24"/>
          <w:highlight w:val="none"/>
        </w:rPr>
        <w:t>关于出入现场的权利的约定：</w:t>
      </w:r>
      <w:r>
        <w:rPr>
          <w:rFonts w:hint="eastAsia" w:ascii="方正仿宋_GB2312" w:hAnsi="方正仿宋_GB2312" w:eastAsia="方正仿宋_GB2312" w:cs="方正仿宋_GB2312"/>
          <w:color w:val="000000"/>
          <w:sz w:val="24"/>
          <w:szCs w:val="24"/>
          <w:highlight w:val="none"/>
          <w:u w:val="single"/>
        </w:rPr>
        <w:t>  </w:t>
      </w:r>
    </w:p>
    <w:p w14:paraId="1BC9646C">
      <w:pPr>
        <w:spacing w:line="360" w:lineRule="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color w:val="000000"/>
          <w:sz w:val="24"/>
          <w:szCs w:val="24"/>
          <w:highlight w:val="none"/>
          <w:u w:val="single"/>
        </w:rPr>
        <w:t>                             </w:t>
      </w:r>
      <w:r>
        <w:rPr>
          <w:rFonts w:hint="eastAsia" w:ascii="方正仿宋_GB2312" w:hAnsi="方正仿宋_GB2312" w:eastAsia="方正仿宋_GB2312" w:cs="方正仿宋_GB2312"/>
          <w:sz w:val="24"/>
          <w:szCs w:val="24"/>
          <w:highlight w:val="none"/>
        </w:rPr>
        <w:t>。</w:t>
      </w:r>
    </w:p>
    <w:bookmarkEnd w:id="534"/>
    <w:bookmarkEnd w:id="535"/>
    <w:bookmarkEnd w:id="536"/>
    <w:bookmarkEnd w:id="537"/>
    <w:bookmarkEnd w:id="538"/>
    <w:p w14:paraId="23E45A23">
      <w:pPr>
        <w:spacing w:line="360" w:lineRule="auto"/>
        <w:ind w:firstLine="480" w:firstLineChars="200"/>
        <w:jc w:val="left"/>
        <w:outlineLvl w:val="9"/>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bookmarkStart w:id="539" w:name="_Toc318581156"/>
      <w:bookmarkStart w:id="540" w:name="_Toc312677987"/>
      <w:bookmarkStart w:id="541" w:name="_Toc300934944"/>
      <w:bookmarkStart w:id="542" w:name="_Toc303539101"/>
      <w:bookmarkStart w:id="543" w:name="_Toc304295522"/>
      <w:r>
        <w:rPr>
          <w:rFonts w:hint="eastAsia" w:ascii="方正仿宋_GB2312" w:hAnsi="方正仿宋_GB2312" w:eastAsia="方正仿宋_GB2312" w:cs="方正仿宋_GB2312"/>
          <w:sz w:val="24"/>
          <w:szCs w:val="24"/>
          <w:highlight w:val="none"/>
        </w:rPr>
        <w:t>.10.3 场内交通</w:t>
      </w:r>
    </w:p>
    <w:p w14:paraId="5B2E405E">
      <w:pPr>
        <w:spacing w:line="360" w:lineRule="auto"/>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关于场外交通和场内交通的边界的约定：</w:t>
      </w:r>
      <w:r>
        <w:rPr>
          <w:rFonts w:hint="eastAsia" w:ascii="方正仿宋_GB2312" w:hAnsi="方正仿宋_GB2312" w:eastAsia="方正仿宋_GB2312" w:cs="方正仿宋_GB2312"/>
          <w:color w:val="000000"/>
          <w:sz w:val="24"/>
          <w:szCs w:val="24"/>
          <w:highlight w:val="none"/>
          <w:u w:val="single"/>
        </w:rPr>
        <w:t>                                                           </w:t>
      </w:r>
      <w:r>
        <w:rPr>
          <w:rFonts w:hint="eastAsia" w:ascii="方正仿宋_GB2312" w:hAnsi="方正仿宋_GB2312" w:eastAsia="方正仿宋_GB2312" w:cs="方正仿宋_GB2312"/>
          <w:sz w:val="24"/>
          <w:szCs w:val="24"/>
          <w:highlight w:val="none"/>
        </w:rPr>
        <w:t>。</w:t>
      </w:r>
    </w:p>
    <w:p w14:paraId="3D4AEFF4">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关于发包人向承包人免费提供满足工程施工需要的场内道路和交通设施的约定：</w:t>
      </w:r>
      <w:r>
        <w:rPr>
          <w:rFonts w:hint="eastAsia" w:ascii="方正仿宋_GB2312" w:hAnsi="方正仿宋_GB2312" w:eastAsia="方正仿宋_GB2312" w:cs="方正仿宋_GB2312"/>
          <w:color w:val="000000"/>
          <w:sz w:val="24"/>
          <w:szCs w:val="24"/>
          <w:highlight w:val="none"/>
          <w:u w:val="single"/>
        </w:rPr>
        <w:t xml:space="preserve">                     </w:t>
      </w:r>
      <w:r>
        <w:rPr>
          <w:rFonts w:hint="eastAsia" w:ascii="方正仿宋_GB2312" w:hAnsi="方正仿宋_GB2312" w:eastAsia="方正仿宋_GB2312" w:cs="方正仿宋_GB2312"/>
          <w:sz w:val="24"/>
          <w:szCs w:val="24"/>
          <w:highlight w:val="none"/>
        </w:rPr>
        <w:t>。</w:t>
      </w:r>
      <w:bookmarkEnd w:id="539"/>
      <w:bookmarkEnd w:id="540"/>
      <w:bookmarkEnd w:id="541"/>
      <w:bookmarkEnd w:id="542"/>
      <w:bookmarkEnd w:id="543"/>
      <w:r>
        <w:rPr>
          <w:rFonts w:hint="eastAsia" w:ascii="方正仿宋_GB2312" w:hAnsi="方正仿宋_GB2312" w:eastAsia="方正仿宋_GB2312" w:cs="方正仿宋_GB2312"/>
          <w:sz w:val="24"/>
          <w:szCs w:val="24"/>
          <w:highlight w:val="none"/>
        </w:rPr>
        <w:t xml:space="preserve">  </w:t>
      </w:r>
      <w:bookmarkStart w:id="544" w:name="_Toc318581157"/>
    </w:p>
    <w:p w14:paraId="75DF255D">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1.10.4超大件和超重件的运输</w:t>
      </w:r>
    </w:p>
    <w:p w14:paraId="37B042C9">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运输超大件或超重件所需的道路和桥梁临时加固改造费用和其他有关费用由</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承担。</w:t>
      </w:r>
    </w:p>
    <w:bookmarkEnd w:id="544"/>
    <w:p w14:paraId="38700C1B">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545" w:name="_Toc14432"/>
      <w:bookmarkStart w:id="546" w:name="_Toc26256"/>
      <w:r>
        <w:rPr>
          <w:rFonts w:hint="eastAsia" w:ascii="方正仿宋_GB2312" w:hAnsi="方正仿宋_GB2312" w:eastAsia="方正仿宋_GB2312" w:cs="方正仿宋_GB2312"/>
          <w:color w:val="000000"/>
          <w:sz w:val="24"/>
          <w:szCs w:val="24"/>
          <w:highlight w:val="none"/>
        </w:rPr>
        <w:t>1.11 知识产权</w:t>
      </w:r>
      <w:bookmarkEnd w:id="545"/>
      <w:bookmarkEnd w:id="546"/>
    </w:p>
    <w:p w14:paraId="465BE723">
      <w:pPr>
        <w:spacing w:line="360" w:lineRule="auto"/>
        <w:ind w:firstLine="480" w:firstLineChars="200"/>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方正仿宋_GB2312" w:hAnsi="方正仿宋_GB2312" w:eastAsia="方正仿宋_GB2312" w:cs="方正仿宋_GB2312"/>
          <w:color w:val="000000"/>
          <w:sz w:val="24"/>
          <w:szCs w:val="24"/>
          <w:highlight w:val="none"/>
          <w:u w:val="single"/>
        </w:rPr>
        <w:t>                     </w:t>
      </w:r>
    </w:p>
    <w:p w14:paraId="61FF43E6">
      <w:pPr>
        <w:spacing w:line="360" w:lineRule="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                            </w:t>
      </w:r>
      <w:r>
        <w:rPr>
          <w:rFonts w:hint="eastAsia" w:ascii="方正仿宋_GB2312" w:hAnsi="方正仿宋_GB2312" w:eastAsia="方正仿宋_GB2312" w:cs="方正仿宋_GB2312"/>
          <w:color w:val="000000"/>
          <w:sz w:val="24"/>
          <w:szCs w:val="24"/>
          <w:highlight w:val="none"/>
        </w:rPr>
        <w:t>。</w:t>
      </w:r>
    </w:p>
    <w:p w14:paraId="03539A12">
      <w:pPr>
        <w:spacing w:line="360" w:lineRule="auto"/>
        <w:ind w:left="596" w:leftChars="284"/>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关于发包人提供的上述文件的使用限制的要求：</w:t>
      </w:r>
      <w:r>
        <w:rPr>
          <w:rFonts w:hint="eastAsia" w:ascii="方正仿宋_GB2312" w:hAnsi="方正仿宋_GB2312" w:eastAsia="方正仿宋_GB2312" w:cs="方正仿宋_GB2312"/>
          <w:color w:val="000000"/>
          <w:sz w:val="24"/>
          <w:szCs w:val="24"/>
          <w:highlight w:val="none"/>
          <w:u w:val="single"/>
        </w:rPr>
        <w:t xml:space="preserve">             </w:t>
      </w:r>
    </w:p>
    <w:p w14:paraId="56B63D4B">
      <w:pPr>
        <w:spacing w:line="360" w:lineRule="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7A4EE802">
      <w:pPr>
        <w:spacing w:line="360" w:lineRule="auto"/>
        <w:ind w:left="596" w:leftChars="284"/>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1.11.2 关于承包人为实施工程所编制文件的著作权的归属：</w:t>
      </w:r>
      <w:r>
        <w:rPr>
          <w:rFonts w:hint="eastAsia" w:ascii="方正仿宋_GB2312" w:hAnsi="方正仿宋_GB2312" w:eastAsia="方正仿宋_GB2312" w:cs="方正仿宋_GB2312"/>
          <w:color w:val="000000"/>
          <w:sz w:val="24"/>
          <w:szCs w:val="24"/>
          <w:highlight w:val="none"/>
          <w:u w:val="single"/>
        </w:rPr>
        <w:t xml:space="preserve">    </w:t>
      </w:r>
    </w:p>
    <w:p w14:paraId="160C98F7">
      <w:pPr>
        <w:spacing w:line="360" w:lineRule="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                        </w:t>
      </w:r>
      <w:r>
        <w:rPr>
          <w:rFonts w:hint="eastAsia" w:ascii="方正仿宋_GB2312" w:hAnsi="方正仿宋_GB2312" w:eastAsia="方正仿宋_GB2312" w:cs="方正仿宋_GB2312"/>
          <w:color w:val="000000"/>
          <w:sz w:val="24"/>
          <w:szCs w:val="24"/>
          <w:highlight w:val="none"/>
        </w:rPr>
        <w:t>。</w:t>
      </w:r>
    </w:p>
    <w:p w14:paraId="5BBAD9B6">
      <w:pPr>
        <w:spacing w:line="360" w:lineRule="auto"/>
        <w:ind w:firstLine="480" w:firstLineChars="200"/>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rPr>
        <w:t>关于承包人提供的上述文件的使用限制的要求：</w:t>
      </w:r>
      <w:r>
        <w:rPr>
          <w:rFonts w:hint="eastAsia" w:ascii="方正仿宋_GB2312" w:hAnsi="方正仿宋_GB2312" w:eastAsia="方正仿宋_GB2312" w:cs="方正仿宋_GB2312"/>
          <w:color w:val="000000"/>
          <w:sz w:val="24"/>
          <w:szCs w:val="24"/>
          <w:highlight w:val="none"/>
          <w:u w:val="single"/>
        </w:rPr>
        <w:t>   </w:t>
      </w:r>
    </w:p>
    <w:p w14:paraId="0B0620C6">
      <w:pPr>
        <w:spacing w:line="360" w:lineRule="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                 </w:t>
      </w:r>
      <w:r>
        <w:rPr>
          <w:rFonts w:hint="eastAsia" w:ascii="方正仿宋_GB2312" w:hAnsi="方正仿宋_GB2312" w:eastAsia="方正仿宋_GB2312" w:cs="方正仿宋_GB2312"/>
          <w:color w:val="000000"/>
          <w:sz w:val="24"/>
          <w:szCs w:val="24"/>
          <w:highlight w:val="none"/>
        </w:rPr>
        <w:t>。</w:t>
      </w:r>
    </w:p>
    <w:p w14:paraId="5EA43FE0">
      <w:pPr>
        <w:spacing w:line="360" w:lineRule="auto"/>
        <w:ind w:firstLine="480" w:firstLineChars="200"/>
        <w:outlineLvl w:val="9"/>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sz w:val="24"/>
          <w:szCs w:val="24"/>
          <w:highlight w:val="none"/>
        </w:rPr>
        <w:t>1.11.4 承包人在施工过程中所采用的专利、专有技术、技术秘密的使用费的承担方式：</w:t>
      </w:r>
      <w:r>
        <w:rPr>
          <w:rFonts w:hint="eastAsia" w:ascii="方正仿宋_GB2312" w:hAnsi="方正仿宋_GB2312" w:eastAsia="方正仿宋_GB2312" w:cs="方正仿宋_GB2312"/>
          <w:color w:val="000000"/>
          <w:sz w:val="24"/>
          <w:szCs w:val="24"/>
          <w:highlight w:val="none"/>
          <w:u w:val="single"/>
        </w:rPr>
        <w:t xml:space="preserve">                            </w:t>
      </w:r>
      <w:r>
        <w:rPr>
          <w:rFonts w:hint="eastAsia" w:ascii="方正仿宋_GB2312" w:hAnsi="方正仿宋_GB2312" w:eastAsia="方正仿宋_GB2312" w:cs="方正仿宋_GB2312"/>
          <w:color w:val="000000"/>
          <w:kern w:val="0"/>
          <w:sz w:val="24"/>
          <w:szCs w:val="24"/>
          <w:highlight w:val="none"/>
        </w:rPr>
        <w:t>。</w:t>
      </w:r>
    </w:p>
    <w:p w14:paraId="044DF4D3">
      <w:pPr>
        <w:spacing w:after="120"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1.13工程量清单错误的修正</w:t>
      </w:r>
    </w:p>
    <w:p w14:paraId="016FA06B">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出现工程量清单错误时，是否调整合同价格：</w:t>
      </w:r>
      <w:r>
        <w:rPr>
          <w:rFonts w:hint="eastAsia" w:ascii="方正仿宋_GB2312" w:hAnsi="方正仿宋_GB2312" w:eastAsia="方正仿宋_GB2312" w:cs="方正仿宋_GB2312"/>
          <w:color w:val="000000"/>
          <w:sz w:val="24"/>
          <w:szCs w:val="24"/>
          <w:highlight w:val="none"/>
          <w:u w:val="single"/>
        </w:rPr>
        <w:t xml:space="preserve">            </w:t>
      </w:r>
      <w:r>
        <w:rPr>
          <w:rFonts w:hint="eastAsia" w:ascii="方正仿宋_GB2312" w:hAnsi="方正仿宋_GB2312" w:eastAsia="方正仿宋_GB2312" w:cs="方正仿宋_GB2312"/>
          <w:color w:val="000000"/>
          <w:kern w:val="0"/>
          <w:sz w:val="24"/>
          <w:szCs w:val="24"/>
          <w:highlight w:val="none"/>
        </w:rPr>
        <w:t>。</w:t>
      </w:r>
    </w:p>
    <w:p w14:paraId="518066BC">
      <w:pPr>
        <w:spacing w:line="360" w:lineRule="auto"/>
        <w:ind w:firstLine="480" w:firstLineChars="200"/>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rPr>
        <w:t>允许调整合同价格的工程量偏差范围：</w:t>
      </w:r>
      <w:r>
        <w:rPr>
          <w:rFonts w:hint="eastAsia" w:ascii="方正仿宋_GB2312" w:hAnsi="方正仿宋_GB2312" w:eastAsia="方正仿宋_GB2312" w:cs="方正仿宋_GB2312"/>
          <w:color w:val="000000"/>
          <w:sz w:val="24"/>
          <w:szCs w:val="24"/>
          <w:highlight w:val="none"/>
          <w:u w:val="single"/>
        </w:rPr>
        <w:t xml:space="preserve">                  </w:t>
      </w:r>
    </w:p>
    <w:p w14:paraId="7B2FE976">
      <w:pPr>
        <w:spacing w:line="360" w:lineRule="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  </w:t>
      </w:r>
      <w:r>
        <w:rPr>
          <w:rFonts w:hint="eastAsia" w:ascii="方正仿宋_GB2312" w:hAnsi="方正仿宋_GB2312" w:eastAsia="方正仿宋_GB2312" w:cs="方正仿宋_GB2312"/>
          <w:color w:val="000000"/>
          <w:kern w:val="0"/>
          <w:sz w:val="24"/>
          <w:szCs w:val="24"/>
          <w:highlight w:val="none"/>
        </w:rPr>
        <w:t>。</w:t>
      </w:r>
    </w:p>
    <w:p w14:paraId="77397037">
      <w:pPr>
        <w:pStyle w:val="4"/>
        <w:spacing w:before="120" w:after="120" w:line="360" w:lineRule="auto"/>
        <w:outlineLvl w:val="2"/>
        <w:rPr>
          <w:rFonts w:hint="eastAsia" w:ascii="方正仿宋_GB2312" w:hAnsi="方正仿宋_GB2312" w:eastAsia="方正仿宋_GB2312" w:cs="方正仿宋_GB2312"/>
          <w:b w:val="0"/>
          <w:color w:val="000000"/>
          <w:sz w:val="24"/>
          <w:szCs w:val="24"/>
          <w:highlight w:val="none"/>
        </w:rPr>
      </w:pPr>
      <w:bookmarkStart w:id="547" w:name="_Toc26789"/>
      <w:bookmarkStart w:id="548" w:name="_Toc351203634"/>
      <w:bookmarkStart w:id="549" w:name="_Toc32350"/>
      <w:bookmarkStart w:id="550" w:name="_Toc1880"/>
      <w:r>
        <w:rPr>
          <w:rFonts w:hint="eastAsia" w:ascii="方正仿宋_GB2312" w:hAnsi="方正仿宋_GB2312" w:eastAsia="方正仿宋_GB2312" w:cs="方正仿宋_GB2312"/>
          <w:b w:val="0"/>
          <w:color w:val="000000"/>
          <w:sz w:val="24"/>
          <w:szCs w:val="24"/>
          <w:highlight w:val="none"/>
        </w:rPr>
        <w:t>2</w:t>
      </w:r>
      <w:bookmarkStart w:id="551" w:name="_Toc296891197"/>
      <w:bookmarkStart w:id="552" w:name="_Toc292559362"/>
      <w:bookmarkStart w:id="553" w:name="_Toc296503157"/>
      <w:bookmarkStart w:id="554" w:name="_Toc296346658"/>
      <w:bookmarkStart w:id="555" w:name="_Toc296890985"/>
      <w:bookmarkStart w:id="556" w:name="_Toc292559867"/>
      <w:bookmarkStart w:id="557" w:name="_Toc297120457"/>
      <w:bookmarkStart w:id="558" w:name="_Toc296944496"/>
      <w:bookmarkStart w:id="559" w:name="_Toc297048343"/>
      <w:bookmarkStart w:id="560" w:name="_Toc296347156"/>
      <w:r>
        <w:rPr>
          <w:rFonts w:hint="eastAsia" w:ascii="方正仿宋_GB2312" w:hAnsi="方正仿宋_GB2312" w:eastAsia="方正仿宋_GB2312" w:cs="方正仿宋_GB2312"/>
          <w:b w:val="0"/>
          <w:color w:val="000000"/>
          <w:sz w:val="24"/>
          <w:szCs w:val="24"/>
          <w:highlight w:val="none"/>
        </w:rPr>
        <w:t>. 发包人</w:t>
      </w:r>
      <w:bookmarkEnd w:id="547"/>
      <w:bookmarkEnd w:id="548"/>
      <w:bookmarkEnd w:id="549"/>
      <w:bookmarkEnd w:id="550"/>
    </w:p>
    <w:bookmarkEnd w:id="551"/>
    <w:bookmarkEnd w:id="552"/>
    <w:bookmarkEnd w:id="553"/>
    <w:bookmarkEnd w:id="554"/>
    <w:bookmarkEnd w:id="555"/>
    <w:bookmarkEnd w:id="556"/>
    <w:bookmarkEnd w:id="557"/>
    <w:bookmarkEnd w:id="558"/>
    <w:bookmarkEnd w:id="559"/>
    <w:bookmarkEnd w:id="560"/>
    <w:p w14:paraId="256F55C6">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561" w:name="_Toc10474"/>
      <w:bookmarkStart w:id="562" w:name="_Toc5020"/>
      <w:r>
        <w:rPr>
          <w:rFonts w:hint="eastAsia" w:ascii="方正仿宋_GB2312" w:hAnsi="方正仿宋_GB2312" w:eastAsia="方正仿宋_GB2312" w:cs="方正仿宋_GB2312"/>
          <w:color w:val="000000"/>
          <w:sz w:val="24"/>
          <w:szCs w:val="24"/>
          <w:highlight w:val="none"/>
        </w:rPr>
        <w:t>2.2 发包人代表</w:t>
      </w:r>
      <w:bookmarkEnd w:id="561"/>
      <w:bookmarkEnd w:id="562"/>
    </w:p>
    <w:p w14:paraId="1941CDD0">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发包人代表：</w:t>
      </w:r>
    </w:p>
    <w:p w14:paraId="2B282BC5">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姓    名：</w:t>
      </w:r>
      <w:r>
        <w:rPr>
          <w:rFonts w:hint="eastAsia" w:ascii="方正仿宋_GB2312" w:hAnsi="方正仿宋_GB2312" w:eastAsia="方正仿宋_GB2312" w:cs="方正仿宋_GB2312"/>
          <w:color w:val="000000"/>
          <w:sz w:val="24"/>
          <w:szCs w:val="24"/>
          <w:highlight w:val="none"/>
          <w:u w:val="single"/>
        </w:rPr>
        <w:t>     </w:t>
      </w:r>
      <w:r>
        <w:rPr>
          <w:rFonts w:hint="eastAsia" w:ascii="方正仿宋_GB2312" w:hAnsi="方正仿宋_GB2312" w:eastAsia="方正仿宋_GB2312" w:cs="方正仿宋_GB2312"/>
          <w:color w:val="000000"/>
          <w:sz w:val="24"/>
          <w:szCs w:val="24"/>
          <w:highlight w:val="none"/>
        </w:rPr>
        <w:t>；</w:t>
      </w:r>
    </w:p>
    <w:p w14:paraId="2F710F33">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身份证号：</w:t>
      </w:r>
      <w:r>
        <w:rPr>
          <w:rFonts w:hint="eastAsia" w:ascii="方正仿宋_GB2312" w:hAnsi="方正仿宋_GB2312" w:eastAsia="方正仿宋_GB2312" w:cs="方正仿宋_GB2312"/>
          <w:color w:val="000000"/>
          <w:sz w:val="24"/>
          <w:szCs w:val="24"/>
          <w:highlight w:val="none"/>
          <w:u w:val="single"/>
        </w:rPr>
        <w:t>      </w:t>
      </w:r>
      <w:r>
        <w:rPr>
          <w:rFonts w:hint="eastAsia" w:ascii="方正仿宋_GB2312" w:hAnsi="方正仿宋_GB2312" w:eastAsia="方正仿宋_GB2312" w:cs="方正仿宋_GB2312"/>
          <w:color w:val="000000"/>
          <w:sz w:val="24"/>
          <w:szCs w:val="24"/>
          <w:highlight w:val="none"/>
        </w:rPr>
        <w:t>；</w:t>
      </w:r>
    </w:p>
    <w:p w14:paraId="36B03AE9">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职    务：</w:t>
      </w:r>
      <w:r>
        <w:rPr>
          <w:rFonts w:hint="eastAsia" w:ascii="方正仿宋_GB2312" w:hAnsi="方正仿宋_GB2312" w:eastAsia="方正仿宋_GB2312" w:cs="方正仿宋_GB2312"/>
          <w:color w:val="000000"/>
          <w:sz w:val="24"/>
          <w:szCs w:val="24"/>
          <w:highlight w:val="none"/>
          <w:u w:val="single"/>
        </w:rPr>
        <w:t>    </w:t>
      </w:r>
      <w:r>
        <w:rPr>
          <w:rFonts w:hint="eastAsia" w:ascii="方正仿宋_GB2312" w:hAnsi="方正仿宋_GB2312" w:eastAsia="方正仿宋_GB2312" w:cs="方正仿宋_GB2312"/>
          <w:color w:val="000000"/>
          <w:sz w:val="24"/>
          <w:szCs w:val="24"/>
          <w:highlight w:val="none"/>
        </w:rPr>
        <w:t>；</w:t>
      </w:r>
    </w:p>
    <w:p w14:paraId="54AA302B">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联系电话：</w:t>
      </w:r>
      <w:r>
        <w:rPr>
          <w:rFonts w:hint="eastAsia" w:ascii="方正仿宋_GB2312" w:hAnsi="方正仿宋_GB2312" w:eastAsia="方正仿宋_GB2312" w:cs="方正仿宋_GB2312"/>
          <w:color w:val="000000"/>
          <w:sz w:val="24"/>
          <w:szCs w:val="24"/>
          <w:highlight w:val="none"/>
          <w:u w:val="single"/>
        </w:rPr>
        <w:t>     </w:t>
      </w:r>
      <w:r>
        <w:rPr>
          <w:rFonts w:hint="eastAsia" w:ascii="方正仿宋_GB2312" w:hAnsi="方正仿宋_GB2312" w:eastAsia="方正仿宋_GB2312" w:cs="方正仿宋_GB2312"/>
          <w:color w:val="000000"/>
          <w:sz w:val="24"/>
          <w:szCs w:val="24"/>
          <w:highlight w:val="none"/>
        </w:rPr>
        <w:t>；</w:t>
      </w:r>
    </w:p>
    <w:p w14:paraId="3C03991C">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电子信箱：</w:t>
      </w:r>
      <w:r>
        <w:rPr>
          <w:rFonts w:hint="eastAsia" w:ascii="方正仿宋_GB2312" w:hAnsi="方正仿宋_GB2312" w:eastAsia="方正仿宋_GB2312" w:cs="方正仿宋_GB2312"/>
          <w:color w:val="000000"/>
          <w:sz w:val="24"/>
          <w:szCs w:val="24"/>
          <w:highlight w:val="none"/>
          <w:u w:val="single"/>
        </w:rPr>
        <w:t>     </w:t>
      </w:r>
      <w:r>
        <w:rPr>
          <w:rFonts w:hint="eastAsia" w:ascii="方正仿宋_GB2312" w:hAnsi="方正仿宋_GB2312" w:eastAsia="方正仿宋_GB2312" w:cs="方正仿宋_GB2312"/>
          <w:color w:val="000000"/>
          <w:sz w:val="24"/>
          <w:szCs w:val="24"/>
          <w:highlight w:val="none"/>
        </w:rPr>
        <w:t>；</w:t>
      </w:r>
    </w:p>
    <w:p w14:paraId="7D1761A8">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通信地址：</w:t>
      </w:r>
      <w:r>
        <w:rPr>
          <w:rFonts w:hint="eastAsia" w:ascii="方正仿宋_GB2312" w:hAnsi="方正仿宋_GB2312" w:eastAsia="方正仿宋_GB2312" w:cs="方正仿宋_GB2312"/>
          <w:color w:val="000000"/>
          <w:sz w:val="24"/>
          <w:szCs w:val="24"/>
          <w:highlight w:val="none"/>
          <w:u w:val="single"/>
        </w:rPr>
        <w:t>    </w:t>
      </w:r>
      <w:r>
        <w:rPr>
          <w:rFonts w:hint="eastAsia" w:ascii="方正仿宋_GB2312" w:hAnsi="方正仿宋_GB2312" w:eastAsia="方正仿宋_GB2312" w:cs="方正仿宋_GB2312"/>
          <w:color w:val="000000"/>
          <w:sz w:val="24"/>
          <w:szCs w:val="24"/>
          <w:highlight w:val="none"/>
        </w:rPr>
        <w:t>。</w:t>
      </w:r>
    </w:p>
    <w:p w14:paraId="637A5ABB">
      <w:pPr>
        <w:spacing w:line="360" w:lineRule="auto"/>
        <w:ind w:firstLine="480" w:firstLineChars="200"/>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rPr>
        <w:t>发包人对发包人代表的授权范围如下：</w:t>
      </w:r>
      <w:r>
        <w:rPr>
          <w:rFonts w:hint="eastAsia" w:ascii="方正仿宋_GB2312" w:hAnsi="方正仿宋_GB2312" w:eastAsia="方正仿宋_GB2312" w:cs="方正仿宋_GB2312"/>
          <w:color w:val="000000"/>
          <w:sz w:val="24"/>
          <w:szCs w:val="24"/>
          <w:highlight w:val="none"/>
          <w:u w:val="single"/>
        </w:rPr>
        <w:t>     </w:t>
      </w:r>
    </w:p>
    <w:p w14:paraId="48C2B572">
      <w:pPr>
        <w:spacing w:line="360" w:lineRule="auto"/>
        <w:rPr>
          <w:rFonts w:hint="eastAsia" w:ascii="方正仿宋_GB2312" w:hAnsi="方正仿宋_GB2312" w:eastAsia="方正仿宋_GB2312" w:cs="方正仿宋_GB2312"/>
          <w:b/>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                                             </w:t>
      </w:r>
      <w:r>
        <w:rPr>
          <w:rFonts w:hint="eastAsia" w:ascii="方正仿宋_GB2312" w:hAnsi="方正仿宋_GB2312" w:eastAsia="方正仿宋_GB2312" w:cs="方正仿宋_GB2312"/>
          <w:color w:val="000000"/>
          <w:sz w:val="24"/>
          <w:szCs w:val="24"/>
          <w:highlight w:val="none"/>
        </w:rPr>
        <w:t>。</w:t>
      </w:r>
    </w:p>
    <w:p w14:paraId="4DA72198">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563" w:name="_Toc23421"/>
      <w:bookmarkStart w:id="564" w:name="_Toc4374"/>
      <w:r>
        <w:rPr>
          <w:rFonts w:hint="eastAsia" w:ascii="方正仿宋_GB2312" w:hAnsi="方正仿宋_GB2312" w:eastAsia="方正仿宋_GB2312" w:cs="方正仿宋_GB2312"/>
          <w:color w:val="000000"/>
          <w:sz w:val="24"/>
          <w:szCs w:val="24"/>
          <w:highlight w:val="none"/>
        </w:rPr>
        <w:t>2.4 施工现场、施工条件和基础资料的提供</w:t>
      </w:r>
      <w:bookmarkEnd w:id="563"/>
      <w:bookmarkEnd w:id="564"/>
    </w:p>
    <w:p w14:paraId="7CF268A5">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2.4.1 提供施工现场</w:t>
      </w:r>
    </w:p>
    <w:p w14:paraId="150604BF">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关于发包人移交施工现场的期限要求：</w:t>
      </w:r>
      <w:r>
        <w:rPr>
          <w:rFonts w:hint="eastAsia" w:ascii="方正仿宋_GB2312" w:hAnsi="方正仿宋_GB2312" w:eastAsia="方正仿宋_GB2312" w:cs="方正仿宋_GB2312"/>
          <w:color w:val="000000"/>
          <w:sz w:val="24"/>
          <w:szCs w:val="24"/>
          <w:highlight w:val="none"/>
          <w:u w:val="single"/>
        </w:rPr>
        <w:t>             </w:t>
      </w:r>
      <w:r>
        <w:rPr>
          <w:rFonts w:hint="eastAsia" w:ascii="方正仿宋_GB2312" w:hAnsi="方正仿宋_GB2312" w:eastAsia="方正仿宋_GB2312" w:cs="方正仿宋_GB2312"/>
          <w:color w:val="000000"/>
          <w:sz w:val="24"/>
          <w:szCs w:val="24"/>
          <w:highlight w:val="none"/>
        </w:rPr>
        <w:t xml:space="preserve">     </w:t>
      </w:r>
      <w:r>
        <w:rPr>
          <w:rFonts w:hint="eastAsia" w:ascii="方正仿宋_GB2312" w:hAnsi="方正仿宋_GB2312" w:eastAsia="方正仿宋_GB2312" w:cs="方正仿宋_GB2312"/>
          <w:color w:val="000000"/>
          <w:sz w:val="24"/>
          <w:szCs w:val="24"/>
          <w:highlight w:val="none"/>
          <w:u w:val="single"/>
        </w:rPr>
        <w:t xml:space="preserve">                                         </w:t>
      </w:r>
      <w:r>
        <w:rPr>
          <w:rFonts w:hint="eastAsia" w:ascii="方正仿宋_GB2312" w:hAnsi="方正仿宋_GB2312" w:eastAsia="方正仿宋_GB2312" w:cs="方正仿宋_GB2312"/>
          <w:color w:val="000000"/>
          <w:sz w:val="24"/>
          <w:szCs w:val="24"/>
          <w:highlight w:val="none"/>
        </w:rPr>
        <w:t>。</w:t>
      </w:r>
    </w:p>
    <w:p w14:paraId="3B921514">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2.4.2 提供施工条件</w:t>
      </w:r>
    </w:p>
    <w:p w14:paraId="0E9CC3FD">
      <w:pPr>
        <w:spacing w:line="360" w:lineRule="auto"/>
        <w:ind w:firstLine="480" w:firstLineChars="200"/>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rPr>
        <w:t>关于发包人应负责提供施工所需要的条件，包括：</w:t>
      </w:r>
      <w:r>
        <w:rPr>
          <w:rFonts w:hint="eastAsia" w:ascii="方正仿宋_GB2312" w:hAnsi="方正仿宋_GB2312" w:eastAsia="方正仿宋_GB2312" w:cs="方正仿宋_GB2312"/>
          <w:color w:val="000000"/>
          <w:sz w:val="24"/>
          <w:szCs w:val="24"/>
          <w:highlight w:val="none"/>
          <w:u w:val="single"/>
        </w:rPr>
        <w:t xml:space="preserve">                                                            </w:t>
      </w:r>
      <w:r>
        <w:rPr>
          <w:rFonts w:hint="eastAsia" w:ascii="方正仿宋_GB2312" w:hAnsi="方正仿宋_GB2312" w:eastAsia="方正仿宋_GB2312" w:cs="方正仿宋_GB2312"/>
          <w:color w:val="000000"/>
          <w:sz w:val="24"/>
          <w:szCs w:val="24"/>
          <w:highlight w:val="none"/>
        </w:rPr>
        <w:t>。</w:t>
      </w:r>
    </w:p>
    <w:p w14:paraId="6CD95D34">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565" w:name="_Toc21711"/>
      <w:bookmarkStart w:id="566" w:name="_Toc13516"/>
      <w:r>
        <w:rPr>
          <w:rFonts w:hint="eastAsia" w:ascii="方正仿宋_GB2312" w:hAnsi="方正仿宋_GB2312" w:eastAsia="方正仿宋_GB2312" w:cs="方正仿宋_GB2312"/>
          <w:color w:val="000000"/>
          <w:sz w:val="24"/>
          <w:szCs w:val="24"/>
          <w:highlight w:val="none"/>
        </w:rPr>
        <w:t>2.5 资金来源证明及支付担保</w:t>
      </w:r>
      <w:bookmarkEnd w:id="565"/>
      <w:bookmarkEnd w:id="566"/>
    </w:p>
    <w:p w14:paraId="38BC8388">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发包人提供资金来源证明的期限要求：</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0E22E94C">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发包人是否提供支付担保：</w:t>
      </w:r>
      <w:r>
        <w:rPr>
          <w:rFonts w:hint="eastAsia" w:ascii="方正仿宋_GB2312" w:hAnsi="方正仿宋_GB2312" w:eastAsia="方正仿宋_GB2312" w:cs="方正仿宋_GB2312"/>
          <w:color w:val="000000"/>
          <w:sz w:val="24"/>
          <w:szCs w:val="24"/>
          <w:highlight w:val="none"/>
          <w:u w:val="single"/>
        </w:rPr>
        <w:t xml:space="preserve">                     </w:t>
      </w:r>
      <w:r>
        <w:rPr>
          <w:rFonts w:hint="eastAsia" w:ascii="方正仿宋_GB2312" w:hAnsi="方正仿宋_GB2312" w:eastAsia="方正仿宋_GB2312" w:cs="方正仿宋_GB2312"/>
          <w:color w:val="000000"/>
          <w:sz w:val="24"/>
          <w:szCs w:val="24"/>
          <w:highlight w:val="none"/>
        </w:rPr>
        <w:t>。</w:t>
      </w:r>
    </w:p>
    <w:p w14:paraId="6761F59A">
      <w:pPr>
        <w:spacing w:line="360" w:lineRule="auto"/>
        <w:ind w:firstLine="480" w:firstLineChars="200"/>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rPr>
        <w:t>发包人提供支付担保的形式：</w:t>
      </w:r>
      <w:r>
        <w:rPr>
          <w:rFonts w:hint="eastAsia" w:ascii="方正仿宋_GB2312" w:hAnsi="方正仿宋_GB2312" w:eastAsia="方正仿宋_GB2312" w:cs="方正仿宋_GB2312"/>
          <w:color w:val="000000"/>
          <w:sz w:val="24"/>
          <w:szCs w:val="24"/>
          <w:highlight w:val="none"/>
          <w:u w:val="single"/>
        </w:rPr>
        <w:t>                     </w:t>
      </w:r>
      <w:r>
        <w:rPr>
          <w:rFonts w:hint="eastAsia" w:ascii="方正仿宋_GB2312" w:hAnsi="方正仿宋_GB2312" w:eastAsia="方正仿宋_GB2312" w:cs="方正仿宋_GB2312"/>
          <w:color w:val="000000"/>
          <w:sz w:val="24"/>
          <w:szCs w:val="24"/>
          <w:highlight w:val="none"/>
        </w:rPr>
        <w:t>。</w:t>
      </w:r>
    </w:p>
    <w:p w14:paraId="4D91D689">
      <w:pPr>
        <w:pStyle w:val="4"/>
        <w:spacing w:before="120" w:after="120" w:line="360" w:lineRule="auto"/>
        <w:outlineLvl w:val="2"/>
        <w:rPr>
          <w:rFonts w:hint="eastAsia" w:ascii="方正仿宋_GB2312" w:hAnsi="方正仿宋_GB2312" w:eastAsia="方正仿宋_GB2312" w:cs="方正仿宋_GB2312"/>
          <w:b w:val="0"/>
          <w:color w:val="000000"/>
          <w:sz w:val="24"/>
          <w:szCs w:val="24"/>
          <w:highlight w:val="none"/>
        </w:rPr>
      </w:pPr>
      <w:bookmarkStart w:id="567" w:name="_Toc351203635"/>
      <w:bookmarkStart w:id="568" w:name="_Toc11372"/>
      <w:bookmarkStart w:id="569" w:name="_Toc19404"/>
      <w:bookmarkStart w:id="570" w:name="_Toc13348"/>
      <w:r>
        <w:rPr>
          <w:rFonts w:hint="eastAsia" w:ascii="方正仿宋_GB2312" w:hAnsi="方正仿宋_GB2312" w:eastAsia="方正仿宋_GB2312" w:cs="方正仿宋_GB2312"/>
          <w:b w:val="0"/>
          <w:color w:val="000000"/>
          <w:sz w:val="24"/>
          <w:szCs w:val="24"/>
          <w:highlight w:val="none"/>
        </w:rPr>
        <w:t>3</w:t>
      </w:r>
      <w:bookmarkStart w:id="571" w:name="_Toc297120458"/>
      <w:bookmarkStart w:id="572" w:name="_Toc292559868"/>
      <w:bookmarkStart w:id="573" w:name="_Toc292559363"/>
      <w:bookmarkStart w:id="574" w:name="_Toc296346659"/>
      <w:bookmarkStart w:id="575" w:name="_Toc296891198"/>
      <w:bookmarkStart w:id="576" w:name="_Toc296503158"/>
      <w:bookmarkStart w:id="577" w:name="_Toc296347157"/>
      <w:bookmarkStart w:id="578" w:name="_Toc297048344"/>
      <w:bookmarkStart w:id="579" w:name="_Toc296944497"/>
      <w:bookmarkStart w:id="580" w:name="_Toc296890986"/>
      <w:r>
        <w:rPr>
          <w:rFonts w:hint="eastAsia" w:ascii="方正仿宋_GB2312" w:hAnsi="方正仿宋_GB2312" w:eastAsia="方正仿宋_GB2312" w:cs="方正仿宋_GB2312"/>
          <w:b w:val="0"/>
          <w:color w:val="000000"/>
          <w:sz w:val="24"/>
          <w:szCs w:val="24"/>
          <w:highlight w:val="none"/>
        </w:rPr>
        <w:t>. 承包人</w:t>
      </w:r>
      <w:bookmarkEnd w:id="567"/>
      <w:bookmarkEnd w:id="568"/>
      <w:bookmarkEnd w:id="569"/>
      <w:bookmarkEnd w:id="570"/>
    </w:p>
    <w:bookmarkEnd w:id="571"/>
    <w:bookmarkEnd w:id="572"/>
    <w:bookmarkEnd w:id="573"/>
    <w:bookmarkEnd w:id="574"/>
    <w:bookmarkEnd w:id="575"/>
    <w:bookmarkEnd w:id="576"/>
    <w:bookmarkEnd w:id="577"/>
    <w:bookmarkEnd w:id="578"/>
    <w:bookmarkEnd w:id="579"/>
    <w:bookmarkEnd w:id="580"/>
    <w:p w14:paraId="683F9154">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581" w:name="_Toc30969"/>
      <w:bookmarkStart w:id="582" w:name="_Toc14258"/>
      <w:r>
        <w:rPr>
          <w:rFonts w:hint="eastAsia" w:ascii="方正仿宋_GB2312" w:hAnsi="方正仿宋_GB2312" w:eastAsia="方正仿宋_GB2312" w:cs="方正仿宋_GB2312"/>
          <w:color w:val="000000"/>
          <w:sz w:val="24"/>
          <w:szCs w:val="24"/>
          <w:highlight w:val="none"/>
        </w:rPr>
        <w:t>3.1 承包人的一般义务</w:t>
      </w:r>
      <w:bookmarkEnd w:id="581"/>
      <w:bookmarkEnd w:id="582"/>
    </w:p>
    <w:p w14:paraId="0AE7EC96">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kern w:val="0"/>
          <w:sz w:val="24"/>
          <w:szCs w:val="24"/>
          <w:highlight w:val="none"/>
        </w:rPr>
        <w:t>（9）</w:t>
      </w:r>
      <w:r>
        <w:rPr>
          <w:rFonts w:hint="eastAsia" w:ascii="方正仿宋_GB2312" w:hAnsi="方正仿宋_GB2312" w:eastAsia="方正仿宋_GB2312" w:cs="方正仿宋_GB2312"/>
          <w:color w:val="000000"/>
          <w:sz w:val="24"/>
          <w:szCs w:val="24"/>
          <w:highlight w:val="none"/>
        </w:rPr>
        <w:t>承包人提交的竣工资料的内容：</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 xml:space="preserve"> </w:t>
      </w:r>
    </w:p>
    <w:p w14:paraId="70437EB2">
      <w:pPr>
        <w:spacing w:line="360" w:lineRule="auto"/>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270C77FC">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承包人需要提交的竣工资料套数：</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2A9457B0">
      <w:pPr>
        <w:spacing w:line="360" w:lineRule="auto"/>
        <w:ind w:left="638" w:leftChars="304"/>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承包人提交的竣工资料的费用承担：</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715292AF">
      <w:pPr>
        <w:spacing w:line="360" w:lineRule="auto"/>
        <w:ind w:left="638" w:leftChars="304"/>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承包人提交的竣工资料移交时间：</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5EC41EA7">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承包人提交的竣工资料形式要求：</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7E131CCA">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kern w:val="0"/>
          <w:sz w:val="24"/>
          <w:szCs w:val="24"/>
          <w:highlight w:val="none"/>
        </w:rPr>
        <w:t>（10）承包人应履行的其他义务：</w:t>
      </w:r>
      <w:r>
        <w:rPr>
          <w:rFonts w:hint="eastAsia" w:ascii="方正仿宋_GB2312" w:hAnsi="方正仿宋_GB2312" w:eastAsia="方正仿宋_GB2312" w:cs="方正仿宋_GB2312"/>
          <w:color w:val="000000"/>
          <w:sz w:val="24"/>
          <w:szCs w:val="24"/>
          <w:highlight w:val="none"/>
          <w:u w:val="single"/>
        </w:rPr>
        <w:t>             </w:t>
      </w:r>
      <w:r>
        <w:rPr>
          <w:rFonts w:hint="eastAsia" w:ascii="方正仿宋_GB2312" w:hAnsi="方正仿宋_GB2312" w:eastAsia="方正仿宋_GB2312" w:cs="方正仿宋_GB2312"/>
          <w:color w:val="000000"/>
          <w:sz w:val="24"/>
          <w:szCs w:val="24"/>
          <w:highlight w:val="none"/>
        </w:rPr>
        <w:t xml:space="preserve">              </w:t>
      </w:r>
      <w:r>
        <w:rPr>
          <w:rFonts w:hint="eastAsia" w:ascii="方正仿宋_GB2312" w:hAnsi="方正仿宋_GB2312" w:eastAsia="方正仿宋_GB2312" w:cs="方正仿宋_GB2312"/>
          <w:color w:val="000000"/>
          <w:sz w:val="24"/>
          <w:szCs w:val="24"/>
          <w:highlight w:val="none"/>
          <w:u w:val="single"/>
        </w:rPr>
        <w:t xml:space="preserve">                                                               </w:t>
      </w:r>
      <w:r>
        <w:rPr>
          <w:rFonts w:hint="eastAsia" w:ascii="方正仿宋_GB2312" w:hAnsi="方正仿宋_GB2312" w:eastAsia="方正仿宋_GB2312" w:cs="方正仿宋_GB2312"/>
          <w:color w:val="000000"/>
          <w:sz w:val="24"/>
          <w:szCs w:val="24"/>
          <w:highlight w:val="none"/>
        </w:rPr>
        <w:t>。</w:t>
      </w:r>
    </w:p>
    <w:p w14:paraId="6DE95914">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583" w:name="_Toc12323"/>
      <w:bookmarkStart w:id="584" w:name="_Toc29678"/>
      <w:r>
        <w:rPr>
          <w:rFonts w:hint="eastAsia" w:ascii="方正仿宋_GB2312" w:hAnsi="方正仿宋_GB2312" w:eastAsia="方正仿宋_GB2312" w:cs="方正仿宋_GB2312"/>
          <w:color w:val="000000"/>
          <w:sz w:val="24"/>
          <w:szCs w:val="24"/>
          <w:highlight w:val="none"/>
        </w:rPr>
        <w:t>3.2 项目经理</w:t>
      </w:r>
      <w:bookmarkEnd w:id="583"/>
      <w:bookmarkEnd w:id="584"/>
    </w:p>
    <w:p w14:paraId="0FBCA650">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kern w:val="0"/>
          <w:sz w:val="24"/>
          <w:szCs w:val="24"/>
          <w:highlight w:val="none"/>
        </w:rPr>
        <w:t xml:space="preserve">3.2.1 </w:t>
      </w:r>
      <w:r>
        <w:rPr>
          <w:rFonts w:hint="eastAsia" w:ascii="方正仿宋_GB2312" w:hAnsi="方正仿宋_GB2312" w:eastAsia="方正仿宋_GB2312" w:cs="方正仿宋_GB2312"/>
          <w:color w:val="000000"/>
          <w:sz w:val="24"/>
          <w:szCs w:val="24"/>
          <w:highlight w:val="none"/>
        </w:rPr>
        <w:t>项目经理：</w:t>
      </w:r>
    </w:p>
    <w:p w14:paraId="5BFB69A4">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姓    名：</w:t>
      </w:r>
      <w:r>
        <w:rPr>
          <w:rFonts w:hint="eastAsia" w:ascii="方正仿宋_GB2312" w:hAnsi="方正仿宋_GB2312" w:eastAsia="方正仿宋_GB2312" w:cs="方正仿宋_GB2312"/>
          <w:color w:val="000000"/>
          <w:sz w:val="24"/>
          <w:szCs w:val="24"/>
          <w:highlight w:val="none"/>
          <w:u w:val="single"/>
        </w:rPr>
        <w:t>         </w:t>
      </w:r>
      <w:r>
        <w:rPr>
          <w:rFonts w:hint="eastAsia" w:ascii="方正仿宋_GB2312" w:hAnsi="方正仿宋_GB2312" w:eastAsia="方正仿宋_GB2312" w:cs="方正仿宋_GB2312"/>
          <w:color w:val="000000"/>
          <w:sz w:val="24"/>
          <w:szCs w:val="24"/>
          <w:highlight w:val="none"/>
        </w:rPr>
        <w:t>；</w:t>
      </w:r>
    </w:p>
    <w:p w14:paraId="66C8F000">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身份证号：</w:t>
      </w:r>
      <w:r>
        <w:rPr>
          <w:rFonts w:hint="eastAsia" w:ascii="方正仿宋_GB2312" w:hAnsi="方正仿宋_GB2312" w:eastAsia="方正仿宋_GB2312" w:cs="方正仿宋_GB2312"/>
          <w:color w:val="000000"/>
          <w:sz w:val="24"/>
          <w:szCs w:val="24"/>
          <w:highlight w:val="none"/>
          <w:u w:val="single"/>
        </w:rPr>
        <w:t>         </w:t>
      </w:r>
      <w:r>
        <w:rPr>
          <w:rFonts w:hint="eastAsia" w:ascii="方正仿宋_GB2312" w:hAnsi="方正仿宋_GB2312" w:eastAsia="方正仿宋_GB2312" w:cs="方正仿宋_GB2312"/>
          <w:color w:val="000000"/>
          <w:sz w:val="24"/>
          <w:szCs w:val="24"/>
          <w:highlight w:val="none"/>
        </w:rPr>
        <w:t>；</w:t>
      </w:r>
    </w:p>
    <w:p w14:paraId="054EBC9B">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建造师执业资格等级：</w:t>
      </w:r>
      <w:r>
        <w:rPr>
          <w:rFonts w:hint="eastAsia" w:ascii="方正仿宋_GB2312" w:hAnsi="方正仿宋_GB2312" w:eastAsia="方正仿宋_GB2312" w:cs="方正仿宋_GB2312"/>
          <w:color w:val="000000"/>
          <w:sz w:val="24"/>
          <w:szCs w:val="24"/>
          <w:highlight w:val="none"/>
          <w:u w:val="single"/>
        </w:rPr>
        <w:t>   </w:t>
      </w:r>
      <w:r>
        <w:rPr>
          <w:rFonts w:hint="eastAsia" w:ascii="方正仿宋_GB2312" w:hAnsi="方正仿宋_GB2312" w:eastAsia="方正仿宋_GB2312" w:cs="方正仿宋_GB2312"/>
          <w:color w:val="000000"/>
          <w:sz w:val="24"/>
          <w:szCs w:val="24"/>
          <w:highlight w:val="none"/>
        </w:rPr>
        <w:t>；</w:t>
      </w:r>
    </w:p>
    <w:p w14:paraId="13F7913E">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建造师注册证书号：</w:t>
      </w:r>
      <w:r>
        <w:rPr>
          <w:rFonts w:hint="eastAsia" w:ascii="方正仿宋_GB2312" w:hAnsi="方正仿宋_GB2312" w:eastAsia="方正仿宋_GB2312" w:cs="方正仿宋_GB2312"/>
          <w:color w:val="000000"/>
          <w:sz w:val="24"/>
          <w:szCs w:val="24"/>
          <w:highlight w:val="none"/>
          <w:u w:val="single"/>
        </w:rPr>
        <w:t> </w:t>
      </w:r>
      <w:r>
        <w:rPr>
          <w:rFonts w:hint="eastAsia" w:ascii="方正仿宋_GB2312" w:hAnsi="方正仿宋_GB2312" w:eastAsia="方正仿宋_GB2312" w:cs="方正仿宋_GB2312"/>
          <w:color w:val="000000"/>
          <w:sz w:val="24"/>
          <w:szCs w:val="24"/>
          <w:highlight w:val="none"/>
        </w:rPr>
        <w:t>；</w:t>
      </w:r>
    </w:p>
    <w:p w14:paraId="5D111FA1">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建造师执业印章号：</w:t>
      </w:r>
      <w:r>
        <w:rPr>
          <w:rFonts w:hint="eastAsia" w:ascii="方正仿宋_GB2312" w:hAnsi="方正仿宋_GB2312" w:eastAsia="方正仿宋_GB2312" w:cs="方正仿宋_GB2312"/>
          <w:color w:val="000000"/>
          <w:sz w:val="24"/>
          <w:szCs w:val="24"/>
          <w:highlight w:val="none"/>
          <w:u w:val="single"/>
        </w:rPr>
        <w:t> </w:t>
      </w:r>
      <w:r>
        <w:rPr>
          <w:rFonts w:hint="eastAsia" w:ascii="方正仿宋_GB2312" w:hAnsi="方正仿宋_GB2312" w:eastAsia="方正仿宋_GB2312" w:cs="方正仿宋_GB2312"/>
          <w:color w:val="000000"/>
          <w:sz w:val="24"/>
          <w:szCs w:val="24"/>
          <w:highlight w:val="none"/>
        </w:rPr>
        <w:t>；</w:t>
      </w:r>
    </w:p>
    <w:p w14:paraId="3A9D414C">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安全生产考核合格证书号：</w:t>
      </w:r>
      <w:r>
        <w:rPr>
          <w:rFonts w:hint="eastAsia" w:ascii="方正仿宋_GB2312" w:hAnsi="方正仿宋_GB2312" w:eastAsia="方正仿宋_GB2312" w:cs="方正仿宋_GB2312"/>
          <w:color w:val="000000"/>
          <w:sz w:val="24"/>
          <w:szCs w:val="24"/>
          <w:highlight w:val="none"/>
          <w:u w:val="single"/>
        </w:rPr>
        <w:t> </w:t>
      </w:r>
      <w:r>
        <w:rPr>
          <w:rFonts w:hint="eastAsia" w:ascii="方正仿宋_GB2312" w:hAnsi="方正仿宋_GB2312" w:eastAsia="方正仿宋_GB2312" w:cs="方正仿宋_GB2312"/>
          <w:color w:val="000000"/>
          <w:sz w:val="24"/>
          <w:szCs w:val="24"/>
          <w:highlight w:val="none"/>
        </w:rPr>
        <w:t>；</w:t>
      </w:r>
    </w:p>
    <w:p w14:paraId="35C32B12">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联系电话：</w:t>
      </w:r>
      <w:r>
        <w:rPr>
          <w:rFonts w:hint="eastAsia" w:ascii="方正仿宋_GB2312" w:hAnsi="方正仿宋_GB2312" w:eastAsia="方正仿宋_GB2312" w:cs="方正仿宋_GB2312"/>
          <w:color w:val="000000"/>
          <w:sz w:val="24"/>
          <w:szCs w:val="24"/>
          <w:highlight w:val="none"/>
          <w:u w:val="single"/>
        </w:rPr>
        <w:t>         </w:t>
      </w:r>
      <w:r>
        <w:rPr>
          <w:rFonts w:hint="eastAsia" w:ascii="方正仿宋_GB2312" w:hAnsi="方正仿宋_GB2312" w:eastAsia="方正仿宋_GB2312" w:cs="方正仿宋_GB2312"/>
          <w:color w:val="000000"/>
          <w:sz w:val="24"/>
          <w:szCs w:val="24"/>
          <w:highlight w:val="none"/>
        </w:rPr>
        <w:t>；</w:t>
      </w:r>
    </w:p>
    <w:p w14:paraId="0F991F11">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电子信箱：</w:t>
      </w:r>
      <w:r>
        <w:rPr>
          <w:rFonts w:hint="eastAsia" w:ascii="方正仿宋_GB2312" w:hAnsi="方正仿宋_GB2312" w:eastAsia="方正仿宋_GB2312" w:cs="方正仿宋_GB2312"/>
          <w:color w:val="000000"/>
          <w:sz w:val="24"/>
          <w:szCs w:val="24"/>
          <w:highlight w:val="none"/>
          <w:u w:val="single"/>
        </w:rPr>
        <w:t>         </w:t>
      </w:r>
      <w:r>
        <w:rPr>
          <w:rFonts w:hint="eastAsia" w:ascii="方正仿宋_GB2312" w:hAnsi="方正仿宋_GB2312" w:eastAsia="方正仿宋_GB2312" w:cs="方正仿宋_GB2312"/>
          <w:color w:val="000000"/>
          <w:sz w:val="24"/>
          <w:szCs w:val="24"/>
          <w:highlight w:val="none"/>
        </w:rPr>
        <w:t>；</w:t>
      </w:r>
    </w:p>
    <w:p w14:paraId="32BFC37B">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通信地址：</w:t>
      </w:r>
      <w:r>
        <w:rPr>
          <w:rFonts w:hint="eastAsia" w:ascii="方正仿宋_GB2312" w:hAnsi="方正仿宋_GB2312" w:eastAsia="方正仿宋_GB2312" w:cs="方正仿宋_GB2312"/>
          <w:color w:val="000000"/>
          <w:sz w:val="24"/>
          <w:szCs w:val="24"/>
          <w:highlight w:val="none"/>
          <w:u w:val="single"/>
        </w:rPr>
        <w:t>         </w:t>
      </w:r>
      <w:r>
        <w:rPr>
          <w:rFonts w:hint="eastAsia" w:ascii="方正仿宋_GB2312" w:hAnsi="方正仿宋_GB2312" w:eastAsia="方正仿宋_GB2312" w:cs="方正仿宋_GB2312"/>
          <w:color w:val="000000"/>
          <w:sz w:val="24"/>
          <w:szCs w:val="24"/>
          <w:highlight w:val="none"/>
        </w:rPr>
        <w:t>；</w:t>
      </w:r>
    </w:p>
    <w:p w14:paraId="5B52FC12">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承包人对项目经理的授权范围如下：</w:t>
      </w:r>
      <w:r>
        <w:rPr>
          <w:rFonts w:hint="eastAsia" w:ascii="方正仿宋_GB2312" w:hAnsi="方正仿宋_GB2312" w:eastAsia="方正仿宋_GB2312" w:cs="方正仿宋_GB2312"/>
          <w:color w:val="000000"/>
          <w:sz w:val="24"/>
          <w:szCs w:val="24"/>
          <w:highlight w:val="none"/>
          <w:u w:val="single"/>
        </w:rPr>
        <w:t xml:space="preserve">                                                        </w:t>
      </w:r>
      <w:r>
        <w:rPr>
          <w:rFonts w:hint="eastAsia" w:ascii="方正仿宋_GB2312" w:hAnsi="方正仿宋_GB2312" w:eastAsia="方正仿宋_GB2312" w:cs="方正仿宋_GB2312"/>
          <w:color w:val="000000"/>
          <w:sz w:val="24"/>
          <w:szCs w:val="24"/>
          <w:highlight w:val="none"/>
        </w:rPr>
        <w:t>。</w:t>
      </w:r>
    </w:p>
    <w:p w14:paraId="6FDA6F3F">
      <w:pPr>
        <w:spacing w:line="360" w:lineRule="auto"/>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关于项目经理每月在施工现场的时间要求：</w:t>
      </w:r>
      <w:r>
        <w:rPr>
          <w:rFonts w:hint="eastAsia" w:ascii="方正仿宋_GB2312" w:hAnsi="方正仿宋_GB2312" w:eastAsia="方正仿宋_GB2312" w:cs="方正仿宋_GB2312"/>
          <w:color w:val="000000"/>
          <w:sz w:val="24"/>
          <w:szCs w:val="24"/>
          <w:highlight w:val="none"/>
          <w:u w:val="single"/>
        </w:rPr>
        <w:t xml:space="preserve">          </w:t>
      </w:r>
      <w:r>
        <w:rPr>
          <w:rFonts w:hint="eastAsia" w:ascii="方正仿宋_GB2312" w:hAnsi="方正仿宋_GB2312" w:eastAsia="方正仿宋_GB2312" w:cs="方正仿宋_GB2312"/>
          <w:color w:val="000000"/>
          <w:sz w:val="24"/>
          <w:szCs w:val="24"/>
          <w:highlight w:val="none"/>
        </w:rPr>
        <w:t xml:space="preserve">   </w:t>
      </w:r>
      <w:r>
        <w:rPr>
          <w:rFonts w:hint="eastAsia" w:ascii="方正仿宋_GB2312" w:hAnsi="方正仿宋_GB2312" w:eastAsia="方正仿宋_GB2312" w:cs="方正仿宋_GB2312"/>
          <w:color w:val="000000"/>
          <w:sz w:val="24"/>
          <w:szCs w:val="24"/>
          <w:highlight w:val="none"/>
          <w:u w:val="single"/>
        </w:rPr>
        <w:t>                                               </w:t>
      </w:r>
      <w:r>
        <w:rPr>
          <w:rFonts w:hint="eastAsia" w:ascii="方正仿宋_GB2312" w:hAnsi="方正仿宋_GB2312" w:eastAsia="方正仿宋_GB2312" w:cs="方正仿宋_GB2312"/>
          <w:color w:val="000000"/>
          <w:sz w:val="24"/>
          <w:szCs w:val="24"/>
          <w:highlight w:val="none"/>
        </w:rPr>
        <w:t>。</w:t>
      </w:r>
    </w:p>
    <w:p w14:paraId="632EAA21">
      <w:pPr>
        <w:spacing w:line="360" w:lineRule="auto"/>
        <w:ind w:firstLine="480" w:firstLineChars="200"/>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承包人未提交劳动合同，以及没有为项目经理缴纳社会保险证明的违约责任：</w:t>
      </w:r>
      <w:r>
        <w:rPr>
          <w:rFonts w:hint="eastAsia" w:ascii="方正仿宋_GB2312" w:hAnsi="方正仿宋_GB2312" w:eastAsia="方正仿宋_GB2312" w:cs="方正仿宋_GB2312"/>
          <w:color w:val="000000"/>
          <w:sz w:val="24"/>
          <w:szCs w:val="24"/>
          <w:highlight w:val="none"/>
          <w:u w:val="single"/>
        </w:rPr>
        <w:t xml:space="preserve">                                                                                     </w:t>
      </w:r>
      <w:r>
        <w:rPr>
          <w:rFonts w:hint="eastAsia" w:ascii="方正仿宋_GB2312" w:hAnsi="方正仿宋_GB2312" w:eastAsia="方正仿宋_GB2312" w:cs="方正仿宋_GB2312"/>
          <w:color w:val="000000"/>
          <w:sz w:val="24"/>
          <w:szCs w:val="24"/>
          <w:highlight w:val="none"/>
        </w:rPr>
        <w:t>。</w:t>
      </w:r>
    </w:p>
    <w:p w14:paraId="7CBD4B09">
      <w:pPr>
        <w:spacing w:line="360" w:lineRule="auto"/>
        <w:ind w:firstLine="480" w:firstLineChars="200"/>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kern w:val="0"/>
          <w:sz w:val="24"/>
          <w:szCs w:val="24"/>
          <w:highlight w:val="none"/>
        </w:rPr>
        <w:t>项目经理未经批准，擅自离开施工现场的违约责任：</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 xml:space="preserve">     </w:t>
      </w:r>
      <w:r>
        <w:rPr>
          <w:rFonts w:hint="eastAsia" w:ascii="方正仿宋_GB2312" w:hAnsi="方正仿宋_GB2312" w:eastAsia="方正仿宋_GB2312" w:cs="方正仿宋_GB2312"/>
          <w:color w:val="000000"/>
          <w:sz w:val="24"/>
          <w:szCs w:val="24"/>
          <w:highlight w:val="none"/>
          <w:u w:val="single"/>
        </w:rPr>
        <w:t>                                             </w:t>
      </w:r>
      <w:r>
        <w:rPr>
          <w:rFonts w:hint="eastAsia" w:ascii="方正仿宋_GB2312" w:hAnsi="方正仿宋_GB2312" w:eastAsia="方正仿宋_GB2312" w:cs="方正仿宋_GB2312"/>
          <w:color w:val="000000"/>
          <w:sz w:val="24"/>
          <w:szCs w:val="24"/>
          <w:highlight w:val="none"/>
        </w:rPr>
        <w:t>。</w:t>
      </w:r>
    </w:p>
    <w:p w14:paraId="367795F2">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3.2.3 承包人擅自更换项目经理的违约责任：</w:t>
      </w:r>
      <w:r>
        <w:rPr>
          <w:rFonts w:hint="eastAsia" w:ascii="方正仿宋_GB2312" w:hAnsi="方正仿宋_GB2312" w:eastAsia="方正仿宋_GB2312" w:cs="方正仿宋_GB2312"/>
          <w:color w:val="000000"/>
          <w:sz w:val="24"/>
          <w:szCs w:val="24"/>
          <w:highlight w:val="none"/>
          <w:u w:val="single"/>
        </w:rPr>
        <w:t xml:space="preserve">              </w:t>
      </w:r>
    </w:p>
    <w:p w14:paraId="61A60B49">
      <w:pPr>
        <w:spacing w:line="360" w:lineRule="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                                    </w:t>
      </w:r>
      <w:r>
        <w:rPr>
          <w:rFonts w:hint="eastAsia" w:ascii="方正仿宋_GB2312" w:hAnsi="方正仿宋_GB2312" w:eastAsia="方正仿宋_GB2312" w:cs="方正仿宋_GB2312"/>
          <w:color w:val="000000"/>
          <w:sz w:val="24"/>
          <w:szCs w:val="24"/>
          <w:highlight w:val="none"/>
        </w:rPr>
        <w:t>。</w:t>
      </w:r>
    </w:p>
    <w:p w14:paraId="2F8ED1D6">
      <w:pPr>
        <w:spacing w:line="360" w:lineRule="auto"/>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 xml:space="preserve">    3.2.4 承包人无正当理由拒绝更换项目经理的违约责任：</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 xml:space="preserve">     </w:t>
      </w:r>
      <w:r>
        <w:rPr>
          <w:rFonts w:hint="eastAsia" w:ascii="方正仿宋_GB2312" w:hAnsi="方正仿宋_GB2312" w:eastAsia="方正仿宋_GB2312" w:cs="方正仿宋_GB2312"/>
          <w:color w:val="000000"/>
          <w:sz w:val="24"/>
          <w:szCs w:val="24"/>
          <w:highlight w:val="none"/>
          <w:u w:val="single"/>
        </w:rPr>
        <w:t>                                                   </w:t>
      </w:r>
      <w:r>
        <w:rPr>
          <w:rFonts w:hint="eastAsia" w:ascii="方正仿宋_GB2312" w:hAnsi="方正仿宋_GB2312" w:eastAsia="方正仿宋_GB2312" w:cs="方正仿宋_GB2312"/>
          <w:color w:val="000000"/>
          <w:sz w:val="24"/>
          <w:szCs w:val="24"/>
          <w:highlight w:val="none"/>
        </w:rPr>
        <w:t>。</w:t>
      </w:r>
    </w:p>
    <w:p w14:paraId="63D15138">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585" w:name="_Toc4321"/>
      <w:bookmarkStart w:id="586" w:name="_Toc26103"/>
      <w:r>
        <w:rPr>
          <w:rFonts w:hint="eastAsia" w:ascii="方正仿宋_GB2312" w:hAnsi="方正仿宋_GB2312" w:eastAsia="方正仿宋_GB2312" w:cs="方正仿宋_GB2312"/>
          <w:color w:val="000000"/>
          <w:sz w:val="24"/>
          <w:szCs w:val="24"/>
          <w:highlight w:val="none"/>
        </w:rPr>
        <w:t>3.3 承包人人员</w:t>
      </w:r>
      <w:bookmarkEnd w:id="585"/>
      <w:bookmarkEnd w:id="586"/>
    </w:p>
    <w:p w14:paraId="412CA60A">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3.3.1 承包人提交项目管理机构及施工现场管理人员安排报告的期限：</w:t>
      </w:r>
      <w:r>
        <w:rPr>
          <w:rFonts w:hint="eastAsia" w:ascii="方正仿宋_GB2312" w:hAnsi="方正仿宋_GB2312" w:eastAsia="方正仿宋_GB2312" w:cs="方正仿宋_GB2312"/>
          <w:color w:val="000000"/>
          <w:sz w:val="24"/>
          <w:szCs w:val="24"/>
          <w:highlight w:val="none"/>
          <w:u w:val="single"/>
        </w:rPr>
        <w:t xml:space="preserve">                                          </w:t>
      </w:r>
      <w:r>
        <w:rPr>
          <w:rFonts w:hint="eastAsia" w:ascii="方正仿宋_GB2312" w:hAnsi="方正仿宋_GB2312" w:eastAsia="方正仿宋_GB2312" w:cs="方正仿宋_GB2312"/>
          <w:color w:val="000000"/>
          <w:sz w:val="24"/>
          <w:szCs w:val="24"/>
          <w:highlight w:val="none"/>
        </w:rPr>
        <w:t>。</w:t>
      </w:r>
    </w:p>
    <w:p w14:paraId="6E9FABB3">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3.3.3 承包人无正当理由拒绝撤换主要施工管理人员的违约责任：</w:t>
      </w:r>
      <w:r>
        <w:rPr>
          <w:rFonts w:hint="eastAsia" w:ascii="方正仿宋_GB2312" w:hAnsi="方正仿宋_GB2312" w:eastAsia="方正仿宋_GB2312" w:cs="方正仿宋_GB2312"/>
          <w:color w:val="000000"/>
          <w:sz w:val="24"/>
          <w:szCs w:val="24"/>
          <w:highlight w:val="none"/>
          <w:u w:val="single"/>
        </w:rPr>
        <w:t xml:space="preserve">                                              </w:t>
      </w:r>
      <w:r>
        <w:rPr>
          <w:rFonts w:hint="eastAsia" w:ascii="方正仿宋_GB2312" w:hAnsi="方正仿宋_GB2312" w:eastAsia="方正仿宋_GB2312" w:cs="方正仿宋_GB2312"/>
          <w:color w:val="000000"/>
          <w:sz w:val="24"/>
          <w:szCs w:val="24"/>
          <w:highlight w:val="none"/>
        </w:rPr>
        <w:t>。</w:t>
      </w:r>
    </w:p>
    <w:p w14:paraId="3FE5F697">
      <w:pPr>
        <w:spacing w:line="360" w:lineRule="auto"/>
        <w:ind w:firstLine="480" w:firstLineChars="200"/>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rPr>
        <w:t xml:space="preserve">3.3.4 承包人主要施工管理人员离开施工现场的批准要求：   </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73587DDA">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3.3.5承包人擅自更换主要施工管理人员的违约责任：</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 xml:space="preserve">     </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4F0F3458">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承包人主要施工管理人员擅自离开施工现场的违约责任：</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 xml:space="preserve">     </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515131A2">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587" w:name="_Toc4610"/>
      <w:bookmarkStart w:id="588" w:name="_Toc23859"/>
      <w:r>
        <w:rPr>
          <w:rFonts w:hint="eastAsia" w:ascii="方正仿宋_GB2312" w:hAnsi="方正仿宋_GB2312" w:eastAsia="方正仿宋_GB2312" w:cs="方正仿宋_GB2312"/>
          <w:color w:val="000000"/>
          <w:sz w:val="24"/>
          <w:szCs w:val="24"/>
          <w:highlight w:val="none"/>
        </w:rPr>
        <w:t>3</w:t>
      </w:r>
      <w:bookmarkStart w:id="589" w:name="_Toc296347158"/>
      <w:bookmarkStart w:id="590" w:name="_Toc297048345"/>
      <w:bookmarkStart w:id="591" w:name="_Toc297216151"/>
      <w:bookmarkStart w:id="592" w:name="_Toc292559364"/>
      <w:bookmarkStart w:id="593" w:name="_Toc296890987"/>
      <w:bookmarkStart w:id="594" w:name="_Toc296891199"/>
      <w:bookmarkStart w:id="595" w:name="_Toc296944498"/>
      <w:bookmarkStart w:id="596" w:name="_Toc297123492"/>
      <w:bookmarkStart w:id="597" w:name="_Toc296503159"/>
      <w:bookmarkStart w:id="598" w:name="_Toc304295523"/>
      <w:bookmarkStart w:id="599" w:name="_Toc296346660"/>
      <w:bookmarkStart w:id="600" w:name="_Toc292559869"/>
      <w:bookmarkStart w:id="601" w:name="_Toc300934945"/>
      <w:bookmarkStart w:id="602" w:name="_Toc303539102"/>
      <w:bookmarkStart w:id="603" w:name="_Toc297120459"/>
      <w:bookmarkStart w:id="604" w:name="_Toc312677988"/>
      <w:r>
        <w:rPr>
          <w:rFonts w:hint="eastAsia" w:ascii="方正仿宋_GB2312" w:hAnsi="方正仿宋_GB2312" w:eastAsia="方正仿宋_GB2312" w:cs="方正仿宋_GB2312"/>
          <w:color w:val="000000"/>
          <w:sz w:val="24"/>
          <w:szCs w:val="24"/>
          <w:highlight w:val="none"/>
        </w:rPr>
        <w:t>.5 分包</w:t>
      </w:r>
      <w:bookmarkEnd w:id="587"/>
      <w:bookmarkEnd w:id="588"/>
    </w:p>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14:paraId="01BF651B">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bookmarkStart w:id="605" w:name="_Toc297123493"/>
      <w:bookmarkStart w:id="606" w:name="_Toc296346661"/>
      <w:bookmarkStart w:id="607" w:name="_Toc296944499"/>
      <w:bookmarkStart w:id="608" w:name="_Toc296347159"/>
      <w:bookmarkStart w:id="609" w:name="_Toc296890988"/>
      <w:bookmarkStart w:id="610" w:name="_Toc292559365"/>
      <w:bookmarkStart w:id="611" w:name="_Toc296891200"/>
      <w:bookmarkStart w:id="612" w:name="_Toc303539103"/>
      <w:bookmarkStart w:id="613" w:name="_Toc297048346"/>
      <w:bookmarkStart w:id="614" w:name="_Toc292559870"/>
      <w:bookmarkStart w:id="615" w:name="_Toc297216152"/>
      <w:bookmarkStart w:id="616" w:name="_Toc297120460"/>
      <w:bookmarkStart w:id="617" w:name="_Toc296503160"/>
      <w:bookmarkStart w:id="618" w:name="_Toc304295524"/>
      <w:bookmarkStart w:id="619" w:name="_Toc300934946"/>
      <w:bookmarkStart w:id="620" w:name="_Toc318581158"/>
      <w:bookmarkStart w:id="621" w:name="_Toc312677989"/>
      <w:r>
        <w:rPr>
          <w:rFonts w:hint="eastAsia" w:ascii="方正仿宋_GB2312" w:hAnsi="方正仿宋_GB2312" w:eastAsia="方正仿宋_GB2312" w:cs="方正仿宋_GB2312"/>
          <w:sz w:val="24"/>
          <w:szCs w:val="24"/>
          <w:highlight w:val="none"/>
        </w:rPr>
        <w:t>.5.1 分包的一般约定</w:t>
      </w:r>
    </w:p>
    <w:p w14:paraId="02EE4A51">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禁止分包的工程包括：</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2958CB78">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sz w:val="24"/>
          <w:szCs w:val="24"/>
          <w:highlight w:val="none"/>
        </w:rPr>
        <w:t>主体结构、关键性工作的范围：</w:t>
      </w:r>
      <w:r>
        <w:rPr>
          <w:rFonts w:hint="eastAsia" w:ascii="方正仿宋_GB2312" w:hAnsi="方正仿宋_GB2312" w:eastAsia="方正仿宋_GB2312" w:cs="方正仿宋_GB2312"/>
          <w:color w:val="000000"/>
          <w:sz w:val="24"/>
          <w:szCs w:val="24"/>
          <w:highlight w:val="none"/>
          <w:u w:val="single"/>
        </w:rPr>
        <w:t xml:space="preserve">                      </w:t>
      </w:r>
    </w:p>
    <w:p w14:paraId="6B0C1305">
      <w:pPr>
        <w:spacing w:line="360" w:lineRule="auto"/>
        <w:jc w:val="left"/>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Start w:id="622" w:name="_Toc297120461"/>
      <w:bookmarkStart w:id="623" w:name="_Toc303539104"/>
      <w:bookmarkStart w:id="624" w:name="_Toc296890989"/>
      <w:bookmarkStart w:id="625" w:name="_Toc297048347"/>
      <w:bookmarkStart w:id="626" w:name="_Toc297216153"/>
      <w:bookmarkStart w:id="627" w:name="_Toc296346662"/>
      <w:bookmarkStart w:id="628" w:name="_Toc296347160"/>
      <w:bookmarkStart w:id="629" w:name="_Toc296503161"/>
      <w:bookmarkStart w:id="630" w:name="_Toc300934947"/>
      <w:bookmarkStart w:id="631" w:name="_Toc296891201"/>
      <w:bookmarkStart w:id="632" w:name="_Toc304295525"/>
      <w:bookmarkStart w:id="633" w:name="_Toc297123494"/>
      <w:bookmarkStart w:id="634" w:name="_Toc296944500"/>
    </w:p>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14:paraId="3BDE61BB">
      <w:pPr>
        <w:spacing w:line="360" w:lineRule="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    3</w:t>
      </w:r>
      <w:bookmarkStart w:id="635" w:name="_Toc318581159"/>
      <w:bookmarkStart w:id="636" w:name="_Toc312677990"/>
      <w:r>
        <w:rPr>
          <w:rFonts w:hint="eastAsia" w:ascii="方正仿宋_GB2312" w:hAnsi="方正仿宋_GB2312" w:eastAsia="方正仿宋_GB2312" w:cs="方正仿宋_GB2312"/>
          <w:sz w:val="24"/>
          <w:szCs w:val="24"/>
          <w:highlight w:val="none"/>
        </w:rPr>
        <w:t>.5.2分包的确定</w:t>
      </w:r>
    </w:p>
    <w:p w14:paraId="6CF54FE9">
      <w:pPr>
        <w:spacing w:line="360" w:lineRule="auto"/>
        <w:ind w:firstLine="480" w:firstLineChars="200"/>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sz w:val="24"/>
          <w:szCs w:val="24"/>
          <w:highlight w:val="none"/>
        </w:rPr>
        <w:t>允许分包的专业工程包括：</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56657A82">
      <w:pPr>
        <w:spacing w:line="360" w:lineRule="auto"/>
        <w:ind w:firstLine="480" w:firstLineChars="200"/>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rPr>
        <w:t>其他关于分包的约定：</w:t>
      </w:r>
      <w:r>
        <w:rPr>
          <w:rFonts w:hint="eastAsia" w:ascii="方正仿宋_GB2312" w:hAnsi="方正仿宋_GB2312" w:eastAsia="方正仿宋_GB2312" w:cs="方正仿宋_GB2312"/>
          <w:color w:val="000000"/>
          <w:sz w:val="24"/>
          <w:szCs w:val="24"/>
          <w:highlight w:val="none"/>
          <w:u w:val="single"/>
        </w:rPr>
        <w:t xml:space="preserve">                                  </w:t>
      </w:r>
    </w:p>
    <w:p w14:paraId="3F8956D4">
      <w:pPr>
        <w:spacing w:line="360" w:lineRule="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65A6455A">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3.5.4 分包合同价款</w:t>
      </w:r>
    </w:p>
    <w:p w14:paraId="772E6537">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关于分包合同价款支付的约定：</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bookmarkEnd w:id="635"/>
    <w:bookmarkEnd w:id="636"/>
    <w:p w14:paraId="00FE02A0">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637" w:name="_Toc2757"/>
      <w:bookmarkStart w:id="638" w:name="_Toc16991"/>
      <w:r>
        <w:rPr>
          <w:rFonts w:hint="eastAsia" w:ascii="方正仿宋_GB2312" w:hAnsi="方正仿宋_GB2312" w:eastAsia="方正仿宋_GB2312" w:cs="方正仿宋_GB2312"/>
          <w:color w:val="000000"/>
          <w:sz w:val="24"/>
          <w:szCs w:val="24"/>
          <w:highlight w:val="none"/>
        </w:rPr>
        <w:t>3.6 工程照管与成品、半成品保护</w:t>
      </w:r>
      <w:bookmarkEnd w:id="637"/>
      <w:bookmarkEnd w:id="638"/>
    </w:p>
    <w:p w14:paraId="631F2972">
      <w:pPr>
        <w:spacing w:before="120" w:after="120" w:line="360" w:lineRule="auto"/>
        <w:ind w:firstLine="480" w:firstLineChars="200"/>
        <w:rPr>
          <w:rFonts w:hint="eastAsia" w:ascii="方正仿宋_GB2312" w:hAnsi="方正仿宋_GB2312" w:eastAsia="方正仿宋_GB2312" w:cs="方正仿宋_GB2312"/>
          <w:color w:val="000000"/>
          <w:kern w:val="0"/>
          <w:sz w:val="24"/>
          <w:szCs w:val="24"/>
          <w:highlight w:val="none"/>
          <w:u w:val="single"/>
        </w:rPr>
      </w:pPr>
      <w:r>
        <w:rPr>
          <w:rFonts w:hint="eastAsia" w:ascii="方正仿宋_GB2312" w:hAnsi="方正仿宋_GB2312" w:eastAsia="方正仿宋_GB2312" w:cs="方正仿宋_GB2312"/>
          <w:color w:val="000000"/>
          <w:kern w:val="0"/>
          <w:sz w:val="24"/>
          <w:szCs w:val="24"/>
          <w:highlight w:val="none"/>
        </w:rPr>
        <w:t>承包人负责照管工程及工程相关的材料、工程设备的起始时间：</w:t>
      </w:r>
      <w:r>
        <w:rPr>
          <w:rFonts w:hint="eastAsia" w:ascii="方正仿宋_GB2312" w:hAnsi="方正仿宋_GB2312" w:eastAsia="方正仿宋_GB2312" w:cs="方正仿宋_GB2312"/>
          <w:color w:val="000000"/>
          <w:kern w:val="0"/>
          <w:sz w:val="24"/>
          <w:szCs w:val="24"/>
          <w:highlight w:val="none"/>
          <w:u w:val="single"/>
        </w:rPr>
        <w:t xml:space="preserve">                                                     </w:t>
      </w:r>
      <w:r>
        <w:rPr>
          <w:rFonts w:hint="eastAsia" w:ascii="方正仿宋_GB2312" w:hAnsi="方正仿宋_GB2312" w:eastAsia="方正仿宋_GB2312" w:cs="方正仿宋_GB2312"/>
          <w:color w:val="000000"/>
          <w:kern w:val="0"/>
          <w:sz w:val="24"/>
          <w:szCs w:val="24"/>
          <w:highlight w:val="none"/>
        </w:rPr>
        <w:t>。</w:t>
      </w:r>
    </w:p>
    <w:p w14:paraId="13E4EDBB">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639" w:name="_Toc8957"/>
      <w:bookmarkStart w:id="640" w:name="_Toc28651"/>
      <w:r>
        <w:rPr>
          <w:rFonts w:hint="eastAsia" w:ascii="方正仿宋_GB2312" w:hAnsi="方正仿宋_GB2312" w:eastAsia="方正仿宋_GB2312" w:cs="方正仿宋_GB2312"/>
          <w:color w:val="000000"/>
          <w:sz w:val="24"/>
          <w:szCs w:val="24"/>
          <w:highlight w:val="none"/>
        </w:rPr>
        <w:t>3.7 履约担保</w:t>
      </w:r>
      <w:bookmarkEnd w:id="639"/>
      <w:bookmarkEnd w:id="640"/>
    </w:p>
    <w:p w14:paraId="1973B6CD">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承包人是否提供履约担保：</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2C099B2B">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rPr>
        <w:t>承包人提供履约担保的形式、金额及期限的：</w:t>
      </w:r>
      <w:r>
        <w:rPr>
          <w:rFonts w:hint="eastAsia" w:ascii="方正仿宋_GB2312" w:hAnsi="方正仿宋_GB2312" w:eastAsia="方正仿宋_GB2312" w:cs="方正仿宋_GB2312"/>
          <w:color w:val="000000"/>
          <w:sz w:val="24"/>
          <w:szCs w:val="24"/>
          <w:highlight w:val="none"/>
          <w:u w:val="single"/>
        </w:rPr>
        <w:t xml:space="preserve">              </w:t>
      </w:r>
    </w:p>
    <w:p w14:paraId="00A0333F">
      <w:pPr>
        <w:spacing w:line="360" w:lineRule="auto"/>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4DF2FFF1">
      <w:pPr>
        <w:pStyle w:val="4"/>
        <w:spacing w:before="120" w:after="120" w:line="360" w:lineRule="auto"/>
        <w:outlineLvl w:val="2"/>
        <w:rPr>
          <w:rFonts w:hint="eastAsia" w:ascii="方正仿宋_GB2312" w:hAnsi="方正仿宋_GB2312" w:eastAsia="方正仿宋_GB2312" w:cs="方正仿宋_GB2312"/>
          <w:b w:val="0"/>
          <w:color w:val="000000"/>
          <w:sz w:val="24"/>
          <w:szCs w:val="24"/>
          <w:highlight w:val="none"/>
        </w:rPr>
      </w:pPr>
      <w:bookmarkStart w:id="641" w:name="_Toc16337"/>
      <w:bookmarkStart w:id="642" w:name="_Toc17718"/>
      <w:bookmarkStart w:id="643" w:name="_Toc351203636"/>
      <w:bookmarkStart w:id="644" w:name="_Toc7005"/>
      <w:r>
        <w:rPr>
          <w:rFonts w:hint="eastAsia" w:ascii="方正仿宋_GB2312" w:hAnsi="方正仿宋_GB2312" w:eastAsia="方正仿宋_GB2312" w:cs="方正仿宋_GB2312"/>
          <w:b w:val="0"/>
          <w:color w:val="000000"/>
          <w:sz w:val="24"/>
          <w:szCs w:val="24"/>
          <w:highlight w:val="none"/>
        </w:rPr>
        <w:t>4</w:t>
      </w:r>
      <w:bookmarkStart w:id="645" w:name="_Toc296891202"/>
      <w:bookmarkStart w:id="646" w:name="_Toc292559871"/>
      <w:bookmarkStart w:id="647" w:name="_Toc296503162"/>
      <w:bookmarkStart w:id="648" w:name="_Toc296944501"/>
      <w:bookmarkStart w:id="649" w:name="_Toc292559366"/>
      <w:bookmarkStart w:id="650" w:name="_Toc297048348"/>
      <w:bookmarkStart w:id="651" w:name="_Toc296890990"/>
      <w:bookmarkStart w:id="652" w:name="_Toc297120462"/>
      <w:bookmarkStart w:id="653" w:name="_Toc267251413"/>
      <w:bookmarkStart w:id="654" w:name="_Toc296346663"/>
      <w:bookmarkStart w:id="655" w:name="_Toc296347161"/>
      <w:r>
        <w:rPr>
          <w:rFonts w:hint="eastAsia" w:ascii="方正仿宋_GB2312" w:hAnsi="方正仿宋_GB2312" w:eastAsia="方正仿宋_GB2312" w:cs="方正仿宋_GB2312"/>
          <w:b w:val="0"/>
          <w:color w:val="000000"/>
          <w:sz w:val="24"/>
          <w:szCs w:val="24"/>
          <w:highlight w:val="none"/>
        </w:rPr>
        <w:t>. 监</w:t>
      </w:r>
      <w:bookmarkEnd w:id="645"/>
      <w:bookmarkEnd w:id="646"/>
      <w:bookmarkEnd w:id="647"/>
      <w:bookmarkEnd w:id="648"/>
      <w:bookmarkEnd w:id="649"/>
      <w:bookmarkEnd w:id="650"/>
      <w:bookmarkEnd w:id="651"/>
      <w:bookmarkEnd w:id="652"/>
      <w:bookmarkEnd w:id="653"/>
      <w:bookmarkEnd w:id="654"/>
      <w:bookmarkEnd w:id="655"/>
      <w:r>
        <w:rPr>
          <w:rFonts w:hint="eastAsia" w:ascii="方正仿宋_GB2312" w:hAnsi="方正仿宋_GB2312" w:eastAsia="方正仿宋_GB2312" w:cs="方正仿宋_GB2312"/>
          <w:b w:val="0"/>
          <w:color w:val="000000"/>
          <w:sz w:val="24"/>
          <w:szCs w:val="24"/>
          <w:highlight w:val="none"/>
        </w:rPr>
        <w:t>理人</w:t>
      </w:r>
      <w:bookmarkEnd w:id="641"/>
      <w:bookmarkEnd w:id="642"/>
      <w:bookmarkEnd w:id="643"/>
      <w:bookmarkEnd w:id="644"/>
    </w:p>
    <w:p w14:paraId="62510FC3">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656" w:name="_Toc1732"/>
      <w:bookmarkStart w:id="657" w:name="_Toc14154"/>
      <w:r>
        <w:rPr>
          <w:rFonts w:hint="eastAsia" w:ascii="方正仿宋_GB2312" w:hAnsi="方正仿宋_GB2312" w:eastAsia="方正仿宋_GB2312" w:cs="方正仿宋_GB2312"/>
          <w:color w:val="000000"/>
          <w:sz w:val="24"/>
          <w:szCs w:val="24"/>
          <w:highlight w:val="none"/>
        </w:rPr>
        <w:t>4.1监理人的一般规定</w:t>
      </w:r>
      <w:bookmarkEnd w:id="656"/>
      <w:bookmarkEnd w:id="657"/>
    </w:p>
    <w:p w14:paraId="73025D39">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关于监理人的监理内容：</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3700E183">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关于监理人的监理权限：</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 xml:space="preserve">。 </w:t>
      </w:r>
    </w:p>
    <w:p w14:paraId="4CE697AE">
      <w:pPr>
        <w:spacing w:line="360" w:lineRule="auto"/>
        <w:ind w:firstLine="480" w:firstLineChars="200"/>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rPr>
        <w:t>关于监理人在施工现场的办公场所、生活场所的提供和费用承担的约定：</w:t>
      </w:r>
      <w:r>
        <w:rPr>
          <w:rFonts w:hint="eastAsia" w:ascii="方正仿宋_GB2312" w:hAnsi="方正仿宋_GB2312" w:eastAsia="方正仿宋_GB2312" w:cs="方正仿宋_GB2312"/>
          <w:color w:val="000000"/>
          <w:sz w:val="24"/>
          <w:szCs w:val="24"/>
          <w:highlight w:val="none"/>
          <w:u w:val="single"/>
        </w:rPr>
        <w:t xml:space="preserve">                                                </w:t>
      </w:r>
    </w:p>
    <w:p w14:paraId="51A98058">
      <w:pPr>
        <w:spacing w:line="360" w:lineRule="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6D7F4848">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658" w:name="_Toc11220"/>
      <w:bookmarkStart w:id="659" w:name="_Toc11295"/>
      <w:r>
        <w:rPr>
          <w:rFonts w:hint="eastAsia" w:ascii="方正仿宋_GB2312" w:hAnsi="方正仿宋_GB2312" w:eastAsia="方正仿宋_GB2312" w:cs="方正仿宋_GB2312"/>
          <w:color w:val="000000"/>
          <w:sz w:val="24"/>
          <w:szCs w:val="24"/>
          <w:highlight w:val="none"/>
        </w:rPr>
        <w:t>4.2 监理人员</w:t>
      </w:r>
      <w:bookmarkEnd w:id="658"/>
      <w:bookmarkEnd w:id="659"/>
    </w:p>
    <w:p w14:paraId="1FF567FF">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总监理工程师：</w:t>
      </w:r>
    </w:p>
    <w:p w14:paraId="286627B8">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姓    名：</w:t>
      </w:r>
      <w:r>
        <w:rPr>
          <w:rFonts w:hint="eastAsia" w:ascii="方正仿宋_GB2312" w:hAnsi="方正仿宋_GB2312" w:eastAsia="方正仿宋_GB2312" w:cs="方正仿宋_GB2312"/>
          <w:color w:val="000000"/>
          <w:sz w:val="24"/>
          <w:szCs w:val="24"/>
          <w:highlight w:val="none"/>
          <w:u w:val="single"/>
        </w:rPr>
        <w:t>   </w:t>
      </w:r>
      <w:r>
        <w:rPr>
          <w:rFonts w:hint="eastAsia" w:ascii="方正仿宋_GB2312" w:hAnsi="方正仿宋_GB2312" w:eastAsia="方正仿宋_GB2312" w:cs="方正仿宋_GB2312"/>
          <w:color w:val="000000"/>
          <w:sz w:val="24"/>
          <w:szCs w:val="24"/>
          <w:highlight w:val="none"/>
        </w:rPr>
        <w:t>；</w:t>
      </w:r>
    </w:p>
    <w:p w14:paraId="555863B8">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职    务：</w:t>
      </w:r>
      <w:r>
        <w:rPr>
          <w:rFonts w:hint="eastAsia" w:ascii="方正仿宋_GB2312" w:hAnsi="方正仿宋_GB2312" w:eastAsia="方正仿宋_GB2312" w:cs="方正仿宋_GB2312"/>
          <w:color w:val="000000"/>
          <w:sz w:val="24"/>
          <w:szCs w:val="24"/>
          <w:highlight w:val="none"/>
          <w:u w:val="single"/>
        </w:rPr>
        <w:t>   </w:t>
      </w:r>
      <w:r>
        <w:rPr>
          <w:rFonts w:hint="eastAsia" w:ascii="方正仿宋_GB2312" w:hAnsi="方正仿宋_GB2312" w:eastAsia="方正仿宋_GB2312" w:cs="方正仿宋_GB2312"/>
          <w:color w:val="000000"/>
          <w:sz w:val="24"/>
          <w:szCs w:val="24"/>
          <w:highlight w:val="none"/>
        </w:rPr>
        <w:t>；</w:t>
      </w:r>
    </w:p>
    <w:p w14:paraId="63CA7FF5">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监理工程师执业资格证书号：</w:t>
      </w:r>
      <w:r>
        <w:rPr>
          <w:rFonts w:hint="eastAsia" w:ascii="方正仿宋_GB2312" w:hAnsi="方正仿宋_GB2312" w:eastAsia="方正仿宋_GB2312" w:cs="方正仿宋_GB2312"/>
          <w:color w:val="000000"/>
          <w:sz w:val="24"/>
          <w:szCs w:val="24"/>
          <w:highlight w:val="none"/>
          <w:u w:val="single"/>
        </w:rPr>
        <w:t> </w:t>
      </w:r>
      <w:r>
        <w:rPr>
          <w:rFonts w:hint="eastAsia" w:ascii="方正仿宋_GB2312" w:hAnsi="方正仿宋_GB2312" w:eastAsia="方正仿宋_GB2312" w:cs="方正仿宋_GB2312"/>
          <w:color w:val="000000"/>
          <w:sz w:val="24"/>
          <w:szCs w:val="24"/>
          <w:highlight w:val="none"/>
        </w:rPr>
        <w:t>；</w:t>
      </w:r>
    </w:p>
    <w:p w14:paraId="7F08F0D2">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联系电话：</w:t>
      </w:r>
      <w:r>
        <w:rPr>
          <w:rFonts w:hint="eastAsia" w:ascii="方正仿宋_GB2312" w:hAnsi="方正仿宋_GB2312" w:eastAsia="方正仿宋_GB2312" w:cs="方正仿宋_GB2312"/>
          <w:color w:val="000000"/>
          <w:sz w:val="24"/>
          <w:szCs w:val="24"/>
          <w:highlight w:val="none"/>
          <w:u w:val="single"/>
        </w:rPr>
        <w:t>   </w:t>
      </w:r>
      <w:r>
        <w:rPr>
          <w:rFonts w:hint="eastAsia" w:ascii="方正仿宋_GB2312" w:hAnsi="方正仿宋_GB2312" w:eastAsia="方正仿宋_GB2312" w:cs="方正仿宋_GB2312"/>
          <w:color w:val="000000"/>
          <w:sz w:val="24"/>
          <w:szCs w:val="24"/>
          <w:highlight w:val="none"/>
        </w:rPr>
        <w:t>；</w:t>
      </w:r>
    </w:p>
    <w:p w14:paraId="0D103041">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电子信箱：</w:t>
      </w:r>
      <w:r>
        <w:rPr>
          <w:rFonts w:hint="eastAsia" w:ascii="方正仿宋_GB2312" w:hAnsi="方正仿宋_GB2312" w:eastAsia="方正仿宋_GB2312" w:cs="方正仿宋_GB2312"/>
          <w:color w:val="000000"/>
          <w:sz w:val="24"/>
          <w:szCs w:val="24"/>
          <w:highlight w:val="none"/>
          <w:u w:val="single"/>
        </w:rPr>
        <w:t>   </w:t>
      </w:r>
      <w:r>
        <w:rPr>
          <w:rFonts w:hint="eastAsia" w:ascii="方正仿宋_GB2312" w:hAnsi="方正仿宋_GB2312" w:eastAsia="方正仿宋_GB2312" w:cs="方正仿宋_GB2312"/>
          <w:color w:val="000000"/>
          <w:sz w:val="24"/>
          <w:szCs w:val="24"/>
          <w:highlight w:val="none"/>
        </w:rPr>
        <w:t>；</w:t>
      </w:r>
    </w:p>
    <w:p w14:paraId="4852ABAF">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通信地址：</w:t>
      </w:r>
      <w:r>
        <w:rPr>
          <w:rFonts w:hint="eastAsia" w:ascii="方正仿宋_GB2312" w:hAnsi="方正仿宋_GB2312" w:eastAsia="方正仿宋_GB2312" w:cs="方正仿宋_GB2312"/>
          <w:color w:val="000000"/>
          <w:sz w:val="24"/>
          <w:szCs w:val="24"/>
          <w:highlight w:val="none"/>
          <w:u w:val="single"/>
        </w:rPr>
        <w:t>   </w:t>
      </w:r>
      <w:r>
        <w:rPr>
          <w:rFonts w:hint="eastAsia" w:ascii="方正仿宋_GB2312" w:hAnsi="方正仿宋_GB2312" w:eastAsia="方正仿宋_GB2312" w:cs="方正仿宋_GB2312"/>
          <w:color w:val="000000"/>
          <w:sz w:val="24"/>
          <w:szCs w:val="24"/>
          <w:highlight w:val="none"/>
        </w:rPr>
        <w:t>；</w:t>
      </w:r>
    </w:p>
    <w:p w14:paraId="4592A026">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关于监理人的其他约定：</w:t>
      </w:r>
      <w:r>
        <w:rPr>
          <w:rFonts w:hint="eastAsia" w:ascii="方正仿宋_GB2312" w:hAnsi="方正仿宋_GB2312" w:eastAsia="方正仿宋_GB2312" w:cs="方正仿宋_GB2312"/>
          <w:color w:val="000000"/>
          <w:sz w:val="24"/>
          <w:szCs w:val="24"/>
          <w:highlight w:val="none"/>
          <w:u w:val="single"/>
        </w:rPr>
        <w:t>   </w:t>
      </w:r>
      <w:r>
        <w:rPr>
          <w:rFonts w:hint="eastAsia" w:ascii="方正仿宋_GB2312" w:hAnsi="方正仿宋_GB2312" w:eastAsia="方正仿宋_GB2312" w:cs="方正仿宋_GB2312"/>
          <w:color w:val="000000"/>
          <w:sz w:val="24"/>
          <w:szCs w:val="24"/>
          <w:highlight w:val="none"/>
        </w:rPr>
        <w:t>。</w:t>
      </w:r>
    </w:p>
    <w:p w14:paraId="040A2E22">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660" w:name="_Toc5613"/>
      <w:bookmarkStart w:id="661" w:name="_Toc19465"/>
      <w:r>
        <w:rPr>
          <w:rFonts w:hint="eastAsia" w:ascii="方正仿宋_GB2312" w:hAnsi="方正仿宋_GB2312" w:eastAsia="方正仿宋_GB2312" w:cs="方正仿宋_GB2312"/>
          <w:color w:val="000000"/>
          <w:sz w:val="24"/>
          <w:szCs w:val="24"/>
          <w:highlight w:val="none"/>
        </w:rPr>
        <w:t>4.4 商定或确定</w:t>
      </w:r>
      <w:bookmarkEnd w:id="660"/>
      <w:bookmarkEnd w:id="661"/>
    </w:p>
    <w:p w14:paraId="765E1D0A">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bookmarkStart w:id="662" w:name="_Toc267251418"/>
      <w:r>
        <w:rPr>
          <w:rFonts w:hint="eastAsia" w:ascii="方正仿宋_GB2312" w:hAnsi="方正仿宋_GB2312" w:eastAsia="方正仿宋_GB2312" w:cs="方正仿宋_GB2312"/>
          <w:color w:val="000000"/>
          <w:sz w:val="24"/>
          <w:szCs w:val="24"/>
          <w:highlight w:val="none"/>
        </w:rPr>
        <w:t>在发包人和承包人不能通过协商达成一致意见时，发包人授权监理人对以下事项进行确定：</w:t>
      </w:r>
    </w:p>
    <w:p w14:paraId="01FEFF1C">
      <w:pPr>
        <w:autoSpaceDE w:val="0"/>
        <w:autoSpaceDN w:val="0"/>
        <w:adjustRightInd w:val="0"/>
        <w:spacing w:line="360" w:lineRule="auto"/>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5645EFA6">
      <w:pPr>
        <w:autoSpaceDE w:val="0"/>
        <w:autoSpaceDN w:val="0"/>
        <w:adjustRightInd w:val="0"/>
        <w:spacing w:line="360" w:lineRule="auto"/>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6C2D6B7A">
      <w:pPr>
        <w:autoSpaceDE w:val="0"/>
        <w:autoSpaceDN w:val="0"/>
        <w:adjustRightInd w:val="0"/>
        <w:spacing w:line="360" w:lineRule="auto"/>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47DF695E">
      <w:pPr>
        <w:pStyle w:val="4"/>
        <w:spacing w:before="120" w:after="120" w:line="360" w:lineRule="auto"/>
        <w:outlineLvl w:val="2"/>
        <w:rPr>
          <w:rFonts w:hint="eastAsia" w:ascii="方正仿宋_GB2312" w:hAnsi="方正仿宋_GB2312" w:eastAsia="方正仿宋_GB2312" w:cs="方正仿宋_GB2312"/>
          <w:b w:val="0"/>
          <w:color w:val="000000"/>
          <w:sz w:val="24"/>
          <w:szCs w:val="24"/>
          <w:highlight w:val="none"/>
        </w:rPr>
      </w:pPr>
      <w:bookmarkStart w:id="663" w:name="_Toc17171"/>
      <w:bookmarkStart w:id="664" w:name="_Toc1502"/>
      <w:bookmarkStart w:id="665" w:name="_Toc351203637"/>
      <w:bookmarkStart w:id="666" w:name="_Toc23944"/>
      <w:r>
        <w:rPr>
          <w:rFonts w:hint="eastAsia" w:ascii="方正仿宋_GB2312" w:hAnsi="方正仿宋_GB2312" w:eastAsia="方正仿宋_GB2312" w:cs="方正仿宋_GB2312"/>
          <w:b w:val="0"/>
          <w:color w:val="000000"/>
          <w:sz w:val="24"/>
          <w:szCs w:val="24"/>
          <w:highlight w:val="none"/>
        </w:rPr>
        <w:t>5</w:t>
      </w:r>
      <w:bookmarkEnd w:id="662"/>
      <w:bookmarkStart w:id="667" w:name="_Toc292559872"/>
      <w:bookmarkStart w:id="668" w:name="_Toc296346664"/>
      <w:bookmarkStart w:id="669" w:name="_Toc296891203"/>
      <w:bookmarkStart w:id="670" w:name="_Toc292559367"/>
      <w:bookmarkStart w:id="671" w:name="_Toc297048349"/>
      <w:bookmarkStart w:id="672" w:name="_Toc296347162"/>
      <w:bookmarkStart w:id="673" w:name="_Toc297120463"/>
      <w:bookmarkStart w:id="674" w:name="_Toc296890991"/>
      <w:bookmarkStart w:id="675" w:name="_Toc296944502"/>
      <w:bookmarkStart w:id="676" w:name="_Toc296503163"/>
      <w:r>
        <w:rPr>
          <w:rFonts w:hint="eastAsia" w:ascii="方正仿宋_GB2312" w:hAnsi="方正仿宋_GB2312" w:eastAsia="方正仿宋_GB2312" w:cs="方正仿宋_GB2312"/>
          <w:b w:val="0"/>
          <w:color w:val="000000"/>
          <w:sz w:val="24"/>
          <w:szCs w:val="24"/>
          <w:highlight w:val="none"/>
        </w:rPr>
        <w:t>. 工程质量</w:t>
      </w:r>
      <w:bookmarkEnd w:id="663"/>
      <w:bookmarkEnd w:id="664"/>
      <w:bookmarkEnd w:id="665"/>
      <w:bookmarkEnd w:id="666"/>
    </w:p>
    <w:p w14:paraId="64EF42F0">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677" w:name="_Toc3379"/>
      <w:bookmarkStart w:id="678" w:name="_Toc21348"/>
      <w:r>
        <w:rPr>
          <w:rFonts w:hint="eastAsia" w:ascii="方正仿宋_GB2312" w:hAnsi="方正仿宋_GB2312" w:eastAsia="方正仿宋_GB2312" w:cs="方正仿宋_GB2312"/>
          <w:color w:val="000000"/>
          <w:sz w:val="24"/>
          <w:szCs w:val="24"/>
          <w:highlight w:val="none"/>
        </w:rPr>
        <w:t>5.1 质量要求</w:t>
      </w:r>
      <w:bookmarkEnd w:id="677"/>
      <w:bookmarkEnd w:id="678"/>
    </w:p>
    <w:p w14:paraId="38BBC918">
      <w:pPr>
        <w:spacing w:line="360" w:lineRule="auto"/>
        <w:ind w:firstLine="480" w:firstLineChars="200"/>
        <w:jc w:val="left"/>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5</w:t>
      </w:r>
      <w:bookmarkStart w:id="679" w:name="_Toc312677997"/>
      <w:bookmarkStart w:id="680" w:name="_Toc300934949"/>
      <w:bookmarkStart w:id="681" w:name="_Toc304295527"/>
      <w:bookmarkStart w:id="682" w:name="_Toc297216155"/>
      <w:bookmarkStart w:id="683" w:name="_Toc303539106"/>
      <w:bookmarkStart w:id="684" w:name="_Toc318581164"/>
      <w:bookmarkStart w:id="685" w:name="_Toc297123496"/>
      <w:r>
        <w:rPr>
          <w:rFonts w:hint="eastAsia" w:ascii="方正仿宋_GB2312" w:hAnsi="方正仿宋_GB2312" w:eastAsia="方正仿宋_GB2312" w:cs="方正仿宋_GB2312"/>
          <w:sz w:val="24"/>
          <w:szCs w:val="24"/>
          <w:highlight w:val="none"/>
        </w:rPr>
        <w:t>.1.1 特殊质量标准和要求：</w:t>
      </w:r>
      <w:r>
        <w:rPr>
          <w:rFonts w:hint="eastAsia" w:ascii="方正仿宋_GB2312" w:hAnsi="方正仿宋_GB2312" w:eastAsia="方正仿宋_GB2312" w:cs="方正仿宋_GB2312"/>
          <w:sz w:val="24"/>
          <w:szCs w:val="24"/>
          <w:highlight w:val="none"/>
          <w:u w:val="single"/>
        </w:rPr>
        <w:t xml:space="preserve">                             </w:t>
      </w:r>
    </w:p>
    <w:p w14:paraId="290A0FA4">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w:t>
      </w:r>
    </w:p>
    <w:p w14:paraId="61476360">
      <w:pPr>
        <w:spacing w:line="360" w:lineRule="auto"/>
        <w:ind w:firstLine="480" w:firstLineChars="200"/>
        <w:jc w:val="left"/>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关于工程奖项的约定：</w:t>
      </w:r>
      <w:r>
        <w:rPr>
          <w:rFonts w:hint="eastAsia" w:ascii="方正仿宋_GB2312" w:hAnsi="方正仿宋_GB2312" w:eastAsia="方正仿宋_GB2312" w:cs="方正仿宋_GB2312"/>
          <w:sz w:val="24"/>
          <w:szCs w:val="24"/>
          <w:highlight w:val="none"/>
          <w:u w:val="single"/>
        </w:rPr>
        <w:t xml:space="preserve">                                  </w:t>
      </w:r>
    </w:p>
    <w:p w14:paraId="618FF14F">
      <w:pPr>
        <w:spacing w:line="360" w:lineRule="auto"/>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w:t>
      </w:r>
    </w:p>
    <w:p w14:paraId="04AE2476">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686" w:name="_Toc3106"/>
      <w:bookmarkStart w:id="687" w:name="_Toc5336"/>
      <w:r>
        <w:rPr>
          <w:rFonts w:hint="eastAsia" w:ascii="方正仿宋_GB2312" w:hAnsi="方正仿宋_GB2312" w:eastAsia="方正仿宋_GB2312" w:cs="方正仿宋_GB2312"/>
          <w:color w:val="000000"/>
          <w:sz w:val="24"/>
          <w:szCs w:val="24"/>
          <w:highlight w:val="none"/>
        </w:rPr>
        <w:t>5.3 隐蔽工程检查</w:t>
      </w:r>
      <w:bookmarkEnd w:id="686"/>
      <w:bookmarkEnd w:id="687"/>
    </w:p>
    <w:p w14:paraId="1AE938A1">
      <w:pPr>
        <w:spacing w:line="360" w:lineRule="auto"/>
        <w:ind w:firstLine="480" w:firstLineChars="200"/>
        <w:jc w:val="left"/>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5.3.2承包人提前通知监理人隐蔽工程检查的期限的约定：</w:t>
      </w:r>
      <w:r>
        <w:rPr>
          <w:rFonts w:hint="eastAsia" w:ascii="方正仿宋_GB2312" w:hAnsi="方正仿宋_GB2312" w:eastAsia="方正仿宋_GB2312" w:cs="方正仿宋_GB2312"/>
          <w:sz w:val="24"/>
          <w:szCs w:val="24"/>
          <w:highlight w:val="none"/>
          <w:u w:val="single"/>
        </w:rPr>
        <w:t xml:space="preserve">    </w:t>
      </w:r>
    </w:p>
    <w:p w14:paraId="39CA59DF">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w:t>
      </w:r>
    </w:p>
    <w:p w14:paraId="59DA49E5">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监理人不能按时进行检查时，应提前</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小时提交书面延期要求。</w:t>
      </w:r>
    </w:p>
    <w:p w14:paraId="4C84292C">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关于延期最长不得超过：</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小时。</w:t>
      </w:r>
    </w:p>
    <w:p w14:paraId="603BA624">
      <w:pPr>
        <w:pStyle w:val="4"/>
        <w:spacing w:before="120" w:after="120" w:line="360" w:lineRule="auto"/>
        <w:outlineLvl w:val="2"/>
        <w:rPr>
          <w:rFonts w:hint="eastAsia" w:ascii="方正仿宋_GB2312" w:hAnsi="方正仿宋_GB2312" w:eastAsia="方正仿宋_GB2312" w:cs="方正仿宋_GB2312"/>
          <w:b w:val="0"/>
          <w:color w:val="000000"/>
          <w:sz w:val="24"/>
          <w:szCs w:val="24"/>
          <w:highlight w:val="none"/>
        </w:rPr>
      </w:pPr>
      <w:bookmarkStart w:id="688" w:name="_Toc351203638"/>
      <w:bookmarkStart w:id="689" w:name="_Toc3123"/>
      <w:bookmarkStart w:id="690" w:name="_Toc30270"/>
      <w:bookmarkStart w:id="691" w:name="_Toc15133"/>
      <w:r>
        <w:rPr>
          <w:rFonts w:hint="eastAsia" w:ascii="方正仿宋_GB2312" w:hAnsi="方正仿宋_GB2312" w:eastAsia="方正仿宋_GB2312" w:cs="方正仿宋_GB2312"/>
          <w:b w:val="0"/>
          <w:color w:val="000000"/>
          <w:sz w:val="24"/>
          <w:szCs w:val="24"/>
          <w:highlight w:val="none"/>
        </w:rPr>
        <w:t>6. 安全文明施工与环境保护</w:t>
      </w:r>
      <w:bookmarkEnd w:id="688"/>
      <w:bookmarkEnd w:id="689"/>
      <w:bookmarkEnd w:id="690"/>
      <w:bookmarkEnd w:id="691"/>
    </w:p>
    <w:p w14:paraId="1D36BC3F">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692" w:name="_Toc31276"/>
      <w:bookmarkStart w:id="693" w:name="_Toc21028"/>
      <w:r>
        <w:rPr>
          <w:rFonts w:hint="eastAsia" w:ascii="方正仿宋_GB2312" w:hAnsi="方正仿宋_GB2312" w:eastAsia="方正仿宋_GB2312" w:cs="方正仿宋_GB2312"/>
          <w:color w:val="000000"/>
          <w:sz w:val="24"/>
          <w:szCs w:val="24"/>
          <w:highlight w:val="none"/>
        </w:rPr>
        <w:t>6.1安全文明施工</w:t>
      </w:r>
      <w:bookmarkEnd w:id="692"/>
      <w:bookmarkEnd w:id="693"/>
    </w:p>
    <w:p w14:paraId="09721B59">
      <w:pPr>
        <w:spacing w:line="360" w:lineRule="auto"/>
        <w:ind w:firstLine="480" w:firstLineChars="200"/>
        <w:jc w:val="left"/>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6.1.1</w:t>
      </w:r>
      <w:r>
        <w:rPr>
          <w:rFonts w:hint="eastAsia" w:ascii="方正仿宋_GB2312" w:hAnsi="方正仿宋_GB2312" w:eastAsia="方正仿宋_GB2312" w:cs="方正仿宋_GB2312"/>
          <w:color w:val="000000"/>
          <w:sz w:val="24"/>
          <w:szCs w:val="24"/>
          <w:highlight w:val="none"/>
        </w:rPr>
        <w:t xml:space="preserve"> 项目安全生产的达标目标及相应事项的约定：</w:t>
      </w:r>
      <w:r>
        <w:rPr>
          <w:rFonts w:hint="eastAsia" w:ascii="方正仿宋_GB2312" w:hAnsi="方正仿宋_GB2312" w:eastAsia="方正仿宋_GB2312" w:cs="方正仿宋_GB2312"/>
          <w:sz w:val="24"/>
          <w:szCs w:val="24"/>
          <w:highlight w:val="none"/>
          <w:u w:val="single"/>
        </w:rPr>
        <w:t xml:space="preserve">         </w:t>
      </w:r>
    </w:p>
    <w:p w14:paraId="42309567">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w:t>
      </w:r>
    </w:p>
    <w:p w14:paraId="27B926A1">
      <w:pPr>
        <w:spacing w:line="360" w:lineRule="auto"/>
        <w:ind w:firstLine="480" w:firstLineChars="200"/>
        <w:jc w:val="left"/>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6.1.4 关于治安保卫的特别约定：</w:t>
      </w:r>
      <w:r>
        <w:rPr>
          <w:rFonts w:hint="eastAsia" w:ascii="方正仿宋_GB2312" w:hAnsi="方正仿宋_GB2312" w:eastAsia="方正仿宋_GB2312" w:cs="方正仿宋_GB2312"/>
          <w:sz w:val="24"/>
          <w:szCs w:val="24"/>
          <w:highlight w:val="none"/>
          <w:u w:val="single"/>
        </w:rPr>
        <w:t xml:space="preserve">                         </w:t>
      </w:r>
    </w:p>
    <w:p w14:paraId="5003D5E8">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w:t>
      </w:r>
    </w:p>
    <w:p w14:paraId="5A597577">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关于编制施工场地治安管理计划的约定：</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rPr>
        <w:br w:type="textWrapping"/>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w:t>
      </w:r>
    </w:p>
    <w:p w14:paraId="5498E132">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6.1.5 文明施工</w:t>
      </w:r>
    </w:p>
    <w:p w14:paraId="18B8361A">
      <w:pPr>
        <w:spacing w:line="360" w:lineRule="auto"/>
        <w:ind w:firstLine="480" w:firstLineChars="200"/>
        <w:jc w:val="left"/>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合同当事人对文明施工的要求：</w:t>
      </w:r>
      <w:r>
        <w:rPr>
          <w:rFonts w:hint="eastAsia" w:ascii="方正仿宋_GB2312" w:hAnsi="方正仿宋_GB2312" w:eastAsia="方正仿宋_GB2312" w:cs="方正仿宋_GB2312"/>
          <w:sz w:val="24"/>
          <w:szCs w:val="24"/>
          <w:highlight w:val="none"/>
          <w:u w:val="single"/>
        </w:rPr>
        <w:t xml:space="preserve">                          </w:t>
      </w:r>
    </w:p>
    <w:p w14:paraId="37DF652E">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w:t>
      </w:r>
    </w:p>
    <w:p w14:paraId="1CE4F196">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6.1.6 关于安全文明施工费支付比例和支付期限的约定：</w:t>
      </w:r>
      <w:r>
        <w:rPr>
          <w:rFonts w:hint="eastAsia" w:ascii="方正仿宋_GB2312" w:hAnsi="方正仿宋_GB2312" w:eastAsia="方正仿宋_GB2312" w:cs="方正仿宋_GB2312"/>
          <w:sz w:val="24"/>
          <w:szCs w:val="24"/>
          <w:highlight w:val="none"/>
          <w:u w:val="single"/>
        </w:rPr>
        <w:t xml:space="preserve">     </w:t>
      </w:r>
    </w:p>
    <w:p w14:paraId="161E432C">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w:t>
      </w:r>
    </w:p>
    <w:bookmarkEnd w:id="679"/>
    <w:bookmarkEnd w:id="680"/>
    <w:bookmarkEnd w:id="681"/>
    <w:bookmarkEnd w:id="682"/>
    <w:bookmarkEnd w:id="683"/>
    <w:bookmarkEnd w:id="684"/>
    <w:bookmarkEnd w:id="685"/>
    <w:p w14:paraId="4B2F1A78">
      <w:pPr>
        <w:pStyle w:val="4"/>
        <w:spacing w:before="120" w:after="120" w:line="360" w:lineRule="auto"/>
        <w:outlineLvl w:val="2"/>
        <w:rPr>
          <w:rFonts w:hint="eastAsia" w:ascii="方正仿宋_GB2312" w:hAnsi="方正仿宋_GB2312" w:eastAsia="方正仿宋_GB2312" w:cs="方正仿宋_GB2312"/>
          <w:b w:val="0"/>
          <w:color w:val="000000"/>
          <w:sz w:val="24"/>
          <w:szCs w:val="24"/>
          <w:highlight w:val="none"/>
        </w:rPr>
      </w:pPr>
      <w:bookmarkStart w:id="694" w:name="_Toc351203639"/>
      <w:bookmarkStart w:id="695" w:name="_Toc21005"/>
      <w:bookmarkStart w:id="696" w:name="_Toc17137"/>
      <w:bookmarkStart w:id="697" w:name="_Toc24217"/>
      <w:r>
        <w:rPr>
          <w:rFonts w:hint="eastAsia" w:ascii="方正仿宋_GB2312" w:hAnsi="方正仿宋_GB2312" w:eastAsia="方正仿宋_GB2312" w:cs="方正仿宋_GB2312"/>
          <w:b w:val="0"/>
          <w:color w:val="000000"/>
          <w:sz w:val="24"/>
          <w:szCs w:val="24"/>
          <w:highlight w:val="none"/>
        </w:rPr>
        <w:t>7. 工期和进度</w:t>
      </w:r>
      <w:bookmarkEnd w:id="694"/>
      <w:bookmarkEnd w:id="695"/>
      <w:bookmarkEnd w:id="696"/>
      <w:bookmarkEnd w:id="697"/>
    </w:p>
    <w:p w14:paraId="23CC305F">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698" w:name="_Toc26360"/>
      <w:bookmarkStart w:id="699" w:name="_Toc10622"/>
      <w:r>
        <w:rPr>
          <w:rFonts w:hint="eastAsia" w:ascii="方正仿宋_GB2312" w:hAnsi="方正仿宋_GB2312" w:eastAsia="方正仿宋_GB2312" w:cs="方正仿宋_GB2312"/>
          <w:color w:val="000000"/>
          <w:sz w:val="24"/>
          <w:szCs w:val="24"/>
          <w:highlight w:val="none"/>
        </w:rPr>
        <w:t>7.1 施工组织设计</w:t>
      </w:r>
      <w:bookmarkEnd w:id="698"/>
      <w:bookmarkEnd w:id="699"/>
    </w:p>
    <w:p w14:paraId="1705AA03">
      <w:pPr>
        <w:autoSpaceDE w:val="0"/>
        <w:autoSpaceDN w:val="0"/>
        <w:adjustRightInd w:val="0"/>
        <w:spacing w:line="360" w:lineRule="auto"/>
        <w:ind w:firstLine="480" w:firstLineChars="200"/>
        <w:jc w:val="left"/>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 xml:space="preserve">7.1.1 </w:t>
      </w:r>
      <w:r>
        <w:rPr>
          <w:rFonts w:hint="eastAsia" w:ascii="方正仿宋_GB2312" w:hAnsi="方正仿宋_GB2312" w:eastAsia="方正仿宋_GB2312" w:cs="方正仿宋_GB2312"/>
          <w:color w:val="000000"/>
          <w:sz w:val="24"/>
          <w:szCs w:val="24"/>
          <w:highlight w:val="none"/>
        </w:rPr>
        <w:t>合</w:t>
      </w:r>
      <w:r>
        <w:rPr>
          <w:rFonts w:hint="eastAsia" w:ascii="方正仿宋_GB2312" w:hAnsi="方正仿宋_GB2312" w:eastAsia="方正仿宋_GB2312" w:cs="方正仿宋_GB2312"/>
          <w:color w:val="000000"/>
          <w:kern w:val="0"/>
          <w:sz w:val="24"/>
          <w:szCs w:val="24"/>
          <w:highlight w:val="none"/>
        </w:rPr>
        <w:t>同当事人约定的施工组织设计应包括的其他内容：</w:t>
      </w:r>
      <w:r>
        <w:rPr>
          <w:rFonts w:hint="eastAsia" w:ascii="方正仿宋_GB2312" w:hAnsi="方正仿宋_GB2312" w:eastAsia="方正仿宋_GB2312" w:cs="方正仿宋_GB2312"/>
          <w:sz w:val="24"/>
          <w:szCs w:val="24"/>
          <w:highlight w:val="none"/>
          <w:u w:val="single"/>
        </w:rPr>
        <w:t xml:space="preserve">   </w:t>
      </w:r>
    </w:p>
    <w:p w14:paraId="40D398BA">
      <w:pPr>
        <w:autoSpaceDE w:val="0"/>
        <w:autoSpaceDN w:val="0"/>
        <w:adjustRightInd w:val="0"/>
        <w:spacing w:line="360" w:lineRule="auto"/>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w:t>
      </w:r>
    </w:p>
    <w:p w14:paraId="25ACC61E">
      <w:pPr>
        <w:autoSpaceDE w:val="0"/>
        <w:autoSpaceDN w:val="0"/>
        <w:adjustRightInd w:val="0"/>
        <w:spacing w:line="360" w:lineRule="auto"/>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sz w:val="24"/>
          <w:szCs w:val="24"/>
          <w:highlight w:val="none"/>
        </w:rPr>
        <w:t>7.1.2</w:t>
      </w:r>
      <w:r>
        <w:rPr>
          <w:rFonts w:hint="eastAsia" w:ascii="方正仿宋_GB2312" w:hAnsi="方正仿宋_GB2312" w:eastAsia="方正仿宋_GB2312" w:cs="方正仿宋_GB2312"/>
          <w:color w:val="000000"/>
          <w:sz w:val="24"/>
          <w:szCs w:val="24"/>
          <w:highlight w:val="none"/>
        </w:rPr>
        <w:t xml:space="preserve"> </w:t>
      </w:r>
      <w:r>
        <w:rPr>
          <w:rFonts w:hint="eastAsia" w:ascii="方正仿宋_GB2312" w:hAnsi="方正仿宋_GB2312" w:eastAsia="方正仿宋_GB2312" w:cs="方正仿宋_GB2312"/>
          <w:color w:val="000000"/>
          <w:kern w:val="0"/>
          <w:sz w:val="24"/>
          <w:szCs w:val="24"/>
          <w:highlight w:val="none"/>
        </w:rPr>
        <w:t>施工组织设计的提交和修改</w:t>
      </w:r>
    </w:p>
    <w:p w14:paraId="7C6F4ECA">
      <w:pPr>
        <w:autoSpaceDE w:val="0"/>
        <w:autoSpaceDN w:val="0"/>
        <w:adjustRightInd w:val="0"/>
        <w:spacing w:line="360" w:lineRule="auto"/>
        <w:ind w:firstLine="480" w:firstLineChars="200"/>
        <w:jc w:val="left"/>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color w:val="000000"/>
          <w:kern w:val="0"/>
          <w:sz w:val="24"/>
          <w:szCs w:val="24"/>
          <w:highlight w:val="none"/>
        </w:rPr>
        <w:t>承包人提交详细施工组织设计的期限的约定：</w:t>
      </w:r>
      <w:r>
        <w:rPr>
          <w:rFonts w:hint="eastAsia" w:ascii="方正仿宋_GB2312" w:hAnsi="方正仿宋_GB2312" w:eastAsia="方正仿宋_GB2312" w:cs="方正仿宋_GB2312"/>
          <w:sz w:val="24"/>
          <w:szCs w:val="24"/>
          <w:highlight w:val="none"/>
          <w:u w:val="single"/>
        </w:rPr>
        <w:t xml:space="preserve">              </w:t>
      </w:r>
    </w:p>
    <w:p w14:paraId="3D69C71C">
      <w:pPr>
        <w:autoSpaceDE w:val="0"/>
        <w:autoSpaceDN w:val="0"/>
        <w:adjustRightInd w:val="0"/>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w:t>
      </w:r>
    </w:p>
    <w:p w14:paraId="6B4B3153">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发包人和监理人在收到详细的施工组织设计后确认或提出修改意见的期限：</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w:t>
      </w:r>
    </w:p>
    <w:p w14:paraId="19B2AFA1">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700" w:name="_Toc14253"/>
      <w:bookmarkStart w:id="701" w:name="_Toc10968"/>
      <w:r>
        <w:rPr>
          <w:rFonts w:hint="eastAsia" w:ascii="方正仿宋_GB2312" w:hAnsi="方正仿宋_GB2312" w:eastAsia="方正仿宋_GB2312" w:cs="方正仿宋_GB2312"/>
          <w:color w:val="000000"/>
          <w:sz w:val="24"/>
          <w:szCs w:val="24"/>
          <w:highlight w:val="none"/>
        </w:rPr>
        <w:t>7</w:t>
      </w:r>
      <w:bookmarkStart w:id="702" w:name="_Toc303539123"/>
      <w:bookmarkStart w:id="703" w:name="_Toc312677479"/>
      <w:bookmarkStart w:id="704" w:name="_Toc297216173"/>
      <w:bookmarkStart w:id="705" w:name="_Toc304295541"/>
      <w:bookmarkStart w:id="706" w:name="_Toc300934966"/>
      <w:bookmarkStart w:id="707" w:name="_Toc312678005"/>
      <w:bookmarkStart w:id="708" w:name="_Toc297123514"/>
      <w:r>
        <w:rPr>
          <w:rFonts w:hint="eastAsia" w:ascii="方正仿宋_GB2312" w:hAnsi="方正仿宋_GB2312" w:eastAsia="方正仿宋_GB2312" w:cs="方正仿宋_GB2312"/>
          <w:color w:val="000000"/>
          <w:sz w:val="24"/>
          <w:szCs w:val="24"/>
          <w:highlight w:val="none"/>
        </w:rPr>
        <w:t>.2 施工进度计划</w:t>
      </w:r>
      <w:bookmarkEnd w:id="700"/>
      <w:bookmarkEnd w:id="701"/>
    </w:p>
    <w:p w14:paraId="0E8420A1">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7.2.2 施工进度计划的修订</w:t>
      </w:r>
    </w:p>
    <w:p w14:paraId="59DE54BF">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发包人和监理人在收到修订的施工进度计划后确认或提出修改意见的期限：</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w:t>
      </w:r>
    </w:p>
    <w:p w14:paraId="77505BCA">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709" w:name="_Toc16781"/>
      <w:bookmarkStart w:id="710" w:name="_Toc3700"/>
      <w:r>
        <w:rPr>
          <w:rFonts w:hint="eastAsia" w:ascii="方正仿宋_GB2312" w:hAnsi="方正仿宋_GB2312" w:eastAsia="方正仿宋_GB2312" w:cs="方正仿宋_GB2312"/>
          <w:color w:val="000000"/>
          <w:sz w:val="24"/>
          <w:szCs w:val="24"/>
          <w:highlight w:val="none"/>
        </w:rPr>
        <w:t>7.3 开工</w:t>
      </w:r>
      <w:bookmarkEnd w:id="709"/>
      <w:bookmarkEnd w:id="710"/>
    </w:p>
    <w:p w14:paraId="54B3E9DE">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7.3.1 开工准备</w:t>
      </w:r>
    </w:p>
    <w:p w14:paraId="3DA855EB">
      <w:pPr>
        <w:spacing w:line="360" w:lineRule="auto"/>
        <w:ind w:firstLine="645"/>
        <w:jc w:val="left"/>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color w:val="000000"/>
          <w:sz w:val="24"/>
          <w:szCs w:val="24"/>
          <w:highlight w:val="none"/>
        </w:rPr>
        <w:t>关于承包人提交</w:t>
      </w:r>
      <w:r>
        <w:rPr>
          <w:rFonts w:hint="eastAsia" w:ascii="方正仿宋_GB2312" w:hAnsi="方正仿宋_GB2312" w:eastAsia="方正仿宋_GB2312" w:cs="方正仿宋_GB2312"/>
          <w:color w:val="000000"/>
          <w:kern w:val="0"/>
          <w:sz w:val="24"/>
          <w:szCs w:val="24"/>
          <w:highlight w:val="none"/>
        </w:rPr>
        <w:t>工程开工报审表的期限：</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w:t>
      </w:r>
    </w:p>
    <w:p w14:paraId="1E9A13DF">
      <w:pPr>
        <w:spacing w:line="360" w:lineRule="auto"/>
        <w:ind w:firstLine="645"/>
        <w:jc w:val="left"/>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color w:val="000000"/>
          <w:sz w:val="24"/>
          <w:szCs w:val="24"/>
          <w:highlight w:val="none"/>
        </w:rPr>
        <w:t>关于发包人应完成的其他开工准备工作及期限：</w:t>
      </w:r>
      <w:r>
        <w:rPr>
          <w:rFonts w:hint="eastAsia" w:ascii="方正仿宋_GB2312" w:hAnsi="方正仿宋_GB2312" w:eastAsia="方正仿宋_GB2312" w:cs="方正仿宋_GB2312"/>
          <w:sz w:val="24"/>
          <w:szCs w:val="24"/>
          <w:highlight w:val="none"/>
          <w:u w:val="single"/>
        </w:rPr>
        <w:t xml:space="preserve">             </w:t>
      </w:r>
    </w:p>
    <w:p w14:paraId="16AE3697">
      <w:pPr>
        <w:spacing w:line="360" w:lineRule="auto"/>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w:t>
      </w:r>
    </w:p>
    <w:p w14:paraId="1D688378">
      <w:pPr>
        <w:spacing w:line="360" w:lineRule="auto"/>
        <w:ind w:firstLine="480" w:firstLineChars="200"/>
        <w:jc w:val="left"/>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color w:val="000000"/>
          <w:sz w:val="24"/>
          <w:szCs w:val="24"/>
          <w:highlight w:val="none"/>
        </w:rPr>
        <w:t>关于承包人应完成的其他开工准备工作及期限：</w:t>
      </w:r>
      <w:r>
        <w:rPr>
          <w:rFonts w:hint="eastAsia" w:ascii="方正仿宋_GB2312" w:hAnsi="方正仿宋_GB2312" w:eastAsia="方正仿宋_GB2312" w:cs="方正仿宋_GB2312"/>
          <w:sz w:val="24"/>
          <w:szCs w:val="24"/>
          <w:highlight w:val="none"/>
          <w:u w:val="single"/>
        </w:rPr>
        <w:t xml:space="preserve">            </w:t>
      </w:r>
    </w:p>
    <w:p w14:paraId="104E73B0">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w:t>
      </w:r>
    </w:p>
    <w:p w14:paraId="1B5C3385">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7.3.2开工通知</w:t>
      </w:r>
    </w:p>
    <w:p w14:paraId="1043EDA0">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因发包人原因造成监理人未能在计划开工日期之日起</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天内发出开工通知的，承包人有权提出价格调整要求，或者解除合同。</w:t>
      </w:r>
    </w:p>
    <w:bookmarkEnd w:id="702"/>
    <w:bookmarkEnd w:id="703"/>
    <w:bookmarkEnd w:id="704"/>
    <w:bookmarkEnd w:id="705"/>
    <w:bookmarkEnd w:id="706"/>
    <w:bookmarkEnd w:id="707"/>
    <w:bookmarkEnd w:id="708"/>
    <w:p w14:paraId="10F77BB9">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711" w:name="_Toc17241"/>
      <w:bookmarkStart w:id="712" w:name="_Toc22738"/>
      <w:r>
        <w:rPr>
          <w:rFonts w:hint="eastAsia" w:ascii="方正仿宋_GB2312" w:hAnsi="方正仿宋_GB2312" w:eastAsia="方正仿宋_GB2312" w:cs="方正仿宋_GB2312"/>
          <w:color w:val="000000"/>
          <w:sz w:val="24"/>
          <w:szCs w:val="24"/>
          <w:highlight w:val="none"/>
        </w:rPr>
        <w:t>7.4 测量放线</w:t>
      </w:r>
      <w:bookmarkEnd w:id="711"/>
      <w:bookmarkEnd w:id="712"/>
    </w:p>
    <w:p w14:paraId="451E9F2D">
      <w:pPr>
        <w:spacing w:line="360" w:lineRule="auto"/>
        <w:ind w:firstLine="480" w:firstLineChars="200"/>
        <w:jc w:val="left"/>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7.4.1发包人通过监理人向承包人提供测量基准点、基准线和水准点及其书面资料的期限：</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w:t>
      </w:r>
    </w:p>
    <w:p w14:paraId="0757181E">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713" w:name="_Toc32044"/>
      <w:bookmarkStart w:id="714" w:name="_Toc15814"/>
      <w:r>
        <w:rPr>
          <w:rFonts w:hint="eastAsia" w:ascii="方正仿宋_GB2312" w:hAnsi="方正仿宋_GB2312" w:eastAsia="方正仿宋_GB2312" w:cs="方正仿宋_GB2312"/>
          <w:color w:val="000000"/>
          <w:sz w:val="24"/>
          <w:szCs w:val="24"/>
          <w:highlight w:val="none"/>
        </w:rPr>
        <w:t>7</w:t>
      </w:r>
      <w:bookmarkStart w:id="715" w:name="_Toc300934968"/>
      <w:bookmarkStart w:id="716" w:name="_Toc304295546"/>
      <w:bookmarkStart w:id="717" w:name="_Toc303539125"/>
      <w:bookmarkStart w:id="718" w:name="_Toc312677484"/>
      <w:bookmarkStart w:id="719" w:name="_Toc312678010"/>
      <w:bookmarkStart w:id="720" w:name="_Toc297216175"/>
      <w:bookmarkStart w:id="721" w:name="_Toc297123516"/>
      <w:r>
        <w:rPr>
          <w:rFonts w:hint="eastAsia" w:ascii="方正仿宋_GB2312" w:hAnsi="方正仿宋_GB2312" w:eastAsia="方正仿宋_GB2312" w:cs="方正仿宋_GB2312"/>
          <w:color w:val="000000"/>
          <w:sz w:val="24"/>
          <w:szCs w:val="24"/>
          <w:highlight w:val="none"/>
        </w:rPr>
        <w:t>.5 工期延误</w:t>
      </w:r>
      <w:bookmarkEnd w:id="713"/>
      <w:bookmarkEnd w:id="714"/>
    </w:p>
    <w:bookmarkEnd w:id="715"/>
    <w:bookmarkEnd w:id="716"/>
    <w:bookmarkEnd w:id="717"/>
    <w:bookmarkEnd w:id="718"/>
    <w:bookmarkEnd w:id="719"/>
    <w:bookmarkEnd w:id="720"/>
    <w:bookmarkEnd w:id="721"/>
    <w:p w14:paraId="2BCD5C03">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7.5.1 因发包人原因导致工期延误</w:t>
      </w:r>
    </w:p>
    <w:p w14:paraId="15E0BEB7">
      <w:pPr>
        <w:spacing w:line="360" w:lineRule="auto"/>
        <w:ind w:firstLine="480" w:firstLineChars="200"/>
        <w:jc w:val="left"/>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（7）因发包人原因导致工期延误的其他情形：</w:t>
      </w:r>
      <w:r>
        <w:rPr>
          <w:rFonts w:hint="eastAsia" w:ascii="方正仿宋_GB2312" w:hAnsi="方正仿宋_GB2312" w:eastAsia="方正仿宋_GB2312" w:cs="方正仿宋_GB2312"/>
          <w:sz w:val="24"/>
          <w:szCs w:val="24"/>
          <w:highlight w:val="none"/>
          <w:u w:val="single"/>
        </w:rPr>
        <w:t xml:space="preserve">              </w:t>
      </w:r>
    </w:p>
    <w:p w14:paraId="77173CD6">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w:t>
      </w:r>
    </w:p>
    <w:p w14:paraId="577FFB5C">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w:t>
      </w:r>
      <w:bookmarkStart w:id="722" w:name="_Toc318581169"/>
      <w:bookmarkStart w:id="723" w:name="_Toc312677486"/>
      <w:bookmarkStart w:id="724" w:name="_Toc312678012"/>
      <w:bookmarkStart w:id="725" w:name="_Toc304295548"/>
      <w:bookmarkStart w:id="726" w:name="_Toc297216177"/>
      <w:bookmarkStart w:id="727" w:name="_Toc300934970"/>
      <w:bookmarkStart w:id="728" w:name="_Toc303539127"/>
      <w:bookmarkStart w:id="729" w:name="_Toc297123518"/>
      <w:r>
        <w:rPr>
          <w:rFonts w:hint="eastAsia" w:ascii="方正仿宋_GB2312" w:hAnsi="方正仿宋_GB2312" w:eastAsia="方正仿宋_GB2312" w:cs="方正仿宋_GB2312"/>
          <w:sz w:val="24"/>
          <w:szCs w:val="24"/>
          <w:highlight w:val="none"/>
        </w:rPr>
        <w:t>.5.2 因承包人原因导致工期延误</w:t>
      </w:r>
    </w:p>
    <w:bookmarkEnd w:id="722"/>
    <w:bookmarkEnd w:id="723"/>
    <w:bookmarkEnd w:id="724"/>
    <w:p w14:paraId="4DF8E528">
      <w:pPr>
        <w:spacing w:line="360" w:lineRule="auto"/>
        <w:ind w:firstLine="480" w:firstLineChars="200"/>
        <w:jc w:val="left"/>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因</w:t>
      </w:r>
      <w:bookmarkStart w:id="730" w:name="_Toc312678013"/>
      <w:bookmarkStart w:id="731" w:name="_Toc312677487"/>
      <w:bookmarkStart w:id="732" w:name="_Toc318581170"/>
      <w:r>
        <w:rPr>
          <w:rFonts w:hint="eastAsia" w:ascii="方正仿宋_GB2312" w:hAnsi="方正仿宋_GB2312" w:eastAsia="方正仿宋_GB2312" w:cs="方正仿宋_GB2312"/>
          <w:sz w:val="24"/>
          <w:szCs w:val="24"/>
          <w:highlight w:val="none"/>
        </w:rPr>
        <w:t>承包人原因造成工期延误，逾期竣工违约金的计算方法为：</w:t>
      </w:r>
    </w:p>
    <w:p w14:paraId="1FA4AA09">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w:t>
      </w:r>
      <w:bookmarkEnd w:id="725"/>
      <w:bookmarkEnd w:id="726"/>
      <w:bookmarkEnd w:id="727"/>
      <w:bookmarkEnd w:id="728"/>
      <w:bookmarkEnd w:id="729"/>
      <w:bookmarkEnd w:id="730"/>
      <w:bookmarkEnd w:id="731"/>
    </w:p>
    <w:bookmarkEnd w:id="732"/>
    <w:p w14:paraId="66067B05">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因承包人原因造成工期延误，逾</w:t>
      </w:r>
      <w:bookmarkStart w:id="733" w:name="_Toc312678014"/>
      <w:bookmarkStart w:id="734" w:name="_Toc318581171"/>
      <w:r>
        <w:rPr>
          <w:rFonts w:hint="eastAsia" w:ascii="方正仿宋_GB2312" w:hAnsi="方正仿宋_GB2312" w:eastAsia="方正仿宋_GB2312" w:cs="方正仿宋_GB2312"/>
          <w:sz w:val="24"/>
          <w:szCs w:val="24"/>
          <w:highlight w:val="none"/>
        </w:rPr>
        <w:t>期竣工违约金的上限：</w:t>
      </w:r>
      <w:r>
        <w:rPr>
          <w:rFonts w:hint="eastAsia" w:ascii="方正仿宋_GB2312" w:hAnsi="方正仿宋_GB2312" w:eastAsia="方正仿宋_GB2312" w:cs="方正仿宋_GB2312"/>
          <w:sz w:val="24"/>
          <w:szCs w:val="24"/>
          <w:highlight w:val="none"/>
          <w:u w:val="single"/>
        </w:rPr>
        <w:t xml:space="preserve">       </w:t>
      </w:r>
    </w:p>
    <w:p w14:paraId="48959441">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w:t>
      </w:r>
    </w:p>
    <w:bookmarkEnd w:id="733"/>
    <w:bookmarkEnd w:id="734"/>
    <w:p w14:paraId="10986078">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735" w:name="_Toc7967"/>
      <w:bookmarkStart w:id="736" w:name="_Toc29259"/>
      <w:r>
        <w:rPr>
          <w:rFonts w:hint="eastAsia" w:ascii="方正仿宋_GB2312" w:hAnsi="方正仿宋_GB2312" w:eastAsia="方正仿宋_GB2312" w:cs="方正仿宋_GB2312"/>
          <w:color w:val="000000"/>
          <w:sz w:val="24"/>
          <w:szCs w:val="24"/>
          <w:highlight w:val="none"/>
        </w:rPr>
        <w:t>7</w:t>
      </w:r>
      <w:bookmarkStart w:id="737" w:name="_Toc300934971"/>
      <w:bookmarkStart w:id="738" w:name="_Toc304295549"/>
      <w:bookmarkStart w:id="739" w:name="_Toc297216178"/>
      <w:bookmarkStart w:id="740" w:name="_Toc297123519"/>
      <w:bookmarkStart w:id="741" w:name="_Toc312678015"/>
      <w:bookmarkStart w:id="742" w:name="_Toc303539128"/>
      <w:r>
        <w:rPr>
          <w:rFonts w:hint="eastAsia" w:ascii="方正仿宋_GB2312" w:hAnsi="方正仿宋_GB2312" w:eastAsia="方正仿宋_GB2312" w:cs="方正仿宋_GB2312"/>
          <w:color w:val="000000"/>
          <w:sz w:val="24"/>
          <w:szCs w:val="24"/>
          <w:highlight w:val="none"/>
        </w:rPr>
        <w:t>.6 不</w:t>
      </w:r>
      <w:bookmarkEnd w:id="737"/>
      <w:bookmarkEnd w:id="738"/>
      <w:bookmarkEnd w:id="739"/>
      <w:bookmarkEnd w:id="740"/>
      <w:bookmarkEnd w:id="741"/>
      <w:bookmarkEnd w:id="742"/>
      <w:r>
        <w:rPr>
          <w:rFonts w:hint="eastAsia" w:ascii="方正仿宋_GB2312" w:hAnsi="方正仿宋_GB2312" w:eastAsia="方正仿宋_GB2312" w:cs="方正仿宋_GB2312"/>
          <w:color w:val="000000"/>
          <w:sz w:val="24"/>
          <w:szCs w:val="24"/>
          <w:highlight w:val="none"/>
        </w:rPr>
        <w:t>利物质条件</w:t>
      </w:r>
      <w:bookmarkEnd w:id="735"/>
      <w:bookmarkEnd w:id="736"/>
    </w:p>
    <w:p w14:paraId="1C084420">
      <w:pPr>
        <w:spacing w:line="360" w:lineRule="auto"/>
        <w:ind w:firstLine="480" w:firstLineChars="200"/>
        <w:jc w:val="left"/>
        <w:rPr>
          <w:rFonts w:hint="eastAsia" w:ascii="方正仿宋_GB2312" w:hAnsi="方正仿宋_GB2312" w:eastAsia="方正仿宋_GB2312" w:cs="方正仿宋_GB2312"/>
          <w:sz w:val="24"/>
          <w:szCs w:val="24"/>
          <w:highlight w:val="none"/>
          <w:u w:val="single"/>
        </w:rPr>
      </w:pPr>
      <w:bookmarkStart w:id="743" w:name="_Toc300934972"/>
      <w:bookmarkStart w:id="744" w:name="_Toc303539129"/>
      <w:bookmarkStart w:id="745" w:name="_Toc318581172"/>
      <w:bookmarkStart w:id="746" w:name="_Toc304295550"/>
      <w:bookmarkStart w:id="747" w:name="_Toc297216179"/>
      <w:bookmarkStart w:id="748" w:name="_Toc312678016"/>
      <w:bookmarkStart w:id="749" w:name="_Toc297123520"/>
      <w:r>
        <w:rPr>
          <w:rFonts w:hint="eastAsia" w:ascii="方正仿宋_GB2312" w:hAnsi="方正仿宋_GB2312" w:eastAsia="方正仿宋_GB2312" w:cs="方正仿宋_GB2312"/>
          <w:sz w:val="24"/>
          <w:szCs w:val="24"/>
          <w:highlight w:val="none"/>
        </w:rPr>
        <w:t>不利物质条件的其他情形和有关约定：</w:t>
      </w:r>
      <w:r>
        <w:rPr>
          <w:rFonts w:hint="eastAsia" w:ascii="方正仿宋_GB2312" w:hAnsi="方正仿宋_GB2312" w:eastAsia="方正仿宋_GB2312" w:cs="方正仿宋_GB2312"/>
          <w:sz w:val="24"/>
          <w:szCs w:val="24"/>
          <w:highlight w:val="none"/>
          <w:u w:val="single"/>
        </w:rPr>
        <w:t xml:space="preserve">                    </w:t>
      </w:r>
    </w:p>
    <w:p w14:paraId="7A86B089">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w:t>
      </w:r>
    </w:p>
    <w:bookmarkEnd w:id="743"/>
    <w:bookmarkEnd w:id="744"/>
    <w:bookmarkEnd w:id="745"/>
    <w:bookmarkEnd w:id="746"/>
    <w:bookmarkEnd w:id="747"/>
    <w:bookmarkEnd w:id="748"/>
    <w:bookmarkEnd w:id="749"/>
    <w:p w14:paraId="653F1E6B">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750" w:name="_Toc52"/>
      <w:bookmarkStart w:id="751" w:name="_Toc16268"/>
      <w:r>
        <w:rPr>
          <w:rFonts w:hint="eastAsia" w:ascii="方正仿宋_GB2312" w:hAnsi="方正仿宋_GB2312" w:eastAsia="方正仿宋_GB2312" w:cs="方正仿宋_GB2312"/>
          <w:color w:val="000000"/>
          <w:sz w:val="24"/>
          <w:szCs w:val="24"/>
          <w:highlight w:val="none"/>
        </w:rPr>
        <w:t>7</w:t>
      </w:r>
      <w:bookmarkStart w:id="752" w:name="_Toc300934973"/>
      <w:bookmarkStart w:id="753" w:name="_Toc297123521"/>
      <w:bookmarkStart w:id="754" w:name="_Toc312678017"/>
      <w:bookmarkStart w:id="755" w:name="_Toc303539130"/>
      <w:bookmarkStart w:id="756" w:name="_Toc297216180"/>
      <w:bookmarkStart w:id="757" w:name="_Toc304295551"/>
      <w:r>
        <w:rPr>
          <w:rFonts w:hint="eastAsia" w:ascii="方正仿宋_GB2312" w:hAnsi="方正仿宋_GB2312" w:eastAsia="方正仿宋_GB2312" w:cs="方正仿宋_GB2312"/>
          <w:color w:val="000000"/>
          <w:sz w:val="24"/>
          <w:szCs w:val="24"/>
          <w:highlight w:val="none"/>
        </w:rPr>
        <w:t>.7异常恶劣的气候条件</w:t>
      </w:r>
      <w:bookmarkEnd w:id="750"/>
      <w:bookmarkEnd w:id="751"/>
    </w:p>
    <w:bookmarkEnd w:id="752"/>
    <w:bookmarkEnd w:id="753"/>
    <w:bookmarkEnd w:id="754"/>
    <w:bookmarkEnd w:id="755"/>
    <w:bookmarkEnd w:id="756"/>
    <w:bookmarkEnd w:id="757"/>
    <w:p w14:paraId="2A67755B">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发包人和承包人同意以下情形视为异常恶劣的气候条件：</w:t>
      </w:r>
    </w:p>
    <w:p w14:paraId="45A24410">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w:t>
      </w:r>
    </w:p>
    <w:p w14:paraId="1812F7E2">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w:t>
      </w:r>
    </w:p>
    <w:p w14:paraId="32ECD753">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w:t>
      </w:r>
    </w:p>
    <w:p w14:paraId="3D9C7184">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758" w:name="_Toc10396"/>
      <w:bookmarkStart w:id="759" w:name="_Toc6285"/>
      <w:r>
        <w:rPr>
          <w:rFonts w:hint="eastAsia" w:ascii="方正仿宋_GB2312" w:hAnsi="方正仿宋_GB2312" w:eastAsia="方正仿宋_GB2312" w:cs="方正仿宋_GB2312"/>
          <w:color w:val="000000"/>
          <w:sz w:val="24"/>
          <w:szCs w:val="24"/>
          <w:highlight w:val="none"/>
        </w:rPr>
        <w:t>7.9 提前竣工的奖励</w:t>
      </w:r>
      <w:bookmarkEnd w:id="758"/>
      <w:bookmarkEnd w:id="759"/>
    </w:p>
    <w:p w14:paraId="17390282">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7.9.2提前竣工的奖励：</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w:t>
      </w:r>
    </w:p>
    <w:p w14:paraId="5DA5C86F">
      <w:pPr>
        <w:pStyle w:val="4"/>
        <w:spacing w:before="120" w:after="120" w:line="360" w:lineRule="auto"/>
        <w:outlineLvl w:val="2"/>
        <w:rPr>
          <w:rFonts w:hint="eastAsia" w:ascii="方正仿宋_GB2312" w:hAnsi="方正仿宋_GB2312" w:eastAsia="方正仿宋_GB2312" w:cs="方正仿宋_GB2312"/>
          <w:b w:val="0"/>
          <w:color w:val="000000"/>
          <w:sz w:val="24"/>
          <w:szCs w:val="24"/>
          <w:highlight w:val="none"/>
        </w:rPr>
      </w:pPr>
      <w:bookmarkStart w:id="760" w:name="_Toc351203640"/>
      <w:bookmarkStart w:id="761" w:name="_Toc11035"/>
      <w:bookmarkStart w:id="762" w:name="_Toc27238"/>
      <w:bookmarkStart w:id="763" w:name="_Toc1966"/>
      <w:r>
        <w:rPr>
          <w:rFonts w:hint="eastAsia" w:ascii="方正仿宋_GB2312" w:hAnsi="方正仿宋_GB2312" w:eastAsia="方正仿宋_GB2312" w:cs="方正仿宋_GB2312"/>
          <w:b w:val="0"/>
          <w:color w:val="000000"/>
          <w:sz w:val="24"/>
          <w:szCs w:val="24"/>
          <w:highlight w:val="none"/>
        </w:rPr>
        <w:t>8. 材料与设备</w:t>
      </w:r>
      <w:bookmarkEnd w:id="760"/>
      <w:bookmarkEnd w:id="761"/>
      <w:bookmarkEnd w:id="762"/>
      <w:bookmarkEnd w:id="763"/>
    </w:p>
    <w:bookmarkEnd w:id="667"/>
    <w:bookmarkEnd w:id="668"/>
    <w:bookmarkEnd w:id="669"/>
    <w:bookmarkEnd w:id="670"/>
    <w:bookmarkEnd w:id="671"/>
    <w:bookmarkEnd w:id="672"/>
    <w:bookmarkEnd w:id="673"/>
    <w:bookmarkEnd w:id="674"/>
    <w:bookmarkEnd w:id="675"/>
    <w:bookmarkEnd w:id="676"/>
    <w:p w14:paraId="4A4F22F7">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764" w:name="_Toc21608"/>
      <w:bookmarkStart w:id="765" w:name="_Toc22161"/>
      <w:r>
        <w:rPr>
          <w:rFonts w:hint="eastAsia" w:ascii="方正仿宋_GB2312" w:hAnsi="方正仿宋_GB2312" w:eastAsia="方正仿宋_GB2312" w:cs="方正仿宋_GB2312"/>
          <w:color w:val="000000"/>
          <w:sz w:val="24"/>
          <w:szCs w:val="24"/>
          <w:highlight w:val="none"/>
        </w:rPr>
        <w:t>8</w:t>
      </w:r>
      <w:bookmarkStart w:id="766" w:name="_Toc297216186"/>
      <w:bookmarkStart w:id="767" w:name="_Toc296891207"/>
      <w:bookmarkStart w:id="768" w:name="_Toc292559372"/>
      <w:bookmarkStart w:id="769" w:name="_Toc297120467"/>
      <w:bookmarkStart w:id="770" w:name="_Toc297048353"/>
      <w:bookmarkStart w:id="771" w:name="_Toc296347166"/>
      <w:bookmarkStart w:id="772" w:name="_Toc300934979"/>
      <w:bookmarkStart w:id="773" w:name="_Toc304295556"/>
      <w:bookmarkStart w:id="774" w:name="_Toc297123527"/>
      <w:bookmarkStart w:id="775" w:name="_Toc296890995"/>
      <w:bookmarkStart w:id="776" w:name="_Toc312677493"/>
      <w:bookmarkStart w:id="777" w:name="_Toc303539136"/>
      <w:bookmarkStart w:id="778" w:name="_Toc296503167"/>
      <w:bookmarkStart w:id="779" w:name="_Toc296346668"/>
      <w:bookmarkStart w:id="780" w:name="_Toc280868654"/>
      <w:bookmarkStart w:id="781" w:name="_Toc312678019"/>
      <w:bookmarkStart w:id="782" w:name="_Toc296944506"/>
      <w:bookmarkStart w:id="783" w:name="_Toc292559877"/>
      <w:bookmarkStart w:id="784" w:name="_Toc280868656"/>
      <w:bookmarkStart w:id="785" w:name="_Toc267251424"/>
      <w:bookmarkStart w:id="786" w:name="_Toc280868655"/>
      <w:r>
        <w:rPr>
          <w:rFonts w:hint="eastAsia" w:ascii="方正仿宋_GB2312" w:hAnsi="方正仿宋_GB2312" w:eastAsia="方正仿宋_GB2312" w:cs="方正仿宋_GB2312"/>
          <w:color w:val="000000"/>
          <w:sz w:val="24"/>
          <w:szCs w:val="24"/>
          <w:highlight w:val="none"/>
        </w:rPr>
        <w:t>.4材料与工程设备的保管与使用</w:t>
      </w:r>
      <w:bookmarkEnd w:id="764"/>
      <w:bookmarkEnd w:id="765"/>
    </w:p>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14:paraId="12B86F26">
      <w:pPr>
        <w:spacing w:line="360" w:lineRule="auto"/>
        <w:ind w:firstLine="480" w:firstLineChars="200"/>
        <w:jc w:val="left"/>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8</w:t>
      </w:r>
      <w:bookmarkStart w:id="787" w:name="_Toc292559878"/>
      <w:bookmarkStart w:id="788" w:name="_Toc292559373"/>
      <w:bookmarkStart w:id="789" w:name="_Toc304295557"/>
      <w:bookmarkStart w:id="790" w:name="_Toc296890996"/>
      <w:bookmarkStart w:id="791" w:name="_Toc296891208"/>
      <w:bookmarkStart w:id="792" w:name="_Toc296944507"/>
      <w:bookmarkStart w:id="793" w:name="_Toc297048354"/>
      <w:bookmarkStart w:id="794" w:name="_Toc296346669"/>
      <w:bookmarkStart w:id="795" w:name="_Toc297120468"/>
      <w:bookmarkStart w:id="796" w:name="_Toc296503168"/>
      <w:bookmarkStart w:id="797" w:name="_Toc312678020"/>
      <w:bookmarkStart w:id="798" w:name="_Toc318581173"/>
      <w:bookmarkStart w:id="799" w:name="_Toc312677494"/>
      <w:bookmarkStart w:id="800" w:name="_Toc303539137"/>
      <w:bookmarkStart w:id="801" w:name="_Toc300934980"/>
      <w:bookmarkStart w:id="802" w:name="_Toc296347167"/>
      <w:bookmarkStart w:id="803" w:name="_Toc297123528"/>
      <w:bookmarkStart w:id="804" w:name="_Toc297216187"/>
      <w:r>
        <w:rPr>
          <w:rFonts w:hint="eastAsia" w:ascii="方正仿宋_GB2312" w:hAnsi="方正仿宋_GB2312" w:eastAsia="方正仿宋_GB2312" w:cs="方正仿宋_GB2312"/>
          <w:sz w:val="24"/>
          <w:szCs w:val="24"/>
          <w:highlight w:val="none"/>
        </w:rPr>
        <w:t>.4.1发包人供应的材料设备的保管费用的承担：</w:t>
      </w:r>
      <w:r>
        <w:rPr>
          <w:rFonts w:hint="eastAsia" w:ascii="方正仿宋_GB2312" w:hAnsi="方正仿宋_GB2312" w:eastAsia="方正仿宋_GB2312" w:cs="方正仿宋_GB2312"/>
          <w:sz w:val="24"/>
          <w:szCs w:val="24"/>
          <w:highlight w:val="none"/>
          <w:u w:val="single"/>
        </w:rPr>
        <w:t xml:space="preserve">            </w:t>
      </w:r>
    </w:p>
    <w:p w14:paraId="408BB209">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w:t>
      </w:r>
      <w:bookmarkEnd w:id="787"/>
      <w:bookmarkEnd w:id="788"/>
    </w:p>
    <w:p w14:paraId="4429EEB8">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805" w:name="_Toc13571"/>
      <w:bookmarkStart w:id="806" w:name="_Toc6746"/>
      <w:r>
        <w:rPr>
          <w:rFonts w:hint="eastAsia" w:ascii="方正仿宋_GB2312" w:hAnsi="方正仿宋_GB2312" w:eastAsia="方正仿宋_GB2312" w:cs="方正仿宋_GB2312"/>
          <w:color w:val="000000"/>
          <w:sz w:val="24"/>
          <w:szCs w:val="24"/>
          <w:highlight w:val="none"/>
        </w:rPr>
        <w:t>8.6 样品</w:t>
      </w:r>
      <w:bookmarkEnd w:id="805"/>
      <w:bookmarkEnd w:id="806"/>
    </w:p>
    <w:p w14:paraId="415BC1BB">
      <w:pPr>
        <w:autoSpaceDE w:val="0"/>
        <w:autoSpaceDN w:val="0"/>
        <w:adjustRightInd w:val="0"/>
        <w:spacing w:line="360" w:lineRule="auto"/>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8.6.1</w:t>
      </w:r>
      <w:r>
        <w:rPr>
          <w:rFonts w:hint="eastAsia" w:ascii="方正仿宋_GB2312" w:hAnsi="方正仿宋_GB2312" w:eastAsia="方正仿宋_GB2312" w:cs="方正仿宋_GB2312"/>
          <w:color w:val="000000"/>
          <w:kern w:val="0"/>
          <w:sz w:val="24"/>
          <w:szCs w:val="24"/>
          <w:highlight w:val="none"/>
        </w:rPr>
        <w:tab/>
      </w:r>
      <w:r>
        <w:rPr>
          <w:rFonts w:hint="eastAsia" w:ascii="方正仿宋_GB2312" w:hAnsi="方正仿宋_GB2312" w:eastAsia="方正仿宋_GB2312" w:cs="方正仿宋_GB2312"/>
          <w:color w:val="000000"/>
          <w:kern w:val="0"/>
          <w:sz w:val="24"/>
          <w:szCs w:val="24"/>
          <w:highlight w:val="none"/>
        </w:rPr>
        <w:t>样品的报送与封存</w:t>
      </w:r>
    </w:p>
    <w:p w14:paraId="1FB86ED7">
      <w:pPr>
        <w:autoSpaceDE w:val="0"/>
        <w:autoSpaceDN w:val="0"/>
        <w:adjustRightInd w:val="0"/>
        <w:spacing w:line="360" w:lineRule="auto"/>
        <w:ind w:firstLine="480" w:firstLineChars="200"/>
        <w:jc w:val="left"/>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color w:val="000000"/>
          <w:kern w:val="0"/>
          <w:sz w:val="24"/>
          <w:szCs w:val="24"/>
          <w:highlight w:val="none"/>
        </w:rPr>
        <w:t>需要承包人报送样品的材料或工程设备，样品的种类、名称、规格、数量要求：</w:t>
      </w:r>
      <w:r>
        <w:rPr>
          <w:rFonts w:hint="eastAsia" w:ascii="方正仿宋_GB2312" w:hAnsi="方正仿宋_GB2312" w:eastAsia="方正仿宋_GB2312" w:cs="方正仿宋_GB2312"/>
          <w:sz w:val="24"/>
          <w:szCs w:val="24"/>
          <w:highlight w:val="none"/>
          <w:u w:val="single"/>
        </w:rPr>
        <w:t xml:space="preserve">                                          </w:t>
      </w:r>
    </w:p>
    <w:p w14:paraId="3524DA35">
      <w:pPr>
        <w:autoSpaceDE w:val="0"/>
        <w:autoSpaceDN w:val="0"/>
        <w:adjustRightInd w:val="0"/>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w:t>
      </w:r>
    </w:p>
    <w:p w14:paraId="5B08AFEC">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807" w:name="_Toc6284"/>
      <w:bookmarkStart w:id="808" w:name="_Toc18020"/>
      <w:r>
        <w:rPr>
          <w:rFonts w:hint="eastAsia" w:ascii="方正仿宋_GB2312" w:hAnsi="方正仿宋_GB2312" w:eastAsia="方正仿宋_GB2312" w:cs="方正仿宋_GB2312"/>
          <w:color w:val="000000"/>
          <w:sz w:val="24"/>
          <w:szCs w:val="24"/>
          <w:highlight w:val="none"/>
        </w:rPr>
        <w:t>8.8 施工设备和临时设施</w:t>
      </w:r>
      <w:bookmarkEnd w:id="807"/>
      <w:bookmarkEnd w:id="808"/>
    </w:p>
    <w:p w14:paraId="2E65C1DD">
      <w:pPr>
        <w:autoSpaceDE w:val="0"/>
        <w:autoSpaceDN w:val="0"/>
        <w:adjustRightInd w:val="0"/>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8.8.1 承包人提供的施工设备和临时设施</w:t>
      </w:r>
    </w:p>
    <w:p w14:paraId="11B217ED">
      <w:pPr>
        <w:autoSpaceDE w:val="0"/>
        <w:autoSpaceDN w:val="0"/>
        <w:adjustRightInd w:val="0"/>
        <w:spacing w:line="360" w:lineRule="auto"/>
        <w:ind w:firstLine="480" w:firstLineChars="200"/>
        <w:jc w:val="left"/>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关于修建临时设施费用承担的约定：</w:t>
      </w:r>
      <w:r>
        <w:rPr>
          <w:rFonts w:hint="eastAsia" w:ascii="方正仿宋_GB2312" w:hAnsi="方正仿宋_GB2312" w:eastAsia="方正仿宋_GB2312" w:cs="方正仿宋_GB2312"/>
          <w:sz w:val="24"/>
          <w:szCs w:val="24"/>
          <w:highlight w:val="none"/>
          <w:u w:val="single"/>
        </w:rPr>
        <w:t xml:space="preserve">                     </w:t>
      </w:r>
    </w:p>
    <w:p w14:paraId="6B0DC462">
      <w:pPr>
        <w:autoSpaceDE w:val="0"/>
        <w:autoSpaceDN w:val="0"/>
        <w:adjustRightInd w:val="0"/>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w:t>
      </w:r>
    </w:p>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14:paraId="19CA4893">
      <w:pPr>
        <w:pStyle w:val="4"/>
        <w:spacing w:before="120" w:after="120" w:line="360" w:lineRule="auto"/>
        <w:outlineLvl w:val="2"/>
        <w:rPr>
          <w:rFonts w:hint="eastAsia" w:ascii="方正仿宋_GB2312" w:hAnsi="方正仿宋_GB2312" w:eastAsia="方正仿宋_GB2312" w:cs="方正仿宋_GB2312"/>
          <w:b w:val="0"/>
          <w:color w:val="000000"/>
          <w:sz w:val="24"/>
          <w:szCs w:val="24"/>
          <w:highlight w:val="none"/>
        </w:rPr>
      </w:pPr>
      <w:bookmarkStart w:id="809" w:name="_Toc4286"/>
      <w:bookmarkStart w:id="810" w:name="_Toc1362"/>
      <w:bookmarkStart w:id="811" w:name="_Toc351203641"/>
      <w:bookmarkStart w:id="812" w:name="_Toc15955"/>
      <w:r>
        <w:rPr>
          <w:rFonts w:hint="eastAsia" w:ascii="方正仿宋_GB2312" w:hAnsi="方正仿宋_GB2312" w:eastAsia="方正仿宋_GB2312" w:cs="方正仿宋_GB2312"/>
          <w:b w:val="0"/>
          <w:color w:val="000000"/>
          <w:sz w:val="24"/>
          <w:szCs w:val="24"/>
          <w:highlight w:val="none"/>
        </w:rPr>
        <w:t>9</w:t>
      </w:r>
      <w:bookmarkEnd w:id="784"/>
      <w:bookmarkEnd w:id="785"/>
      <w:bookmarkEnd w:id="786"/>
      <w:bookmarkStart w:id="813" w:name="_Toc297123533"/>
      <w:bookmarkStart w:id="814" w:name="_Toc312678021"/>
      <w:bookmarkStart w:id="815" w:name="_Toc300934982"/>
      <w:bookmarkStart w:id="816" w:name="_Toc297216192"/>
      <w:bookmarkStart w:id="817" w:name="_Toc304295559"/>
      <w:bookmarkStart w:id="818" w:name="_Toc312677495"/>
      <w:bookmarkStart w:id="819" w:name="_Toc303539139"/>
      <w:bookmarkStart w:id="820" w:name="_Toc297048359"/>
      <w:bookmarkStart w:id="821" w:name="_Toc296891213"/>
      <w:bookmarkStart w:id="822" w:name="_Toc267251428"/>
      <w:bookmarkStart w:id="823" w:name="_Toc296891001"/>
      <w:bookmarkStart w:id="824" w:name="_Toc267251427"/>
      <w:bookmarkStart w:id="825" w:name="_Toc296944512"/>
      <w:bookmarkStart w:id="826" w:name="_Toc296347172"/>
      <w:bookmarkStart w:id="827" w:name="_Toc296503173"/>
      <w:bookmarkStart w:id="828" w:name="_Toc296346674"/>
      <w:bookmarkStart w:id="829" w:name="_Toc292559883"/>
      <w:bookmarkStart w:id="830" w:name="_Toc292559378"/>
      <w:bookmarkStart w:id="831" w:name="_Toc297120473"/>
      <w:r>
        <w:rPr>
          <w:rFonts w:hint="eastAsia" w:ascii="方正仿宋_GB2312" w:hAnsi="方正仿宋_GB2312" w:eastAsia="方正仿宋_GB2312" w:cs="方正仿宋_GB2312"/>
          <w:b w:val="0"/>
          <w:color w:val="000000"/>
          <w:sz w:val="24"/>
          <w:szCs w:val="24"/>
          <w:highlight w:val="none"/>
        </w:rPr>
        <w:t>. 试验与检验</w:t>
      </w:r>
      <w:bookmarkEnd w:id="809"/>
      <w:bookmarkEnd w:id="810"/>
      <w:bookmarkEnd w:id="811"/>
      <w:bookmarkEnd w:id="812"/>
    </w:p>
    <w:bookmarkEnd w:id="813"/>
    <w:bookmarkEnd w:id="814"/>
    <w:bookmarkEnd w:id="815"/>
    <w:bookmarkEnd w:id="816"/>
    <w:bookmarkEnd w:id="817"/>
    <w:bookmarkEnd w:id="818"/>
    <w:bookmarkEnd w:id="819"/>
    <w:p w14:paraId="415237B8">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832" w:name="_Toc8564"/>
      <w:bookmarkStart w:id="833" w:name="_Toc16724"/>
      <w:r>
        <w:rPr>
          <w:rFonts w:hint="eastAsia" w:ascii="方正仿宋_GB2312" w:hAnsi="方正仿宋_GB2312" w:eastAsia="方正仿宋_GB2312" w:cs="方正仿宋_GB2312"/>
          <w:color w:val="000000"/>
          <w:sz w:val="24"/>
          <w:szCs w:val="24"/>
          <w:highlight w:val="none"/>
        </w:rPr>
        <w:t>9</w:t>
      </w:r>
      <w:bookmarkStart w:id="834" w:name="_Toc303539140"/>
      <w:bookmarkStart w:id="835" w:name="_Toc297123534"/>
      <w:bookmarkStart w:id="836" w:name="_Toc312678022"/>
      <w:bookmarkStart w:id="837" w:name="_Toc297216193"/>
      <w:bookmarkStart w:id="838" w:name="_Toc300934983"/>
      <w:bookmarkStart w:id="839" w:name="_Toc304295560"/>
      <w:bookmarkStart w:id="840" w:name="_Toc312677496"/>
      <w:r>
        <w:rPr>
          <w:rFonts w:hint="eastAsia" w:ascii="方正仿宋_GB2312" w:hAnsi="方正仿宋_GB2312" w:eastAsia="方正仿宋_GB2312" w:cs="方正仿宋_GB2312"/>
          <w:color w:val="000000"/>
          <w:sz w:val="24"/>
          <w:szCs w:val="24"/>
          <w:highlight w:val="none"/>
        </w:rPr>
        <w:t>.1试验设备与试验人员</w:t>
      </w:r>
      <w:bookmarkEnd w:id="832"/>
      <w:bookmarkEnd w:id="833"/>
    </w:p>
    <w:bookmarkEnd w:id="834"/>
    <w:bookmarkEnd w:id="835"/>
    <w:bookmarkEnd w:id="836"/>
    <w:bookmarkEnd w:id="837"/>
    <w:bookmarkEnd w:id="838"/>
    <w:bookmarkEnd w:id="839"/>
    <w:bookmarkEnd w:id="840"/>
    <w:p w14:paraId="4C72C36C">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9</w:t>
      </w:r>
      <w:bookmarkStart w:id="841" w:name="_Toc297216194"/>
      <w:bookmarkStart w:id="842" w:name="_Toc304295561"/>
      <w:bookmarkStart w:id="843" w:name="_Toc312677497"/>
      <w:bookmarkStart w:id="844" w:name="_Toc297123535"/>
      <w:bookmarkStart w:id="845" w:name="_Toc312678023"/>
      <w:bookmarkStart w:id="846" w:name="_Toc300934984"/>
      <w:bookmarkStart w:id="847" w:name="_Toc303539141"/>
      <w:bookmarkStart w:id="848" w:name="_Toc318581174"/>
      <w:r>
        <w:rPr>
          <w:rFonts w:hint="eastAsia" w:ascii="方正仿宋_GB2312" w:hAnsi="方正仿宋_GB2312" w:eastAsia="方正仿宋_GB2312" w:cs="方正仿宋_GB2312"/>
          <w:sz w:val="24"/>
          <w:szCs w:val="24"/>
          <w:highlight w:val="none"/>
        </w:rPr>
        <w:t>.1.2 试验设备</w:t>
      </w:r>
    </w:p>
    <w:p w14:paraId="0E55A2D9">
      <w:pPr>
        <w:spacing w:line="360" w:lineRule="auto"/>
        <w:ind w:firstLine="480" w:firstLineChars="200"/>
        <w:jc w:val="left"/>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施工现场需要配置的试验场所：</w:t>
      </w:r>
      <w:bookmarkEnd w:id="841"/>
      <w:bookmarkEnd w:id="842"/>
      <w:bookmarkEnd w:id="843"/>
      <w:bookmarkEnd w:id="844"/>
      <w:bookmarkEnd w:id="845"/>
      <w:bookmarkEnd w:id="846"/>
      <w:bookmarkEnd w:id="847"/>
      <w:bookmarkStart w:id="849" w:name="_Toc297123536"/>
      <w:bookmarkStart w:id="850" w:name="_Toc312678024"/>
      <w:bookmarkStart w:id="851" w:name="_Toc303539142"/>
      <w:bookmarkStart w:id="852" w:name="_Toc300934985"/>
      <w:bookmarkStart w:id="853" w:name="_Toc312677498"/>
      <w:bookmarkStart w:id="854" w:name="_Toc297216195"/>
      <w:bookmarkStart w:id="855" w:name="_Toc304295562"/>
      <w:r>
        <w:rPr>
          <w:rFonts w:hint="eastAsia" w:ascii="方正仿宋_GB2312" w:hAnsi="方正仿宋_GB2312" w:eastAsia="方正仿宋_GB2312" w:cs="方正仿宋_GB2312"/>
          <w:sz w:val="24"/>
          <w:szCs w:val="24"/>
          <w:highlight w:val="none"/>
          <w:u w:val="single"/>
        </w:rPr>
        <w:t xml:space="preserve">                           </w:t>
      </w:r>
    </w:p>
    <w:p w14:paraId="0A61F456">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 xml:space="preserve">。 </w:t>
      </w:r>
    </w:p>
    <w:p w14:paraId="0223AC70">
      <w:pPr>
        <w:spacing w:line="360" w:lineRule="auto"/>
        <w:ind w:firstLine="480" w:firstLineChars="200"/>
        <w:jc w:val="left"/>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施工现场需要配备的试验设备：</w:t>
      </w:r>
      <w:r>
        <w:rPr>
          <w:rFonts w:hint="eastAsia" w:ascii="方正仿宋_GB2312" w:hAnsi="方正仿宋_GB2312" w:eastAsia="方正仿宋_GB2312" w:cs="方正仿宋_GB2312"/>
          <w:sz w:val="24"/>
          <w:szCs w:val="24"/>
          <w:highlight w:val="none"/>
          <w:u w:val="single"/>
        </w:rPr>
        <w:t xml:space="preserve">                           </w:t>
      </w:r>
    </w:p>
    <w:p w14:paraId="3367FD21">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w:t>
      </w:r>
    </w:p>
    <w:p w14:paraId="6D7424EB">
      <w:pPr>
        <w:spacing w:line="360" w:lineRule="auto"/>
        <w:ind w:firstLine="480" w:firstLineChars="200"/>
        <w:jc w:val="left"/>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施工现场需要具备的其他试验条件：</w:t>
      </w:r>
      <w:r>
        <w:rPr>
          <w:rFonts w:hint="eastAsia" w:ascii="方正仿宋_GB2312" w:hAnsi="方正仿宋_GB2312" w:eastAsia="方正仿宋_GB2312" w:cs="方正仿宋_GB2312"/>
          <w:sz w:val="24"/>
          <w:szCs w:val="24"/>
          <w:highlight w:val="none"/>
          <w:u w:val="single"/>
        </w:rPr>
        <w:t xml:space="preserve">                      </w:t>
      </w:r>
    </w:p>
    <w:p w14:paraId="469B650B">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w:t>
      </w:r>
    </w:p>
    <w:p w14:paraId="6C27B435">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856" w:name="_Toc6932"/>
      <w:bookmarkStart w:id="857" w:name="_Toc7781"/>
      <w:r>
        <w:rPr>
          <w:rFonts w:hint="eastAsia" w:ascii="方正仿宋_GB2312" w:hAnsi="方正仿宋_GB2312" w:eastAsia="方正仿宋_GB2312" w:cs="方正仿宋_GB2312"/>
          <w:color w:val="000000"/>
          <w:sz w:val="24"/>
          <w:szCs w:val="24"/>
          <w:highlight w:val="none"/>
        </w:rPr>
        <w:t>9.4 现场工艺试验</w:t>
      </w:r>
      <w:bookmarkEnd w:id="856"/>
      <w:bookmarkEnd w:id="857"/>
      <w:r>
        <w:rPr>
          <w:rFonts w:hint="eastAsia" w:ascii="方正仿宋_GB2312" w:hAnsi="方正仿宋_GB2312" w:eastAsia="方正仿宋_GB2312" w:cs="方正仿宋_GB2312"/>
          <w:color w:val="000000"/>
          <w:sz w:val="24"/>
          <w:szCs w:val="24"/>
          <w:highlight w:val="none"/>
        </w:rPr>
        <w:t xml:space="preserve"> </w:t>
      </w:r>
    </w:p>
    <w:p w14:paraId="5813398A">
      <w:pPr>
        <w:spacing w:line="360" w:lineRule="auto"/>
        <w:ind w:firstLine="480" w:firstLineChars="200"/>
        <w:jc w:val="left"/>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现场工艺试验的有关约定：</w:t>
      </w:r>
      <w:r>
        <w:rPr>
          <w:rFonts w:hint="eastAsia" w:ascii="方正仿宋_GB2312" w:hAnsi="方正仿宋_GB2312" w:eastAsia="方正仿宋_GB2312" w:cs="方正仿宋_GB2312"/>
          <w:sz w:val="24"/>
          <w:szCs w:val="24"/>
          <w:highlight w:val="none"/>
          <w:u w:val="single"/>
        </w:rPr>
        <w:t xml:space="preserve">                              </w:t>
      </w:r>
    </w:p>
    <w:p w14:paraId="2BB09C7A">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w:t>
      </w:r>
    </w:p>
    <w:bookmarkEnd w:id="848"/>
    <w:bookmarkEnd w:id="849"/>
    <w:bookmarkEnd w:id="850"/>
    <w:bookmarkEnd w:id="851"/>
    <w:bookmarkEnd w:id="852"/>
    <w:bookmarkEnd w:id="853"/>
    <w:bookmarkEnd w:id="854"/>
    <w:bookmarkEnd w:id="855"/>
    <w:p w14:paraId="51EE41C3">
      <w:pPr>
        <w:pStyle w:val="4"/>
        <w:spacing w:before="120" w:after="120" w:line="360" w:lineRule="auto"/>
        <w:outlineLvl w:val="2"/>
        <w:rPr>
          <w:rFonts w:hint="eastAsia" w:ascii="方正仿宋_GB2312" w:hAnsi="方正仿宋_GB2312" w:eastAsia="方正仿宋_GB2312" w:cs="方正仿宋_GB2312"/>
          <w:b w:val="0"/>
          <w:color w:val="000000"/>
          <w:sz w:val="24"/>
          <w:szCs w:val="24"/>
          <w:highlight w:val="none"/>
        </w:rPr>
      </w:pPr>
      <w:bookmarkStart w:id="858" w:name="_Toc2443"/>
      <w:bookmarkStart w:id="859" w:name="_Toc15354"/>
      <w:bookmarkStart w:id="860" w:name="_Toc351203642"/>
      <w:bookmarkStart w:id="861" w:name="_Toc22104"/>
      <w:r>
        <w:rPr>
          <w:rFonts w:hint="eastAsia" w:ascii="方正仿宋_GB2312" w:hAnsi="方正仿宋_GB2312" w:eastAsia="方正仿宋_GB2312" w:cs="方正仿宋_GB2312"/>
          <w:b w:val="0"/>
          <w:color w:val="000000"/>
          <w:sz w:val="24"/>
          <w:szCs w:val="24"/>
          <w:highlight w:val="none"/>
        </w:rPr>
        <w:t>1</w:t>
      </w:r>
      <w:bookmarkEnd w:id="820"/>
      <w:bookmarkEnd w:id="821"/>
      <w:bookmarkEnd w:id="822"/>
      <w:bookmarkEnd w:id="823"/>
      <w:bookmarkEnd w:id="824"/>
      <w:bookmarkEnd w:id="825"/>
      <w:bookmarkEnd w:id="826"/>
      <w:bookmarkEnd w:id="827"/>
      <w:bookmarkEnd w:id="828"/>
      <w:bookmarkEnd w:id="829"/>
      <w:bookmarkEnd w:id="830"/>
      <w:bookmarkEnd w:id="831"/>
      <w:bookmarkStart w:id="862" w:name="_Toc296891021"/>
      <w:bookmarkStart w:id="863" w:name="_Toc292559398"/>
      <w:bookmarkStart w:id="864" w:name="_Toc304295566"/>
      <w:bookmarkStart w:id="865" w:name="_Toc297048379"/>
      <w:bookmarkStart w:id="866" w:name="_Toc296346694"/>
      <w:bookmarkStart w:id="867" w:name="_Toc292559903"/>
      <w:bookmarkStart w:id="868" w:name="_Toc297216199"/>
      <w:bookmarkStart w:id="869" w:name="_Toc303539146"/>
      <w:bookmarkStart w:id="870" w:name="_Toc296891233"/>
      <w:bookmarkStart w:id="871" w:name="_Toc296347192"/>
      <w:bookmarkStart w:id="872" w:name="_Toc297120493"/>
      <w:bookmarkStart w:id="873" w:name="_Toc296944532"/>
      <w:bookmarkStart w:id="874" w:name="_Toc297123540"/>
      <w:bookmarkStart w:id="875" w:name="_Toc296503193"/>
      <w:bookmarkStart w:id="876" w:name="_Toc300934989"/>
      <w:bookmarkStart w:id="877" w:name="_Toc312677499"/>
      <w:bookmarkStart w:id="878" w:name="_Toc312678025"/>
      <w:bookmarkStart w:id="879" w:name="_Toc267251441"/>
      <w:bookmarkStart w:id="880" w:name="_Toc267251435"/>
      <w:bookmarkStart w:id="881" w:name="_Toc267251439"/>
      <w:bookmarkStart w:id="882" w:name="_Toc267251433"/>
      <w:bookmarkStart w:id="883" w:name="_Toc267251440"/>
      <w:bookmarkStart w:id="884" w:name="_Toc267251437"/>
      <w:bookmarkStart w:id="885" w:name="_Toc267251442"/>
      <w:r>
        <w:rPr>
          <w:rFonts w:hint="eastAsia" w:ascii="方正仿宋_GB2312" w:hAnsi="方正仿宋_GB2312" w:eastAsia="方正仿宋_GB2312" w:cs="方正仿宋_GB2312"/>
          <w:b w:val="0"/>
          <w:color w:val="000000"/>
          <w:sz w:val="24"/>
          <w:szCs w:val="24"/>
          <w:highlight w:val="none"/>
        </w:rPr>
        <w:t>0. 变更</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bookmarkEnd w:id="877"/>
    <w:bookmarkEnd w:id="878"/>
    <w:p w14:paraId="42834781">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886" w:name="_Toc5274"/>
      <w:bookmarkStart w:id="887" w:name="_Toc2947"/>
      <w:r>
        <w:rPr>
          <w:rFonts w:hint="eastAsia" w:ascii="方正仿宋_GB2312" w:hAnsi="方正仿宋_GB2312" w:eastAsia="方正仿宋_GB2312" w:cs="方正仿宋_GB2312"/>
          <w:color w:val="000000"/>
          <w:sz w:val="24"/>
          <w:szCs w:val="24"/>
          <w:highlight w:val="none"/>
        </w:rPr>
        <w:t>1</w:t>
      </w:r>
      <w:bookmarkStart w:id="888" w:name="_Toc303539147"/>
      <w:bookmarkStart w:id="889" w:name="_Toc296346695"/>
      <w:bookmarkStart w:id="890" w:name="_Toc296503194"/>
      <w:bookmarkStart w:id="891" w:name="_Toc312677500"/>
      <w:bookmarkStart w:id="892" w:name="_Toc292559904"/>
      <w:bookmarkStart w:id="893" w:name="_Toc296891022"/>
      <w:bookmarkStart w:id="894" w:name="_Toc304295567"/>
      <w:bookmarkStart w:id="895" w:name="_Toc296347193"/>
      <w:bookmarkStart w:id="896" w:name="_Toc312678026"/>
      <w:bookmarkStart w:id="897" w:name="_Toc292559399"/>
      <w:bookmarkStart w:id="898" w:name="_Toc297048380"/>
      <w:bookmarkStart w:id="899" w:name="_Toc300934990"/>
      <w:bookmarkStart w:id="900" w:name="_Toc296891234"/>
      <w:bookmarkStart w:id="901" w:name="_Toc297123541"/>
      <w:bookmarkStart w:id="902" w:name="_Toc297120494"/>
      <w:bookmarkStart w:id="903" w:name="_Toc297216200"/>
      <w:bookmarkStart w:id="904" w:name="_Toc296944533"/>
      <w:r>
        <w:rPr>
          <w:rFonts w:hint="eastAsia" w:ascii="方正仿宋_GB2312" w:hAnsi="方正仿宋_GB2312" w:eastAsia="方正仿宋_GB2312" w:cs="方正仿宋_GB2312"/>
          <w:color w:val="000000"/>
          <w:sz w:val="24"/>
          <w:szCs w:val="24"/>
          <w:highlight w:val="none"/>
        </w:rPr>
        <w:t>0.1变更的范围</w:t>
      </w:r>
      <w:bookmarkEnd w:id="886"/>
      <w:bookmarkEnd w:id="887"/>
    </w:p>
    <w:p w14:paraId="0A6DCC78">
      <w:pPr>
        <w:spacing w:line="360" w:lineRule="auto"/>
        <w:ind w:firstLine="600"/>
        <w:jc w:val="left"/>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rPr>
        <w:t>关于变更的范围的约定：</w:t>
      </w:r>
      <w:r>
        <w:rPr>
          <w:rFonts w:hint="eastAsia" w:ascii="方正仿宋_GB2312" w:hAnsi="方正仿宋_GB2312" w:eastAsia="方正仿宋_GB2312" w:cs="方正仿宋_GB2312"/>
          <w:color w:val="000000"/>
          <w:sz w:val="24"/>
          <w:szCs w:val="24"/>
          <w:highlight w:val="none"/>
          <w:u w:val="single"/>
        </w:rPr>
        <w:t xml:space="preserve">                                </w:t>
      </w:r>
    </w:p>
    <w:p w14:paraId="2BDFBC5A">
      <w:pPr>
        <w:spacing w:line="360" w:lineRule="auto"/>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0C62F466">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905" w:name="_Toc30358"/>
      <w:bookmarkStart w:id="906" w:name="_Toc4138"/>
      <w:r>
        <w:rPr>
          <w:rFonts w:hint="eastAsia" w:ascii="方正仿宋_GB2312" w:hAnsi="方正仿宋_GB2312" w:eastAsia="方正仿宋_GB2312" w:cs="方正仿宋_GB2312"/>
          <w:color w:val="000000"/>
          <w:sz w:val="24"/>
          <w:szCs w:val="24"/>
          <w:highlight w:val="none"/>
        </w:rPr>
        <w:t>10.4 变更估价</w:t>
      </w:r>
      <w:bookmarkEnd w:id="905"/>
      <w:bookmarkEnd w:id="906"/>
    </w:p>
    <w:p w14:paraId="4E240E36">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10.4.1 变更估价原则</w:t>
      </w:r>
    </w:p>
    <w:p w14:paraId="6A5260C3">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rPr>
        <w:t xml:space="preserve">关于变更估价的约定: </w:t>
      </w:r>
      <w:r>
        <w:rPr>
          <w:rFonts w:hint="eastAsia" w:ascii="方正仿宋_GB2312" w:hAnsi="方正仿宋_GB2312" w:eastAsia="方正仿宋_GB2312" w:cs="方正仿宋_GB2312"/>
          <w:color w:val="000000"/>
          <w:sz w:val="24"/>
          <w:szCs w:val="24"/>
          <w:highlight w:val="none"/>
          <w:u w:val="single"/>
        </w:rPr>
        <w:t xml:space="preserve">                                   </w:t>
      </w:r>
    </w:p>
    <w:p w14:paraId="0A52695C">
      <w:pPr>
        <w:spacing w:line="360" w:lineRule="auto"/>
        <w:jc w:val="left"/>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5AF96D20">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907" w:name="_Toc19736"/>
      <w:bookmarkStart w:id="908" w:name="_Toc19102"/>
      <w:r>
        <w:rPr>
          <w:rFonts w:hint="eastAsia" w:ascii="方正仿宋_GB2312" w:hAnsi="方正仿宋_GB2312" w:eastAsia="方正仿宋_GB2312" w:cs="方正仿宋_GB2312"/>
          <w:color w:val="000000"/>
          <w:sz w:val="24"/>
          <w:szCs w:val="24"/>
          <w:highlight w:val="none"/>
        </w:rPr>
        <w:t>1</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Start w:id="909" w:name="_Toc297123544"/>
      <w:bookmarkStart w:id="910" w:name="_Toc297048383"/>
      <w:bookmarkStart w:id="911" w:name="_Toc292559402"/>
      <w:bookmarkStart w:id="912" w:name="_Toc296891237"/>
      <w:bookmarkStart w:id="913" w:name="_Toc296503197"/>
      <w:bookmarkStart w:id="914" w:name="_Toc303539150"/>
      <w:bookmarkStart w:id="915" w:name="_Toc292559907"/>
      <w:bookmarkStart w:id="916" w:name="_Toc296891025"/>
      <w:bookmarkStart w:id="917" w:name="_Toc297216203"/>
      <w:bookmarkStart w:id="918" w:name="_Toc297120497"/>
      <w:bookmarkStart w:id="919" w:name="_Toc300934993"/>
      <w:bookmarkStart w:id="920" w:name="_Toc296347196"/>
      <w:bookmarkStart w:id="921" w:name="_Toc296944536"/>
      <w:bookmarkStart w:id="922" w:name="_Toc296346698"/>
      <w:bookmarkStart w:id="923" w:name="_Toc304295570"/>
      <w:bookmarkStart w:id="924" w:name="_Toc312678029"/>
      <w:bookmarkStart w:id="925" w:name="_Toc312677503"/>
      <w:r>
        <w:rPr>
          <w:rFonts w:hint="eastAsia" w:ascii="方正仿宋_GB2312" w:hAnsi="方正仿宋_GB2312" w:eastAsia="方正仿宋_GB2312" w:cs="方正仿宋_GB2312"/>
          <w:color w:val="000000"/>
          <w:sz w:val="24"/>
          <w:szCs w:val="24"/>
          <w:highlight w:val="none"/>
        </w:rPr>
        <w:t>0.5承</w:t>
      </w:r>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Start w:id="926" w:name="_Toc297123545"/>
      <w:bookmarkStart w:id="927" w:name="_Toc296346704"/>
      <w:bookmarkStart w:id="928" w:name="_Toc296503203"/>
      <w:bookmarkStart w:id="929" w:name="_Toc297048389"/>
      <w:bookmarkStart w:id="930" w:name="_Toc296944542"/>
      <w:bookmarkStart w:id="931" w:name="_Toc300934994"/>
      <w:bookmarkStart w:id="932" w:name="_Toc292559913"/>
      <w:bookmarkStart w:id="933" w:name="_Toc296891243"/>
      <w:bookmarkStart w:id="934" w:name="_Toc303539151"/>
      <w:bookmarkStart w:id="935" w:name="_Toc297216204"/>
      <w:bookmarkStart w:id="936" w:name="_Toc296347202"/>
      <w:bookmarkStart w:id="937" w:name="_Toc292559408"/>
      <w:bookmarkStart w:id="938" w:name="_Toc296891031"/>
      <w:bookmarkStart w:id="939" w:name="_Toc297120503"/>
      <w:r>
        <w:rPr>
          <w:rFonts w:hint="eastAsia" w:ascii="方正仿宋_GB2312" w:hAnsi="方正仿宋_GB2312" w:eastAsia="方正仿宋_GB2312" w:cs="方正仿宋_GB2312"/>
          <w:color w:val="000000"/>
          <w:sz w:val="24"/>
          <w:szCs w:val="24"/>
          <w:highlight w:val="none"/>
        </w:rPr>
        <w:t>包人的合理化建议</w:t>
      </w:r>
      <w:bookmarkEnd w:id="907"/>
      <w:bookmarkEnd w:id="908"/>
    </w:p>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p w14:paraId="5E42E0B1">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监理人审查承包人合理化建议的期限：</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w:t>
      </w:r>
    </w:p>
    <w:p w14:paraId="40BA9A09">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发包人审批承包人合理化建议的期限：</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w:t>
      </w:r>
    </w:p>
    <w:p w14:paraId="5D0E79EF">
      <w:pPr>
        <w:spacing w:line="360" w:lineRule="auto"/>
        <w:ind w:firstLine="480" w:firstLineChars="200"/>
        <w:jc w:val="left"/>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承</w:t>
      </w:r>
      <w:bookmarkStart w:id="940" w:name="_Toc300934995"/>
      <w:bookmarkStart w:id="941" w:name="_Toc303539152"/>
      <w:bookmarkStart w:id="942" w:name="_Toc296346705"/>
      <w:bookmarkStart w:id="943" w:name="_Toc296891032"/>
      <w:bookmarkStart w:id="944" w:name="_Toc312677504"/>
      <w:bookmarkStart w:id="945" w:name="_Toc312678030"/>
      <w:bookmarkStart w:id="946" w:name="_Toc297048390"/>
      <w:bookmarkStart w:id="947" w:name="_Toc304295571"/>
      <w:bookmarkStart w:id="948" w:name="_Toc296503204"/>
      <w:bookmarkStart w:id="949" w:name="_Toc292559409"/>
      <w:bookmarkStart w:id="950" w:name="_Toc297216205"/>
      <w:bookmarkStart w:id="951" w:name="_Toc296347203"/>
      <w:bookmarkStart w:id="952" w:name="_Toc292559914"/>
      <w:bookmarkStart w:id="953" w:name="_Toc297120504"/>
      <w:bookmarkStart w:id="954" w:name="_Toc297123546"/>
      <w:bookmarkStart w:id="955" w:name="_Toc296944543"/>
      <w:bookmarkStart w:id="956" w:name="_Toc318581175"/>
      <w:bookmarkStart w:id="957" w:name="_Toc296891244"/>
      <w:r>
        <w:rPr>
          <w:rFonts w:hint="eastAsia" w:ascii="方正仿宋_GB2312" w:hAnsi="方正仿宋_GB2312" w:eastAsia="方正仿宋_GB2312" w:cs="方正仿宋_GB2312"/>
          <w:sz w:val="24"/>
          <w:szCs w:val="24"/>
          <w:highlight w:val="none"/>
        </w:rPr>
        <w:t>包人提出的合理化建议降低了合同价格或者提高了工程经济效益的奖励的方法和金额为：</w:t>
      </w:r>
      <w:r>
        <w:rPr>
          <w:rFonts w:hint="eastAsia" w:ascii="方正仿宋_GB2312" w:hAnsi="方正仿宋_GB2312" w:eastAsia="方正仿宋_GB2312" w:cs="方正仿宋_GB2312"/>
          <w:sz w:val="24"/>
          <w:szCs w:val="24"/>
          <w:highlight w:val="none"/>
          <w:u w:val="single"/>
        </w:rPr>
        <w:t xml:space="preserve">                                </w:t>
      </w:r>
    </w:p>
    <w:p w14:paraId="496C1A47">
      <w:pPr>
        <w:spacing w:line="360" w:lineRule="auto"/>
        <w:jc w:val="left"/>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w:t>
      </w:r>
    </w:p>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14:paraId="0ADCCBD4">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958" w:name="_Toc7034"/>
      <w:bookmarkStart w:id="959" w:name="_Toc610"/>
      <w:r>
        <w:rPr>
          <w:rFonts w:hint="eastAsia" w:ascii="方正仿宋_GB2312" w:hAnsi="方正仿宋_GB2312" w:eastAsia="方正仿宋_GB2312" w:cs="方正仿宋_GB2312"/>
          <w:color w:val="000000"/>
          <w:sz w:val="24"/>
          <w:szCs w:val="24"/>
          <w:highlight w:val="none"/>
        </w:rPr>
        <w:t>1</w:t>
      </w:r>
      <w:bookmarkStart w:id="960" w:name="_Toc297120499"/>
      <w:bookmarkStart w:id="961" w:name="_Toc292559404"/>
      <w:bookmarkStart w:id="962" w:name="_Toc297123548"/>
      <w:bookmarkStart w:id="963" w:name="_Toc296891239"/>
      <w:bookmarkStart w:id="964" w:name="_Toc296346700"/>
      <w:bookmarkStart w:id="965" w:name="_Toc296503199"/>
      <w:bookmarkStart w:id="966" w:name="_Toc296891027"/>
      <w:bookmarkStart w:id="967" w:name="_Toc296944538"/>
      <w:bookmarkStart w:id="968" w:name="_Toc312678033"/>
      <w:bookmarkStart w:id="969" w:name="_Toc297048385"/>
      <w:bookmarkStart w:id="970" w:name="_Toc296347198"/>
      <w:bookmarkStart w:id="971" w:name="_Toc300934997"/>
      <w:bookmarkStart w:id="972" w:name="_Toc303539154"/>
      <w:bookmarkStart w:id="973" w:name="_Toc292559909"/>
      <w:bookmarkStart w:id="974" w:name="_Toc312677507"/>
      <w:bookmarkStart w:id="975" w:name="_Toc297216207"/>
      <w:bookmarkStart w:id="976" w:name="_Toc304295574"/>
      <w:r>
        <w:rPr>
          <w:rFonts w:hint="eastAsia" w:ascii="方正仿宋_GB2312" w:hAnsi="方正仿宋_GB2312" w:eastAsia="方正仿宋_GB2312" w:cs="方正仿宋_GB2312"/>
          <w:color w:val="000000"/>
          <w:sz w:val="24"/>
          <w:szCs w:val="24"/>
          <w:highlight w:val="none"/>
        </w:rPr>
        <w:t>0.7 暂估价</w:t>
      </w:r>
      <w:bookmarkEnd w:id="958"/>
      <w:bookmarkEnd w:id="959"/>
    </w:p>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14:paraId="54C06470">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kern w:val="0"/>
          <w:sz w:val="24"/>
          <w:szCs w:val="24"/>
          <w:highlight w:val="none"/>
        </w:rPr>
        <w:t>暂</w:t>
      </w:r>
      <w:bookmarkStart w:id="977" w:name="_Toc312677508"/>
      <w:bookmarkStart w:id="978" w:name="_Toc318581176"/>
      <w:bookmarkStart w:id="979" w:name="_Toc312678034"/>
      <w:r>
        <w:rPr>
          <w:rFonts w:hint="eastAsia" w:ascii="方正仿宋_GB2312" w:hAnsi="方正仿宋_GB2312" w:eastAsia="方正仿宋_GB2312" w:cs="方正仿宋_GB2312"/>
          <w:kern w:val="0"/>
          <w:sz w:val="24"/>
          <w:szCs w:val="24"/>
          <w:highlight w:val="none"/>
        </w:rPr>
        <w:t>估价材料和工程设备的明细详见附件11：《</w:t>
      </w:r>
      <w:r>
        <w:rPr>
          <w:rFonts w:hint="eastAsia" w:ascii="方正仿宋_GB2312" w:hAnsi="方正仿宋_GB2312" w:eastAsia="方正仿宋_GB2312" w:cs="方正仿宋_GB2312"/>
          <w:color w:val="000000"/>
          <w:sz w:val="24"/>
          <w:szCs w:val="24"/>
          <w:highlight w:val="none"/>
        </w:rPr>
        <w:t>暂估价一览表》</w:t>
      </w:r>
      <w:r>
        <w:rPr>
          <w:rFonts w:hint="eastAsia" w:ascii="方正仿宋_GB2312" w:hAnsi="方正仿宋_GB2312" w:eastAsia="方正仿宋_GB2312" w:cs="方正仿宋_GB2312"/>
          <w:kern w:val="0"/>
          <w:sz w:val="24"/>
          <w:szCs w:val="24"/>
          <w:highlight w:val="none"/>
        </w:rPr>
        <w:t>。</w:t>
      </w:r>
    </w:p>
    <w:bookmarkEnd w:id="977"/>
    <w:bookmarkEnd w:id="978"/>
    <w:bookmarkEnd w:id="979"/>
    <w:p w14:paraId="0ABE4B60">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bookmarkStart w:id="980" w:name="_Toc312677509"/>
      <w:bookmarkStart w:id="981" w:name="_Toc318581177"/>
      <w:bookmarkStart w:id="982" w:name="_Toc312678035"/>
      <w:r>
        <w:rPr>
          <w:rFonts w:hint="eastAsia" w:ascii="方正仿宋_GB2312" w:hAnsi="方正仿宋_GB2312" w:eastAsia="方正仿宋_GB2312" w:cs="方正仿宋_GB2312"/>
          <w:sz w:val="24"/>
          <w:szCs w:val="24"/>
          <w:highlight w:val="none"/>
        </w:rPr>
        <w:t>0.7.1 依法必须招标的暂估价项目</w:t>
      </w:r>
    </w:p>
    <w:bookmarkEnd w:id="980"/>
    <w:bookmarkEnd w:id="981"/>
    <w:bookmarkEnd w:id="982"/>
    <w:p w14:paraId="53E67681">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对于依法必须招标的暂估价项目的确认和批准采取第</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种方式确定。</w:t>
      </w:r>
    </w:p>
    <w:p w14:paraId="61DCFFED">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10.7.2 不属于依法必须招标的暂估价项目</w:t>
      </w:r>
    </w:p>
    <w:p w14:paraId="3B5A7F0E">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对于不属于依法必须招标的暂估价项目的确认和批准采取第</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 xml:space="preserve"> 种方式确定。</w:t>
      </w:r>
    </w:p>
    <w:p w14:paraId="366EE4FD">
      <w:pPr>
        <w:spacing w:line="360" w:lineRule="auto"/>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sz w:val="24"/>
          <w:szCs w:val="24"/>
          <w:highlight w:val="none"/>
        </w:rPr>
        <w:t>第3种方式：</w:t>
      </w:r>
      <w:r>
        <w:rPr>
          <w:rFonts w:hint="eastAsia" w:ascii="方正仿宋_GB2312" w:hAnsi="方正仿宋_GB2312" w:eastAsia="方正仿宋_GB2312" w:cs="方正仿宋_GB2312"/>
          <w:color w:val="000000"/>
          <w:kern w:val="0"/>
          <w:sz w:val="24"/>
          <w:szCs w:val="24"/>
          <w:highlight w:val="none"/>
        </w:rPr>
        <w:t>承包人直接实施的暂估价项目</w:t>
      </w:r>
    </w:p>
    <w:p w14:paraId="4EA0B582">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承包人直接实施的暂估价项目的约定：</w:t>
      </w:r>
      <w:r>
        <w:rPr>
          <w:rFonts w:hint="eastAsia" w:ascii="方正仿宋_GB2312" w:hAnsi="方正仿宋_GB2312" w:eastAsia="方正仿宋_GB2312" w:cs="方正仿宋_GB2312"/>
          <w:sz w:val="24"/>
          <w:szCs w:val="24"/>
          <w:highlight w:val="none"/>
          <w:u w:val="single"/>
        </w:rPr>
        <w:t xml:space="preserve">                     </w:t>
      </w:r>
    </w:p>
    <w:p w14:paraId="32A42806">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w:t>
      </w:r>
    </w:p>
    <w:p w14:paraId="3EAA85B8">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983" w:name="_Toc23532"/>
      <w:bookmarkStart w:id="984" w:name="_Toc28038"/>
      <w:r>
        <w:rPr>
          <w:rFonts w:hint="eastAsia" w:ascii="方正仿宋_GB2312" w:hAnsi="方正仿宋_GB2312" w:eastAsia="方正仿宋_GB2312" w:cs="方正仿宋_GB2312"/>
          <w:color w:val="000000"/>
          <w:sz w:val="24"/>
          <w:szCs w:val="24"/>
          <w:highlight w:val="none"/>
        </w:rPr>
        <w:t>10.8 暂列金额</w:t>
      </w:r>
      <w:bookmarkEnd w:id="983"/>
      <w:bookmarkEnd w:id="984"/>
    </w:p>
    <w:p w14:paraId="7F4AEC74">
      <w:pPr>
        <w:autoSpaceDE w:val="0"/>
        <w:autoSpaceDN w:val="0"/>
        <w:adjustRightInd w:val="0"/>
        <w:spacing w:line="360" w:lineRule="auto"/>
        <w:ind w:firstLine="480" w:firstLineChars="200"/>
        <w:jc w:val="left"/>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color w:val="000000"/>
          <w:kern w:val="0"/>
          <w:sz w:val="24"/>
          <w:szCs w:val="24"/>
          <w:highlight w:val="none"/>
        </w:rPr>
        <w:t>合同当事人关于暂列金额使用的约定：</w:t>
      </w:r>
      <w:r>
        <w:rPr>
          <w:rFonts w:hint="eastAsia" w:ascii="方正仿宋_GB2312" w:hAnsi="方正仿宋_GB2312" w:eastAsia="方正仿宋_GB2312" w:cs="方正仿宋_GB2312"/>
          <w:sz w:val="24"/>
          <w:szCs w:val="24"/>
          <w:highlight w:val="none"/>
          <w:u w:val="single"/>
        </w:rPr>
        <w:t xml:space="preserve">                     </w:t>
      </w:r>
    </w:p>
    <w:p w14:paraId="6BBAB69E">
      <w:pPr>
        <w:autoSpaceDE w:val="0"/>
        <w:autoSpaceDN w:val="0"/>
        <w:adjustRightInd w:val="0"/>
        <w:spacing w:line="360" w:lineRule="auto"/>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color w:val="000000"/>
          <w:kern w:val="0"/>
          <w:sz w:val="24"/>
          <w:szCs w:val="24"/>
          <w:highlight w:val="none"/>
        </w:rPr>
        <w:t>。</w:t>
      </w:r>
    </w:p>
    <w:p w14:paraId="11200287">
      <w:pPr>
        <w:pStyle w:val="4"/>
        <w:spacing w:before="120" w:after="120" w:line="360" w:lineRule="auto"/>
        <w:outlineLvl w:val="2"/>
        <w:rPr>
          <w:rFonts w:hint="eastAsia" w:ascii="方正仿宋_GB2312" w:hAnsi="方正仿宋_GB2312" w:eastAsia="方正仿宋_GB2312" w:cs="方正仿宋_GB2312"/>
          <w:b w:val="0"/>
          <w:color w:val="000000"/>
          <w:sz w:val="24"/>
          <w:szCs w:val="24"/>
          <w:highlight w:val="none"/>
        </w:rPr>
      </w:pPr>
      <w:bookmarkStart w:id="985" w:name="_Toc10942"/>
      <w:bookmarkStart w:id="986" w:name="_Toc351203643"/>
      <w:bookmarkStart w:id="987" w:name="_Toc9849"/>
      <w:bookmarkStart w:id="988" w:name="_Toc21722"/>
      <w:r>
        <w:rPr>
          <w:rFonts w:hint="eastAsia" w:ascii="方正仿宋_GB2312" w:hAnsi="方正仿宋_GB2312" w:eastAsia="方正仿宋_GB2312" w:cs="方正仿宋_GB2312"/>
          <w:b w:val="0"/>
          <w:color w:val="000000"/>
          <w:sz w:val="24"/>
          <w:szCs w:val="24"/>
          <w:highlight w:val="none"/>
        </w:rPr>
        <w:t>11. 价格调整</w:t>
      </w:r>
      <w:bookmarkEnd w:id="985"/>
      <w:bookmarkEnd w:id="986"/>
      <w:bookmarkEnd w:id="987"/>
      <w:bookmarkEnd w:id="988"/>
    </w:p>
    <w:p w14:paraId="7C675058">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989" w:name="_Toc22557"/>
      <w:bookmarkStart w:id="990" w:name="_Toc29785"/>
      <w:bookmarkStart w:id="991" w:name="_Toc303539157"/>
      <w:bookmarkStart w:id="992" w:name="_Toc292559911"/>
      <w:bookmarkStart w:id="993" w:name="_Toc300935000"/>
      <w:bookmarkStart w:id="994" w:name="_Toc296891241"/>
      <w:bookmarkStart w:id="995" w:name="_Toc296347200"/>
      <w:bookmarkStart w:id="996" w:name="_Toc296891029"/>
      <w:bookmarkStart w:id="997" w:name="_Toc296944540"/>
      <w:bookmarkStart w:id="998" w:name="_Toc292559406"/>
      <w:bookmarkStart w:id="999" w:name="_Toc297048387"/>
      <w:bookmarkStart w:id="1000" w:name="_Toc297120501"/>
      <w:bookmarkStart w:id="1001" w:name="_Toc297216209"/>
      <w:bookmarkStart w:id="1002" w:name="_Toc296346702"/>
      <w:bookmarkStart w:id="1003" w:name="_Toc297123550"/>
      <w:bookmarkStart w:id="1004" w:name="_Toc296503201"/>
      <w:bookmarkStart w:id="1005" w:name="_Toc304295577"/>
      <w:bookmarkStart w:id="1006" w:name="_Toc312678039"/>
      <w:r>
        <w:rPr>
          <w:rFonts w:hint="eastAsia" w:ascii="方正仿宋_GB2312" w:hAnsi="方正仿宋_GB2312" w:eastAsia="方正仿宋_GB2312" w:cs="方正仿宋_GB2312"/>
          <w:color w:val="000000"/>
          <w:sz w:val="24"/>
          <w:szCs w:val="24"/>
          <w:highlight w:val="none"/>
        </w:rPr>
        <w:t>11.1 市场价格波动引起的调整</w:t>
      </w:r>
      <w:bookmarkEnd w:id="989"/>
      <w:bookmarkEnd w:id="990"/>
    </w:p>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14:paraId="149B9771">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kern w:val="0"/>
          <w:sz w:val="24"/>
          <w:szCs w:val="24"/>
          <w:highlight w:val="none"/>
        </w:rPr>
        <w:t>市场价格波动是否调整合同价格的约定：</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w:t>
      </w:r>
    </w:p>
    <w:p w14:paraId="6269DE1C">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因市场价格波动调整合同价格，采用以下</w:t>
      </w:r>
      <w:r>
        <w:rPr>
          <w:rFonts w:hint="eastAsia" w:ascii="方正仿宋_GB2312" w:hAnsi="方正仿宋_GB2312" w:eastAsia="方正仿宋_GB2312" w:cs="方正仿宋_GB2312"/>
          <w:sz w:val="24"/>
          <w:szCs w:val="24"/>
          <w:highlight w:val="none"/>
        </w:rPr>
        <w:t>第</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种方式对合同价格进行调整：</w:t>
      </w:r>
    </w:p>
    <w:p w14:paraId="6CEFDCFC">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第1种方式：采用价格指数进行价格调整。</w:t>
      </w:r>
    </w:p>
    <w:p w14:paraId="0FF039DD">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rPr>
        <w:t>关于各可调因子、定值和变值权重，以及基本价格指数及其来源的约定：</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 xml:space="preserve">；  </w:t>
      </w:r>
    </w:p>
    <w:p w14:paraId="671AE98C">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第2种方式：采用造价信息进行价格调整。</w:t>
      </w:r>
    </w:p>
    <w:p w14:paraId="537F3173">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（2）关于基准价格的约定：</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w:t>
      </w:r>
    </w:p>
    <w:p w14:paraId="22633642">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%时，或材料单价跌幅以已标价工程量清单或预算书中载明材料单价为基础超过</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%时，其超过部分据实调整。</w:t>
      </w:r>
    </w:p>
    <w:p w14:paraId="076519C2">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②承包人在已标价工程量清单或预算书中载明的材料单价高于基准价格的：专用合同条款合同履行期间材料单价跌幅以基准价格为基础超过</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%时，材料单价涨幅以已标价工程量清单或预算书中载明材料单价为基础超过</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%时，其超过部分据实调整。</w:t>
      </w:r>
    </w:p>
    <w:p w14:paraId="56311842">
      <w:pPr>
        <w:spacing w:line="360" w:lineRule="auto"/>
        <w:ind w:firstLine="645"/>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③承包人在已标价工程量清单或预算书中载明的材料单价等于基准单价的：专用合同条款合同履行期间材料单价涨跌幅以基准单价为基础超过±</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%时，其超过部分据实调整。</w:t>
      </w:r>
    </w:p>
    <w:p w14:paraId="196D9B75">
      <w:pPr>
        <w:spacing w:line="360" w:lineRule="auto"/>
        <w:ind w:firstLine="645"/>
        <w:jc w:val="left"/>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rPr>
        <w:t>第3种方式：其他价格调整方式：</w:t>
      </w:r>
      <w:r>
        <w:rPr>
          <w:rFonts w:hint="eastAsia" w:ascii="方正仿宋_GB2312" w:hAnsi="方正仿宋_GB2312" w:eastAsia="方正仿宋_GB2312" w:cs="方正仿宋_GB2312"/>
          <w:color w:val="000000"/>
          <w:sz w:val="24"/>
          <w:szCs w:val="24"/>
          <w:highlight w:val="none"/>
          <w:u w:val="single"/>
        </w:rPr>
        <w:t xml:space="preserve">                        </w:t>
      </w:r>
    </w:p>
    <w:p w14:paraId="7800F72C">
      <w:pPr>
        <w:spacing w:line="360" w:lineRule="auto"/>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bookmarkEnd w:id="879"/>
    <w:bookmarkEnd w:id="880"/>
    <w:bookmarkEnd w:id="881"/>
    <w:bookmarkEnd w:id="882"/>
    <w:bookmarkEnd w:id="883"/>
    <w:bookmarkEnd w:id="884"/>
    <w:p w14:paraId="5A4D8A66">
      <w:pPr>
        <w:pStyle w:val="4"/>
        <w:spacing w:before="120" w:after="120" w:line="360" w:lineRule="auto"/>
        <w:outlineLvl w:val="2"/>
        <w:rPr>
          <w:rFonts w:hint="eastAsia" w:ascii="方正仿宋_GB2312" w:hAnsi="方正仿宋_GB2312" w:eastAsia="方正仿宋_GB2312" w:cs="方正仿宋_GB2312"/>
          <w:b w:val="0"/>
          <w:color w:val="000000"/>
          <w:sz w:val="24"/>
          <w:szCs w:val="24"/>
          <w:highlight w:val="none"/>
        </w:rPr>
      </w:pPr>
      <w:bookmarkStart w:id="1007" w:name="_Toc292559915"/>
      <w:bookmarkStart w:id="1008" w:name="_Toc292559410"/>
      <w:bookmarkStart w:id="1009" w:name="_Toc297048391"/>
      <w:bookmarkStart w:id="1010" w:name="_Toc296347204"/>
      <w:bookmarkStart w:id="1011" w:name="_Toc296891245"/>
      <w:bookmarkStart w:id="1012" w:name="_Toc296503205"/>
      <w:bookmarkStart w:id="1013" w:name="_Toc296346706"/>
      <w:bookmarkStart w:id="1014" w:name="_Toc296944544"/>
      <w:bookmarkStart w:id="1015" w:name="_Toc296891033"/>
      <w:bookmarkStart w:id="1016" w:name="_Toc297120505"/>
      <w:bookmarkStart w:id="1017" w:name="_Toc16325"/>
      <w:bookmarkStart w:id="1018" w:name="_Toc351203644"/>
      <w:bookmarkStart w:id="1019" w:name="_Toc20113"/>
      <w:bookmarkStart w:id="1020" w:name="_Toc15903"/>
      <w:bookmarkStart w:id="1021" w:name="_Toc303539159"/>
      <w:bookmarkStart w:id="1022" w:name="_Toc312678040"/>
      <w:bookmarkStart w:id="1023" w:name="_Toc304295579"/>
      <w:bookmarkStart w:id="1024" w:name="_Toc297123552"/>
      <w:bookmarkStart w:id="1025" w:name="_Toc300935002"/>
      <w:bookmarkStart w:id="1026" w:name="_Toc297216211"/>
      <w:r>
        <w:rPr>
          <w:rFonts w:hint="eastAsia" w:ascii="方正仿宋_GB2312" w:hAnsi="方正仿宋_GB2312" w:eastAsia="方正仿宋_GB2312" w:cs="方正仿宋_GB2312"/>
          <w:b w:val="0"/>
          <w:color w:val="000000"/>
          <w:sz w:val="24"/>
          <w:szCs w:val="24"/>
          <w:highlight w:val="none"/>
        </w:rPr>
        <w:t xml:space="preserve">12. </w:t>
      </w:r>
      <w:bookmarkEnd w:id="1007"/>
      <w:bookmarkEnd w:id="1008"/>
      <w:bookmarkEnd w:id="1009"/>
      <w:bookmarkEnd w:id="1010"/>
      <w:bookmarkEnd w:id="1011"/>
      <w:bookmarkEnd w:id="1012"/>
      <w:bookmarkEnd w:id="1013"/>
      <w:bookmarkEnd w:id="1014"/>
      <w:bookmarkEnd w:id="1015"/>
      <w:bookmarkEnd w:id="1016"/>
      <w:r>
        <w:rPr>
          <w:rFonts w:hint="eastAsia" w:ascii="方正仿宋_GB2312" w:hAnsi="方正仿宋_GB2312" w:eastAsia="方正仿宋_GB2312" w:cs="方正仿宋_GB2312"/>
          <w:b w:val="0"/>
          <w:color w:val="000000"/>
          <w:sz w:val="24"/>
          <w:szCs w:val="24"/>
          <w:highlight w:val="none"/>
        </w:rPr>
        <w:t>合同价格、计量与支付</w:t>
      </w:r>
      <w:bookmarkEnd w:id="1017"/>
      <w:bookmarkEnd w:id="1018"/>
      <w:bookmarkEnd w:id="1019"/>
      <w:bookmarkEnd w:id="1020"/>
    </w:p>
    <w:bookmarkEnd w:id="1021"/>
    <w:bookmarkEnd w:id="1022"/>
    <w:bookmarkEnd w:id="1023"/>
    <w:bookmarkEnd w:id="1024"/>
    <w:bookmarkEnd w:id="1025"/>
    <w:bookmarkEnd w:id="1026"/>
    <w:p w14:paraId="30DA8D32">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1027" w:name="_Toc292559411"/>
      <w:bookmarkStart w:id="1028" w:name="_Toc292559916"/>
      <w:bookmarkStart w:id="1029" w:name="_Toc267251461"/>
      <w:bookmarkStart w:id="1030" w:name="_Toc296347205"/>
      <w:bookmarkStart w:id="1031" w:name="_Toc296346707"/>
      <w:bookmarkStart w:id="1032" w:name="_Toc296891246"/>
      <w:bookmarkStart w:id="1033" w:name="_Toc297048392"/>
      <w:bookmarkStart w:id="1034" w:name="_Toc296503206"/>
      <w:bookmarkStart w:id="1035" w:name="_Toc296944545"/>
      <w:bookmarkStart w:id="1036" w:name="_Toc297120506"/>
      <w:bookmarkStart w:id="1037" w:name="_Toc296891034"/>
      <w:bookmarkStart w:id="1038" w:name="_Toc10793"/>
      <w:bookmarkStart w:id="1039" w:name="_Toc20242"/>
      <w:bookmarkStart w:id="1040" w:name="_Toc312678041"/>
      <w:bookmarkStart w:id="1041" w:name="_Toc304295580"/>
      <w:bookmarkStart w:id="1042" w:name="_Toc300935003"/>
      <w:bookmarkStart w:id="1043" w:name="_Toc297216212"/>
      <w:bookmarkStart w:id="1044" w:name="_Toc297123553"/>
      <w:bookmarkStart w:id="1045" w:name="_Toc303539160"/>
      <w:r>
        <w:rPr>
          <w:rFonts w:hint="eastAsia" w:ascii="方正仿宋_GB2312" w:hAnsi="方正仿宋_GB2312" w:eastAsia="方正仿宋_GB2312" w:cs="方正仿宋_GB2312"/>
          <w:color w:val="000000"/>
          <w:sz w:val="24"/>
          <w:szCs w:val="24"/>
          <w:highlight w:val="none"/>
        </w:rPr>
        <w:t>12.1 合</w:t>
      </w:r>
      <w:bookmarkEnd w:id="1027"/>
      <w:bookmarkEnd w:id="1028"/>
      <w:bookmarkEnd w:id="1029"/>
      <w:r>
        <w:rPr>
          <w:rFonts w:hint="eastAsia" w:ascii="方正仿宋_GB2312" w:hAnsi="方正仿宋_GB2312" w:eastAsia="方正仿宋_GB2312" w:cs="方正仿宋_GB2312"/>
          <w:color w:val="000000"/>
          <w:sz w:val="24"/>
          <w:szCs w:val="24"/>
          <w:highlight w:val="none"/>
        </w:rPr>
        <w:t>同价</w:t>
      </w:r>
      <w:bookmarkEnd w:id="1030"/>
      <w:bookmarkEnd w:id="1031"/>
      <w:bookmarkEnd w:id="1032"/>
      <w:bookmarkEnd w:id="1033"/>
      <w:bookmarkEnd w:id="1034"/>
      <w:bookmarkEnd w:id="1035"/>
      <w:bookmarkEnd w:id="1036"/>
      <w:bookmarkEnd w:id="1037"/>
      <w:r>
        <w:rPr>
          <w:rFonts w:hint="eastAsia" w:ascii="方正仿宋_GB2312" w:hAnsi="方正仿宋_GB2312" w:eastAsia="方正仿宋_GB2312" w:cs="方正仿宋_GB2312"/>
          <w:color w:val="000000"/>
          <w:sz w:val="24"/>
          <w:szCs w:val="24"/>
          <w:highlight w:val="none"/>
        </w:rPr>
        <w:t>格形式</w:t>
      </w:r>
      <w:bookmarkEnd w:id="1038"/>
      <w:bookmarkEnd w:id="1039"/>
    </w:p>
    <w:bookmarkEnd w:id="1040"/>
    <w:bookmarkEnd w:id="1041"/>
    <w:bookmarkEnd w:id="1042"/>
    <w:bookmarkEnd w:id="1043"/>
    <w:bookmarkEnd w:id="1044"/>
    <w:bookmarkEnd w:id="1045"/>
    <w:p w14:paraId="798B25C5">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1、单价合同。</w:t>
      </w:r>
    </w:p>
    <w:p w14:paraId="69C546E3">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rPr>
        <w:t>综合单价包含的风险范围：</w:t>
      </w:r>
      <w:r>
        <w:rPr>
          <w:rFonts w:hint="eastAsia" w:ascii="方正仿宋_GB2312" w:hAnsi="方正仿宋_GB2312" w:eastAsia="方正仿宋_GB2312" w:cs="方正仿宋_GB2312"/>
          <w:color w:val="000000"/>
          <w:sz w:val="24"/>
          <w:szCs w:val="24"/>
          <w:highlight w:val="none"/>
          <w:u w:val="single"/>
        </w:rPr>
        <w:t xml:space="preserve">                               </w:t>
      </w:r>
    </w:p>
    <w:p w14:paraId="10ED2346">
      <w:pPr>
        <w:spacing w:line="360" w:lineRule="auto"/>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6A6BCF28">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rPr>
        <w:t>风险费用的计算方法：</w:t>
      </w:r>
      <w:r>
        <w:rPr>
          <w:rFonts w:hint="eastAsia" w:ascii="方正仿宋_GB2312" w:hAnsi="方正仿宋_GB2312" w:eastAsia="方正仿宋_GB2312" w:cs="方正仿宋_GB2312"/>
          <w:color w:val="000000"/>
          <w:sz w:val="24"/>
          <w:szCs w:val="24"/>
          <w:highlight w:val="none"/>
          <w:u w:val="single"/>
        </w:rPr>
        <w:t xml:space="preserve">                                  </w:t>
      </w:r>
    </w:p>
    <w:p w14:paraId="77C6B7FC">
      <w:pPr>
        <w:spacing w:line="360" w:lineRule="auto"/>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0A10E934">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风险范围以外合同价格的调整方法：</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 xml:space="preserve">       </w:t>
      </w:r>
    </w:p>
    <w:p w14:paraId="013246F0">
      <w:pPr>
        <w:spacing w:line="360" w:lineRule="auto"/>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25DCFAAC">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2、总价合同。</w:t>
      </w:r>
    </w:p>
    <w:p w14:paraId="3A544050">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rPr>
        <w:t>总价包含的风险范围：</w:t>
      </w:r>
      <w:r>
        <w:rPr>
          <w:rFonts w:hint="eastAsia" w:ascii="方正仿宋_GB2312" w:hAnsi="方正仿宋_GB2312" w:eastAsia="方正仿宋_GB2312" w:cs="方正仿宋_GB2312"/>
          <w:color w:val="000000"/>
          <w:sz w:val="24"/>
          <w:szCs w:val="24"/>
          <w:highlight w:val="none"/>
          <w:u w:val="single"/>
        </w:rPr>
        <w:t xml:space="preserve">                                   </w:t>
      </w:r>
    </w:p>
    <w:p w14:paraId="77A3CD49">
      <w:pPr>
        <w:spacing w:line="360" w:lineRule="auto"/>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27C58628">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rPr>
        <w:t>风险费用的计算方法：</w:t>
      </w:r>
      <w:r>
        <w:rPr>
          <w:rFonts w:hint="eastAsia" w:ascii="方正仿宋_GB2312" w:hAnsi="方正仿宋_GB2312" w:eastAsia="方正仿宋_GB2312" w:cs="方正仿宋_GB2312"/>
          <w:color w:val="000000"/>
          <w:sz w:val="24"/>
          <w:szCs w:val="24"/>
          <w:highlight w:val="none"/>
          <w:u w:val="single"/>
        </w:rPr>
        <w:t xml:space="preserve">                                   </w:t>
      </w:r>
    </w:p>
    <w:p w14:paraId="6CED78E4">
      <w:pPr>
        <w:spacing w:line="360" w:lineRule="auto"/>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7C83E30E">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风险范围以外合同价格的调整方法：</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 xml:space="preserve">        </w:t>
      </w:r>
    </w:p>
    <w:p w14:paraId="48923FF4">
      <w:pPr>
        <w:spacing w:line="360" w:lineRule="auto"/>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7932847A">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rPr>
        <w:t>3、其他价格方式：</w:t>
      </w:r>
      <w:r>
        <w:rPr>
          <w:rFonts w:hint="eastAsia" w:ascii="方正仿宋_GB2312" w:hAnsi="方正仿宋_GB2312" w:eastAsia="方正仿宋_GB2312" w:cs="方正仿宋_GB2312"/>
          <w:color w:val="000000"/>
          <w:sz w:val="24"/>
          <w:szCs w:val="24"/>
          <w:highlight w:val="none"/>
          <w:u w:val="single"/>
        </w:rPr>
        <w:t xml:space="preserve">                                     </w:t>
      </w:r>
    </w:p>
    <w:p w14:paraId="49AF149D">
      <w:pPr>
        <w:spacing w:line="360" w:lineRule="auto"/>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6A93AEEB">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1046" w:name="_Toc4742"/>
      <w:bookmarkStart w:id="1047" w:name="_Toc20479"/>
      <w:bookmarkStart w:id="1048" w:name="_Toc297123554"/>
      <w:bookmarkStart w:id="1049" w:name="_Toc304295581"/>
      <w:bookmarkStart w:id="1050" w:name="_Toc297216213"/>
      <w:bookmarkStart w:id="1051" w:name="_Toc300935004"/>
      <w:bookmarkStart w:id="1052" w:name="_Toc303539161"/>
      <w:bookmarkStart w:id="1053" w:name="_Toc312678042"/>
      <w:bookmarkStart w:id="1054" w:name="_Toc292559412"/>
      <w:bookmarkStart w:id="1055" w:name="_Toc296891247"/>
      <w:bookmarkStart w:id="1056" w:name="_Toc296347206"/>
      <w:bookmarkStart w:id="1057" w:name="_Toc297120507"/>
      <w:bookmarkStart w:id="1058" w:name="_Toc296503207"/>
      <w:bookmarkStart w:id="1059" w:name="_Toc297048393"/>
      <w:bookmarkStart w:id="1060" w:name="_Toc292559917"/>
      <w:bookmarkStart w:id="1061" w:name="_Toc296346708"/>
      <w:bookmarkStart w:id="1062" w:name="_Toc296891035"/>
      <w:bookmarkStart w:id="1063" w:name="_Toc296944546"/>
      <w:r>
        <w:rPr>
          <w:rFonts w:hint="eastAsia" w:ascii="方正仿宋_GB2312" w:hAnsi="方正仿宋_GB2312" w:eastAsia="方正仿宋_GB2312" w:cs="方正仿宋_GB2312"/>
          <w:color w:val="000000"/>
          <w:sz w:val="24"/>
          <w:szCs w:val="24"/>
          <w:highlight w:val="none"/>
        </w:rPr>
        <w:t>12.2 预付款</w:t>
      </w:r>
      <w:bookmarkEnd w:id="1046"/>
      <w:bookmarkEnd w:id="1047"/>
    </w:p>
    <w:bookmarkEnd w:id="1048"/>
    <w:bookmarkEnd w:id="1049"/>
    <w:bookmarkEnd w:id="1050"/>
    <w:bookmarkEnd w:id="1051"/>
    <w:bookmarkEnd w:id="1052"/>
    <w:bookmarkEnd w:id="1053"/>
    <w:p w14:paraId="30E8BC57">
      <w:pPr>
        <w:spacing w:line="360" w:lineRule="auto"/>
        <w:ind w:firstLine="480" w:firstLineChars="200"/>
        <w:jc w:val="lef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12.2.1 预付款的支付</w:t>
      </w:r>
    </w:p>
    <w:p w14:paraId="367CD1F9">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预付款支付比例或金额：</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66653E90">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预付款支付期限：</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2B4952F1">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预付款扣回的方式：</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3AA3AAF1">
      <w:pPr>
        <w:spacing w:line="360" w:lineRule="auto"/>
        <w:ind w:firstLine="480" w:firstLineChars="200"/>
        <w:jc w:val="lef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12.2.2 预付款担保</w:t>
      </w:r>
    </w:p>
    <w:p w14:paraId="2D0DF434">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承包人提交预付款担保的期限：</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25A9073D">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预付款担保的形式为：</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bookmarkEnd w:id="1054"/>
    <w:bookmarkEnd w:id="1055"/>
    <w:bookmarkEnd w:id="1056"/>
    <w:bookmarkEnd w:id="1057"/>
    <w:bookmarkEnd w:id="1058"/>
    <w:bookmarkEnd w:id="1059"/>
    <w:bookmarkEnd w:id="1060"/>
    <w:bookmarkEnd w:id="1061"/>
    <w:bookmarkEnd w:id="1062"/>
    <w:bookmarkEnd w:id="1063"/>
    <w:p w14:paraId="24420615">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1064" w:name="_Toc30236"/>
      <w:bookmarkStart w:id="1065" w:name="_Toc32754"/>
      <w:r>
        <w:rPr>
          <w:rFonts w:hint="eastAsia" w:ascii="方正仿宋_GB2312" w:hAnsi="方正仿宋_GB2312" w:eastAsia="方正仿宋_GB2312" w:cs="方正仿宋_GB2312"/>
          <w:color w:val="000000"/>
          <w:sz w:val="24"/>
          <w:szCs w:val="24"/>
          <w:highlight w:val="none"/>
        </w:rPr>
        <w:t>12.3 计量</w:t>
      </w:r>
      <w:bookmarkEnd w:id="1064"/>
      <w:bookmarkEnd w:id="1065"/>
    </w:p>
    <w:p w14:paraId="63F3F71F">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12.3.1 计量原则</w:t>
      </w:r>
    </w:p>
    <w:p w14:paraId="513ED51D">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工程量计算规则：</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1E38CC05">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12.3.2 计量周期</w:t>
      </w:r>
    </w:p>
    <w:p w14:paraId="46B2410B">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关于计量周期的约定：</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28306430">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12.3.3 单价合同的计量</w:t>
      </w:r>
    </w:p>
    <w:p w14:paraId="32CDBBB1">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关于单价合同计量的约定：</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37EFA969">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12.3.4 总价合同的计量</w:t>
      </w:r>
    </w:p>
    <w:p w14:paraId="1AEFDC52">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关于总价合同计量的约定：</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7218F361">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12.3.5总价合同采用支付分解表计量支付的，是否适用第</w:t>
      </w:r>
      <w:r>
        <w:rPr>
          <w:rFonts w:hint="eastAsia" w:ascii="方正仿宋_GB2312" w:hAnsi="方正仿宋_GB2312" w:eastAsia="方正仿宋_GB2312" w:cs="方正仿宋_GB2312"/>
          <w:color w:val="000000"/>
          <w:kern w:val="0"/>
          <w:sz w:val="24"/>
          <w:szCs w:val="24"/>
          <w:highlight w:val="none"/>
        </w:rPr>
        <w:t xml:space="preserve">12.3.4 </w:t>
      </w:r>
      <w:r>
        <w:rPr>
          <w:rFonts w:hint="eastAsia" w:ascii="方正仿宋_GB2312" w:hAnsi="方正仿宋_GB2312" w:eastAsia="方正仿宋_GB2312" w:cs="方正仿宋_GB2312"/>
          <w:color w:val="000000"/>
          <w:sz w:val="24"/>
          <w:szCs w:val="24"/>
          <w:highlight w:val="none"/>
        </w:rPr>
        <w:t>项</w:t>
      </w:r>
      <w:r>
        <w:rPr>
          <w:rFonts w:hint="eastAsia" w:ascii="方正仿宋_GB2312" w:hAnsi="方正仿宋_GB2312" w:eastAsia="方正仿宋_GB2312" w:cs="方正仿宋_GB2312"/>
          <w:color w:val="000000"/>
          <w:kern w:val="0"/>
          <w:sz w:val="24"/>
          <w:szCs w:val="24"/>
          <w:highlight w:val="none"/>
        </w:rPr>
        <w:t>〔总价合同的计量〕</w:t>
      </w:r>
      <w:r>
        <w:rPr>
          <w:rFonts w:hint="eastAsia" w:ascii="方正仿宋_GB2312" w:hAnsi="方正仿宋_GB2312" w:eastAsia="方正仿宋_GB2312" w:cs="方正仿宋_GB2312"/>
          <w:color w:val="000000"/>
          <w:sz w:val="24"/>
          <w:szCs w:val="24"/>
          <w:highlight w:val="none"/>
        </w:rPr>
        <w:t>约定进行计量：</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42FC2455">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12.3.6 其他价格形式合同的计量</w:t>
      </w:r>
    </w:p>
    <w:p w14:paraId="6E7E0A51">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rPr>
        <w:t>其他价格形式的计量方式和程序：</w:t>
      </w:r>
      <w:r>
        <w:rPr>
          <w:rFonts w:hint="eastAsia" w:ascii="方正仿宋_GB2312" w:hAnsi="方正仿宋_GB2312" w:eastAsia="方正仿宋_GB2312" w:cs="方正仿宋_GB2312"/>
          <w:color w:val="000000"/>
          <w:sz w:val="24"/>
          <w:szCs w:val="24"/>
          <w:highlight w:val="none"/>
          <w:u w:val="single"/>
        </w:rPr>
        <w:t xml:space="preserve">                         </w:t>
      </w:r>
    </w:p>
    <w:p w14:paraId="5A62A8D9">
      <w:pPr>
        <w:spacing w:line="360" w:lineRule="auto"/>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4B618CB4">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1066" w:name="_Toc88"/>
      <w:bookmarkStart w:id="1067" w:name="_Toc14470"/>
      <w:r>
        <w:rPr>
          <w:rFonts w:hint="eastAsia" w:ascii="方正仿宋_GB2312" w:hAnsi="方正仿宋_GB2312" w:eastAsia="方正仿宋_GB2312" w:cs="方正仿宋_GB2312"/>
          <w:color w:val="000000"/>
          <w:sz w:val="24"/>
          <w:szCs w:val="24"/>
          <w:highlight w:val="none"/>
        </w:rPr>
        <w:t>12.4 工程进度款支付</w:t>
      </w:r>
      <w:bookmarkEnd w:id="1066"/>
      <w:bookmarkEnd w:id="1067"/>
    </w:p>
    <w:p w14:paraId="1A645B45">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bookmarkStart w:id="1068" w:name="_Toc296891039"/>
      <w:bookmarkStart w:id="1069" w:name="_Toc296347210"/>
      <w:bookmarkStart w:id="1070" w:name="_Toc296503211"/>
      <w:bookmarkStart w:id="1071" w:name="_Toc292559416"/>
      <w:bookmarkStart w:id="1072" w:name="_Toc297123556"/>
      <w:bookmarkStart w:id="1073" w:name="_Toc296944550"/>
      <w:bookmarkStart w:id="1074" w:name="_Toc297048397"/>
      <w:bookmarkStart w:id="1075" w:name="_Toc303539163"/>
      <w:bookmarkStart w:id="1076" w:name="_Toc292559921"/>
      <w:bookmarkStart w:id="1077" w:name="_Toc300935006"/>
      <w:bookmarkStart w:id="1078" w:name="_Toc297216215"/>
      <w:bookmarkStart w:id="1079" w:name="_Toc297120511"/>
      <w:bookmarkStart w:id="1080" w:name="_Toc296891251"/>
      <w:bookmarkStart w:id="1081" w:name="_Toc296346712"/>
      <w:r>
        <w:rPr>
          <w:rFonts w:hint="eastAsia" w:ascii="方正仿宋_GB2312" w:hAnsi="方正仿宋_GB2312" w:eastAsia="方正仿宋_GB2312" w:cs="方正仿宋_GB2312"/>
          <w:color w:val="000000"/>
          <w:sz w:val="24"/>
          <w:szCs w:val="24"/>
          <w:highlight w:val="none"/>
        </w:rPr>
        <w:t>12.4.1 付款周期</w:t>
      </w:r>
    </w:p>
    <w:p w14:paraId="45C8F030">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关于付款周期的约定：</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4D750B23">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12.4.2 进度付款申请单的编制</w:t>
      </w:r>
    </w:p>
    <w:p w14:paraId="2A6408A6">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rPr>
        <w:t>关于进度付款申请单编制的约定：</w:t>
      </w:r>
      <w:r>
        <w:rPr>
          <w:rFonts w:hint="eastAsia" w:ascii="方正仿宋_GB2312" w:hAnsi="方正仿宋_GB2312" w:eastAsia="方正仿宋_GB2312" w:cs="方正仿宋_GB2312"/>
          <w:color w:val="000000"/>
          <w:sz w:val="24"/>
          <w:szCs w:val="24"/>
          <w:highlight w:val="none"/>
          <w:u w:val="single"/>
        </w:rPr>
        <w:t xml:space="preserve">                       </w:t>
      </w:r>
    </w:p>
    <w:p w14:paraId="4E003944">
      <w:pPr>
        <w:spacing w:line="360" w:lineRule="auto"/>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4F7C1077">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r>
        <w:rPr>
          <w:rFonts w:hint="eastAsia" w:ascii="方正仿宋_GB2312" w:hAnsi="方正仿宋_GB2312" w:eastAsia="方正仿宋_GB2312" w:cs="方正仿宋_GB2312"/>
          <w:color w:val="000000"/>
          <w:sz w:val="24"/>
          <w:szCs w:val="24"/>
          <w:highlight w:val="none"/>
        </w:rPr>
        <w:t>2.4.3 进度付款申请单的提交</w:t>
      </w:r>
    </w:p>
    <w:p w14:paraId="66B25B51">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（1）单价合同进度付款申请单提交的约定：</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7408AF85">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（2）总价合同进度付款申请单提交的约定：</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46D7D2F6">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rPr>
        <w:t>（3）其他价格形式合同进度付款申请单提交的约定：</w:t>
      </w:r>
      <w:r>
        <w:rPr>
          <w:rFonts w:hint="eastAsia" w:ascii="方正仿宋_GB2312" w:hAnsi="方正仿宋_GB2312" w:eastAsia="方正仿宋_GB2312" w:cs="方正仿宋_GB2312"/>
          <w:color w:val="000000"/>
          <w:sz w:val="24"/>
          <w:szCs w:val="24"/>
          <w:highlight w:val="none"/>
          <w:u w:val="single"/>
        </w:rPr>
        <w:t xml:space="preserve">       </w:t>
      </w:r>
    </w:p>
    <w:p w14:paraId="39139B3A">
      <w:pPr>
        <w:spacing w:line="360" w:lineRule="auto"/>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4864E11B">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12.4.4 进度款审核和支付</w:t>
      </w:r>
    </w:p>
    <w:p w14:paraId="63E7FAEE">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rPr>
        <w:t>（1）监理人审查并报送发包人的期限：</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02E07420">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rPr>
        <w:t>发包人完成审批并签发进度款支付证书的期限：</w:t>
      </w:r>
      <w:r>
        <w:rPr>
          <w:rFonts w:hint="eastAsia" w:ascii="方正仿宋_GB2312" w:hAnsi="方正仿宋_GB2312" w:eastAsia="方正仿宋_GB2312" w:cs="方正仿宋_GB2312"/>
          <w:color w:val="000000"/>
          <w:sz w:val="24"/>
          <w:szCs w:val="24"/>
          <w:highlight w:val="none"/>
          <w:u w:val="single"/>
        </w:rPr>
        <w:t xml:space="preserve">           </w:t>
      </w:r>
    </w:p>
    <w:p w14:paraId="47B712A2">
      <w:pPr>
        <w:spacing w:line="360" w:lineRule="auto"/>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6283B6A1">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（2）发包人支付进度款的期限：</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6EAABA61">
      <w:pPr>
        <w:spacing w:line="360" w:lineRule="auto"/>
        <w:ind w:firstLine="600" w:firstLineChars="250"/>
        <w:jc w:val="left"/>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rPr>
        <w:t>发包人逾期支付进度款的违约金的计算方式：</w:t>
      </w:r>
      <w:r>
        <w:rPr>
          <w:rFonts w:hint="eastAsia" w:ascii="方正仿宋_GB2312" w:hAnsi="方正仿宋_GB2312" w:eastAsia="方正仿宋_GB2312" w:cs="方正仿宋_GB2312"/>
          <w:color w:val="000000"/>
          <w:sz w:val="24"/>
          <w:szCs w:val="24"/>
          <w:highlight w:val="none"/>
          <w:u w:val="single"/>
        </w:rPr>
        <w:t xml:space="preserve">            </w:t>
      </w:r>
    </w:p>
    <w:p w14:paraId="75189E88">
      <w:pPr>
        <w:spacing w:line="360" w:lineRule="auto"/>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70CE0BAE">
      <w:pPr>
        <w:spacing w:line="360" w:lineRule="auto"/>
        <w:ind w:firstLine="600" w:firstLineChars="25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12.4.6 支付分解表的编制</w:t>
      </w:r>
    </w:p>
    <w:p w14:paraId="597DC4E9">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rPr>
        <w:t>2、总价合同支付分解表的编制与审批：</w:t>
      </w:r>
      <w:r>
        <w:rPr>
          <w:rFonts w:hint="eastAsia" w:ascii="方正仿宋_GB2312" w:hAnsi="方正仿宋_GB2312" w:eastAsia="方正仿宋_GB2312" w:cs="方正仿宋_GB2312"/>
          <w:color w:val="000000"/>
          <w:sz w:val="24"/>
          <w:szCs w:val="24"/>
          <w:highlight w:val="none"/>
          <w:u w:val="single"/>
        </w:rPr>
        <w:t xml:space="preserve">                  </w:t>
      </w:r>
    </w:p>
    <w:p w14:paraId="4641BF28">
      <w:pPr>
        <w:spacing w:line="360" w:lineRule="auto"/>
        <w:ind w:left="6000" w:hanging="4800" w:hangingChars="20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191A5F15">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rPr>
        <w:t>3、单价合同的总价项目支付分解表的编制与审批：</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 xml:space="preserve">   </w:t>
      </w:r>
    </w:p>
    <w:p w14:paraId="1A21C87C">
      <w:pPr>
        <w:spacing w:line="360" w:lineRule="auto"/>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23EA3B48">
      <w:pPr>
        <w:pStyle w:val="5"/>
        <w:pageBreakBefore w:val="0"/>
        <w:widowControl w:val="0"/>
        <w:kinsoku/>
        <w:wordWrap/>
        <w:overflowPunct/>
        <w:topLinePunct w:val="0"/>
        <w:autoSpaceDE/>
        <w:autoSpaceDN/>
        <w:bidi w:val="0"/>
        <w:adjustRightInd/>
        <w:snapToGrid/>
        <w:spacing w:line="560" w:lineRule="exact"/>
        <w:ind w:left="0" w:leftChars="0" w:firstLine="480" w:firstLineChars="200"/>
        <w:textAlignment w:val="auto"/>
        <w:outlineLvl w:val="3"/>
        <w:rPr>
          <w:rFonts w:hint="eastAsia" w:ascii="方正仿宋_GB2312" w:hAnsi="方正仿宋_GB2312" w:eastAsia="方正仿宋_GB2312" w:cs="方正仿宋_GB2312"/>
          <w:b w:val="0"/>
          <w:bCs w:val="0"/>
          <w:color w:val="000000"/>
          <w:kern w:val="2"/>
          <w:sz w:val="24"/>
          <w:szCs w:val="24"/>
          <w:highlight w:val="none"/>
          <w:lang w:val="en-US" w:eastAsia="zh-CN" w:bidi="ar-SA"/>
        </w:rPr>
      </w:pPr>
      <w:bookmarkStart w:id="1082" w:name="_Toc1207"/>
      <w:bookmarkStart w:id="1083" w:name="_Toc12433"/>
      <w:r>
        <w:rPr>
          <w:rFonts w:hint="eastAsia" w:ascii="方正仿宋_GB2312" w:hAnsi="方正仿宋_GB2312" w:eastAsia="方正仿宋_GB2312" w:cs="方正仿宋_GB2312"/>
          <w:b w:val="0"/>
          <w:bCs w:val="0"/>
          <w:color w:val="000000"/>
          <w:kern w:val="2"/>
          <w:sz w:val="24"/>
          <w:szCs w:val="24"/>
          <w:highlight w:val="none"/>
          <w:lang w:val="en-US" w:eastAsia="zh-CN" w:bidi="ar-SA"/>
        </w:rPr>
        <w:t>12.6 施工过程结算</w:t>
      </w:r>
      <w:bookmarkEnd w:id="1082"/>
      <w:bookmarkEnd w:id="1083"/>
    </w:p>
    <w:p w14:paraId="167DE05F">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lang w:val="en-US" w:eastAsia="zh-CN"/>
        </w:rPr>
      </w:pPr>
      <w:r>
        <w:rPr>
          <w:rFonts w:hint="eastAsia" w:ascii="方正仿宋_GB2312" w:hAnsi="方正仿宋_GB2312" w:eastAsia="方正仿宋_GB2312" w:cs="方正仿宋_GB2312"/>
          <w:color w:val="000000"/>
          <w:sz w:val="24"/>
          <w:szCs w:val="24"/>
          <w:highlight w:val="none"/>
          <w:lang w:val="en-US" w:eastAsia="zh-CN"/>
        </w:rPr>
        <w:t>12.6.1 过程结算周期（节点）</w:t>
      </w:r>
    </w:p>
    <w:p w14:paraId="47B2C0AE">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方正仿宋_GB2312" w:hAnsi="方正仿宋_GB2312" w:eastAsia="方正仿宋_GB2312" w:cs="方正仿宋_GB2312"/>
          <w:color w:val="auto"/>
          <w:sz w:val="24"/>
          <w:szCs w:val="24"/>
          <w:highlight w:val="none"/>
          <w:u w:val="single"/>
          <w:lang w:val="en-US" w:eastAsia="zh-CN"/>
        </w:rPr>
      </w:pPr>
      <w:r>
        <w:rPr>
          <w:rFonts w:hint="eastAsia" w:ascii="方正仿宋_GB2312" w:hAnsi="方正仿宋_GB2312" w:eastAsia="方正仿宋_GB2312" w:cs="方正仿宋_GB2312"/>
          <w:color w:val="auto"/>
          <w:sz w:val="24"/>
          <w:szCs w:val="24"/>
          <w:highlight w:val="none"/>
          <w:u w:val="none"/>
          <w:lang w:val="en-US" w:eastAsia="zh-CN"/>
        </w:rPr>
        <w:t>关于施工过程结算周期（节点）划分的约定：</w:t>
      </w:r>
      <w:r>
        <w:rPr>
          <w:rFonts w:hint="eastAsia" w:ascii="方正仿宋_GB2312" w:hAnsi="方正仿宋_GB2312" w:eastAsia="方正仿宋_GB2312" w:cs="方正仿宋_GB2312"/>
          <w:color w:val="auto"/>
          <w:sz w:val="24"/>
          <w:szCs w:val="24"/>
          <w:highlight w:val="none"/>
          <w:u w:val="single"/>
          <w:lang w:val="en-US" w:eastAsia="zh-CN"/>
        </w:rPr>
        <w:t xml:space="preserve">                       </w:t>
      </w:r>
    </w:p>
    <w:p w14:paraId="24A67CC6">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val="0"/>
          <w:color w:val="000000"/>
          <w:sz w:val="24"/>
          <w:szCs w:val="24"/>
          <w:highlight w:val="none"/>
          <w:u w:val="none"/>
          <w:lang w:val="en-US" w:eastAsia="zh-CN"/>
        </w:rPr>
      </w:pPr>
      <w:r>
        <w:rPr>
          <w:rFonts w:hint="eastAsia" w:ascii="方正仿宋_GB2312" w:hAnsi="方正仿宋_GB2312" w:eastAsia="方正仿宋_GB2312" w:cs="方正仿宋_GB2312"/>
          <w:color w:val="auto"/>
          <w:sz w:val="24"/>
          <w:szCs w:val="24"/>
          <w:highlight w:val="none"/>
          <w:u w:val="single"/>
          <w:lang w:val="en-US" w:eastAsia="zh-CN"/>
        </w:rPr>
        <w:t xml:space="preserve">                                                         </w:t>
      </w:r>
      <w:r>
        <w:rPr>
          <w:rFonts w:hint="eastAsia" w:ascii="方正仿宋_GB2312" w:hAnsi="方正仿宋_GB2312" w:eastAsia="方正仿宋_GB2312" w:cs="方正仿宋_GB2312"/>
          <w:color w:val="auto"/>
          <w:sz w:val="24"/>
          <w:szCs w:val="24"/>
          <w:highlight w:val="none"/>
        </w:rPr>
        <w:t>。</w:t>
      </w:r>
    </w:p>
    <w:p w14:paraId="304D227D">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lang w:val="en-US" w:eastAsia="zh-CN"/>
        </w:rPr>
      </w:pPr>
      <w:r>
        <w:rPr>
          <w:rFonts w:hint="eastAsia" w:ascii="方正仿宋_GB2312" w:hAnsi="方正仿宋_GB2312" w:eastAsia="方正仿宋_GB2312" w:cs="方正仿宋_GB2312"/>
          <w:color w:val="000000"/>
          <w:sz w:val="24"/>
          <w:szCs w:val="24"/>
          <w:highlight w:val="none"/>
          <w:lang w:val="en-US" w:eastAsia="zh-CN"/>
        </w:rPr>
        <w:t>12.6.2 过程结算计量与计价</w:t>
      </w:r>
    </w:p>
    <w:p w14:paraId="13607E39">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方正仿宋_GB2312" w:hAnsi="方正仿宋_GB2312" w:eastAsia="方正仿宋_GB2312" w:cs="方正仿宋_GB2312"/>
          <w:b w:val="0"/>
          <w:bCs w:val="0"/>
          <w:sz w:val="24"/>
          <w:szCs w:val="24"/>
          <w:highlight w:val="none"/>
          <w:u w:val="none"/>
          <w:lang w:val="en-US" w:eastAsia="zh-CN"/>
        </w:rPr>
      </w:pPr>
      <w:r>
        <w:rPr>
          <w:rFonts w:hint="eastAsia" w:ascii="方正仿宋_GB2312" w:hAnsi="方正仿宋_GB2312" w:eastAsia="方正仿宋_GB2312" w:cs="方正仿宋_GB2312"/>
          <w:b w:val="0"/>
          <w:bCs w:val="0"/>
          <w:color w:val="auto"/>
          <w:sz w:val="24"/>
          <w:szCs w:val="24"/>
          <w:highlight w:val="none"/>
          <w:u w:val="none"/>
          <w:lang w:val="en-US" w:eastAsia="zh-CN"/>
        </w:rPr>
        <w:t>关于施工过程结算计量计价的约定：</w:t>
      </w:r>
    </w:p>
    <w:p w14:paraId="38747FB5">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方正仿宋_GB2312" w:hAnsi="方正仿宋_GB2312" w:eastAsia="方正仿宋_GB2312" w:cs="方正仿宋_GB2312"/>
          <w:b w:val="0"/>
          <w:bCs w:val="0"/>
          <w:sz w:val="24"/>
          <w:szCs w:val="24"/>
          <w:highlight w:val="none"/>
          <w:u w:val="single"/>
          <w:lang w:val="en-US" w:eastAsia="zh-CN"/>
        </w:rPr>
      </w:pPr>
      <w:r>
        <w:rPr>
          <w:rFonts w:hint="eastAsia" w:ascii="方正仿宋_GB2312" w:hAnsi="方正仿宋_GB2312" w:eastAsia="方正仿宋_GB2312" w:cs="方正仿宋_GB2312"/>
          <w:b w:val="0"/>
          <w:bCs w:val="0"/>
          <w:sz w:val="24"/>
          <w:szCs w:val="24"/>
          <w:highlight w:val="none"/>
          <w:u w:val="none"/>
          <w:lang w:val="en-US" w:eastAsia="zh-CN"/>
        </w:rPr>
        <w:t>（1）分阶段对质量合格的已完成分部分项工程和单价措施项目进行价款结算（含价差调整、变更、签证、索赔等）的约定：</w:t>
      </w:r>
      <w:r>
        <w:rPr>
          <w:rFonts w:hint="eastAsia" w:ascii="方正仿宋_GB2312" w:hAnsi="方正仿宋_GB2312" w:eastAsia="方正仿宋_GB2312" w:cs="方正仿宋_GB2312"/>
          <w:b w:val="0"/>
          <w:bCs w:val="0"/>
          <w:sz w:val="24"/>
          <w:szCs w:val="24"/>
          <w:highlight w:val="none"/>
          <w:u w:val="single"/>
          <w:lang w:val="en-US" w:eastAsia="zh-CN"/>
        </w:rPr>
        <w:t xml:space="preserve">                                            </w:t>
      </w:r>
    </w:p>
    <w:p w14:paraId="02174D2B">
      <w:pPr>
        <w:keepNext w:val="0"/>
        <w:keepLines w:val="0"/>
        <w:pageBreakBefore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方正仿宋_GB2312" w:hAnsi="方正仿宋_GB2312" w:eastAsia="方正仿宋_GB2312" w:cs="方正仿宋_GB2312"/>
          <w:b w:val="0"/>
          <w:bCs w:val="0"/>
          <w:sz w:val="24"/>
          <w:szCs w:val="24"/>
          <w:highlight w:val="none"/>
          <w:u w:val="single"/>
          <w:lang w:val="en-US" w:eastAsia="zh-CN"/>
        </w:rPr>
      </w:pPr>
      <w:r>
        <w:rPr>
          <w:rFonts w:hint="eastAsia" w:ascii="方正仿宋_GB2312" w:hAnsi="方正仿宋_GB2312" w:eastAsia="方正仿宋_GB2312" w:cs="方正仿宋_GB2312"/>
          <w:b w:val="0"/>
          <w:bCs w:val="0"/>
          <w:sz w:val="24"/>
          <w:szCs w:val="24"/>
          <w:highlight w:val="none"/>
          <w:u w:val="single"/>
          <w:lang w:val="en-US" w:eastAsia="zh-CN"/>
        </w:rPr>
        <w:t xml:space="preserve">                                                         </w:t>
      </w:r>
      <w:r>
        <w:rPr>
          <w:rFonts w:hint="eastAsia" w:ascii="方正仿宋_GB2312" w:hAnsi="方正仿宋_GB2312" w:eastAsia="方正仿宋_GB2312" w:cs="方正仿宋_GB2312"/>
          <w:color w:val="000000"/>
          <w:sz w:val="24"/>
          <w:szCs w:val="24"/>
          <w:highlight w:val="none"/>
        </w:rPr>
        <w:t>。</w:t>
      </w:r>
    </w:p>
    <w:p w14:paraId="697692E8">
      <w:pPr>
        <w:keepNext w:val="0"/>
        <w:keepLines w:val="0"/>
        <w:pageBreakBefore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方正仿宋_GB2312" w:hAnsi="方正仿宋_GB2312" w:eastAsia="方正仿宋_GB2312" w:cs="方正仿宋_GB2312"/>
          <w:b w:val="0"/>
          <w:bCs w:val="0"/>
          <w:color w:val="auto"/>
          <w:sz w:val="24"/>
          <w:szCs w:val="24"/>
          <w:highlight w:val="none"/>
          <w:u w:val="none"/>
          <w:lang w:val="en-US" w:eastAsia="zh-CN"/>
        </w:rPr>
      </w:pPr>
      <w:r>
        <w:rPr>
          <w:rFonts w:hint="eastAsia" w:ascii="方正仿宋_GB2312" w:hAnsi="方正仿宋_GB2312" w:eastAsia="方正仿宋_GB2312" w:cs="方正仿宋_GB2312"/>
          <w:b w:val="0"/>
          <w:bCs w:val="0"/>
          <w:sz w:val="24"/>
          <w:szCs w:val="24"/>
          <w:highlight w:val="none"/>
          <w:u w:val="none"/>
          <w:lang w:val="en-US" w:eastAsia="zh-CN"/>
        </w:rPr>
        <w:t>（2）</w:t>
      </w:r>
      <w:r>
        <w:rPr>
          <w:rFonts w:hint="eastAsia" w:ascii="方正仿宋_GB2312" w:hAnsi="方正仿宋_GB2312" w:eastAsia="方正仿宋_GB2312" w:cs="方正仿宋_GB2312"/>
          <w:b w:val="0"/>
          <w:bCs w:val="0"/>
          <w:color w:val="auto"/>
          <w:sz w:val="24"/>
          <w:szCs w:val="24"/>
          <w:highlight w:val="none"/>
          <w:u w:val="none"/>
          <w:lang w:val="en-US" w:eastAsia="zh-CN"/>
        </w:rPr>
        <w:t>总价措施项目费的过程结算，采用以下第</w:t>
      </w:r>
      <w:r>
        <w:rPr>
          <w:rFonts w:hint="eastAsia" w:ascii="方正仿宋_GB2312" w:hAnsi="方正仿宋_GB2312" w:eastAsia="方正仿宋_GB2312" w:cs="方正仿宋_GB2312"/>
          <w:b w:val="0"/>
          <w:bCs w:val="0"/>
          <w:color w:val="auto"/>
          <w:sz w:val="24"/>
          <w:szCs w:val="24"/>
          <w:highlight w:val="none"/>
          <w:u w:val="single"/>
          <w:lang w:val="en-US" w:eastAsia="zh-CN"/>
        </w:rPr>
        <w:t xml:space="preserve">   </w:t>
      </w:r>
      <w:r>
        <w:rPr>
          <w:rFonts w:hint="eastAsia" w:ascii="方正仿宋_GB2312" w:hAnsi="方正仿宋_GB2312" w:eastAsia="方正仿宋_GB2312" w:cs="方正仿宋_GB2312"/>
          <w:b w:val="0"/>
          <w:bCs w:val="0"/>
          <w:color w:val="auto"/>
          <w:sz w:val="24"/>
          <w:szCs w:val="24"/>
          <w:highlight w:val="none"/>
          <w:u w:val="none"/>
          <w:lang w:val="en-US" w:eastAsia="zh-CN"/>
        </w:rPr>
        <w:t>种方式对总价措施项目进行过程结算：</w:t>
      </w:r>
    </w:p>
    <w:p w14:paraId="15593629">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方正仿宋_GB2312" w:hAnsi="方正仿宋_GB2312" w:eastAsia="方正仿宋_GB2312" w:cs="方正仿宋_GB2312"/>
          <w:sz w:val="24"/>
          <w:szCs w:val="24"/>
          <w:highlight w:val="none"/>
          <w:u w:val="none"/>
          <w:lang w:val="en-US" w:eastAsia="zh-CN"/>
        </w:rPr>
      </w:pPr>
      <w:r>
        <w:rPr>
          <w:rFonts w:hint="eastAsia" w:ascii="方正仿宋_GB2312" w:hAnsi="方正仿宋_GB2312" w:eastAsia="方正仿宋_GB2312" w:cs="方正仿宋_GB2312"/>
          <w:b w:val="0"/>
          <w:bCs w:val="0"/>
          <w:sz w:val="24"/>
          <w:szCs w:val="24"/>
          <w:highlight w:val="none"/>
          <w:u w:val="none"/>
          <w:lang w:val="en-US" w:eastAsia="zh-CN"/>
        </w:rPr>
        <w:t>第1种方式</w:t>
      </w:r>
      <w:r>
        <w:rPr>
          <w:rFonts w:hint="eastAsia" w:ascii="方正仿宋_GB2312" w:hAnsi="方正仿宋_GB2312" w:eastAsia="方正仿宋_GB2312" w:cs="方正仿宋_GB2312"/>
          <w:sz w:val="24"/>
          <w:szCs w:val="24"/>
          <w:highlight w:val="none"/>
          <w:u w:val="none"/>
          <w:lang w:val="en-US" w:eastAsia="zh-CN"/>
        </w:rPr>
        <w:t>：按当期已完成分部分项工程费占全部分部分项工程费的比例计算；</w:t>
      </w:r>
    </w:p>
    <w:p w14:paraId="4E730276">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方正仿宋_GB2312" w:hAnsi="方正仿宋_GB2312" w:eastAsia="方正仿宋_GB2312" w:cs="方正仿宋_GB2312"/>
          <w:sz w:val="24"/>
          <w:szCs w:val="24"/>
          <w:highlight w:val="none"/>
          <w:u w:val="none"/>
          <w:lang w:val="en-US" w:eastAsia="zh-CN"/>
        </w:rPr>
      </w:pPr>
      <w:r>
        <w:rPr>
          <w:rFonts w:hint="eastAsia" w:ascii="方正仿宋_GB2312" w:hAnsi="方正仿宋_GB2312" w:eastAsia="方正仿宋_GB2312" w:cs="方正仿宋_GB2312"/>
          <w:b w:val="0"/>
          <w:bCs w:val="0"/>
          <w:sz w:val="24"/>
          <w:szCs w:val="24"/>
          <w:highlight w:val="none"/>
          <w:u w:val="none"/>
          <w:lang w:val="en-US" w:eastAsia="zh-CN"/>
        </w:rPr>
        <w:t>第2种方</w:t>
      </w:r>
      <w:r>
        <w:rPr>
          <w:rFonts w:hint="eastAsia" w:ascii="方正仿宋_GB2312" w:hAnsi="方正仿宋_GB2312" w:eastAsia="方正仿宋_GB2312" w:cs="方正仿宋_GB2312"/>
          <w:sz w:val="24"/>
          <w:szCs w:val="24"/>
          <w:highlight w:val="none"/>
          <w:u w:val="none"/>
          <w:lang w:val="en-US" w:eastAsia="zh-CN"/>
        </w:rPr>
        <w:t>式：按当期已完成工程内容对应金额计算；</w:t>
      </w:r>
    </w:p>
    <w:p w14:paraId="5D8FAF8D">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方正仿宋_GB2312" w:hAnsi="方正仿宋_GB2312" w:eastAsia="方正仿宋_GB2312" w:cs="方正仿宋_GB2312"/>
          <w:sz w:val="24"/>
          <w:szCs w:val="24"/>
          <w:highlight w:val="none"/>
          <w:u w:val="none"/>
          <w:lang w:val="en-US" w:eastAsia="zh-CN"/>
        </w:rPr>
      </w:pPr>
      <w:r>
        <w:rPr>
          <w:rFonts w:hint="eastAsia" w:ascii="方正仿宋_GB2312" w:hAnsi="方正仿宋_GB2312" w:eastAsia="方正仿宋_GB2312" w:cs="方正仿宋_GB2312"/>
          <w:sz w:val="24"/>
          <w:szCs w:val="24"/>
          <w:highlight w:val="none"/>
          <w:u w:val="none"/>
          <w:lang w:val="en-US" w:eastAsia="zh-CN"/>
        </w:rPr>
        <w:t>第</w:t>
      </w:r>
      <w:r>
        <w:rPr>
          <w:rFonts w:hint="eastAsia" w:ascii="方正仿宋_GB2312" w:hAnsi="方正仿宋_GB2312" w:eastAsia="方正仿宋_GB2312" w:cs="方正仿宋_GB2312"/>
          <w:b w:val="0"/>
          <w:bCs w:val="0"/>
          <w:sz w:val="24"/>
          <w:szCs w:val="24"/>
          <w:highlight w:val="none"/>
          <w:u w:val="none"/>
          <w:lang w:val="en-US" w:eastAsia="zh-CN"/>
        </w:rPr>
        <w:t>3种方</w:t>
      </w:r>
      <w:r>
        <w:rPr>
          <w:rFonts w:hint="eastAsia" w:ascii="方正仿宋_GB2312" w:hAnsi="方正仿宋_GB2312" w:eastAsia="方正仿宋_GB2312" w:cs="方正仿宋_GB2312"/>
          <w:sz w:val="24"/>
          <w:szCs w:val="24"/>
          <w:highlight w:val="none"/>
          <w:u w:val="none"/>
          <w:lang w:val="en-US" w:eastAsia="zh-CN"/>
        </w:rPr>
        <w:t>式：其他过程结算方式：</w:t>
      </w:r>
      <w:r>
        <w:rPr>
          <w:rFonts w:hint="eastAsia" w:ascii="方正仿宋_GB2312" w:hAnsi="方正仿宋_GB2312" w:eastAsia="方正仿宋_GB2312" w:cs="方正仿宋_GB2312"/>
          <w:sz w:val="24"/>
          <w:szCs w:val="24"/>
          <w:highlight w:val="none"/>
          <w:u w:val="single"/>
          <w:lang w:val="en-US" w:eastAsia="zh-CN"/>
        </w:rPr>
        <w:t xml:space="preserve">                                                </w:t>
      </w:r>
    </w:p>
    <w:p w14:paraId="531E2A78">
      <w:pPr>
        <w:keepNext w:val="0"/>
        <w:keepLines w:val="0"/>
        <w:pageBreakBefore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方正仿宋_GB2312" w:hAnsi="方正仿宋_GB2312" w:eastAsia="方正仿宋_GB2312" w:cs="方正仿宋_GB2312"/>
          <w:sz w:val="24"/>
          <w:szCs w:val="24"/>
          <w:highlight w:val="none"/>
          <w:u w:val="none"/>
          <w:lang w:val="en-US" w:eastAsia="zh-CN"/>
        </w:rPr>
      </w:pP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color w:val="000000"/>
          <w:sz w:val="24"/>
          <w:szCs w:val="24"/>
          <w:highlight w:val="none"/>
        </w:rPr>
        <w:t>。</w:t>
      </w:r>
      <w:r>
        <w:rPr>
          <w:rFonts w:hint="eastAsia" w:ascii="方正仿宋_GB2312" w:hAnsi="方正仿宋_GB2312" w:eastAsia="方正仿宋_GB2312" w:cs="方正仿宋_GB2312"/>
          <w:sz w:val="24"/>
          <w:szCs w:val="24"/>
          <w:highlight w:val="none"/>
          <w:u w:val="none"/>
          <w:lang w:val="en-US" w:eastAsia="zh-CN"/>
        </w:rPr>
        <w:t xml:space="preserve">  </w:t>
      </w:r>
    </w:p>
    <w:p w14:paraId="2CEF3EA7">
      <w:pPr>
        <w:pageBreakBefore w:val="0"/>
        <w:widowControl/>
        <w:numPr>
          <w:ilvl w:val="0"/>
          <w:numId w:val="0"/>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方正仿宋_GB2312" w:hAnsi="方正仿宋_GB2312" w:eastAsia="方正仿宋_GB2312" w:cs="方正仿宋_GB2312"/>
          <w:color w:val="auto"/>
          <w:sz w:val="24"/>
          <w:szCs w:val="24"/>
          <w:highlight w:val="none"/>
          <w:u w:val="none"/>
          <w:lang w:val="en-US" w:eastAsia="zh-CN"/>
        </w:rPr>
      </w:pPr>
      <w:r>
        <w:rPr>
          <w:rFonts w:hint="eastAsia" w:ascii="方正仿宋_GB2312" w:hAnsi="方正仿宋_GB2312" w:eastAsia="方正仿宋_GB2312" w:cs="方正仿宋_GB2312"/>
          <w:b w:val="0"/>
          <w:bCs w:val="0"/>
          <w:sz w:val="24"/>
          <w:szCs w:val="24"/>
          <w:highlight w:val="none"/>
          <w:u w:val="none"/>
          <w:lang w:val="en-US" w:eastAsia="zh-CN"/>
        </w:rPr>
        <w:t>（3）</w:t>
      </w:r>
      <w:r>
        <w:rPr>
          <w:rFonts w:hint="eastAsia" w:ascii="方正仿宋_GB2312" w:hAnsi="方正仿宋_GB2312" w:eastAsia="方正仿宋_GB2312" w:cs="方正仿宋_GB2312"/>
          <w:b w:val="0"/>
          <w:bCs w:val="0"/>
          <w:kern w:val="2"/>
          <w:sz w:val="24"/>
          <w:szCs w:val="24"/>
          <w:highlight w:val="none"/>
          <w:lang w:val="en-US" w:eastAsia="zh-CN" w:bidi="ar-SA"/>
        </w:rPr>
        <w:t>其他项目费的过程结算</w:t>
      </w:r>
      <w:r>
        <w:rPr>
          <w:rFonts w:hint="eastAsia" w:ascii="方正仿宋_GB2312" w:hAnsi="方正仿宋_GB2312" w:eastAsia="方正仿宋_GB2312" w:cs="方正仿宋_GB2312"/>
          <w:b w:val="0"/>
          <w:bCs w:val="0"/>
          <w:color w:val="auto"/>
          <w:sz w:val="24"/>
          <w:szCs w:val="24"/>
          <w:highlight w:val="none"/>
          <w:u w:val="none"/>
          <w:lang w:val="en-US" w:eastAsia="zh-CN"/>
        </w:rPr>
        <w:t>方式：</w:t>
      </w:r>
      <w:r>
        <w:rPr>
          <w:rFonts w:hint="eastAsia" w:ascii="方正仿宋_GB2312" w:hAnsi="方正仿宋_GB2312" w:eastAsia="方正仿宋_GB2312" w:cs="方正仿宋_GB2312"/>
          <w:color w:val="auto"/>
          <w:sz w:val="24"/>
          <w:szCs w:val="24"/>
          <w:highlight w:val="none"/>
          <w:u w:val="single"/>
          <w:lang w:val="en-US" w:eastAsia="zh-CN"/>
        </w:rPr>
        <w:t xml:space="preserve">                                                </w:t>
      </w:r>
    </w:p>
    <w:p w14:paraId="7E1E5758">
      <w:pPr>
        <w:pageBreakBefore w:val="0"/>
        <w:widowControl/>
        <w:numPr>
          <w:ilvl w:val="0"/>
          <w:numId w:val="0"/>
        </w:numPr>
        <w:kinsoku/>
        <w:wordWrap/>
        <w:overflowPunct/>
        <w:topLinePunct w:val="0"/>
        <w:autoSpaceDE/>
        <w:autoSpaceDN/>
        <w:bidi w:val="0"/>
        <w:adjustRightInd/>
        <w:snapToGrid/>
        <w:spacing w:line="560" w:lineRule="exact"/>
        <w:ind w:left="0" w:leftChars="0"/>
        <w:jc w:val="left"/>
        <w:textAlignment w:val="auto"/>
        <w:rPr>
          <w:rFonts w:hint="eastAsia" w:ascii="方正仿宋_GB2312" w:hAnsi="方正仿宋_GB2312" w:eastAsia="方正仿宋_GB2312" w:cs="方正仿宋_GB2312"/>
          <w:color w:val="auto"/>
          <w:sz w:val="24"/>
          <w:szCs w:val="24"/>
          <w:highlight w:val="none"/>
          <w:u w:val="single"/>
          <w:lang w:val="en-US" w:eastAsia="zh-CN"/>
        </w:rPr>
      </w:pPr>
      <w:r>
        <w:rPr>
          <w:rFonts w:hint="eastAsia" w:ascii="方正仿宋_GB2312" w:hAnsi="方正仿宋_GB2312" w:eastAsia="方正仿宋_GB2312" w:cs="方正仿宋_GB2312"/>
          <w:color w:val="auto"/>
          <w:sz w:val="24"/>
          <w:szCs w:val="24"/>
          <w:highlight w:val="none"/>
          <w:u w:val="single"/>
          <w:lang w:val="en-US" w:eastAsia="zh-CN"/>
        </w:rPr>
        <w:t xml:space="preserve">                                                        </w:t>
      </w:r>
      <w:r>
        <w:rPr>
          <w:rFonts w:hint="eastAsia" w:ascii="方正仿宋_GB2312" w:hAnsi="方正仿宋_GB2312" w:eastAsia="方正仿宋_GB2312" w:cs="方正仿宋_GB2312"/>
          <w:color w:val="000000"/>
          <w:sz w:val="24"/>
          <w:szCs w:val="24"/>
          <w:highlight w:val="none"/>
        </w:rPr>
        <w:t>。</w:t>
      </w:r>
    </w:p>
    <w:p w14:paraId="3F922AC4">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lang w:val="en-US" w:eastAsia="zh-CN"/>
        </w:rPr>
      </w:pPr>
      <w:r>
        <w:rPr>
          <w:rFonts w:hint="eastAsia" w:ascii="方正仿宋_GB2312" w:hAnsi="方正仿宋_GB2312" w:eastAsia="方正仿宋_GB2312" w:cs="方正仿宋_GB2312"/>
          <w:color w:val="000000"/>
          <w:sz w:val="24"/>
          <w:szCs w:val="24"/>
          <w:highlight w:val="none"/>
          <w:lang w:val="en-US" w:eastAsia="zh-CN"/>
        </w:rPr>
        <w:t>12.6.3 过程结算申请与资料</w:t>
      </w:r>
    </w:p>
    <w:p w14:paraId="5CE4CEC0">
      <w:pPr>
        <w:spacing w:line="560" w:lineRule="exact"/>
        <w:ind w:firstLine="480" w:firstLineChars="200"/>
        <w:rPr>
          <w:rFonts w:hint="eastAsia" w:ascii="方正仿宋_GB2312" w:hAnsi="方正仿宋_GB2312" w:eastAsia="方正仿宋_GB2312" w:cs="方正仿宋_GB2312"/>
          <w:sz w:val="24"/>
          <w:szCs w:val="24"/>
          <w:highlight w:val="none"/>
          <w:u w:val="none"/>
          <w:lang w:val="en-US"/>
        </w:rPr>
      </w:pPr>
      <w:r>
        <w:rPr>
          <w:rFonts w:hint="eastAsia" w:ascii="方正仿宋_GB2312" w:hAnsi="方正仿宋_GB2312" w:eastAsia="方正仿宋_GB2312" w:cs="方正仿宋_GB2312"/>
          <w:sz w:val="24"/>
          <w:szCs w:val="24"/>
          <w:highlight w:val="none"/>
          <w:u w:val="none"/>
        </w:rPr>
        <w:t>施工过程结算节点工程验收合格后</w:t>
      </w:r>
      <w:r>
        <w:rPr>
          <w:rFonts w:hint="eastAsia" w:ascii="方正仿宋_GB2312" w:hAnsi="方正仿宋_GB2312" w:eastAsia="方正仿宋_GB2312" w:cs="方正仿宋_GB2312"/>
          <w:sz w:val="24"/>
          <w:szCs w:val="24"/>
          <w:highlight w:val="none"/>
          <w:u w:val="none"/>
          <w:lang w:eastAsia="zh-CN"/>
        </w:rPr>
        <w:t>，</w:t>
      </w:r>
      <w:r>
        <w:rPr>
          <w:rFonts w:hint="eastAsia" w:ascii="方正仿宋_GB2312" w:hAnsi="方正仿宋_GB2312" w:eastAsia="方正仿宋_GB2312" w:cs="方正仿宋_GB2312"/>
          <w:sz w:val="24"/>
          <w:szCs w:val="24"/>
          <w:highlight w:val="none"/>
          <w:u w:val="none"/>
        </w:rPr>
        <w:t>承包人</w:t>
      </w:r>
      <w:r>
        <w:rPr>
          <w:rFonts w:hint="eastAsia" w:ascii="方正仿宋_GB2312" w:hAnsi="方正仿宋_GB2312" w:eastAsia="方正仿宋_GB2312" w:cs="方正仿宋_GB2312"/>
          <w:sz w:val="24"/>
          <w:szCs w:val="24"/>
          <w:highlight w:val="none"/>
          <w:u w:val="none"/>
          <w:lang w:eastAsia="zh-CN"/>
        </w:rPr>
        <w:t>应在</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none"/>
          <w:lang w:val="en-US" w:eastAsia="zh-CN"/>
        </w:rPr>
        <w:t>日内向发包人</w:t>
      </w:r>
      <w:r>
        <w:rPr>
          <w:rFonts w:hint="eastAsia" w:ascii="方正仿宋_GB2312" w:hAnsi="方正仿宋_GB2312" w:eastAsia="方正仿宋_GB2312" w:cs="方正仿宋_GB2312"/>
          <w:sz w:val="24"/>
          <w:szCs w:val="24"/>
          <w:highlight w:val="none"/>
          <w:u w:val="none"/>
        </w:rPr>
        <w:t>提交</w:t>
      </w:r>
      <w:r>
        <w:rPr>
          <w:rFonts w:hint="eastAsia" w:ascii="方正仿宋_GB2312" w:hAnsi="方正仿宋_GB2312" w:eastAsia="方正仿宋_GB2312" w:cs="方正仿宋_GB2312"/>
          <w:sz w:val="24"/>
          <w:szCs w:val="24"/>
          <w:highlight w:val="none"/>
          <w:u w:val="none"/>
          <w:lang w:eastAsia="zh-CN"/>
        </w:rPr>
        <w:t>施工过程</w:t>
      </w:r>
      <w:r>
        <w:rPr>
          <w:rFonts w:hint="eastAsia" w:ascii="方正仿宋_GB2312" w:hAnsi="方正仿宋_GB2312" w:eastAsia="方正仿宋_GB2312" w:cs="方正仿宋_GB2312"/>
          <w:sz w:val="24"/>
          <w:szCs w:val="24"/>
          <w:highlight w:val="none"/>
          <w:u w:val="none"/>
        </w:rPr>
        <w:t>结算申请</w:t>
      </w:r>
      <w:r>
        <w:rPr>
          <w:rFonts w:hint="eastAsia" w:ascii="方正仿宋_GB2312" w:hAnsi="方正仿宋_GB2312" w:eastAsia="方正仿宋_GB2312" w:cs="方正仿宋_GB2312"/>
          <w:sz w:val="24"/>
          <w:szCs w:val="24"/>
          <w:highlight w:val="none"/>
          <w:u w:val="none"/>
          <w:lang w:eastAsia="zh-CN"/>
        </w:rPr>
        <w:t>单，并提交施工过程结算资料，</w:t>
      </w:r>
      <w:r>
        <w:rPr>
          <w:rFonts w:hint="eastAsia" w:ascii="方正仿宋_GB2312" w:hAnsi="方正仿宋_GB2312" w:eastAsia="方正仿宋_GB2312" w:cs="方正仿宋_GB2312"/>
          <w:sz w:val="24"/>
          <w:szCs w:val="24"/>
          <w:highlight w:val="none"/>
        </w:rPr>
        <w:t>包括</w:t>
      </w:r>
      <w:r>
        <w:rPr>
          <w:rFonts w:hint="eastAsia" w:ascii="方正仿宋_GB2312" w:hAnsi="方正仿宋_GB2312" w:eastAsia="方正仿宋_GB2312" w:cs="方正仿宋_GB2312"/>
          <w:sz w:val="24"/>
          <w:szCs w:val="24"/>
          <w:highlight w:val="none"/>
          <w:lang w:eastAsia="zh-CN"/>
        </w:rPr>
        <w:t>（</w:t>
      </w:r>
      <w:r>
        <w:rPr>
          <w:rFonts w:hint="eastAsia" w:ascii="方正仿宋_GB2312" w:hAnsi="方正仿宋_GB2312" w:eastAsia="方正仿宋_GB2312" w:cs="方正仿宋_GB2312"/>
          <w:sz w:val="24"/>
          <w:szCs w:val="24"/>
          <w:highlight w:val="none"/>
        </w:rPr>
        <w:t>但不限于施工合同、补充协议、施工图纸、施工方案</w:t>
      </w:r>
      <w:r>
        <w:rPr>
          <w:rFonts w:hint="eastAsia" w:ascii="方正仿宋_GB2312" w:hAnsi="方正仿宋_GB2312" w:eastAsia="方正仿宋_GB2312" w:cs="方正仿宋_GB2312"/>
          <w:sz w:val="24"/>
          <w:szCs w:val="24"/>
          <w:highlight w:val="none"/>
          <w:lang w:eastAsia="zh-CN"/>
        </w:rPr>
        <w:t>、</w:t>
      </w:r>
      <w:r>
        <w:rPr>
          <w:rFonts w:hint="eastAsia" w:ascii="方正仿宋_GB2312" w:hAnsi="方正仿宋_GB2312" w:eastAsia="方正仿宋_GB2312" w:cs="方正仿宋_GB2312"/>
          <w:b w:val="0"/>
          <w:bCs w:val="0"/>
          <w:sz w:val="24"/>
          <w:szCs w:val="24"/>
          <w:highlight w:val="none"/>
        </w:rPr>
        <w:t>工程量计算依据、单价及费用计价依据</w:t>
      </w:r>
      <w:r>
        <w:rPr>
          <w:rFonts w:hint="eastAsia" w:ascii="方正仿宋_GB2312" w:hAnsi="方正仿宋_GB2312" w:eastAsia="方正仿宋_GB2312" w:cs="方正仿宋_GB2312"/>
          <w:sz w:val="24"/>
          <w:szCs w:val="24"/>
          <w:highlight w:val="none"/>
        </w:rPr>
        <w:t>以及经确认的工程变更、现场签证、工程索赔</w:t>
      </w:r>
      <w:r>
        <w:rPr>
          <w:rFonts w:hint="eastAsia" w:ascii="方正仿宋_GB2312" w:hAnsi="方正仿宋_GB2312" w:eastAsia="方正仿宋_GB2312" w:cs="方正仿宋_GB2312"/>
          <w:sz w:val="24"/>
          <w:szCs w:val="24"/>
          <w:highlight w:val="none"/>
          <w:lang w:eastAsia="zh-CN"/>
        </w:rPr>
        <w:t>）</w:t>
      </w:r>
      <w:r>
        <w:rPr>
          <w:rFonts w:hint="eastAsia" w:ascii="方正仿宋_GB2312" w:hAnsi="方正仿宋_GB2312" w:eastAsia="方正仿宋_GB2312" w:cs="方正仿宋_GB2312"/>
          <w:sz w:val="24"/>
          <w:szCs w:val="24"/>
          <w:highlight w:val="none"/>
          <w:u w:val="none"/>
        </w:rPr>
        <w:t>：</w:t>
      </w:r>
      <w:r>
        <w:rPr>
          <w:rFonts w:hint="eastAsia" w:ascii="方正仿宋_GB2312" w:hAnsi="方正仿宋_GB2312" w:eastAsia="方正仿宋_GB2312" w:cs="方正仿宋_GB2312"/>
          <w:sz w:val="24"/>
          <w:szCs w:val="24"/>
          <w:highlight w:val="none"/>
          <w:u w:val="single"/>
          <w:lang w:val="en-US" w:eastAsia="zh-CN"/>
        </w:rPr>
        <w:t xml:space="preserve">                                                 </w:t>
      </w:r>
    </w:p>
    <w:p w14:paraId="7B9FDE91">
      <w:pPr>
        <w:pageBreakBefore w:val="0"/>
        <w:widowControl/>
        <w:numPr>
          <w:ilvl w:val="0"/>
          <w:numId w:val="0"/>
        </w:numPr>
        <w:kinsoku/>
        <w:wordWrap/>
        <w:overflowPunct/>
        <w:topLinePunct w:val="0"/>
        <w:autoSpaceDE/>
        <w:autoSpaceDN/>
        <w:bidi w:val="0"/>
        <w:adjustRightInd/>
        <w:snapToGrid/>
        <w:spacing w:line="560" w:lineRule="exact"/>
        <w:ind w:left="0" w:leftChars="0"/>
        <w:jc w:val="left"/>
        <w:textAlignment w:val="auto"/>
        <w:rPr>
          <w:rFonts w:hint="eastAsia" w:ascii="方正仿宋_GB2312" w:hAnsi="方正仿宋_GB2312" w:eastAsia="方正仿宋_GB2312" w:cs="方正仿宋_GB2312"/>
          <w:sz w:val="24"/>
          <w:szCs w:val="24"/>
          <w:highlight w:val="none"/>
          <w:u w:val="single"/>
          <w:lang w:val="en-US" w:eastAsia="zh-CN"/>
        </w:rPr>
      </w:pP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none"/>
        </w:rPr>
        <w:t>。</w:t>
      </w:r>
    </w:p>
    <w:p w14:paraId="0B787651">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lang w:val="en-US" w:eastAsia="zh-CN"/>
        </w:rPr>
      </w:pPr>
      <w:r>
        <w:rPr>
          <w:rFonts w:hint="eastAsia" w:ascii="方正仿宋_GB2312" w:hAnsi="方正仿宋_GB2312" w:eastAsia="方正仿宋_GB2312" w:cs="方正仿宋_GB2312"/>
          <w:color w:val="000000"/>
          <w:sz w:val="24"/>
          <w:szCs w:val="24"/>
          <w:highlight w:val="none"/>
          <w:lang w:val="en-US" w:eastAsia="zh-CN"/>
        </w:rPr>
        <w:t>12.6.4 过程结算审核与支付</w:t>
      </w:r>
    </w:p>
    <w:p w14:paraId="7507813F">
      <w:pPr>
        <w:pageBreakBefore w:val="0"/>
        <w:widowControl/>
        <w:numPr>
          <w:ilvl w:val="0"/>
          <w:numId w:val="0"/>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方正仿宋_GB2312" w:hAnsi="方正仿宋_GB2312" w:eastAsia="方正仿宋_GB2312" w:cs="方正仿宋_GB2312"/>
          <w:b w:val="0"/>
          <w:bCs w:val="0"/>
          <w:kern w:val="2"/>
          <w:sz w:val="24"/>
          <w:szCs w:val="24"/>
          <w:highlight w:val="none"/>
          <w:u w:val="none"/>
          <w:lang w:eastAsia="zh-CN"/>
        </w:rPr>
      </w:pPr>
      <w:r>
        <w:rPr>
          <w:rFonts w:hint="eastAsia" w:ascii="方正仿宋_GB2312" w:hAnsi="方正仿宋_GB2312" w:eastAsia="方正仿宋_GB2312" w:cs="方正仿宋_GB2312"/>
          <w:b w:val="0"/>
          <w:bCs w:val="0"/>
          <w:kern w:val="2"/>
          <w:sz w:val="24"/>
          <w:szCs w:val="24"/>
          <w:highlight w:val="none"/>
          <w:u w:val="none"/>
          <w:lang w:eastAsia="zh-CN"/>
        </w:rPr>
        <w:t>发包人应在</w:t>
      </w:r>
      <w:r>
        <w:rPr>
          <w:rFonts w:hint="eastAsia" w:ascii="方正仿宋_GB2312" w:hAnsi="方正仿宋_GB2312" w:eastAsia="方正仿宋_GB2312" w:cs="方正仿宋_GB2312"/>
          <w:b w:val="0"/>
          <w:bCs w:val="0"/>
          <w:kern w:val="2"/>
          <w:sz w:val="24"/>
          <w:szCs w:val="24"/>
          <w:highlight w:val="none"/>
          <w:u w:val="single"/>
          <w:lang w:val="en-US" w:eastAsia="zh-CN"/>
        </w:rPr>
        <w:t xml:space="preserve">        </w:t>
      </w:r>
      <w:r>
        <w:rPr>
          <w:rFonts w:hint="eastAsia" w:ascii="方正仿宋_GB2312" w:hAnsi="方正仿宋_GB2312" w:eastAsia="方正仿宋_GB2312" w:cs="方正仿宋_GB2312"/>
          <w:b w:val="0"/>
          <w:bCs w:val="0"/>
          <w:kern w:val="2"/>
          <w:sz w:val="24"/>
          <w:szCs w:val="24"/>
          <w:highlight w:val="none"/>
          <w:u w:val="none"/>
          <w:lang w:val="en-US" w:eastAsia="zh-CN"/>
        </w:rPr>
        <w:t>日内完成施工过程结算的</w:t>
      </w:r>
      <w:r>
        <w:rPr>
          <w:rFonts w:hint="eastAsia" w:ascii="方正仿宋_GB2312" w:hAnsi="方正仿宋_GB2312" w:eastAsia="方正仿宋_GB2312" w:cs="方正仿宋_GB2312"/>
          <w:b w:val="0"/>
          <w:bCs w:val="0"/>
          <w:kern w:val="2"/>
          <w:sz w:val="24"/>
          <w:szCs w:val="24"/>
          <w:highlight w:val="none"/>
          <w:u w:val="none"/>
          <w:lang w:eastAsia="zh-CN"/>
        </w:rPr>
        <w:t>核对并确认。</w:t>
      </w:r>
    </w:p>
    <w:p w14:paraId="48312918">
      <w:pPr>
        <w:pageBreakBefore w:val="0"/>
        <w:widowControl/>
        <w:numPr>
          <w:ilvl w:val="0"/>
          <w:numId w:val="0"/>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方正仿宋_GB2312" w:hAnsi="方正仿宋_GB2312" w:eastAsia="方正仿宋_GB2312" w:cs="方正仿宋_GB2312"/>
          <w:b w:val="0"/>
          <w:bCs w:val="0"/>
          <w:kern w:val="2"/>
          <w:sz w:val="24"/>
          <w:szCs w:val="24"/>
          <w:highlight w:val="none"/>
          <w:u w:val="single"/>
          <w:lang w:val="en-US" w:eastAsia="zh-CN"/>
        </w:rPr>
      </w:pPr>
      <w:r>
        <w:rPr>
          <w:rFonts w:hint="eastAsia" w:ascii="方正仿宋_GB2312" w:hAnsi="方正仿宋_GB2312" w:eastAsia="方正仿宋_GB2312" w:cs="方正仿宋_GB2312"/>
          <w:b w:val="0"/>
          <w:bCs w:val="0"/>
          <w:kern w:val="2"/>
          <w:sz w:val="24"/>
          <w:szCs w:val="24"/>
          <w:highlight w:val="none"/>
          <w:u w:val="none"/>
          <w:lang w:eastAsia="zh-CN"/>
        </w:rPr>
        <w:t>发包人审批付款申请单的期限：</w:t>
      </w:r>
      <w:r>
        <w:rPr>
          <w:rFonts w:hint="eastAsia" w:ascii="方正仿宋_GB2312" w:hAnsi="方正仿宋_GB2312" w:eastAsia="方正仿宋_GB2312" w:cs="方正仿宋_GB2312"/>
          <w:b w:val="0"/>
          <w:bCs w:val="0"/>
          <w:kern w:val="2"/>
          <w:sz w:val="24"/>
          <w:szCs w:val="24"/>
          <w:highlight w:val="none"/>
          <w:u w:val="single"/>
          <w:lang w:val="en-US" w:eastAsia="zh-CN"/>
        </w:rPr>
        <w:t xml:space="preserve">                      </w:t>
      </w:r>
      <w:r>
        <w:rPr>
          <w:rFonts w:hint="eastAsia" w:ascii="方正仿宋_GB2312" w:hAnsi="方正仿宋_GB2312" w:eastAsia="方正仿宋_GB2312" w:cs="方正仿宋_GB2312"/>
          <w:b w:val="0"/>
          <w:bCs w:val="0"/>
          <w:kern w:val="2"/>
          <w:sz w:val="24"/>
          <w:szCs w:val="24"/>
          <w:highlight w:val="none"/>
          <w:u w:val="none"/>
          <w:lang w:val="en-US" w:eastAsia="zh-CN"/>
        </w:rPr>
        <w:t>。</w:t>
      </w:r>
    </w:p>
    <w:p w14:paraId="0A676888">
      <w:pPr>
        <w:pageBreakBefore w:val="0"/>
        <w:kinsoku/>
        <w:wordWrap/>
        <w:overflowPunct/>
        <w:topLinePunct w:val="0"/>
        <w:autoSpaceDE/>
        <w:autoSpaceDN/>
        <w:bidi w:val="0"/>
        <w:adjustRightInd/>
        <w:snapToGrid/>
        <w:spacing w:line="560" w:lineRule="exact"/>
        <w:ind w:left="0" w:leftChars="0" w:firstLine="640"/>
        <w:textAlignment w:val="auto"/>
        <w:rPr>
          <w:rFonts w:hint="eastAsia" w:ascii="方正仿宋_GB2312" w:hAnsi="方正仿宋_GB2312" w:eastAsia="方正仿宋_GB2312" w:cs="方正仿宋_GB2312"/>
          <w:color w:val="auto"/>
          <w:sz w:val="24"/>
          <w:szCs w:val="24"/>
          <w:highlight w:val="none"/>
          <w:u w:val="none"/>
          <w:lang w:val="en-US" w:eastAsia="zh-CN"/>
        </w:rPr>
      </w:pPr>
      <w:r>
        <w:rPr>
          <w:rFonts w:hint="eastAsia" w:ascii="方正仿宋_GB2312" w:hAnsi="方正仿宋_GB2312" w:eastAsia="方正仿宋_GB2312" w:cs="方正仿宋_GB2312"/>
          <w:color w:val="auto"/>
          <w:sz w:val="24"/>
          <w:szCs w:val="24"/>
          <w:highlight w:val="none"/>
          <w:u w:val="none"/>
          <w:lang w:val="en-US" w:eastAsia="zh-CN"/>
        </w:rPr>
        <w:t>发包人向承包人支付施工过程结算价款（含价差调整、变更、签证、索赔等）比例为：</w:t>
      </w:r>
      <w:r>
        <w:rPr>
          <w:rFonts w:hint="eastAsia" w:ascii="方正仿宋_GB2312" w:hAnsi="方正仿宋_GB2312" w:eastAsia="方正仿宋_GB2312" w:cs="方正仿宋_GB2312"/>
          <w:color w:val="auto"/>
          <w:sz w:val="24"/>
          <w:szCs w:val="24"/>
          <w:highlight w:val="none"/>
          <w:u w:val="single"/>
          <w:lang w:val="en-US" w:eastAsia="zh-CN"/>
        </w:rPr>
        <w:t xml:space="preserve">         </w:t>
      </w:r>
      <w:r>
        <w:rPr>
          <w:rFonts w:hint="eastAsia" w:ascii="方正仿宋_GB2312" w:hAnsi="方正仿宋_GB2312" w:eastAsia="方正仿宋_GB2312" w:cs="方正仿宋_GB2312"/>
          <w:color w:val="auto"/>
          <w:sz w:val="24"/>
          <w:szCs w:val="24"/>
          <w:highlight w:val="none"/>
          <w:u w:val="none"/>
          <w:lang w:val="en-US" w:eastAsia="zh-CN"/>
        </w:rPr>
        <w:t>（＞80%）。</w:t>
      </w:r>
    </w:p>
    <w:p w14:paraId="29FE07F2">
      <w:pPr>
        <w:pageBreakBefore w:val="0"/>
        <w:kinsoku/>
        <w:wordWrap/>
        <w:overflowPunct/>
        <w:topLinePunct w:val="0"/>
        <w:autoSpaceDE/>
        <w:autoSpaceDN/>
        <w:bidi w:val="0"/>
        <w:adjustRightInd/>
        <w:snapToGrid/>
        <w:spacing w:line="560" w:lineRule="exact"/>
        <w:ind w:left="0" w:leftChars="0" w:firstLine="640"/>
        <w:textAlignment w:val="auto"/>
        <w:rPr>
          <w:rFonts w:hint="eastAsia" w:ascii="方正仿宋_GB2312" w:hAnsi="方正仿宋_GB2312" w:eastAsia="方正仿宋_GB2312" w:cs="方正仿宋_GB2312"/>
          <w:color w:val="auto"/>
          <w:sz w:val="24"/>
          <w:szCs w:val="24"/>
          <w:highlight w:val="none"/>
          <w:u w:val="none"/>
          <w:lang w:val="en-US" w:eastAsia="zh-CN"/>
        </w:rPr>
      </w:pPr>
      <w:r>
        <w:rPr>
          <w:rFonts w:hint="eastAsia" w:ascii="方正仿宋_GB2312" w:hAnsi="方正仿宋_GB2312" w:eastAsia="方正仿宋_GB2312" w:cs="方正仿宋_GB2312"/>
          <w:color w:val="auto"/>
          <w:sz w:val="24"/>
          <w:szCs w:val="24"/>
          <w:highlight w:val="none"/>
          <w:u w:val="none"/>
          <w:lang w:val="en-US" w:eastAsia="zh-CN"/>
        </w:rPr>
        <w:t>发包人完成施工过程结算付款的期限：</w:t>
      </w:r>
      <w:r>
        <w:rPr>
          <w:rFonts w:hint="eastAsia" w:ascii="方正仿宋_GB2312" w:hAnsi="方正仿宋_GB2312" w:eastAsia="方正仿宋_GB2312" w:cs="方正仿宋_GB2312"/>
          <w:color w:val="auto"/>
          <w:sz w:val="24"/>
          <w:szCs w:val="24"/>
          <w:highlight w:val="none"/>
          <w:u w:val="single"/>
          <w:lang w:val="en-US" w:eastAsia="zh-CN"/>
        </w:rPr>
        <w:t xml:space="preserve">                  </w:t>
      </w:r>
      <w:r>
        <w:rPr>
          <w:rFonts w:hint="eastAsia" w:ascii="方正仿宋_GB2312" w:hAnsi="方正仿宋_GB2312" w:eastAsia="方正仿宋_GB2312" w:cs="方正仿宋_GB2312"/>
          <w:color w:val="auto"/>
          <w:sz w:val="24"/>
          <w:szCs w:val="24"/>
          <w:highlight w:val="none"/>
          <w:u w:val="none"/>
          <w:lang w:val="en-US" w:eastAsia="zh-CN"/>
        </w:rPr>
        <w:t>。</w:t>
      </w:r>
    </w:p>
    <w:p w14:paraId="65FA5922">
      <w:pPr>
        <w:pageBreakBefore w:val="0"/>
        <w:kinsoku/>
        <w:wordWrap/>
        <w:overflowPunct/>
        <w:topLinePunct w:val="0"/>
        <w:autoSpaceDE/>
        <w:autoSpaceDN/>
        <w:bidi w:val="0"/>
        <w:adjustRightInd/>
        <w:snapToGrid/>
        <w:spacing w:line="560" w:lineRule="exact"/>
        <w:ind w:left="0" w:leftChars="0" w:firstLine="640"/>
        <w:textAlignment w:val="auto"/>
        <w:rPr>
          <w:rFonts w:hint="eastAsia" w:ascii="方正仿宋_GB2312" w:hAnsi="方正仿宋_GB2312" w:eastAsia="方正仿宋_GB2312" w:cs="方正仿宋_GB2312"/>
          <w:color w:val="auto"/>
          <w:sz w:val="24"/>
          <w:szCs w:val="24"/>
          <w:highlight w:val="none"/>
          <w:u w:val="single"/>
          <w:lang w:val="en-US" w:eastAsia="zh-CN"/>
        </w:rPr>
      </w:pPr>
      <w:r>
        <w:rPr>
          <w:rFonts w:hint="eastAsia" w:ascii="方正仿宋_GB2312" w:hAnsi="方正仿宋_GB2312" w:eastAsia="方正仿宋_GB2312" w:cs="方正仿宋_GB2312"/>
          <w:color w:val="auto"/>
          <w:sz w:val="24"/>
          <w:szCs w:val="24"/>
          <w:highlight w:val="none"/>
          <w:u w:val="none"/>
          <w:lang w:val="en-US" w:eastAsia="zh-CN"/>
        </w:rPr>
        <w:t>发包人逾期支付施工过程结算价款的违约金的计算方式：</w:t>
      </w:r>
      <w:r>
        <w:rPr>
          <w:rFonts w:hint="eastAsia" w:ascii="方正仿宋_GB2312" w:hAnsi="方正仿宋_GB2312" w:eastAsia="方正仿宋_GB2312" w:cs="方正仿宋_GB2312"/>
          <w:color w:val="auto"/>
          <w:sz w:val="24"/>
          <w:szCs w:val="24"/>
          <w:highlight w:val="none"/>
          <w:u w:val="single"/>
          <w:lang w:val="en-US" w:eastAsia="zh-CN"/>
        </w:rPr>
        <w:t xml:space="preserve">     </w:t>
      </w:r>
    </w:p>
    <w:p w14:paraId="414DAD77">
      <w:pPr>
        <w:pageBreakBefore w:val="0"/>
        <w:kinsoku/>
        <w:wordWrap/>
        <w:overflowPunct/>
        <w:topLinePunct w:val="0"/>
        <w:autoSpaceDE/>
        <w:autoSpaceDN/>
        <w:bidi w:val="0"/>
        <w:adjustRightInd/>
        <w:snapToGrid/>
        <w:spacing w:line="560" w:lineRule="exact"/>
        <w:ind w:left="0" w:leftChars="0"/>
        <w:textAlignment w:val="auto"/>
        <w:rPr>
          <w:rFonts w:hint="eastAsia" w:ascii="方正仿宋_GB2312" w:hAnsi="方正仿宋_GB2312" w:eastAsia="方正仿宋_GB2312" w:cs="方正仿宋_GB2312"/>
          <w:color w:val="auto"/>
          <w:sz w:val="24"/>
          <w:szCs w:val="24"/>
          <w:highlight w:val="none"/>
          <w:u w:val="none"/>
          <w:lang w:val="en-US" w:eastAsia="zh-CN"/>
        </w:rPr>
      </w:pPr>
      <w:r>
        <w:rPr>
          <w:rFonts w:hint="eastAsia" w:ascii="方正仿宋_GB2312" w:hAnsi="方正仿宋_GB2312" w:eastAsia="方正仿宋_GB2312" w:cs="方正仿宋_GB2312"/>
          <w:color w:val="auto"/>
          <w:sz w:val="24"/>
          <w:szCs w:val="24"/>
          <w:highlight w:val="none"/>
          <w:u w:val="single"/>
          <w:lang w:val="en-US" w:eastAsia="zh-CN"/>
        </w:rPr>
        <w:t xml:space="preserve">                                                         </w:t>
      </w:r>
      <w:r>
        <w:rPr>
          <w:rFonts w:hint="eastAsia" w:ascii="方正仿宋_GB2312" w:hAnsi="方正仿宋_GB2312" w:eastAsia="方正仿宋_GB2312" w:cs="方正仿宋_GB2312"/>
          <w:color w:val="auto"/>
          <w:sz w:val="24"/>
          <w:szCs w:val="24"/>
          <w:highlight w:val="none"/>
          <w:u w:val="none"/>
          <w:lang w:val="en-US" w:eastAsia="zh-CN"/>
        </w:rPr>
        <w:t>。</w:t>
      </w:r>
    </w:p>
    <w:p w14:paraId="1C516BF5">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lang w:val="en-US" w:eastAsia="zh-CN"/>
        </w:rPr>
      </w:pPr>
      <w:r>
        <w:rPr>
          <w:rFonts w:hint="eastAsia" w:ascii="方正仿宋_GB2312" w:hAnsi="方正仿宋_GB2312" w:eastAsia="方正仿宋_GB2312" w:cs="方正仿宋_GB2312"/>
          <w:color w:val="000000"/>
          <w:sz w:val="24"/>
          <w:szCs w:val="24"/>
          <w:highlight w:val="none"/>
          <w:lang w:val="en-US" w:eastAsia="zh-CN"/>
        </w:rPr>
        <w:t>12.6.5 过程结算争议处理</w:t>
      </w:r>
    </w:p>
    <w:p w14:paraId="0FBA7169">
      <w:pPr>
        <w:pageBreakBefore w:val="0"/>
        <w:widowControl/>
        <w:numPr>
          <w:ilvl w:val="0"/>
          <w:numId w:val="0"/>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方正仿宋_GB2312" w:hAnsi="方正仿宋_GB2312" w:eastAsia="方正仿宋_GB2312" w:cs="方正仿宋_GB2312"/>
          <w:b w:val="0"/>
          <w:bCs w:val="0"/>
          <w:sz w:val="24"/>
          <w:szCs w:val="24"/>
          <w:highlight w:val="none"/>
          <w:u w:val="single"/>
          <w:lang w:val="en-US" w:eastAsia="zh-CN"/>
        </w:rPr>
      </w:pPr>
      <w:r>
        <w:rPr>
          <w:rFonts w:hint="eastAsia" w:ascii="方正仿宋_GB2312" w:hAnsi="方正仿宋_GB2312" w:eastAsia="方正仿宋_GB2312" w:cs="方正仿宋_GB2312"/>
          <w:b w:val="0"/>
          <w:bCs w:val="0"/>
          <w:sz w:val="24"/>
          <w:szCs w:val="24"/>
          <w:highlight w:val="none"/>
          <w:u w:val="none"/>
          <w:lang w:val="en-US" w:eastAsia="zh-CN"/>
        </w:rPr>
        <w:t>施工过程结算中，对计量计价有争议时，应先对无争议部分办理结算，对有争议部分处理方式的约定：</w:t>
      </w:r>
      <w:r>
        <w:rPr>
          <w:rFonts w:hint="eastAsia" w:ascii="方正仿宋_GB2312" w:hAnsi="方正仿宋_GB2312" w:eastAsia="方正仿宋_GB2312" w:cs="方正仿宋_GB2312"/>
          <w:b w:val="0"/>
          <w:bCs w:val="0"/>
          <w:sz w:val="24"/>
          <w:szCs w:val="24"/>
          <w:highlight w:val="none"/>
          <w:u w:val="single"/>
          <w:lang w:val="en-US" w:eastAsia="zh-CN"/>
        </w:rPr>
        <w:t xml:space="preserve">                                                     </w:t>
      </w:r>
    </w:p>
    <w:p w14:paraId="0E3F6C60">
      <w:pPr>
        <w:pStyle w:val="17"/>
        <w:jc w:val="both"/>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b w:val="0"/>
          <w:bCs w:val="0"/>
          <w:sz w:val="24"/>
          <w:szCs w:val="24"/>
          <w:highlight w:val="none"/>
          <w:u w:val="single"/>
          <w:lang w:val="en-US" w:eastAsia="zh-CN"/>
        </w:rPr>
        <w:t xml:space="preserve">                                                        </w:t>
      </w:r>
      <w:r>
        <w:rPr>
          <w:rFonts w:hint="eastAsia" w:ascii="方正仿宋_GB2312" w:hAnsi="方正仿宋_GB2312" w:eastAsia="方正仿宋_GB2312" w:cs="方正仿宋_GB2312"/>
          <w:b w:val="0"/>
          <w:bCs w:val="0"/>
          <w:sz w:val="24"/>
          <w:szCs w:val="24"/>
          <w:highlight w:val="none"/>
          <w:u w:val="none"/>
          <w:lang w:val="en-US" w:eastAsia="zh-CN"/>
        </w:rPr>
        <w:t>。</w:t>
      </w:r>
    </w:p>
    <w:bookmarkEnd w:id="885"/>
    <w:p w14:paraId="0DE56018">
      <w:pPr>
        <w:pStyle w:val="4"/>
        <w:spacing w:before="120" w:after="120" w:line="360" w:lineRule="auto"/>
        <w:outlineLvl w:val="2"/>
        <w:rPr>
          <w:rFonts w:hint="eastAsia" w:ascii="方正仿宋_GB2312" w:hAnsi="方正仿宋_GB2312" w:eastAsia="方正仿宋_GB2312" w:cs="方正仿宋_GB2312"/>
          <w:b w:val="0"/>
          <w:color w:val="000000"/>
          <w:sz w:val="24"/>
          <w:szCs w:val="24"/>
          <w:highlight w:val="none"/>
        </w:rPr>
      </w:pPr>
      <w:bookmarkStart w:id="1084" w:name="_Toc23072"/>
      <w:bookmarkStart w:id="1085" w:name="_Toc351203645"/>
      <w:bookmarkStart w:id="1086" w:name="_Toc10579"/>
      <w:bookmarkStart w:id="1087" w:name="_Toc4298"/>
      <w:bookmarkStart w:id="1088" w:name="_Toc296891259"/>
      <w:bookmarkStart w:id="1089" w:name="_Toc300935015"/>
      <w:bookmarkStart w:id="1090" w:name="_Toc303539172"/>
      <w:bookmarkStart w:id="1091" w:name="_Toc296944558"/>
      <w:bookmarkStart w:id="1092" w:name="_Toc304295593"/>
      <w:bookmarkStart w:id="1093" w:name="_Toc296891047"/>
      <w:bookmarkStart w:id="1094" w:name="_Toc296503219"/>
      <w:bookmarkStart w:id="1095" w:name="_Toc297123564"/>
      <w:bookmarkStart w:id="1096" w:name="_Toc297048405"/>
      <w:bookmarkStart w:id="1097" w:name="_Toc296347218"/>
      <w:bookmarkStart w:id="1098" w:name="_Toc312678053"/>
      <w:bookmarkStart w:id="1099" w:name="_Toc297120519"/>
      <w:bookmarkStart w:id="1100" w:name="_Toc297216223"/>
      <w:bookmarkStart w:id="1101" w:name="_Toc296346720"/>
      <w:bookmarkStart w:id="1102" w:name="_Toc292559424"/>
      <w:bookmarkStart w:id="1103" w:name="_Toc292559929"/>
      <w:r>
        <w:rPr>
          <w:rFonts w:hint="eastAsia" w:ascii="方正仿宋_GB2312" w:hAnsi="方正仿宋_GB2312" w:eastAsia="方正仿宋_GB2312" w:cs="方正仿宋_GB2312"/>
          <w:b w:val="0"/>
          <w:color w:val="000000"/>
          <w:sz w:val="24"/>
          <w:szCs w:val="24"/>
          <w:highlight w:val="none"/>
        </w:rPr>
        <w:t>13. 验收和工程试车</w:t>
      </w:r>
      <w:bookmarkEnd w:id="1084"/>
      <w:bookmarkEnd w:id="1085"/>
      <w:bookmarkEnd w:id="1086"/>
      <w:bookmarkEnd w:id="1087"/>
    </w:p>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p w14:paraId="7D19077F">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1104" w:name="_Toc2487"/>
      <w:bookmarkStart w:id="1105" w:name="_Toc22990"/>
      <w:r>
        <w:rPr>
          <w:rFonts w:hint="eastAsia" w:ascii="方正仿宋_GB2312" w:hAnsi="方正仿宋_GB2312" w:eastAsia="方正仿宋_GB2312" w:cs="方正仿宋_GB2312"/>
          <w:color w:val="000000"/>
          <w:sz w:val="24"/>
          <w:szCs w:val="24"/>
          <w:highlight w:val="none"/>
        </w:rPr>
        <w:t>13.1 分部分项工程验收</w:t>
      </w:r>
      <w:bookmarkEnd w:id="1104"/>
      <w:bookmarkEnd w:id="1105"/>
    </w:p>
    <w:p w14:paraId="7CEA65AE">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13.1.2监理人不能按时进行验收时，应提前</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小时提交书面延期要求。</w:t>
      </w:r>
    </w:p>
    <w:p w14:paraId="34C6F857">
      <w:pPr>
        <w:spacing w:line="360" w:lineRule="auto"/>
        <w:ind w:firstLine="480" w:firstLineChars="200"/>
        <w:jc w:val="left"/>
        <w:rPr>
          <w:rFonts w:hint="eastAsia" w:ascii="方正仿宋_GB2312" w:hAnsi="方正仿宋_GB2312" w:eastAsia="方正仿宋_GB2312" w:cs="方正仿宋_GB2312"/>
          <w:b/>
          <w:color w:val="000000"/>
          <w:sz w:val="24"/>
          <w:szCs w:val="24"/>
          <w:highlight w:val="none"/>
        </w:rPr>
      </w:pPr>
      <w:r>
        <w:rPr>
          <w:rFonts w:hint="eastAsia" w:ascii="方正仿宋_GB2312" w:hAnsi="方正仿宋_GB2312" w:eastAsia="方正仿宋_GB2312" w:cs="方正仿宋_GB2312"/>
          <w:sz w:val="24"/>
          <w:szCs w:val="24"/>
          <w:highlight w:val="none"/>
        </w:rPr>
        <w:t>关于延期最长不得超过：</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小时。</w:t>
      </w:r>
    </w:p>
    <w:p w14:paraId="59E71E36">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1106" w:name="_Toc5056"/>
      <w:bookmarkStart w:id="1107" w:name="_Toc14711"/>
      <w:bookmarkStart w:id="1108" w:name="_Toc296944562"/>
      <w:bookmarkStart w:id="1109" w:name="_Toc300935016"/>
      <w:bookmarkStart w:id="1110" w:name="_Toc297123565"/>
      <w:bookmarkStart w:id="1111" w:name="_Toc296347222"/>
      <w:bookmarkStart w:id="1112" w:name="_Toc292559933"/>
      <w:bookmarkStart w:id="1113" w:name="_Toc303539173"/>
      <w:bookmarkStart w:id="1114" w:name="_Toc296891263"/>
      <w:bookmarkStart w:id="1115" w:name="_Toc312678056"/>
      <w:bookmarkStart w:id="1116" w:name="_Toc304295596"/>
      <w:bookmarkStart w:id="1117" w:name="_Toc296891051"/>
      <w:bookmarkStart w:id="1118" w:name="_Toc297216224"/>
      <w:bookmarkStart w:id="1119" w:name="_Toc296346724"/>
      <w:bookmarkStart w:id="1120" w:name="_Toc297048409"/>
      <w:bookmarkStart w:id="1121" w:name="_Toc296503223"/>
      <w:bookmarkStart w:id="1122" w:name="_Toc292559428"/>
      <w:bookmarkStart w:id="1123" w:name="_Toc297120523"/>
      <w:bookmarkStart w:id="1124" w:name="_Toc267251472"/>
      <w:bookmarkStart w:id="1125" w:name="_Toc267251471"/>
      <w:bookmarkStart w:id="1126" w:name="_Toc267251475"/>
      <w:bookmarkStart w:id="1127" w:name="_Toc267251474"/>
      <w:bookmarkStart w:id="1128" w:name="_Toc267251476"/>
      <w:bookmarkStart w:id="1129" w:name="_Toc267251473"/>
      <w:bookmarkStart w:id="1130" w:name="_Toc267251470"/>
      <w:r>
        <w:rPr>
          <w:rFonts w:hint="eastAsia" w:ascii="方正仿宋_GB2312" w:hAnsi="方正仿宋_GB2312" w:eastAsia="方正仿宋_GB2312" w:cs="方正仿宋_GB2312"/>
          <w:color w:val="000000"/>
          <w:sz w:val="24"/>
          <w:szCs w:val="24"/>
          <w:highlight w:val="none"/>
        </w:rPr>
        <w:t>13.2 竣工验收</w:t>
      </w:r>
      <w:bookmarkEnd w:id="1106"/>
      <w:bookmarkEnd w:id="1107"/>
    </w:p>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p w14:paraId="3041378B">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bookmarkStart w:id="1131" w:name="_Toc280868704"/>
      <w:bookmarkStart w:id="1132" w:name="_Toc280868705"/>
      <w:bookmarkStart w:id="1133" w:name="_Toc280868706"/>
      <w:bookmarkStart w:id="1134" w:name="_Toc280868707"/>
      <w:bookmarkStart w:id="1135" w:name="_Toc280868708"/>
      <w:bookmarkStart w:id="1136" w:name="_Toc280868709"/>
      <w:r>
        <w:rPr>
          <w:rFonts w:hint="eastAsia" w:ascii="方正仿宋_GB2312" w:hAnsi="方正仿宋_GB2312" w:eastAsia="方正仿宋_GB2312" w:cs="方正仿宋_GB2312"/>
          <w:color w:val="000000"/>
          <w:sz w:val="24"/>
          <w:szCs w:val="24"/>
          <w:highlight w:val="none"/>
        </w:rPr>
        <w:t>13.2.2竣工验收程序</w:t>
      </w:r>
    </w:p>
    <w:bookmarkEnd w:id="1131"/>
    <w:p w14:paraId="39D39C93">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kern w:val="0"/>
          <w:sz w:val="24"/>
          <w:szCs w:val="24"/>
          <w:highlight w:val="none"/>
        </w:rPr>
        <w:t>关于竣工验收程序的约定：</w:t>
      </w:r>
      <w:r>
        <w:rPr>
          <w:rFonts w:hint="eastAsia" w:ascii="方正仿宋_GB2312" w:hAnsi="方正仿宋_GB2312" w:eastAsia="方正仿宋_GB2312" w:cs="方正仿宋_GB2312"/>
          <w:color w:val="000000"/>
          <w:sz w:val="24"/>
          <w:szCs w:val="24"/>
          <w:highlight w:val="none"/>
          <w:u w:val="single"/>
        </w:rPr>
        <w:t xml:space="preserve">                              </w:t>
      </w:r>
    </w:p>
    <w:p w14:paraId="39F4892B">
      <w:pPr>
        <w:spacing w:line="360" w:lineRule="auto"/>
        <w:ind w:left="6000" w:hanging="4800" w:hangingChars="20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2A445F58">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kern w:val="0"/>
          <w:sz w:val="24"/>
          <w:szCs w:val="24"/>
          <w:highlight w:val="none"/>
        </w:rPr>
        <w:t>发包人不按照本项约定组织竣工验收、颁发工程接收证书的违约金的计算方法：</w:t>
      </w:r>
      <w:r>
        <w:rPr>
          <w:rFonts w:hint="eastAsia" w:ascii="方正仿宋_GB2312" w:hAnsi="方正仿宋_GB2312" w:eastAsia="方正仿宋_GB2312" w:cs="方正仿宋_GB2312"/>
          <w:color w:val="000000"/>
          <w:sz w:val="24"/>
          <w:szCs w:val="24"/>
          <w:highlight w:val="none"/>
          <w:u w:val="single"/>
        </w:rPr>
        <w:t xml:space="preserve">                                         </w:t>
      </w:r>
    </w:p>
    <w:p w14:paraId="611C55C8">
      <w:pPr>
        <w:spacing w:line="360" w:lineRule="auto"/>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bookmarkEnd w:id="1132"/>
    <w:p w14:paraId="103CD586">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13.2.5移交、接收全部与部分工程</w:t>
      </w:r>
    </w:p>
    <w:bookmarkEnd w:id="1133"/>
    <w:p w14:paraId="665D9EA8">
      <w:pPr>
        <w:spacing w:line="360" w:lineRule="auto"/>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承包人向发包人移交工程的期限：</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0300A767">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kern w:val="0"/>
          <w:sz w:val="24"/>
          <w:szCs w:val="24"/>
          <w:highlight w:val="none"/>
        </w:rPr>
        <w:t>发包人未按本合同约定接收全部或部分工程的，违约金的计算方法为：</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bookmarkEnd w:id="1134"/>
    <w:p w14:paraId="47B659F8">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rPr>
        <w:t>承包人未按时移交工程的，违约金的计算方法为：</w:t>
      </w:r>
      <w:r>
        <w:rPr>
          <w:rFonts w:hint="eastAsia" w:ascii="方正仿宋_GB2312" w:hAnsi="方正仿宋_GB2312" w:eastAsia="方正仿宋_GB2312" w:cs="方正仿宋_GB2312"/>
          <w:color w:val="000000"/>
          <w:sz w:val="24"/>
          <w:szCs w:val="24"/>
          <w:highlight w:val="none"/>
          <w:u w:val="single"/>
        </w:rPr>
        <w:t xml:space="preserve">          </w:t>
      </w:r>
    </w:p>
    <w:p w14:paraId="3D00C88F">
      <w:pPr>
        <w:spacing w:line="360" w:lineRule="auto"/>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20179F53">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1137" w:name="_Toc21905"/>
      <w:bookmarkStart w:id="1138" w:name="_Toc8969"/>
      <w:r>
        <w:rPr>
          <w:rFonts w:hint="eastAsia" w:ascii="方正仿宋_GB2312" w:hAnsi="方正仿宋_GB2312" w:eastAsia="方正仿宋_GB2312" w:cs="方正仿宋_GB2312"/>
          <w:color w:val="000000"/>
          <w:sz w:val="24"/>
          <w:szCs w:val="24"/>
          <w:highlight w:val="none"/>
        </w:rPr>
        <w:t>13.3 工程试车</w:t>
      </w:r>
      <w:bookmarkEnd w:id="1137"/>
      <w:bookmarkEnd w:id="1138"/>
    </w:p>
    <w:bookmarkEnd w:id="1135"/>
    <w:p w14:paraId="21FEC7F8">
      <w:pPr>
        <w:spacing w:line="360" w:lineRule="auto"/>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13.3.1 试车程序</w:t>
      </w:r>
    </w:p>
    <w:p w14:paraId="5F563F74">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kern w:val="0"/>
          <w:sz w:val="24"/>
          <w:szCs w:val="24"/>
          <w:highlight w:val="none"/>
        </w:rPr>
        <w:t>工程试车内容：</w:t>
      </w:r>
      <w:r>
        <w:rPr>
          <w:rFonts w:hint="eastAsia" w:ascii="方正仿宋_GB2312" w:hAnsi="方正仿宋_GB2312" w:eastAsia="方正仿宋_GB2312" w:cs="方正仿宋_GB2312"/>
          <w:color w:val="000000"/>
          <w:sz w:val="24"/>
          <w:szCs w:val="24"/>
          <w:highlight w:val="none"/>
          <w:u w:val="single"/>
        </w:rPr>
        <w:t xml:space="preserve">                                        </w:t>
      </w:r>
    </w:p>
    <w:p w14:paraId="188F9F36">
      <w:pPr>
        <w:spacing w:line="360" w:lineRule="auto"/>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7685558C">
      <w:pPr>
        <w:spacing w:line="360" w:lineRule="auto"/>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（1）单机无负荷试车费用由</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kern w:val="0"/>
          <w:sz w:val="24"/>
          <w:szCs w:val="24"/>
          <w:highlight w:val="none"/>
        </w:rPr>
        <w:t>承担；</w:t>
      </w:r>
    </w:p>
    <w:p w14:paraId="3878BF89">
      <w:pPr>
        <w:spacing w:line="360" w:lineRule="auto"/>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（2）无负荷联动试车费用由</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kern w:val="0"/>
          <w:sz w:val="24"/>
          <w:szCs w:val="24"/>
          <w:highlight w:val="none"/>
        </w:rPr>
        <w:t>承担。</w:t>
      </w:r>
    </w:p>
    <w:p w14:paraId="3A95E942">
      <w:pPr>
        <w:spacing w:line="360" w:lineRule="auto"/>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13.3.3 投料试车</w:t>
      </w:r>
    </w:p>
    <w:p w14:paraId="105A0430">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kern w:val="0"/>
          <w:sz w:val="24"/>
          <w:szCs w:val="24"/>
          <w:highlight w:val="none"/>
        </w:rPr>
        <w:t>关于投料试车相关事项的约定：</w:t>
      </w:r>
      <w:r>
        <w:rPr>
          <w:rFonts w:hint="eastAsia" w:ascii="方正仿宋_GB2312" w:hAnsi="方正仿宋_GB2312" w:eastAsia="方正仿宋_GB2312" w:cs="方正仿宋_GB2312"/>
          <w:color w:val="000000"/>
          <w:sz w:val="24"/>
          <w:szCs w:val="24"/>
          <w:highlight w:val="none"/>
          <w:u w:val="single"/>
        </w:rPr>
        <w:t xml:space="preserve">                           </w:t>
      </w:r>
    </w:p>
    <w:p w14:paraId="77F8962A">
      <w:pPr>
        <w:spacing w:line="360" w:lineRule="auto"/>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582E6D1B">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1139" w:name="_Toc25245"/>
      <w:bookmarkStart w:id="1140" w:name="_Toc5879"/>
      <w:r>
        <w:rPr>
          <w:rFonts w:hint="eastAsia" w:ascii="方正仿宋_GB2312" w:hAnsi="方正仿宋_GB2312" w:eastAsia="方正仿宋_GB2312" w:cs="方正仿宋_GB2312"/>
          <w:color w:val="000000"/>
          <w:sz w:val="24"/>
          <w:szCs w:val="24"/>
          <w:highlight w:val="none"/>
        </w:rPr>
        <w:t>13.6 竣工退场</w:t>
      </w:r>
      <w:bookmarkEnd w:id="1139"/>
      <w:bookmarkEnd w:id="1140"/>
    </w:p>
    <w:p w14:paraId="5D742B1E">
      <w:pPr>
        <w:spacing w:line="360" w:lineRule="auto"/>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13.6.1 竣工退场</w:t>
      </w:r>
    </w:p>
    <w:p w14:paraId="4DC1B750">
      <w:pPr>
        <w:spacing w:line="360" w:lineRule="auto"/>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承包人完成竣工退场的期限：</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kern w:val="0"/>
          <w:sz w:val="24"/>
          <w:szCs w:val="24"/>
          <w:highlight w:val="none"/>
        </w:rPr>
        <w:t>。</w:t>
      </w:r>
    </w:p>
    <w:p w14:paraId="3A2D0371">
      <w:pPr>
        <w:pStyle w:val="4"/>
        <w:spacing w:before="120" w:after="120" w:line="360" w:lineRule="auto"/>
        <w:outlineLvl w:val="2"/>
        <w:rPr>
          <w:rFonts w:hint="eastAsia" w:ascii="方正仿宋_GB2312" w:hAnsi="方正仿宋_GB2312" w:eastAsia="方正仿宋_GB2312" w:cs="方正仿宋_GB2312"/>
          <w:b w:val="0"/>
          <w:color w:val="000000"/>
          <w:sz w:val="24"/>
          <w:szCs w:val="24"/>
          <w:highlight w:val="none"/>
        </w:rPr>
      </w:pPr>
      <w:bookmarkStart w:id="1141" w:name="_Toc11573"/>
      <w:bookmarkStart w:id="1142" w:name="_Toc3687"/>
      <w:bookmarkStart w:id="1143" w:name="_Toc30406"/>
      <w:bookmarkStart w:id="1144" w:name="_Toc351203646"/>
      <w:r>
        <w:rPr>
          <w:rFonts w:hint="eastAsia" w:ascii="方正仿宋_GB2312" w:hAnsi="方正仿宋_GB2312" w:eastAsia="方正仿宋_GB2312" w:cs="方正仿宋_GB2312"/>
          <w:b w:val="0"/>
          <w:color w:val="000000"/>
          <w:sz w:val="24"/>
          <w:szCs w:val="24"/>
          <w:highlight w:val="none"/>
        </w:rPr>
        <w:t>14. 竣工结算</w:t>
      </w:r>
      <w:bookmarkEnd w:id="1141"/>
      <w:bookmarkEnd w:id="1142"/>
      <w:bookmarkEnd w:id="1143"/>
      <w:bookmarkEnd w:id="1144"/>
    </w:p>
    <w:p w14:paraId="67EFE50A">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1145" w:name="_Toc30438"/>
      <w:bookmarkStart w:id="1146" w:name="_Toc18177"/>
      <w:r>
        <w:rPr>
          <w:rFonts w:hint="eastAsia" w:ascii="方正仿宋_GB2312" w:hAnsi="方正仿宋_GB2312" w:eastAsia="方正仿宋_GB2312" w:cs="方正仿宋_GB2312"/>
          <w:color w:val="000000"/>
          <w:sz w:val="24"/>
          <w:szCs w:val="24"/>
          <w:highlight w:val="none"/>
        </w:rPr>
        <w:t>14.1 竣工结算申请</w:t>
      </w:r>
      <w:bookmarkEnd w:id="1145"/>
      <w:bookmarkEnd w:id="1146"/>
    </w:p>
    <w:p w14:paraId="24F7AF73">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sz w:val="24"/>
          <w:szCs w:val="24"/>
          <w:highlight w:val="none"/>
        </w:rPr>
        <w:t>承包人提交竣工结算申请单的期限：</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55CB00E1">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rPr>
        <w:t>竣工结算申请单应包括的内容：</w:t>
      </w:r>
      <w:r>
        <w:rPr>
          <w:rFonts w:hint="eastAsia" w:ascii="方正仿宋_GB2312" w:hAnsi="方正仿宋_GB2312" w:eastAsia="方正仿宋_GB2312" w:cs="方正仿宋_GB2312"/>
          <w:color w:val="000000"/>
          <w:sz w:val="24"/>
          <w:szCs w:val="24"/>
          <w:highlight w:val="none"/>
          <w:u w:val="single"/>
        </w:rPr>
        <w:t xml:space="preserve">                        </w:t>
      </w:r>
    </w:p>
    <w:p w14:paraId="6B0E5484">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1B80593A">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1147" w:name="_Toc3355"/>
      <w:bookmarkStart w:id="1148" w:name="_Toc13388"/>
      <w:r>
        <w:rPr>
          <w:rFonts w:hint="eastAsia" w:ascii="方正仿宋_GB2312" w:hAnsi="方正仿宋_GB2312" w:eastAsia="方正仿宋_GB2312" w:cs="方正仿宋_GB2312"/>
          <w:color w:val="000000"/>
          <w:sz w:val="24"/>
          <w:szCs w:val="24"/>
          <w:highlight w:val="none"/>
        </w:rPr>
        <w:t>14.2 竣工结算审核</w:t>
      </w:r>
      <w:bookmarkEnd w:id="1147"/>
      <w:bookmarkEnd w:id="1148"/>
    </w:p>
    <w:p w14:paraId="43C4EE74">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发包人审批竣工付款申请单的期限：</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13B7B357">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sz w:val="24"/>
          <w:szCs w:val="24"/>
          <w:highlight w:val="none"/>
        </w:rPr>
        <w:t>发包人完成竣工付款的期限：</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00E8DA08">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rPr>
        <w:t>关于竣工付款证书异议部分复核的方式和程序：</w:t>
      </w:r>
      <w:r>
        <w:rPr>
          <w:rFonts w:hint="eastAsia" w:ascii="方正仿宋_GB2312" w:hAnsi="方正仿宋_GB2312" w:eastAsia="方正仿宋_GB2312" w:cs="方正仿宋_GB2312"/>
          <w:color w:val="000000"/>
          <w:sz w:val="24"/>
          <w:szCs w:val="24"/>
          <w:highlight w:val="none"/>
          <w:u w:val="single"/>
        </w:rPr>
        <w:t xml:space="preserve">          </w:t>
      </w:r>
    </w:p>
    <w:p w14:paraId="412F110B">
      <w:pPr>
        <w:spacing w:line="360" w:lineRule="auto"/>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7005BA96">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1149" w:name="_Toc2983"/>
      <w:bookmarkStart w:id="1150" w:name="_Toc24981"/>
      <w:r>
        <w:rPr>
          <w:rFonts w:hint="eastAsia" w:ascii="方正仿宋_GB2312" w:hAnsi="方正仿宋_GB2312" w:eastAsia="方正仿宋_GB2312" w:cs="方正仿宋_GB2312"/>
          <w:color w:val="000000"/>
          <w:sz w:val="24"/>
          <w:szCs w:val="24"/>
          <w:highlight w:val="none"/>
        </w:rPr>
        <w:t>14.4 最终结清</w:t>
      </w:r>
      <w:bookmarkEnd w:id="1149"/>
      <w:bookmarkEnd w:id="1150"/>
    </w:p>
    <w:p w14:paraId="22E1D5FF">
      <w:pPr>
        <w:spacing w:line="360" w:lineRule="auto"/>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14.4.1 最终结清申请单</w:t>
      </w:r>
    </w:p>
    <w:p w14:paraId="5E3DC6B9">
      <w:pPr>
        <w:spacing w:line="360" w:lineRule="auto"/>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承包人提交最终结清申请单的份数：</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18076C51">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color w:val="000000"/>
          <w:kern w:val="0"/>
          <w:sz w:val="24"/>
          <w:szCs w:val="24"/>
          <w:highlight w:val="none"/>
        </w:rPr>
        <w:t>承包人提交最终结算申请单的期限：</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r>
        <w:rPr>
          <w:rFonts w:hint="eastAsia" w:ascii="方正仿宋_GB2312" w:hAnsi="方正仿宋_GB2312" w:eastAsia="方正仿宋_GB2312" w:cs="方正仿宋_GB2312"/>
          <w:sz w:val="24"/>
          <w:szCs w:val="24"/>
          <w:highlight w:val="none"/>
        </w:rPr>
        <w:t xml:space="preserve"> </w:t>
      </w:r>
    </w:p>
    <w:p w14:paraId="347798C0">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14.4.2 最终结清证书和支付</w:t>
      </w:r>
    </w:p>
    <w:p w14:paraId="776D0D02">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（1）发包人完成最终结清申请单的审批并颁发最终结清证书的期限：</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20B38E48">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（2）发包人完成支付的期限：</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bookmarkEnd w:id="1124"/>
    <w:bookmarkEnd w:id="1125"/>
    <w:bookmarkEnd w:id="1126"/>
    <w:bookmarkEnd w:id="1127"/>
    <w:bookmarkEnd w:id="1128"/>
    <w:bookmarkEnd w:id="1129"/>
    <w:bookmarkEnd w:id="1130"/>
    <w:bookmarkEnd w:id="1136"/>
    <w:p w14:paraId="0FA9F9BC">
      <w:pPr>
        <w:pStyle w:val="4"/>
        <w:spacing w:before="120" w:after="120" w:line="360" w:lineRule="auto"/>
        <w:outlineLvl w:val="2"/>
        <w:rPr>
          <w:rFonts w:hint="eastAsia" w:ascii="方正仿宋_GB2312" w:hAnsi="方正仿宋_GB2312" w:eastAsia="方正仿宋_GB2312" w:cs="方正仿宋_GB2312"/>
          <w:b w:val="0"/>
          <w:color w:val="000000"/>
          <w:sz w:val="24"/>
          <w:szCs w:val="24"/>
          <w:highlight w:val="none"/>
        </w:rPr>
      </w:pPr>
      <w:bookmarkStart w:id="1151" w:name="_Toc351203647"/>
      <w:bookmarkStart w:id="1152" w:name="_Toc3081"/>
      <w:bookmarkStart w:id="1153" w:name="_Toc27004"/>
      <w:bookmarkStart w:id="1154" w:name="_Toc15447"/>
      <w:bookmarkStart w:id="1155" w:name="_Toc267251483"/>
      <w:bookmarkStart w:id="1156" w:name="_Toc267251484"/>
      <w:bookmarkStart w:id="1157" w:name="_Toc267251482"/>
      <w:bookmarkStart w:id="1158" w:name="_Toc267251485"/>
      <w:bookmarkStart w:id="1159" w:name="_Toc267251490"/>
      <w:bookmarkStart w:id="1160" w:name="_Toc267251486"/>
      <w:bookmarkStart w:id="1161" w:name="_Toc267251489"/>
      <w:bookmarkStart w:id="1162" w:name="_Toc267251488"/>
      <w:bookmarkStart w:id="1163" w:name="_Toc267251501"/>
      <w:bookmarkStart w:id="1164" w:name="_Toc267251499"/>
      <w:bookmarkStart w:id="1165" w:name="_Toc267251495"/>
      <w:bookmarkStart w:id="1166" w:name="_Toc267251502"/>
      <w:bookmarkStart w:id="1167" w:name="_Toc267251497"/>
      <w:bookmarkStart w:id="1168" w:name="_Toc267251496"/>
      <w:bookmarkStart w:id="1169" w:name="_Toc267251492"/>
      <w:bookmarkStart w:id="1170" w:name="_Toc267251494"/>
      <w:bookmarkStart w:id="1171" w:name="_Toc267251498"/>
      <w:bookmarkStart w:id="1172" w:name="_Toc267251493"/>
      <w:bookmarkStart w:id="1173" w:name="_Toc267251503"/>
      <w:bookmarkStart w:id="1174" w:name="_Toc267251491"/>
      <w:bookmarkStart w:id="1175" w:name="_Toc267251504"/>
      <w:bookmarkStart w:id="1176" w:name="_Toc267251506"/>
      <w:bookmarkStart w:id="1177" w:name="_Toc267251507"/>
      <w:bookmarkStart w:id="1178" w:name="_Toc267251508"/>
      <w:bookmarkStart w:id="1179" w:name="_Toc267251514"/>
      <w:bookmarkStart w:id="1180" w:name="_Toc267251510"/>
      <w:bookmarkStart w:id="1181" w:name="_Toc267251511"/>
      <w:bookmarkStart w:id="1182" w:name="_Toc267251509"/>
      <w:bookmarkStart w:id="1183" w:name="_Toc267251515"/>
      <w:bookmarkStart w:id="1184" w:name="_Toc267251513"/>
      <w:r>
        <w:rPr>
          <w:rFonts w:hint="eastAsia" w:ascii="方正仿宋_GB2312" w:hAnsi="方正仿宋_GB2312" w:eastAsia="方正仿宋_GB2312" w:cs="方正仿宋_GB2312"/>
          <w:b w:val="0"/>
          <w:color w:val="000000"/>
          <w:sz w:val="24"/>
          <w:szCs w:val="24"/>
          <w:highlight w:val="none"/>
        </w:rPr>
        <w:t>15. 缺陷责任期与保修</w:t>
      </w:r>
      <w:bookmarkEnd w:id="1151"/>
      <w:bookmarkEnd w:id="1152"/>
      <w:bookmarkEnd w:id="1153"/>
      <w:bookmarkEnd w:id="1154"/>
    </w:p>
    <w:p w14:paraId="6FA08772">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1185" w:name="_Toc2228"/>
      <w:bookmarkStart w:id="1186" w:name="_Toc3444"/>
      <w:r>
        <w:rPr>
          <w:rFonts w:hint="eastAsia" w:ascii="方正仿宋_GB2312" w:hAnsi="方正仿宋_GB2312" w:eastAsia="方正仿宋_GB2312" w:cs="方正仿宋_GB2312"/>
          <w:color w:val="000000"/>
          <w:sz w:val="24"/>
          <w:szCs w:val="24"/>
          <w:highlight w:val="none"/>
        </w:rPr>
        <w:t>15.2缺陷责任期</w:t>
      </w:r>
      <w:bookmarkEnd w:id="1155"/>
      <w:bookmarkEnd w:id="1185"/>
      <w:bookmarkEnd w:id="1186"/>
    </w:p>
    <w:p w14:paraId="247F9EEA">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rPr>
        <w:t>缺陷责任期的具体期限：</w:t>
      </w:r>
      <w:r>
        <w:rPr>
          <w:rFonts w:hint="eastAsia" w:ascii="方正仿宋_GB2312" w:hAnsi="方正仿宋_GB2312" w:eastAsia="方正仿宋_GB2312" w:cs="方正仿宋_GB2312"/>
          <w:color w:val="000000"/>
          <w:sz w:val="24"/>
          <w:szCs w:val="24"/>
          <w:highlight w:val="none"/>
          <w:u w:val="single"/>
        </w:rPr>
        <w:t xml:space="preserve">                                </w:t>
      </w:r>
    </w:p>
    <w:p w14:paraId="36BD804D">
      <w:pPr>
        <w:spacing w:line="360" w:lineRule="auto"/>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348E9B18">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1187" w:name="_Toc23500"/>
      <w:bookmarkStart w:id="1188" w:name="_Toc23954"/>
      <w:r>
        <w:rPr>
          <w:rFonts w:hint="eastAsia" w:ascii="方正仿宋_GB2312" w:hAnsi="方正仿宋_GB2312" w:eastAsia="方正仿宋_GB2312" w:cs="方正仿宋_GB2312"/>
          <w:color w:val="000000"/>
          <w:sz w:val="24"/>
          <w:szCs w:val="24"/>
          <w:highlight w:val="none"/>
        </w:rPr>
        <w:t>15.3 质量保证金</w:t>
      </w:r>
      <w:bookmarkEnd w:id="1187"/>
      <w:bookmarkEnd w:id="1188"/>
    </w:p>
    <w:p w14:paraId="5BF0BF09">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关于是否扣留质量保证金的约定：</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。在工程项目竣工前，承包人按专用合同条款第3.7条提供履约担保的，发包人不得同时预留工程质量保证金。</w:t>
      </w:r>
    </w:p>
    <w:p w14:paraId="2390094A">
      <w:pPr>
        <w:spacing w:line="360" w:lineRule="auto"/>
        <w:ind w:firstLine="480" w:firstLineChars="200"/>
        <w:jc w:val="lef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15.3.1 承包人提供质量保证金的方式</w:t>
      </w:r>
    </w:p>
    <w:p w14:paraId="56D0BC78">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质量保证金采用以下第</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种方式：</w:t>
      </w:r>
    </w:p>
    <w:p w14:paraId="4A9D46F2">
      <w:pPr>
        <w:autoSpaceDE w:val="0"/>
        <w:autoSpaceDN w:val="0"/>
        <w:adjustRightInd w:val="0"/>
        <w:spacing w:line="360" w:lineRule="auto"/>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（1）质量保证金保函，保证金额为：</w:t>
      </w:r>
      <w:r>
        <w:rPr>
          <w:rFonts w:hint="eastAsia" w:ascii="方正仿宋_GB2312" w:hAnsi="方正仿宋_GB2312" w:eastAsia="方正仿宋_GB2312" w:cs="方正仿宋_GB2312"/>
          <w:color w:val="000000"/>
          <w:kern w:val="0"/>
          <w:sz w:val="24"/>
          <w:szCs w:val="24"/>
          <w:highlight w:val="none"/>
          <w:u w:val="single"/>
        </w:rPr>
        <w:t xml:space="preserve">                   </w:t>
      </w:r>
      <w:r>
        <w:rPr>
          <w:rFonts w:hint="eastAsia" w:ascii="方正仿宋_GB2312" w:hAnsi="方正仿宋_GB2312" w:eastAsia="方正仿宋_GB2312" w:cs="方正仿宋_GB2312"/>
          <w:color w:val="000000"/>
          <w:kern w:val="0"/>
          <w:sz w:val="24"/>
          <w:szCs w:val="24"/>
          <w:highlight w:val="none"/>
        </w:rPr>
        <w:t xml:space="preserve">； </w:t>
      </w:r>
    </w:p>
    <w:p w14:paraId="63F0BA60">
      <w:pPr>
        <w:autoSpaceDE w:val="0"/>
        <w:autoSpaceDN w:val="0"/>
        <w:adjustRightInd w:val="0"/>
        <w:spacing w:line="360" w:lineRule="auto"/>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w:t>
      </w:r>
      <w:r>
        <w:rPr>
          <w:rFonts w:hint="eastAsia" w:ascii="方正仿宋_GB2312" w:hAnsi="方正仿宋_GB2312" w:eastAsia="方正仿宋_GB2312" w:cs="方正仿宋_GB2312"/>
          <w:color w:val="000000"/>
          <w:kern w:val="0"/>
          <w:sz w:val="24"/>
          <w:szCs w:val="24"/>
          <w:highlight w:val="none"/>
          <w:u w:val="single"/>
        </w:rPr>
        <w:t xml:space="preserve">      </w:t>
      </w:r>
      <w:r>
        <w:rPr>
          <w:rFonts w:hint="eastAsia" w:ascii="方正仿宋_GB2312" w:hAnsi="方正仿宋_GB2312" w:eastAsia="方正仿宋_GB2312" w:cs="方正仿宋_GB2312"/>
          <w:color w:val="000000"/>
          <w:kern w:val="0"/>
          <w:sz w:val="24"/>
          <w:szCs w:val="24"/>
          <w:highlight w:val="none"/>
        </w:rPr>
        <w:t>%的工程款；</w:t>
      </w:r>
    </w:p>
    <w:p w14:paraId="4A7110B9">
      <w:pPr>
        <w:autoSpaceDE w:val="0"/>
        <w:autoSpaceDN w:val="0"/>
        <w:adjustRightInd w:val="0"/>
        <w:spacing w:line="360" w:lineRule="auto"/>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（3）其他方式:</w:t>
      </w:r>
      <w:r>
        <w:rPr>
          <w:rFonts w:hint="eastAsia" w:ascii="方正仿宋_GB2312" w:hAnsi="方正仿宋_GB2312" w:eastAsia="方正仿宋_GB2312" w:cs="方正仿宋_GB2312"/>
          <w:color w:val="000000"/>
          <w:kern w:val="0"/>
          <w:sz w:val="24"/>
          <w:szCs w:val="24"/>
          <w:highlight w:val="none"/>
          <w:u w:val="single"/>
        </w:rPr>
        <w:t xml:space="preserve">                                       </w:t>
      </w:r>
      <w:r>
        <w:rPr>
          <w:rFonts w:hint="eastAsia" w:ascii="方正仿宋_GB2312" w:hAnsi="方正仿宋_GB2312" w:eastAsia="方正仿宋_GB2312" w:cs="方正仿宋_GB2312"/>
          <w:color w:val="000000"/>
          <w:kern w:val="0"/>
          <w:sz w:val="24"/>
          <w:szCs w:val="24"/>
          <w:highlight w:val="none"/>
        </w:rPr>
        <w:t>。</w:t>
      </w:r>
    </w:p>
    <w:p w14:paraId="7B6744EC">
      <w:pPr>
        <w:spacing w:line="360" w:lineRule="auto"/>
        <w:ind w:firstLine="480" w:firstLineChars="200"/>
        <w:jc w:val="lef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 xml:space="preserve">15.3.2 质量保证金的扣留 </w:t>
      </w:r>
    </w:p>
    <w:p w14:paraId="3B9878B0">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质量保证金的扣留采取以下第</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种方式：</w:t>
      </w:r>
    </w:p>
    <w:p w14:paraId="1CF32F30">
      <w:pPr>
        <w:autoSpaceDE w:val="0"/>
        <w:autoSpaceDN w:val="0"/>
        <w:adjustRightInd w:val="0"/>
        <w:spacing w:line="360" w:lineRule="auto"/>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（1）在支付工程进度款时逐次扣留，在此情形下，质量保证金的计算基数不包括预付款的支付、扣回以及价格调整的金额；</w:t>
      </w:r>
    </w:p>
    <w:p w14:paraId="7A0362DD">
      <w:pPr>
        <w:autoSpaceDE w:val="0"/>
        <w:autoSpaceDN w:val="0"/>
        <w:adjustRightInd w:val="0"/>
        <w:spacing w:line="360" w:lineRule="auto"/>
        <w:ind w:firstLine="480" w:firstLineChars="200"/>
        <w:jc w:val="left"/>
        <w:outlineLvl w:val="9"/>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（2）工程竣工结算时一次性扣留质量保证金；</w:t>
      </w:r>
    </w:p>
    <w:p w14:paraId="58B353EB">
      <w:pPr>
        <w:autoSpaceDE w:val="0"/>
        <w:autoSpaceDN w:val="0"/>
        <w:adjustRightInd w:val="0"/>
        <w:spacing w:line="360" w:lineRule="auto"/>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（3）其他扣留方式:</w:t>
      </w:r>
      <w:r>
        <w:rPr>
          <w:rFonts w:hint="eastAsia" w:ascii="方正仿宋_GB2312" w:hAnsi="方正仿宋_GB2312" w:eastAsia="方正仿宋_GB2312" w:cs="方正仿宋_GB2312"/>
          <w:color w:val="000000"/>
          <w:kern w:val="0"/>
          <w:sz w:val="24"/>
          <w:szCs w:val="24"/>
          <w:highlight w:val="none"/>
          <w:u w:val="single"/>
        </w:rPr>
        <w:t xml:space="preserve">                                     </w:t>
      </w:r>
      <w:r>
        <w:rPr>
          <w:rFonts w:hint="eastAsia" w:ascii="方正仿宋_GB2312" w:hAnsi="方正仿宋_GB2312" w:eastAsia="方正仿宋_GB2312" w:cs="方正仿宋_GB2312"/>
          <w:color w:val="000000"/>
          <w:kern w:val="0"/>
          <w:sz w:val="24"/>
          <w:szCs w:val="24"/>
          <w:highlight w:val="none"/>
        </w:rPr>
        <w:t>。</w:t>
      </w:r>
    </w:p>
    <w:p w14:paraId="083CA7C2">
      <w:pPr>
        <w:spacing w:line="360" w:lineRule="auto"/>
        <w:ind w:firstLine="480" w:firstLineChars="200"/>
        <w:jc w:val="left"/>
        <w:rPr>
          <w:rFonts w:hint="eastAsia" w:ascii="方正仿宋_GB2312" w:hAnsi="方正仿宋_GB2312" w:eastAsia="方正仿宋_GB2312" w:cs="方正仿宋_GB2312"/>
          <w:color w:val="000000"/>
          <w:kern w:val="0"/>
          <w:sz w:val="24"/>
          <w:szCs w:val="24"/>
          <w:highlight w:val="none"/>
          <w:u w:val="single"/>
        </w:rPr>
      </w:pPr>
      <w:r>
        <w:rPr>
          <w:rFonts w:hint="eastAsia" w:ascii="方正仿宋_GB2312" w:hAnsi="方正仿宋_GB2312" w:eastAsia="方正仿宋_GB2312" w:cs="方正仿宋_GB2312"/>
          <w:color w:val="000000"/>
          <w:sz w:val="24"/>
          <w:szCs w:val="24"/>
          <w:highlight w:val="none"/>
        </w:rPr>
        <w:t>关于质量保证金的补充约定：</w:t>
      </w:r>
      <w:r>
        <w:rPr>
          <w:rFonts w:hint="eastAsia" w:ascii="方正仿宋_GB2312" w:hAnsi="方正仿宋_GB2312" w:eastAsia="方正仿宋_GB2312" w:cs="方正仿宋_GB2312"/>
          <w:color w:val="000000"/>
          <w:kern w:val="0"/>
          <w:sz w:val="24"/>
          <w:szCs w:val="24"/>
          <w:highlight w:val="none"/>
          <w:u w:val="single"/>
        </w:rPr>
        <w:t xml:space="preserve">                            </w:t>
      </w:r>
    </w:p>
    <w:p w14:paraId="13222F0E">
      <w:pPr>
        <w:spacing w:line="360" w:lineRule="auto"/>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kern w:val="0"/>
          <w:sz w:val="24"/>
          <w:szCs w:val="24"/>
          <w:highlight w:val="none"/>
          <w:u w:val="single"/>
        </w:rPr>
        <w:t xml:space="preserve">                                                         </w:t>
      </w:r>
      <w:r>
        <w:rPr>
          <w:rFonts w:hint="eastAsia" w:ascii="方正仿宋_GB2312" w:hAnsi="方正仿宋_GB2312" w:eastAsia="方正仿宋_GB2312" w:cs="方正仿宋_GB2312"/>
          <w:color w:val="000000"/>
          <w:kern w:val="0"/>
          <w:sz w:val="24"/>
          <w:szCs w:val="24"/>
          <w:highlight w:val="none"/>
        </w:rPr>
        <w:t>。</w:t>
      </w:r>
    </w:p>
    <w:bookmarkEnd w:id="1156"/>
    <w:bookmarkEnd w:id="1157"/>
    <w:p w14:paraId="6B615E6E">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1189" w:name="_Toc11276"/>
      <w:bookmarkStart w:id="1190" w:name="_Toc14845"/>
      <w:r>
        <w:rPr>
          <w:rFonts w:hint="eastAsia" w:ascii="方正仿宋_GB2312" w:hAnsi="方正仿宋_GB2312" w:eastAsia="方正仿宋_GB2312" w:cs="方正仿宋_GB2312"/>
          <w:color w:val="000000"/>
          <w:sz w:val="24"/>
          <w:szCs w:val="24"/>
          <w:highlight w:val="none"/>
        </w:rPr>
        <w:t>15.4保修</w:t>
      </w:r>
      <w:bookmarkEnd w:id="1189"/>
      <w:bookmarkEnd w:id="1190"/>
    </w:p>
    <w:bookmarkEnd w:id="1158"/>
    <w:p w14:paraId="3D7A494B">
      <w:pPr>
        <w:spacing w:line="360" w:lineRule="auto"/>
        <w:ind w:firstLine="468" w:firstLineChars="195"/>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15.4.1 保修责任</w:t>
      </w:r>
    </w:p>
    <w:p w14:paraId="36D6E856">
      <w:pPr>
        <w:spacing w:line="360" w:lineRule="auto"/>
        <w:ind w:firstLine="468" w:firstLineChars="195"/>
        <w:jc w:val="left"/>
        <w:rPr>
          <w:rFonts w:hint="eastAsia" w:ascii="方正仿宋_GB2312" w:hAnsi="方正仿宋_GB2312" w:eastAsia="方正仿宋_GB2312" w:cs="方正仿宋_GB2312"/>
          <w:color w:val="000000"/>
          <w:kern w:val="0"/>
          <w:sz w:val="24"/>
          <w:szCs w:val="24"/>
          <w:highlight w:val="none"/>
          <w:u w:val="single"/>
        </w:rPr>
      </w:pPr>
      <w:r>
        <w:rPr>
          <w:rFonts w:hint="eastAsia" w:ascii="方正仿宋_GB2312" w:hAnsi="方正仿宋_GB2312" w:eastAsia="方正仿宋_GB2312" w:cs="方正仿宋_GB2312"/>
          <w:color w:val="000000"/>
          <w:sz w:val="24"/>
          <w:szCs w:val="24"/>
          <w:highlight w:val="none"/>
        </w:rPr>
        <w:t>工程保修期为：</w:t>
      </w:r>
      <w:r>
        <w:rPr>
          <w:rFonts w:hint="eastAsia" w:ascii="方正仿宋_GB2312" w:hAnsi="方正仿宋_GB2312" w:eastAsia="方正仿宋_GB2312" w:cs="方正仿宋_GB2312"/>
          <w:color w:val="000000"/>
          <w:kern w:val="0"/>
          <w:sz w:val="24"/>
          <w:szCs w:val="24"/>
          <w:highlight w:val="none"/>
          <w:u w:val="single"/>
        </w:rPr>
        <w:t xml:space="preserve">                                        </w:t>
      </w:r>
    </w:p>
    <w:p w14:paraId="1F6CB708">
      <w:pPr>
        <w:spacing w:line="360" w:lineRule="auto"/>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u w:val="single"/>
        </w:rPr>
        <w:t xml:space="preserve">                                                         </w:t>
      </w:r>
      <w:r>
        <w:rPr>
          <w:rFonts w:hint="eastAsia" w:ascii="方正仿宋_GB2312" w:hAnsi="方正仿宋_GB2312" w:eastAsia="方正仿宋_GB2312" w:cs="方正仿宋_GB2312"/>
          <w:color w:val="000000"/>
          <w:kern w:val="0"/>
          <w:sz w:val="24"/>
          <w:szCs w:val="24"/>
          <w:highlight w:val="none"/>
        </w:rPr>
        <w:t>。</w:t>
      </w:r>
    </w:p>
    <w:p w14:paraId="51F5D4A5">
      <w:pPr>
        <w:spacing w:line="360" w:lineRule="auto"/>
        <w:ind w:firstLine="468" w:firstLineChars="195"/>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15.4.3 修复通知</w:t>
      </w:r>
    </w:p>
    <w:p w14:paraId="2BF483D9">
      <w:pPr>
        <w:spacing w:line="360" w:lineRule="auto"/>
        <w:ind w:firstLine="468" w:firstLineChars="195"/>
        <w:jc w:val="left"/>
        <w:rPr>
          <w:rFonts w:hint="eastAsia" w:ascii="方正仿宋_GB2312" w:hAnsi="方正仿宋_GB2312" w:eastAsia="方正仿宋_GB2312" w:cs="方正仿宋_GB2312"/>
          <w:color w:val="000000"/>
          <w:kern w:val="0"/>
          <w:sz w:val="24"/>
          <w:szCs w:val="24"/>
          <w:highlight w:val="none"/>
          <w:u w:val="single"/>
        </w:rPr>
      </w:pPr>
      <w:r>
        <w:rPr>
          <w:rFonts w:hint="eastAsia" w:ascii="方正仿宋_GB2312" w:hAnsi="方正仿宋_GB2312" w:eastAsia="方正仿宋_GB2312" w:cs="方正仿宋_GB2312"/>
          <w:color w:val="000000"/>
          <w:kern w:val="0"/>
          <w:sz w:val="24"/>
          <w:szCs w:val="24"/>
          <w:highlight w:val="none"/>
        </w:rPr>
        <w:t>承包人收到保修通知并到达工程现场的合理时间：</w:t>
      </w:r>
      <w:r>
        <w:rPr>
          <w:rFonts w:hint="eastAsia" w:ascii="方正仿宋_GB2312" w:hAnsi="方正仿宋_GB2312" w:eastAsia="方正仿宋_GB2312" w:cs="方正仿宋_GB2312"/>
          <w:color w:val="000000"/>
          <w:kern w:val="0"/>
          <w:sz w:val="24"/>
          <w:szCs w:val="24"/>
          <w:highlight w:val="none"/>
          <w:u w:val="single"/>
        </w:rPr>
        <w:t xml:space="preserve">          </w:t>
      </w:r>
    </w:p>
    <w:p w14:paraId="664C9701">
      <w:pPr>
        <w:spacing w:line="360" w:lineRule="auto"/>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u w:val="single"/>
        </w:rPr>
        <w:t xml:space="preserve">                                                         </w:t>
      </w:r>
      <w:r>
        <w:rPr>
          <w:rFonts w:hint="eastAsia" w:ascii="方正仿宋_GB2312" w:hAnsi="方正仿宋_GB2312" w:eastAsia="方正仿宋_GB2312" w:cs="方正仿宋_GB2312"/>
          <w:color w:val="000000"/>
          <w:kern w:val="0"/>
          <w:sz w:val="24"/>
          <w:szCs w:val="24"/>
          <w:highlight w:val="none"/>
        </w:rPr>
        <w:t>。</w:t>
      </w:r>
    </w:p>
    <w:bookmarkEnd w:id="1159"/>
    <w:bookmarkEnd w:id="1160"/>
    <w:bookmarkEnd w:id="1161"/>
    <w:bookmarkEnd w:id="1162"/>
    <w:p w14:paraId="5F95A1C4">
      <w:pPr>
        <w:pStyle w:val="4"/>
        <w:spacing w:before="120" w:after="120" w:line="360" w:lineRule="auto"/>
        <w:outlineLvl w:val="2"/>
        <w:rPr>
          <w:rFonts w:hint="eastAsia" w:ascii="方正仿宋_GB2312" w:hAnsi="方正仿宋_GB2312" w:eastAsia="方正仿宋_GB2312" w:cs="方正仿宋_GB2312"/>
          <w:b w:val="0"/>
          <w:color w:val="000000"/>
          <w:sz w:val="24"/>
          <w:szCs w:val="24"/>
          <w:highlight w:val="none"/>
        </w:rPr>
      </w:pPr>
      <w:bookmarkStart w:id="1191" w:name="_Toc10929"/>
      <w:bookmarkStart w:id="1192" w:name="_Toc4173"/>
      <w:bookmarkStart w:id="1193" w:name="_Toc26298"/>
      <w:bookmarkStart w:id="1194" w:name="_Toc351203648"/>
      <w:bookmarkStart w:id="1195" w:name="_Toc280868717"/>
      <w:bookmarkStart w:id="1196" w:name="_Toc280868718"/>
      <w:r>
        <w:rPr>
          <w:rFonts w:hint="eastAsia" w:ascii="方正仿宋_GB2312" w:hAnsi="方正仿宋_GB2312" w:eastAsia="方正仿宋_GB2312" w:cs="方正仿宋_GB2312"/>
          <w:b w:val="0"/>
          <w:color w:val="000000"/>
          <w:sz w:val="24"/>
          <w:szCs w:val="24"/>
          <w:highlight w:val="none"/>
        </w:rPr>
        <w:t>16. 违约</w:t>
      </w:r>
      <w:bookmarkEnd w:id="1191"/>
      <w:bookmarkEnd w:id="1192"/>
      <w:bookmarkEnd w:id="1193"/>
      <w:bookmarkEnd w:id="1194"/>
    </w:p>
    <w:p w14:paraId="7393B925">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1197" w:name="_Toc15749"/>
      <w:bookmarkStart w:id="1198" w:name="_Toc4075"/>
      <w:r>
        <w:rPr>
          <w:rFonts w:hint="eastAsia" w:ascii="方正仿宋_GB2312" w:hAnsi="方正仿宋_GB2312" w:eastAsia="方正仿宋_GB2312" w:cs="方正仿宋_GB2312"/>
          <w:color w:val="000000"/>
          <w:sz w:val="24"/>
          <w:szCs w:val="24"/>
          <w:highlight w:val="none"/>
        </w:rPr>
        <w:t>16.1 发包人违约</w:t>
      </w:r>
      <w:bookmarkEnd w:id="1197"/>
      <w:bookmarkEnd w:id="1198"/>
    </w:p>
    <w:p w14:paraId="464A3F2B">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16.1.1发包人违约的情形</w:t>
      </w:r>
    </w:p>
    <w:p w14:paraId="49A4C53F">
      <w:pPr>
        <w:spacing w:line="360" w:lineRule="auto"/>
        <w:ind w:firstLine="480" w:firstLineChars="200"/>
        <w:jc w:val="left"/>
        <w:rPr>
          <w:rFonts w:hint="eastAsia" w:ascii="方正仿宋_GB2312" w:hAnsi="方正仿宋_GB2312" w:eastAsia="方正仿宋_GB2312" w:cs="方正仿宋_GB2312"/>
          <w:color w:val="000000"/>
          <w:kern w:val="0"/>
          <w:sz w:val="24"/>
          <w:szCs w:val="24"/>
          <w:highlight w:val="none"/>
          <w:u w:val="single"/>
        </w:rPr>
      </w:pPr>
      <w:r>
        <w:rPr>
          <w:rFonts w:hint="eastAsia" w:ascii="方正仿宋_GB2312" w:hAnsi="方正仿宋_GB2312" w:eastAsia="方正仿宋_GB2312" w:cs="方正仿宋_GB2312"/>
          <w:color w:val="000000"/>
          <w:kern w:val="0"/>
          <w:sz w:val="24"/>
          <w:szCs w:val="24"/>
          <w:highlight w:val="none"/>
        </w:rPr>
        <w:t>发包人违约的其他情形：</w:t>
      </w:r>
      <w:r>
        <w:rPr>
          <w:rFonts w:hint="eastAsia" w:ascii="方正仿宋_GB2312" w:hAnsi="方正仿宋_GB2312" w:eastAsia="方正仿宋_GB2312" w:cs="方正仿宋_GB2312"/>
          <w:color w:val="000000"/>
          <w:kern w:val="0"/>
          <w:sz w:val="24"/>
          <w:szCs w:val="24"/>
          <w:highlight w:val="none"/>
          <w:u w:val="single"/>
        </w:rPr>
        <w:t xml:space="preserve">                                </w:t>
      </w:r>
    </w:p>
    <w:p w14:paraId="6888C38C">
      <w:pPr>
        <w:spacing w:line="360" w:lineRule="auto"/>
        <w:ind w:left="1500" w:hanging="1200" w:hangingChars="5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u w:val="single"/>
        </w:rPr>
        <w:t xml:space="preserve">                                                         </w:t>
      </w:r>
      <w:r>
        <w:rPr>
          <w:rFonts w:hint="eastAsia" w:ascii="方正仿宋_GB2312" w:hAnsi="方正仿宋_GB2312" w:eastAsia="方正仿宋_GB2312" w:cs="方正仿宋_GB2312"/>
          <w:color w:val="000000"/>
          <w:kern w:val="0"/>
          <w:sz w:val="24"/>
          <w:szCs w:val="24"/>
          <w:highlight w:val="none"/>
        </w:rPr>
        <w:t>。</w:t>
      </w:r>
    </w:p>
    <w:p w14:paraId="41C1FD46">
      <w:pPr>
        <w:spacing w:line="360" w:lineRule="auto"/>
        <w:ind w:left="1500" w:hanging="1200" w:hangingChars="5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 xml:space="preserve">    16.1.2 发包人违约的责任</w:t>
      </w:r>
    </w:p>
    <w:p w14:paraId="382C3455">
      <w:pPr>
        <w:spacing w:line="360" w:lineRule="auto"/>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发包人违约责任的承担方式和计算方法：</w:t>
      </w:r>
    </w:p>
    <w:p w14:paraId="47BA03B7">
      <w:pPr>
        <w:spacing w:line="360" w:lineRule="auto"/>
        <w:ind w:firstLine="480" w:firstLineChars="200"/>
        <w:jc w:val="left"/>
        <w:rPr>
          <w:rFonts w:hint="eastAsia" w:ascii="方正仿宋_GB2312" w:hAnsi="方正仿宋_GB2312" w:eastAsia="方正仿宋_GB2312" w:cs="方正仿宋_GB2312"/>
          <w:color w:val="000000"/>
          <w:kern w:val="0"/>
          <w:sz w:val="24"/>
          <w:szCs w:val="24"/>
          <w:highlight w:val="none"/>
          <w:u w:val="single"/>
        </w:rPr>
      </w:pPr>
      <w:r>
        <w:rPr>
          <w:rFonts w:hint="eastAsia" w:ascii="方正仿宋_GB2312" w:hAnsi="方正仿宋_GB2312" w:eastAsia="方正仿宋_GB2312" w:cs="方正仿宋_GB2312"/>
          <w:color w:val="000000"/>
          <w:kern w:val="0"/>
          <w:sz w:val="24"/>
          <w:szCs w:val="24"/>
          <w:highlight w:val="none"/>
        </w:rPr>
        <w:t>（1）因发包人原因未能在计划开工日期前7天内下达开工通知的违约责任：</w:t>
      </w:r>
      <w:r>
        <w:rPr>
          <w:rFonts w:hint="eastAsia" w:ascii="方正仿宋_GB2312" w:hAnsi="方正仿宋_GB2312" w:eastAsia="方正仿宋_GB2312" w:cs="方正仿宋_GB2312"/>
          <w:color w:val="000000"/>
          <w:kern w:val="0"/>
          <w:sz w:val="24"/>
          <w:szCs w:val="24"/>
          <w:highlight w:val="none"/>
          <w:u w:val="single"/>
        </w:rPr>
        <w:t xml:space="preserve">                                             </w:t>
      </w:r>
      <w:r>
        <w:rPr>
          <w:rFonts w:hint="eastAsia" w:ascii="方正仿宋_GB2312" w:hAnsi="方正仿宋_GB2312" w:eastAsia="方正仿宋_GB2312" w:cs="方正仿宋_GB2312"/>
          <w:color w:val="000000"/>
          <w:kern w:val="0"/>
          <w:sz w:val="24"/>
          <w:szCs w:val="24"/>
          <w:highlight w:val="none"/>
        </w:rPr>
        <w:t>。</w:t>
      </w:r>
    </w:p>
    <w:p w14:paraId="4A21E0F6">
      <w:pPr>
        <w:spacing w:line="360" w:lineRule="auto"/>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（2）因发包人原因未能按合同约定支付合同价款的违约责任：</w:t>
      </w:r>
      <w:r>
        <w:rPr>
          <w:rFonts w:hint="eastAsia" w:ascii="方正仿宋_GB2312" w:hAnsi="方正仿宋_GB2312" w:eastAsia="方正仿宋_GB2312" w:cs="方正仿宋_GB2312"/>
          <w:color w:val="000000"/>
          <w:kern w:val="0"/>
          <w:sz w:val="24"/>
          <w:szCs w:val="24"/>
          <w:highlight w:val="none"/>
          <w:u w:val="single"/>
        </w:rPr>
        <w:t xml:space="preserve">                                                      </w:t>
      </w:r>
      <w:r>
        <w:rPr>
          <w:rFonts w:hint="eastAsia" w:ascii="方正仿宋_GB2312" w:hAnsi="方正仿宋_GB2312" w:eastAsia="方正仿宋_GB2312" w:cs="方正仿宋_GB2312"/>
          <w:color w:val="000000"/>
          <w:kern w:val="0"/>
          <w:sz w:val="24"/>
          <w:szCs w:val="24"/>
          <w:highlight w:val="none"/>
        </w:rPr>
        <w:t>。</w:t>
      </w:r>
    </w:p>
    <w:p w14:paraId="204C3837">
      <w:pPr>
        <w:spacing w:line="360" w:lineRule="auto"/>
        <w:ind w:firstLine="480" w:firstLineChars="200"/>
        <w:jc w:val="left"/>
        <w:rPr>
          <w:rFonts w:hint="eastAsia" w:ascii="方正仿宋_GB2312" w:hAnsi="方正仿宋_GB2312" w:eastAsia="方正仿宋_GB2312" w:cs="方正仿宋_GB2312"/>
          <w:color w:val="000000"/>
          <w:kern w:val="0"/>
          <w:sz w:val="24"/>
          <w:szCs w:val="24"/>
          <w:highlight w:val="none"/>
          <w:u w:val="single"/>
        </w:rPr>
      </w:pPr>
      <w:r>
        <w:rPr>
          <w:rFonts w:hint="eastAsia" w:ascii="方正仿宋_GB2312" w:hAnsi="方正仿宋_GB2312" w:eastAsia="方正仿宋_GB2312" w:cs="方正仿宋_GB2312"/>
          <w:color w:val="000000"/>
          <w:kern w:val="0"/>
          <w:sz w:val="24"/>
          <w:szCs w:val="24"/>
          <w:highlight w:val="none"/>
        </w:rPr>
        <w:t>（3）发包人违反第10.1款〔变更的范围〕第（2）项约定，自行实施被取消的工作或转由他人实施的违约责任：</w:t>
      </w:r>
      <w:r>
        <w:rPr>
          <w:rFonts w:hint="eastAsia" w:ascii="方正仿宋_GB2312" w:hAnsi="方正仿宋_GB2312" w:eastAsia="方正仿宋_GB2312" w:cs="方正仿宋_GB2312"/>
          <w:color w:val="000000"/>
          <w:kern w:val="0"/>
          <w:sz w:val="24"/>
          <w:szCs w:val="24"/>
          <w:highlight w:val="none"/>
          <w:u w:val="single"/>
        </w:rPr>
        <w:t xml:space="preserve">              </w:t>
      </w:r>
    </w:p>
    <w:p w14:paraId="57C68008">
      <w:pPr>
        <w:spacing w:line="360" w:lineRule="auto"/>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u w:val="single"/>
        </w:rPr>
        <w:t xml:space="preserve">                                                         </w:t>
      </w:r>
      <w:r>
        <w:rPr>
          <w:rFonts w:hint="eastAsia" w:ascii="方正仿宋_GB2312" w:hAnsi="方正仿宋_GB2312" w:eastAsia="方正仿宋_GB2312" w:cs="方正仿宋_GB2312"/>
          <w:color w:val="000000"/>
          <w:kern w:val="0"/>
          <w:sz w:val="24"/>
          <w:szCs w:val="24"/>
          <w:highlight w:val="none"/>
        </w:rPr>
        <w:t>。</w:t>
      </w:r>
    </w:p>
    <w:p w14:paraId="682BC4FD">
      <w:pPr>
        <w:spacing w:line="360" w:lineRule="auto"/>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（4）发包人提供的材料、工程设备的规格、数量或质量不符合合同约定，或因发包人原因导致交货日期延误或交货地点变更等情况的违约责任：</w:t>
      </w:r>
      <w:r>
        <w:rPr>
          <w:rFonts w:hint="eastAsia" w:ascii="方正仿宋_GB2312" w:hAnsi="方正仿宋_GB2312" w:eastAsia="方正仿宋_GB2312" w:cs="方正仿宋_GB2312"/>
          <w:color w:val="000000"/>
          <w:kern w:val="0"/>
          <w:sz w:val="24"/>
          <w:szCs w:val="24"/>
          <w:highlight w:val="none"/>
          <w:u w:val="single"/>
        </w:rPr>
        <w:t xml:space="preserve">                                           </w:t>
      </w:r>
      <w:r>
        <w:rPr>
          <w:rFonts w:hint="eastAsia" w:ascii="方正仿宋_GB2312" w:hAnsi="方正仿宋_GB2312" w:eastAsia="方正仿宋_GB2312" w:cs="方正仿宋_GB2312"/>
          <w:color w:val="000000"/>
          <w:kern w:val="0"/>
          <w:sz w:val="24"/>
          <w:szCs w:val="24"/>
          <w:highlight w:val="none"/>
        </w:rPr>
        <w:t>。</w:t>
      </w:r>
    </w:p>
    <w:p w14:paraId="22005041">
      <w:pPr>
        <w:spacing w:line="360" w:lineRule="auto"/>
        <w:ind w:firstLine="480" w:firstLineChars="200"/>
        <w:jc w:val="left"/>
        <w:rPr>
          <w:rFonts w:hint="eastAsia" w:ascii="方正仿宋_GB2312" w:hAnsi="方正仿宋_GB2312" w:eastAsia="方正仿宋_GB2312" w:cs="方正仿宋_GB2312"/>
          <w:color w:val="000000"/>
          <w:kern w:val="0"/>
          <w:sz w:val="24"/>
          <w:szCs w:val="24"/>
          <w:highlight w:val="none"/>
          <w:u w:val="single"/>
        </w:rPr>
      </w:pPr>
      <w:r>
        <w:rPr>
          <w:rFonts w:hint="eastAsia" w:ascii="方正仿宋_GB2312" w:hAnsi="方正仿宋_GB2312" w:eastAsia="方正仿宋_GB2312" w:cs="方正仿宋_GB2312"/>
          <w:color w:val="000000"/>
          <w:kern w:val="0"/>
          <w:sz w:val="24"/>
          <w:szCs w:val="24"/>
          <w:highlight w:val="none"/>
        </w:rPr>
        <w:t>（5）因发包人违反合同约定造成暂停施工的违约责任：</w:t>
      </w:r>
      <w:r>
        <w:rPr>
          <w:rFonts w:hint="eastAsia" w:ascii="方正仿宋_GB2312" w:hAnsi="方正仿宋_GB2312" w:eastAsia="方正仿宋_GB2312" w:cs="方正仿宋_GB2312"/>
          <w:color w:val="000000"/>
          <w:kern w:val="0"/>
          <w:sz w:val="24"/>
          <w:szCs w:val="24"/>
          <w:highlight w:val="none"/>
          <w:u w:val="single"/>
        </w:rPr>
        <w:t xml:space="preserve">     </w:t>
      </w:r>
    </w:p>
    <w:p w14:paraId="72957E35">
      <w:pPr>
        <w:spacing w:line="360" w:lineRule="auto"/>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u w:val="single"/>
        </w:rPr>
        <w:t xml:space="preserve">                                                         </w:t>
      </w:r>
      <w:r>
        <w:rPr>
          <w:rFonts w:hint="eastAsia" w:ascii="方正仿宋_GB2312" w:hAnsi="方正仿宋_GB2312" w:eastAsia="方正仿宋_GB2312" w:cs="方正仿宋_GB2312"/>
          <w:color w:val="000000"/>
          <w:kern w:val="0"/>
          <w:sz w:val="24"/>
          <w:szCs w:val="24"/>
          <w:highlight w:val="none"/>
        </w:rPr>
        <w:t>。</w:t>
      </w:r>
    </w:p>
    <w:p w14:paraId="4278B80F">
      <w:pPr>
        <w:spacing w:line="360" w:lineRule="auto"/>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（6）发包人无正当理由没有在约定期限内发出复工指示，导致承包人无法复工的违约责任：</w:t>
      </w:r>
      <w:r>
        <w:rPr>
          <w:rFonts w:hint="eastAsia" w:ascii="方正仿宋_GB2312" w:hAnsi="方正仿宋_GB2312" w:eastAsia="方正仿宋_GB2312" w:cs="方正仿宋_GB2312"/>
          <w:color w:val="000000"/>
          <w:kern w:val="0"/>
          <w:sz w:val="24"/>
          <w:szCs w:val="24"/>
          <w:highlight w:val="none"/>
          <w:u w:val="single"/>
        </w:rPr>
        <w:t xml:space="preserve">                               </w:t>
      </w:r>
      <w:r>
        <w:rPr>
          <w:rFonts w:hint="eastAsia" w:ascii="方正仿宋_GB2312" w:hAnsi="方正仿宋_GB2312" w:eastAsia="方正仿宋_GB2312" w:cs="方正仿宋_GB2312"/>
          <w:color w:val="000000"/>
          <w:kern w:val="0"/>
          <w:sz w:val="24"/>
          <w:szCs w:val="24"/>
          <w:highlight w:val="none"/>
        </w:rPr>
        <w:t>。</w:t>
      </w:r>
    </w:p>
    <w:p w14:paraId="0BE8F880">
      <w:pPr>
        <w:spacing w:line="360" w:lineRule="auto"/>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（7）其他：</w:t>
      </w:r>
      <w:r>
        <w:rPr>
          <w:rFonts w:hint="eastAsia" w:ascii="方正仿宋_GB2312" w:hAnsi="方正仿宋_GB2312" w:eastAsia="方正仿宋_GB2312" w:cs="方正仿宋_GB2312"/>
          <w:color w:val="000000"/>
          <w:kern w:val="0"/>
          <w:sz w:val="24"/>
          <w:szCs w:val="24"/>
          <w:highlight w:val="none"/>
          <w:u w:val="single"/>
        </w:rPr>
        <w:t xml:space="preserve">                                          </w:t>
      </w:r>
      <w:r>
        <w:rPr>
          <w:rFonts w:hint="eastAsia" w:ascii="方正仿宋_GB2312" w:hAnsi="方正仿宋_GB2312" w:eastAsia="方正仿宋_GB2312" w:cs="方正仿宋_GB2312"/>
          <w:color w:val="000000"/>
          <w:kern w:val="0"/>
          <w:sz w:val="24"/>
          <w:szCs w:val="24"/>
          <w:highlight w:val="none"/>
        </w:rPr>
        <w:t>。</w:t>
      </w:r>
    </w:p>
    <w:p w14:paraId="620055A6">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16.1.3 因发包人违约解除合同</w:t>
      </w:r>
    </w:p>
    <w:p w14:paraId="0233E893">
      <w:pPr>
        <w:autoSpaceDE w:val="0"/>
        <w:autoSpaceDN w:val="0"/>
        <w:adjustRightInd w:val="0"/>
        <w:spacing w:line="360" w:lineRule="auto"/>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承包人按16.1.1项〔发包人违约的情形〕约定暂停施工满</w:t>
      </w:r>
      <w:r>
        <w:rPr>
          <w:rFonts w:hint="eastAsia" w:ascii="方正仿宋_GB2312" w:hAnsi="方正仿宋_GB2312" w:eastAsia="方正仿宋_GB2312" w:cs="方正仿宋_GB2312"/>
          <w:color w:val="000000"/>
          <w:kern w:val="0"/>
          <w:sz w:val="24"/>
          <w:szCs w:val="24"/>
          <w:highlight w:val="none"/>
          <w:u w:val="single"/>
        </w:rPr>
        <w:t xml:space="preserve">    </w:t>
      </w:r>
      <w:r>
        <w:rPr>
          <w:rFonts w:hint="eastAsia" w:ascii="方正仿宋_GB2312" w:hAnsi="方正仿宋_GB2312" w:eastAsia="方正仿宋_GB2312" w:cs="方正仿宋_GB2312"/>
          <w:color w:val="000000"/>
          <w:kern w:val="0"/>
          <w:sz w:val="24"/>
          <w:szCs w:val="24"/>
          <w:highlight w:val="none"/>
        </w:rPr>
        <w:t>天后发包人仍不纠正其违约行为并致使合同目的不能实现的，承包人有权解除合同。</w:t>
      </w:r>
    </w:p>
    <w:p w14:paraId="0ACD3108">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1199" w:name="_Toc18771"/>
      <w:bookmarkStart w:id="1200" w:name="_Toc31137"/>
      <w:r>
        <w:rPr>
          <w:rFonts w:hint="eastAsia" w:ascii="方正仿宋_GB2312" w:hAnsi="方正仿宋_GB2312" w:eastAsia="方正仿宋_GB2312" w:cs="方正仿宋_GB2312"/>
          <w:color w:val="000000"/>
          <w:sz w:val="24"/>
          <w:szCs w:val="24"/>
          <w:highlight w:val="none"/>
        </w:rPr>
        <w:t>16.2 承包人违约</w:t>
      </w:r>
      <w:bookmarkEnd w:id="1199"/>
      <w:bookmarkEnd w:id="1200"/>
    </w:p>
    <w:p w14:paraId="1D819AF4">
      <w:pPr>
        <w:spacing w:line="360" w:lineRule="auto"/>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16.2.1 承包人违约的情形</w:t>
      </w:r>
    </w:p>
    <w:p w14:paraId="55758E03">
      <w:pPr>
        <w:spacing w:line="360" w:lineRule="auto"/>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承包人违约的其他情形：</w:t>
      </w:r>
      <w:r>
        <w:rPr>
          <w:rFonts w:hint="eastAsia" w:ascii="方正仿宋_GB2312" w:hAnsi="方正仿宋_GB2312" w:eastAsia="方正仿宋_GB2312" w:cs="方正仿宋_GB2312"/>
          <w:color w:val="000000"/>
          <w:kern w:val="0"/>
          <w:sz w:val="24"/>
          <w:szCs w:val="24"/>
          <w:highlight w:val="none"/>
          <w:u w:val="single"/>
        </w:rPr>
        <w:t xml:space="preserve">                               </w:t>
      </w:r>
      <w:r>
        <w:rPr>
          <w:rFonts w:hint="eastAsia" w:ascii="方正仿宋_GB2312" w:hAnsi="方正仿宋_GB2312" w:eastAsia="方正仿宋_GB2312" w:cs="方正仿宋_GB2312"/>
          <w:color w:val="000000"/>
          <w:kern w:val="0"/>
          <w:sz w:val="24"/>
          <w:szCs w:val="24"/>
          <w:highlight w:val="none"/>
          <w:u w:val="single"/>
          <w:lang w:val="en-US" w:eastAsia="zh-CN"/>
        </w:rPr>
        <w:t xml:space="preserve">   </w:t>
      </w:r>
      <w:r>
        <w:rPr>
          <w:rFonts w:hint="eastAsia" w:ascii="方正仿宋_GB2312" w:hAnsi="方正仿宋_GB2312" w:eastAsia="方正仿宋_GB2312" w:cs="方正仿宋_GB2312"/>
          <w:color w:val="000000"/>
          <w:kern w:val="0"/>
          <w:sz w:val="24"/>
          <w:szCs w:val="24"/>
          <w:highlight w:val="none"/>
        </w:rPr>
        <w:t>。</w:t>
      </w:r>
    </w:p>
    <w:p w14:paraId="2F032CFE">
      <w:pPr>
        <w:spacing w:line="360" w:lineRule="auto"/>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16.2.2承包人违约的责任</w:t>
      </w:r>
    </w:p>
    <w:p w14:paraId="4D6FD6B9">
      <w:pPr>
        <w:spacing w:line="360" w:lineRule="auto"/>
        <w:ind w:firstLine="480" w:firstLineChars="200"/>
        <w:jc w:val="left"/>
        <w:rPr>
          <w:rFonts w:hint="eastAsia" w:ascii="方正仿宋_GB2312" w:hAnsi="方正仿宋_GB2312" w:eastAsia="方正仿宋_GB2312" w:cs="方正仿宋_GB2312"/>
          <w:color w:val="000000"/>
          <w:kern w:val="0"/>
          <w:sz w:val="24"/>
          <w:szCs w:val="24"/>
          <w:highlight w:val="none"/>
          <w:u w:val="single"/>
        </w:rPr>
      </w:pPr>
      <w:r>
        <w:rPr>
          <w:rFonts w:hint="eastAsia" w:ascii="方正仿宋_GB2312" w:hAnsi="方正仿宋_GB2312" w:eastAsia="方正仿宋_GB2312" w:cs="方正仿宋_GB2312"/>
          <w:color w:val="000000"/>
          <w:kern w:val="0"/>
          <w:sz w:val="24"/>
          <w:szCs w:val="24"/>
          <w:highlight w:val="none"/>
        </w:rPr>
        <w:t>承包人违约责任的承担方式和计算方法：</w:t>
      </w:r>
      <w:r>
        <w:rPr>
          <w:rFonts w:hint="eastAsia" w:ascii="方正仿宋_GB2312" w:hAnsi="方正仿宋_GB2312" w:eastAsia="方正仿宋_GB2312" w:cs="方正仿宋_GB2312"/>
          <w:color w:val="000000"/>
          <w:kern w:val="0"/>
          <w:sz w:val="24"/>
          <w:szCs w:val="24"/>
          <w:highlight w:val="none"/>
          <w:u w:val="single"/>
        </w:rPr>
        <w:t xml:space="preserve">                  </w:t>
      </w:r>
    </w:p>
    <w:p w14:paraId="77A76116">
      <w:pPr>
        <w:spacing w:line="360" w:lineRule="auto"/>
        <w:ind w:left="1500" w:hanging="1200" w:hangingChars="500"/>
        <w:jc w:val="left"/>
        <w:rPr>
          <w:rFonts w:hint="eastAsia" w:ascii="方正仿宋_GB2312" w:hAnsi="方正仿宋_GB2312" w:eastAsia="方正仿宋_GB2312" w:cs="方正仿宋_GB2312"/>
          <w:color w:val="000000"/>
          <w:kern w:val="0"/>
          <w:sz w:val="24"/>
          <w:szCs w:val="24"/>
          <w:highlight w:val="none"/>
          <w:u w:val="single"/>
        </w:rPr>
      </w:pPr>
      <w:r>
        <w:rPr>
          <w:rFonts w:hint="eastAsia" w:ascii="方正仿宋_GB2312" w:hAnsi="方正仿宋_GB2312" w:eastAsia="方正仿宋_GB2312" w:cs="方正仿宋_GB2312"/>
          <w:color w:val="000000"/>
          <w:kern w:val="0"/>
          <w:sz w:val="24"/>
          <w:szCs w:val="24"/>
          <w:highlight w:val="none"/>
          <w:u w:val="single"/>
        </w:rPr>
        <w:t xml:space="preserve">                                                         </w:t>
      </w:r>
      <w:r>
        <w:rPr>
          <w:rFonts w:hint="eastAsia" w:ascii="方正仿宋_GB2312" w:hAnsi="方正仿宋_GB2312" w:eastAsia="方正仿宋_GB2312" w:cs="方正仿宋_GB2312"/>
          <w:color w:val="000000"/>
          <w:kern w:val="0"/>
          <w:sz w:val="24"/>
          <w:szCs w:val="24"/>
          <w:highlight w:val="none"/>
        </w:rPr>
        <w:t>。</w:t>
      </w:r>
      <w:r>
        <w:rPr>
          <w:rFonts w:hint="eastAsia" w:ascii="方正仿宋_GB2312" w:hAnsi="方正仿宋_GB2312" w:eastAsia="方正仿宋_GB2312" w:cs="方正仿宋_GB2312"/>
          <w:color w:val="000000"/>
          <w:sz w:val="24"/>
          <w:szCs w:val="24"/>
          <w:highlight w:val="none"/>
        </w:rPr>
        <w:t xml:space="preserve">    </w:t>
      </w:r>
    </w:p>
    <w:p w14:paraId="7B74AFE5">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16.2.3 因承包人违约解除合同</w:t>
      </w:r>
    </w:p>
    <w:p w14:paraId="23386F53">
      <w:pPr>
        <w:spacing w:before="120" w:after="120" w:line="360" w:lineRule="auto"/>
        <w:ind w:firstLine="480" w:firstLineChars="200"/>
        <w:rPr>
          <w:rFonts w:hint="eastAsia" w:ascii="方正仿宋_GB2312" w:hAnsi="方正仿宋_GB2312" w:eastAsia="方正仿宋_GB2312" w:cs="方正仿宋_GB2312"/>
          <w:color w:val="000000"/>
          <w:kern w:val="0"/>
          <w:sz w:val="24"/>
          <w:szCs w:val="24"/>
          <w:highlight w:val="none"/>
          <w:u w:val="single"/>
        </w:rPr>
      </w:pPr>
      <w:r>
        <w:rPr>
          <w:rFonts w:hint="eastAsia" w:ascii="方正仿宋_GB2312" w:hAnsi="方正仿宋_GB2312" w:eastAsia="方正仿宋_GB2312" w:cs="方正仿宋_GB2312"/>
          <w:color w:val="000000"/>
          <w:kern w:val="0"/>
          <w:sz w:val="24"/>
          <w:szCs w:val="24"/>
          <w:highlight w:val="none"/>
        </w:rPr>
        <w:t>关于承包人违约解除合同的特别约定：</w:t>
      </w:r>
      <w:r>
        <w:rPr>
          <w:rFonts w:hint="eastAsia" w:ascii="方正仿宋_GB2312" w:hAnsi="方正仿宋_GB2312" w:eastAsia="方正仿宋_GB2312" w:cs="方正仿宋_GB2312"/>
          <w:color w:val="000000"/>
          <w:kern w:val="0"/>
          <w:sz w:val="24"/>
          <w:szCs w:val="24"/>
          <w:highlight w:val="none"/>
          <w:u w:val="single"/>
        </w:rPr>
        <w:t xml:space="preserve">                    </w:t>
      </w:r>
    </w:p>
    <w:p w14:paraId="05323163">
      <w:pPr>
        <w:spacing w:before="120" w:after="120" w:line="360" w:lineRule="auto"/>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u w:val="single"/>
        </w:rPr>
        <w:t xml:space="preserve">                                                         </w:t>
      </w:r>
      <w:r>
        <w:rPr>
          <w:rFonts w:hint="eastAsia" w:ascii="方正仿宋_GB2312" w:hAnsi="方正仿宋_GB2312" w:eastAsia="方正仿宋_GB2312" w:cs="方正仿宋_GB2312"/>
          <w:color w:val="000000"/>
          <w:kern w:val="0"/>
          <w:sz w:val="24"/>
          <w:szCs w:val="24"/>
          <w:highlight w:val="none"/>
        </w:rPr>
        <w:t>。</w:t>
      </w:r>
    </w:p>
    <w:p w14:paraId="401278A0">
      <w:pPr>
        <w:spacing w:before="120" w:after="120" w:line="360" w:lineRule="auto"/>
        <w:ind w:firstLine="480" w:firstLineChars="200"/>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发包人继续使用承包人在施工现场的材料、设备、临时工程、承包人文件和由承包人或以其名义编制的其他文件的费用承担方式：</w:t>
      </w:r>
      <w:r>
        <w:rPr>
          <w:rFonts w:hint="eastAsia" w:ascii="方正仿宋_GB2312" w:hAnsi="方正仿宋_GB2312" w:eastAsia="方正仿宋_GB2312" w:cs="方正仿宋_GB2312"/>
          <w:color w:val="000000"/>
          <w:kern w:val="0"/>
          <w:sz w:val="24"/>
          <w:szCs w:val="24"/>
          <w:highlight w:val="none"/>
          <w:u w:val="single"/>
        </w:rPr>
        <w:t xml:space="preserve">                                                     </w:t>
      </w:r>
      <w:r>
        <w:rPr>
          <w:rFonts w:hint="eastAsia" w:ascii="方正仿宋_GB2312" w:hAnsi="方正仿宋_GB2312" w:eastAsia="方正仿宋_GB2312" w:cs="方正仿宋_GB2312"/>
          <w:color w:val="000000"/>
          <w:kern w:val="0"/>
          <w:sz w:val="24"/>
          <w:szCs w:val="24"/>
          <w:highlight w:val="none"/>
        </w:rPr>
        <w:t>。</w:t>
      </w:r>
    </w:p>
    <w:p w14:paraId="0180D44D">
      <w:pPr>
        <w:pStyle w:val="4"/>
        <w:spacing w:before="120" w:after="120" w:line="360" w:lineRule="auto"/>
        <w:outlineLvl w:val="2"/>
        <w:rPr>
          <w:rFonts w:hint="eastAsia" w:ascii="方正仿宋_GB2312" w:hAnsi="方正仿宋_GB2312" w:eastAsia="方正仿宋_GB2312" w:cs="方正仿宋_GB2312"/>
          <w:b w:val="0"/>
          <w:color w:val="000000"/>
          <w:sz w:val="24"/>
          <w:szCs w:val="24"/>
          <w:highlight w:val="none"/>
        </w:rPr>
      </w:pPr>
      <w:bookmarkStart w:id="1201" w:name="_Toc289"/>
      <w:bookmarkStart w:id="1202" w:name="_Toc16329"/>
      <w:bookmarkStart w:id="1203" w:name="_Toc351203649"/>
      <w:bookmarkStart w:id="1204" w:name="_Toc31166"/>
      <w:r>
        <w:rPr>
          <w:rFonts w:hint="eastAsia" w:ascii="方正仿宋_GB2312" w:hAnsi="方正仿宋_GB2312" w:eastAsia="方正仿宋_GB2312" w:cs="方正仿宋_GB2312"/>
          <w:b w:val="0"/>
          <w:color w:val="000000"/>
          <w:sz w:val="24"/>
          <w:szCs w:val="24"/>
          <w:highlight w:val="none"/>
        </w:rPr>
        <w:t>17. 不可抗力</w:t>
      </w:r>
      <w:bookmarkEnd w:id="1201"/>
      <w:bookmarkEnd w:id="1202"/>
      <w:bookmarkEnd w:id="1203"/>
      <w:bookmarkEnd w:id="1204"/>
      <w:r>
        <w:rPr>
          <w:rFonts w:hint="eastAsia" w:ascii="方正仿宋_GB2312" w:hAnsi="方正仿宋_GB2312" w:eastAsia="方正仿宋_GB2312" w:cs="方正仿宋_GB2312"/>
          <w:b w:val="0"/>
          <w:color w:val="000000"/>
          <w:sz w:val="24"/>
          <w:szCs w:val="24"/>
          <w:highlight w:val="none"/>
        </w:rPr>
        <w:t xml:space="preserve"> </w:t>
      </w:r>
      <w:bookmarkEnd w:id="1195"/>
    </w:p>
    <w:p w14:paraId="53A2584F">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1205" w:name="_Toc28535"/>
      <w:bookmarkStart w:id="1206" w:name="_Toc7391"/>
      <w:r>
        <w:rPr>
          <w:rFonts w:hint="eastAsia" w:ascii="方正仿宋_GB2312" w:hAnsi="方正仿宋_GB2312" w:eastAsia="方正仿宋_GB2312" w:cs="方正仿宋_GB2312"/>
          <w:color w:val="000000"/>
          <w:sz w:val="24"/>
          <w:szCs w:val="24"/>
          <w:highlight w:val="none"/>
        </w:rPr>
        <w:t>17.1 不可抗力的确认</w:t>
      </w:r>
      <w:bookmarkEnd w:id="1205"/>
      <w:bookmarkEnd w:id="1206"/>
    </w:p>
    <w:p w14:paraId="79EF0EE3">
      <w:pPr>
        <w:spacing w:line="360" w:lineRule="auto"/>
        <w:ind w:firstLine="480" w:firstLineChars="200"/>
        <w:jc w:val="left"/>
        <w:rPr>
          <w:rFonts w:hint="eastAsia" w:ascii="方正仿宋_GB2312" w:hAnsi="方正仿宋_GB2312" w:eastAsia="方正仿宋_GB2312" w:cs="方正仿宋_GB2312"/>
          <w:color w:val="000000"/>
          <w:kern w:val="0"/>
          <w:sz w:val="24"/>
          <w:szCs w:val="24"/>
          <w:highlight w:val="none"/>
          <w:u w:val="single"/>
        </w:rPr>
      </w:pPr>
      <w:r>
        <w:rPr>
          <w:rFonts w:hint="eastAsia" w:ascii="方正仿宋_GB2312" w:hAnsi="方正仿宋_GB2312" w:eastAsia="方正仿宋_GB2312" w:cs="方正仿宋_GB2312"/>
          <w:color w:val="000000"/>
          <w:sz w:val="24"/>
          <w:szCs w:val="24"/>
          <w:highlight w:val="none"/>
        </w:rPr>
        <w:t xml:space="preserve">除通用合同条款约定的不可抗力事件之外，视为不可抗力的其他情形： </w:t>
      </w:r>
      <w:r>
        <w:rPr>
          <w:rFonts w:hint="eastAsia" w:ascii="方正仿宋_GB2312" w:hAnsi="方正仿宋_GB2312" w:eastAsia="方正仿宋_GB2312" w:cs="方正仿宋_GB2312"/>
          <w:color w:val="000000"/>
          <w:kern w:val="0"/>
          <w:sz w:val="24"/>
          <w:szCs w:val="24"/>
          <w:highlight w:val="none"/>
          <w:u w:val="single"/>
        </w:rPr>
        <w:t xml:space="preserve">                                                </w:t>
      </w:r>
      <w:r>
        <w:rPr>
          <w:rFonts w:hint="eastAsia" w:ascii="方正仿宋_GB2312" w:hAnsi="方正仿宋_GB2312" w:eastAsia="方正仿宋_GB2312" w:cs="方正仿宋_GB2312"/>
          <w:color w:val="000000"/>
          <w:kern w:val="0"/>
          <w:sz w:val="24"/>
          <w:szCs w:val="24"/>
          <w:highlight w:val="none"/>
        </w:rPr>
        <w:t>。</w:t>
      </w:r>
    </w:p>
    <w:p w14:paraId="72D2DF9F">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1207" w:name="_Toc17713"/>
      <w:bookmarkStart w:id="1208" w:name="_Toc30594"/>
      <w:r>
        <w:rPr>
          <w:rFonts w:hint="eastAsia" w:ascii="方正仿宋_GB2312" w:hAnsi="方正仿宋_GB2312" w:eastAsia="方正仿宋_GB2312" w:cs="方正仿宋_GB2312"/>
          <w:color w:val="000000"/>
          <w:sz w:val="24"/>
          <w:szCs w:val="24"/>
          <w:highlight w:val="none"/>
        </w:rPr>
        <w:t>17.4 因不可抗力解除合同</w:t>
      </w:r>
      <w:bookmarkEnd w:id="1207"/>
      <w:bookmarkEnd w:id="1208"/>
    </w:p>
    <w:p w14:paraId="78F5AFAA">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合同解除后，发包人应在商定或确定发包人应支付款项后</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天内完成款项的支付。</w:t>
      </w:r>
    </w:p>
    <w:p w14:paraId="35FA2D68">
      <w:pPr>
        <w:pStyle w:val="4"/>
        <w:spacing w:before="120" w:after="120" w:line="360" w:lineRule="auto"/>
        <w:outlineLvl w:val="2"/>
        <w:rPr>
          <w:rFonts w:hint="eastAsia" w:ascii="方正仿宋_GB2312" w:hAnsi="方正仿宋_GB2312" w:eastAsia="方正仿宋_GB2312" w:cs="方正仿宋_GB2312"/>
          <w:b w:val="0"/>
          <w:color w:val="000000"/>
          <w:sz w:val="24"/>
          <w:szCs w:val="24"/>
          <w:highlight w:val="none"/>
        </w:rPr>
      </w:pPr>
      <w:bookmarkStart w:id="1209" w:name="_Toc351203650"/>
      <w:bookmarkStart w:id="1210" w:name="_Toc15187"/>
      <w:bookmarkStart w:id="1211" w:name="_Toc31719"/>
      <w:bookmarkStart w:id="1212" w:name="_Toc20535"/>
      <w:r>
        <w:rPr>
          <w:rFonts w:hint="eastAsia" w:ascii="方正仿宋_GB2312" w:hAnsi="方正仿宋_GB2312" w:eastAsia="方正仿宋_GB2312" w:cs="方正仿宋_GB2312"/>
          <w:b w:val="0"/>
          <w:color w:val="000000"/>
          <w:sz w:val="24"/>
          <w:szCs w:val="24"/>
          <w:highlight w:val="none"/>
        </w:rPr>
        <w:t>18. 保险</w:t>
      </w:r>
      <w:bookmarkEnd w:id="1209"/>
      <w:bookmarkEnd w:id="1210"/>
      <w:bookmarkEnd w:id="1211"/>
      <w:bookmarkEnd w:id="1212"/>
    </w:p>
    <w:bookmarkEnd w:id="1196"/>
    <w:p w14:paraId="1CB0CFC5">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1213" w:name="_Toc11818"/>
      <w:bookmarkStart w:id="1214" w:name="_Toc15750"/>
      <w:r>
        <w:rPr>
          <w:rFonts w:hint="eastAsia" w:ascii="方正仿宋_GB2312" w:hAnsi="方正仿宋_GB2312" w:eastAsia="方正仿宋_GB2312" w:cs="方正仿宋_GB2312"/>
          <w:color w:val="000000"/>
          <w:sz w:val="24"/>
          <w:szCs w:val="24"/>
          <w:highlight w:val="none"/>
        </w:rPr>
        <w:t>18.1 工程保险</w:t>
      </w:r>
      <w:bookmarkEnd w:id="1213"/>
      <w:bookmarkEnd w:id="1214"/>
    </w:p>
    <w:p w14:paraId="672F4713">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关于工程保险的特别约定：</w:t>
      </w:r>
      <w:r>
        <w:rPr>
          <w:rFonts w:hint="eastAsia" w:ascii="方正仿宋_GB2312" w:hAnsi="方正仿宋_GB2312" w:eastAsia="方正仿宋_GB2312" w:cs="方正仿宋_GB2312"/>
          <w:color w:val="000000"/>
          <w:kern w:val="0"/>
          <w:sz w:val="24"/>
          <w:szCs w:val="24"/>
          <w:highlight w:val="none"/>
          <w:u w:val="single"/>
        </w:rPr>
        <w:t xml:space="preserve">                              </w:t>
      </w:r>
      <w:r>
        <w:rPr>
          <w:rFonts w:hint="eastAsia" w:ascii="方正仿宋_GB2312" w:hAnsi="方正仿宋_GB2312" w:eastAsia="方正仿宋_GB2312" w:cs="方正仿宋_GB2312"/>
          <w:color w:val="000000"/>
          <w:kern w:val="0"/>
          <w:sz w:val="24"/>
          <w:szCs w:val="24"/>
          <w:highlight w:val="none"/>
        </w:rPr>
        <w:t>。</w:t>
      </w:r>
    </w:p>
    <w:p w14:paraId="4B4925FB">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1215" w:name="_Toc24338"/>
      <w:bookmarkStart w:id="1216" w:name="_Toc13901"/>
      <w:r>
        <w:rPr>
          <w:rFonts w:hint="eastAsia" w:ascii="方正仿宋_GB2312" w:hAnsi="方正仿宋_GB2312" w:eastAsia="方正仿宋_GB2312" w:cs="方正仿宋_GB2312"/>
          <w:color w:val="000000"/>
          <w:sz w:val="24"/>
          <w:szCs w:val="24"/>
          <w:highlight w:val="none"/>
        </w:rPr>
        <w:t>18.3 其他保险</w:t>
      </w:r>
      <w:bookmarkEnd w:id="1215"/>
      <w:bookmarkEnd w:id="1216"/>
    </w:p>
    <w:p w14:paraId="5E3581A9">
      <w:pPr>
        <w:spacing w:line="360" w:lineRule="auto"/>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sz w:val="24"/>
          <w:szCs w:val="24"/>
          <w:highlight w:val="none"/>
        </w:rPr>
        <w:t>关于其他保险的约定：</w:t>
      </w:r>
      <w:r>
        <w:rPr>
          <w:rFonts w:hint="eastAsia" w:ascii="方正仿宋_GB2312" w:hAnsi="方正仿宋_GB2312" w:eastAsia="方正仿宋_GB2312" w:cs="方正仿宋_GB2312"/>
          <w:color w:val="000000"/>
          <w:kern w:val="0"/>
          <w:sz w:val="24"/>
          <w:szCs w:val="24"/>
          <w:highlight w:val="none"/>
          <w:u w:val="single"/>
        </w:rPr>
        <w:t xml:space="preserve">                                  </w:t>
      </w:r>
      <w:r>
        <w:rPr>
          <w:rFonts w:hint="eastAsia" w:ascii="方正仿宋_GB2312" w:hAnsi="方正仿宋_GB2312" w:eastAsia="方正仿宋_GB2312" w:cs="方正仿宋_GB2312"/>
          <w:color w:val="000000"/>
          <w:kern w:val="0"/>
          <w:sz w:val="24"/>
          <w:szCs w:val="24"/>
          <w:highlight w:val="none"/>
        </w:rPr>
        <w:t>。</w:t>
      </w:r>
    </w:p>
    <w:p w14:paraId="50EF5248">
      <w:pPr>
        <w:spacing w:line="360" w:lineRule="auto"/>
        <w:ind w:firstLine="480" w:firstLineChars="200"/>
        <w:jc w:val="left"/>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sz w:val="24"/>
          <w:szCs w:val="24"/>
          <w:highlight w:val="none"/>
        </w:rPr>
        <w:t>承包人是否应为其施工设备等办理财产保险：</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u w:val="single"/>
          <w:lang w:val="en-US" w:eastAsia="zh-CN"/>
        </w:rPr>
        <w:t xml:space="preserve">          </w:t>
      </w:r>
      <w:r>
        <w:rPr>
          <w:rFonts w:hint="eastAsia" w:ascii="方正仿宋_GB2312" w:hAnsi="方正仿宋_GB2312" w:eastAsia="方正仿宋_GB2312" w:cs="方正仿宋_GB2312"/>
          <w:color w:val="000000"/>
          <w:sz w:val="24"/>
          <w:szCs w:val="24"/>
          <w:highlight w:val="none"/>
        </w:rPr>
        <w:t>。</w:t>
      </w:r>
    </w:p>
    <w:p w14:paraId="4BCE9BF3">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1217" w:name="_Toc26973"/>
      <w:bookmarkStart w:id="1218" w:name="_Toc16418"/>
      <w:r>
        <w:rPr>
          <w:rFonts w:hint="eastAsia" w:ascii="方正仿宋_GB2312" w:hAnsi="方正仿宋_GB2312" w:eastAsia="方正仿宋_GB2312" w:cs="方正仿宋_GB2312"/>
          <w:color w:val="000000"/>
          <w:sz w:val="24"/>
          <w:szCs w:val="24"/>
          <w:highlight w:val="none"/>
        </w:rPr>
        <w:t>18.7 通知义务</w:t>
      </w:r>
      <w:bookmarkEnd w:id="1217"/>
      <w:bookmarkEnd w:id="1218"/>
    </w:p>
    <w:p w14:paraId="40723261">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kern w:val="0"/>
          <w:sz w:val="24"/>
          <w:szCs w:val="24"/>
          <w:highlight w:val="none"/>
        </w:rPr>
        <w:t>关于变更保险合同时的通知义务的约定：</w:t>
      </w:r>
      <w:r>
        <w:rPr>
          <w:rFonts w:hint="eastAsia" w:ascii="方正仿宋_GB2312" w:hAnsi="方正仿宋_GB2312" w:eastAsia="方正仿宋_GB2312" w:cs="方正仿宋_GB2312"/>
          <w:color w:val="000000"/>
          <w:sz w:val="24"/>
          <w:szCs w:val="24"/>
          <w:highlight w:val="none"/>
          <w:u w:val="single"/>
        </w:rPr>
        <w:t xml:space="preserve">                  </w:t>
      </w:r>
    </w:p>
    <w:p w14:paraId="7894ADB9">
      <w:pPr>
        <w:spacing w:line="360" w:lineRule="auto"/>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bookmarkEnd w:id="1163"/>
    <w:bookmarkEnd w:id="1164"/>
    <w:bookmarkEnd w:id="1165"/>
    <w:bookmarkEnd w:id="1166"/>
    <w:bookmarkEnd w:id="1167"/>
    <w:bookmarkEnd w:id="1168"/>
    <w:bookmarkEnd w:id="1169"/>
    <w:bookmarkEnd w:id="1170"/>
    <w:bookmarkEnd w:id="1171"/>
    <w:bookmarkEnd w:id="1172"/>
    <w:bookmarkEnd w:id="1173"/>
    <w:bookmarkEnd w:id="1174"/>
    <w:p w14:paraId="6BF3F389">
      <w:pPr>
        <w:pStyle w:val="4"/>
        <w:spacing w:before="120" w:after="120" w:line="360" w:lineRule="auto"/>
        <w:outlineLvl w:val="2"/>
        <w:rPr>
          <w:rFonts w:hint="eastAsia" w:ascii="方正仿宋_GB2312" w:hAnsi="方正仿宋_GB2312" w:eastAsia="方正仿宋_GB2312" w:cs="方正仿宋_GB2312"/>
          <w:b w:val="0"/>
          <w:color w:val="000000"/>
          <w:sz w:val="24"/>
          <w:szCs w:val="24"/>
          <w:highlight w:val="none"/>
        </w:rPr>
      </w:pPr>
      <w:bookmarkStart w:id="1219" w:name="_Toc8456"/>
      <w:bookmarkStart w:id="1220" w:name="_Toc6518"/>
      <w:bookmarkStart w:id="1221" w:name="_Toc28966"/>
      <w:bookmarkStart w:id="1222" w:name="_Toc351203651"/>
      <w:r>
        <w:rPr>
          <w:rFonts w:hint="eastAsia" w:ascii="方正仿宋_GB2312" w:hAnsi="方正仿宋_GB2312" w:eastAsia="方正仿宋_GB2312" w:cs="方正仿宋_GB2312"/>
          <w:b w:val="0"/>
          <w:color w:val="000000"/>
          <w:sz w:val="24"/>
          <w:szCs w:val="24"/>
          <w:highlight w:val="none"/>
        </w:rPr>
        <w:t>20. 争议解决</w:t>
      </w:r>
      <w:bookmarkEnd w:id="1219"/>
      <w:bookmarkEnd w:id="1220"/>
      <w:bookmarkEnd w:id="1221"/>
      <w:bookmarkEnd w:id="1222"/>
    </w:p>
    <w:bookmarkEnd w:id="1175"/>
    <w:bookmarkEnd w:id="1176"/>
    <w:p w14:paraId="4D43F5AE">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1223" w:name="_Toc12935"/>
      <w:bookmarkStart w:id="1224" w:name="_Toc27196"/>
      <w:r>
        <w:rPr>
          <w:rFonts w:hint="eastAsia" w:ascii="方正仿宋_GB2312" w:hAnsi="方正仿宋_GB2312" w:eastAsia="方正仿宋_GB2312" w:cs="方正仿宋_GB2312"/>
          <w:color w:val="000000"/>
          <w:sz w:val="24"/>
          <w:szCs w:val="24"/>
          <w:highlight w:val="none"/>
        </w:rPr>
        <w:t>20.3 争</w:t>
      </w:r>
      <w:bookmarkEnd w:id="1177"/>
      <w:r>
        <w:rPr>
          <w:rFonts w:hint="eastAsia" w:ascii="方正仿宋_GB2312" w:hAnsi="方正仿宋_GB2312" w:eastAsia="方正仿宋_GB2312" w:cs="方正仿宋_GB2312"/>
          <w:color w:val="000000"/>
          <w:sz w:val="24"/>
          <w:szCs w:val="24"/>
          <w:highlight w:val="none"/>
        </w:rPr>
        <w:t>议评审</w:t>
      </w:r>
      <w:bookmarkEnd w:id="1223"/>
      <w:bookmarkEnd w:id="1224"/>
    </w:p>
    <w:p w14:paraId="0248F291">
      <w:pPr>
        <w:spacing w:line="360" w:lineRule="auto"/>
        <w:ind w:left="149" w:leftChars="71" w:firstLine="360" w:firstLineChars="150"/>
        <w:jc w:val="left"/>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rPr>
        <w:t>合同当事人是否同意将工程争议提交争议评审小组决定：</w:t>
      </w:r>
      <w:r>
        <w:rPr>
          <w:rFonts w:hint="eastAsia" w:ascii="方正仿宋_GB2312" w:hAnsi="方正仿宋_GB2312" w:eastAsia="方正仿宋_GB2312" w:cs="方正仿宋_GB2312"/>
          <w:color w:val="000000"/>
          <w:sz w:val="24"/>
          <w:szCs w:val="24"/>
          <w:highlight w:val="none"/>
          <w:u w:val="single"/>
        </w:rPr>
        <w:t xml:space="preserve">    </w:t>
      </w:r>
    </w:p>
    <w:p w14:paraId="23A13D88">
      <w:pPr>
        <w:spacing w:line="360" w:lineRule="auto"/>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 xml:space="preserve">。  </w:t>
      </w:r>
    </w:p>
    <w:p w14:paraId="4AF7CDDD">
      <w:pPr>
        <w:spacing w:line="360" w:lineRule="auto"/>
        <w:ind w:firstLine="480" w:firstLineChars="200"/>
        <w:jc w:val="lef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20.3.1 争议评审小组的确定</w:t>
      </w:r>
    </w:p>
    <w:p w14:paraId="006998B4">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rPr>
        <w:t>争议评审小组成员的确定：</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00FC61F3">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选定争议评审员的期限：</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5F4FDBDB">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争议评审小组成员的报酬承担方式：</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04556E31">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其他事项的约定：</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75E9DEB7">
      <w:pPr>
        <w:autoSpaceDE w:val="0"/>
        <w:autoSpaceDN w:val="0"/>
        <w:adjustRightInd w:val="0"/>
        <w:spacing w:line="360" w:lineRule="auto"/>
        <w:ind w:firstLine="480" w:firstLineChars="200"/>
        <w:jc w:val="left"/>
        <w:outlineLvl w:val="9"/>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20.3.2 争议评审小组的决定</w:t>
      </w:r>
    </w:p>
    <w:p w14:paraId="60DA0F05">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合同当事人关于本项的约定：</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0BC12007">
      <w:pPr>
        <w:spacing w:after="120" w:line="360" w:lineRule="auto"/>
        <w:ind w:firstLine="480" w:firstLineChars="200"/>
        <w:outlineLvl w:val="3"/>
        <w:rPr>
          <w:rFonts w:hint="eastAsia" w:ascii="方正仿宋_GB2312" w:hAnsi="方正仿宋_GB2312" w:eastAsia="方正仿宋_GB2312" w:cs="方正仿宋_GB2312"/>
          <w:color w:val="000000"/>
          <w:sz w:val="24"/>
          <w:szCs w:val="24"/>
          <w:highlight w:val="none"/>
        </w:rPr>
      </w:pPr>
      <w:bookmarkStart w:id="1225" w:name="_Toc24042"/>
      <w:bookmarkStart w:id="1226" w:name="_Toc24617"/>
      <w:r>
        <w:rPr>
          <w:rFonts w:hint="eastAsia" w:ascii="方正仿宋_GB2312" w:hAnsi="方正仿宋_GB2312" w:eastAsia="方正仿宋_GB2312" w:cs="方正仿宋_GB2312"/>
          <w:color w:val="000000"/>
          <w:sz w:val="24"/>
          <w:szCs w:val="24"/>
          <w:highlight w:val="none"/>
        </w:rPr>
        <w:t>20.4仲裁或诉讼</w:t>
      </w:r>
      <w:bookmarkEnd w:id="1178"/>
      <w:bookmarkEnd w:id="1225"/>
      <w:bookmarkEnd w:id="1226"/>
    </w:p>
    <w:p w14:paraId="3A93A8CC">
      <w:pPr>
        <w:spacing w:after="120"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因合同及合同有关事项发生的争议，按下列第</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种方式解决：</w:t>
      </w:r>
    </w:p>
    <w:p w14:paraId="1D79FE29">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（1）向</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仲裁委员会申请仲裁；</w:t>
      </w:r>
    </w:p>
    <w:p w14:paraId="3FEB35F6">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（2）向</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人民法院起诉。</w:t>
      </w:r>
      <w:bookmarkEnd w:id="1179"/>
      <w:bookmarkEnd w:id="1180"/>
      <w:bookmarkEnd w:id="1181"/>
      <w:bookmarkEnd w:id="1182"/>
      <w:bookmarkEnd w:id="1183"/>
      <w:bookmarkEnd w:id="1184"/>
    </w:p>
    <w:p w14:paraId="7DA0F990">
      <w:pPr>
        <w:spacing w:line="360" w:lineRule="auto"/>
        <w:jc w:val="left"/>
        <w:rPr>
          <w:rFonts w:hint="eastAsia" w:ascii="方正仿宋_GB2312" w:hAnsi="方正仿宋_GB2312" w:eastAsia="方正仿宋_GB2312" w:cs="方正仿宋_GB2312"/>
          <w:b/>
          <w:color w:val="000000"/>
          <w:sz w:val="24"/>
          <w:szCs w:val="24"/>
          <w:highlight w:val="none"/>
        </w:rPr>
      </w:pPr>
      <w:r>
        <w:rPr>
          <w:rFonts w:hint="eastAsia" w:ascii="方正仿宋_GB2312" w:hAnsi="方正仿宋_GB2312" w:eastAsia="方正仿宋_GB2312" w:cs="方正仿宋_GB2312"/>
          <w:color w:val="000000"/>
          <w:sz w:val="24"/>
          <w:szCs w:val="24"/>
          <w:highlight w:val="none"/>
        </w:rPr>
        <w:br w:type="page"/>
      </w:r>
      <w:bookmarkStart w:id="1227" w:name="_Toc351203652"/>
      <w:r>
        <w:rPr>
          <w:rFonts w:hint="eastAsia" w:ascii="方正仿宋_GB2312" w:hAnsi="方正仿宋_GB2312" w:eastAsia="方正仿宋_GB2312" w:cs="方正仿宋_GB2312"/>
          <w:b/>
          <w:color w:val="000000"/>
          <w:sz w:val="24"/>
          <w:szCs w:val="24"/>
          <w:highlight w:val="none"/>
        </w:rPr>
        <w:t>附件</w:t>
      </w:r>
      <w:bookmarkEnd w:id="1227"/>
    </w:p>
    <w:p w14:paraId="1D630792">
      <w:pPr>
        <w:spacing w:line="360" w:lineRule="auto"/>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协议书附件：</w:t>
      </w:r>
    </w:p>
    <w:p w14:paraId="0A80EC89">
      <w:pPr>
        <w:spacing w:line="360" w:lineRule="auto"/>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附件1：承包人承揽工程项目一览表</w:t>
      </w:r>
    </w:p>
    <w:p w14:paraId="7C3B2759">
      <w:pPr>
        <w:spacing w:line="360" w:lineRule="auto"/>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专用合同条款附件：</w:t>
      </w:r>
    </w:p>
    <w:p w14:paraId="21DC553D">
      <w:pPr>
        <w:spacing w:line="360" w:lineRule="auto"/>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附件2：发包人供应材料设备一览表</w:t>
      </w:r>
    </w:p>
    <w:p w14:paraId="0256E662">
      <w:pPr>
        <w:spacing w:line="360" w:lineRule="auto"/>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附件3：工程质量保修书</w:t>
      </w:r>
    </w:p>
    <w:p w14:paraId="55058EB7">
      <w:pPr>
        <w:spacing w:line="360" w:lineRule="auto"/>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附件4：主要建设工程文件目录</w:t>
      </w:r>
    </w:p>
    <w:p w14:paraId="655F154E">
      <w:pPr>
        <w:spacing w:line="360" w:lineRule="auto"/>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附件5：承包人用于本工程施工的机械设备表</w:t>
      </w:r>
    </w:p>
    <w:p w14:paraId="0AC87ECB">
      <w:pPr>
        <w:spacing w:line="360" w:lineRule="auto"/>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附件6：承包人主要施工管理人员表</w:t>
      </w:r>
    </w:p>
    <w:p w14:paraId="0B062780">
      <w:pPr>
        <w:spacing w:line="360" w:lineRule="auto"/>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附件7：分包人主要施工管理人员表</w:t>
      </w:r>
    </w:p>
    <w:p w14:paraId="43EE7AD1">
      <w:pPr>
        <w:spacing w:line="360" w:lineRule="auto"/>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附件8：履约担保格式</w:t>
      </w:r>
    </w:p>
    <w:p w14:paraId="53648A38">
      <w:pPr>
        <w:spacing w:line="360" w:lineRule="auto"/>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附件9：预付款担保格式</w:t>
      </w:r>
    </w:p>
    <w:p w14:paraId="101DA5EE">
      <w:pPr>
        <w:spacing w:line="360" w:lineRule="auto"/>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附件10：支付担保格式</w:t>
      </w:r>
    </w:p>
    <w:p w14:paraId="00491134">
      <w:pPr>
        <w:spacing w:line="360" w:lineRule="auto"/>
        <w:jc w:val="left"/>
        <w:rPr>
          <w:rFonts w:hint="eastAsia" w:ascii="方正仿宋_GB2312" w:hAnsi="方正仿宋_GB2312" w:eastAsia="方正仿宋_GB2312" w:cs="方正仿宋_GB2312"/>
          <w:color w:val="000000"/>
          <w:sz w:val="24"/>
          <w:szCs w:val="24"/>
          <w:highlight w:val="none"/>
        </w:rPr>
        <w:sectPr>
          <w:footerReference r:id="rId22" w:type="first"/>
          <w:footerReference r:id="rId21" w:type="default"/>
          <w:pgSz w:w="11906" w:h="16838"/>
          <w:pgMar w:top="1418" w:right="1555" w:bottom="1418" w:left="1531" w:header="851" w:footer="992" w:gutter="0"/>
          <w:pgNumType w:fmt="decimal" w:start="82"/>
          <w:cols w:space="720" w:num="1"/>
          <w:titlePg/>
          <w:docGrid w:type="lines" w:linePitch="312" w:charSpace="0"/>
        </w:sectPr>
      </w:pPr>
      <w:r>
        <w:rPr>
          <w:rFonts w:hint="eastAsia" w:ascii="方正仿宋_GB2312" w:hAnsi="方正仿宋_GB2312" w:eastAsia="方正仿宋_GB2312" w:cs="方正仿宋_GB2312"/>
          <w:color w:val="000000"/>
          <w:sz w:val="24"/>
          <w:szCs w:val="24"/>
          <w:highlight w:val="none"/>
        </w:rPr>
        <w:t>附件11：暂估价一览表</w:t>
      </w:r>
    </w:p>
    <w:p w14:paraId="55516459">
      <w:pPr>
        <w:spacing w:before="156" w:beforeLines="50" w:after="156" w:afterLines="50" w:line="440" w:lineRule="exact"/>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附件1：</w:t>
      </w:r>
    </w:p>
    <w:p w14:paraId="7EFDD6F1">
      <w:pPr>
        <w:spacing w:before="156" w:beforeLines="50" w:after="156" w:afterLines="50" w:line="440" w:lineRule="exact"/>
        <w:jc w:val="center"/>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承包人承揽工程项目一览表</w:t>
      </w:r>
    </w:p>
    <w:tbl>
      <w:tblPr>
        <w:tblStyle w:val="39"/>
        <w:tblpPr w:leftFromText="180" w:rightFromText="180" w:vertAnchor="text" w:horzAnchor="page" w:tblpXSpec="center" w:tblpY="671"/>
        <w:tblOverlap w:val="never"/>
        <w:tblW w:w="95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84"/>
        <w:gridCol w:w="1063"/>
        <w:gridCol w:w="1433"/>
        <w:gridCol w:w="737"/>
        <w:gridCol w:w="450"/>
        <w:gridCol w:w="700"/>
        <w:gridCol w:w="1000"/>
        <w:gridCol w:w="1135"/>
        <w:gridCol w:w="1000"/>
        <w:gridCol w:w="800"/>
      </w:tblGrid>
      <w:tr w14:paraId="0E3CB9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84" w:type="dxa"/>
            <w:tcBorders>
              <w:top w:val="single" w:color="auto" w:sz="12" w:space="0"/>
              <w:bottom w:val="double" w:color="auto" w:sz="6" w:space="0"/>
            </w:tcBorders>
            <w:noWrap w:val="0"/>
            <w:vAlign w:val="center"/>
          </w:tcPr>
          <w:p w14:paraId="02BEEA1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单位工程名称</w:t>
            </w:r>
          </w:p>
        </w:tc>
        <w:tc>
          <w:tcPr>
            <w:tcW w:w="1063" w:type="dxa"/>
            <w:tcBorders>
              <w:top w:val="single" w:color="auto" w:sz="12" w:space="0"/>
              <w:bottom w:val="double" w:color="auto" w:sz="6" w:space="0"/>
            </w:tcBorders>
            <w:noWrap w:val="0"/>
            <w:vAlign w:val="center"/>
          </w:tcPr>
          <w:p w14:paraId="533E2EC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建设规模</w:t>
            </w:r>
          </w:p>
        </w:tc>
        <w:tc>
          <w:tcPr>
            <w:tcW w:w="1433" w:type="dxa"/>
            <w:tcBorders>
              <w:top w:val="single" w:color="auto" w:sz="12" w:space="0"/>
              <w:bottom w:val="double" w:color="auto" w:sz="6" w:space="0"/>
            </w:tcBorders>
            <w:noWrap w:val="0"/>
            <w:vAlign w:val="center"/>
          </w:tcPr>
          <w:p w14:paraId="05949BF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建筑面积(平方米)</w:t>
            </w:r>
          </w:p>
        </w:tc>
        <w:tc>
          <w:tcPr>
            <w:tcW w:w="737" w:type="dxa"/>
            <w:tcBorders>
              <w:top w:val="single" w:color="auto" w:sz="12" w:space="0"/>
              <w:bottom w:val="double" w:color="auto" w:sz="6" w:space="0"/>
            </w:tcBorders>
            <w:noWrap w:val="0"/>
            <w:vAlign w:val="center"/>
          </w:tcPr>
          <w:p w14:paraId="4C1C405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结构形式</w:t>
            </w:r>
          </w:p>
        </w:tc>
        <w:tc>
          <w:tcPr>
            <w:tcW w:w="450" w:type="dxa"/>
            <w:tcBorders>
              <w:top w:val="single" w:color="auto" w:sz="12" w:space="0"/>
              <w:bottom w:val="double" w:color="auto" w:sz="6" w:space="0"/>
            </w:tcBorders>
            <w:noWrap w:val="0"/>
            <w:vAlign w:val="center"/>
          </w:tcPr>
          <w:p w14:paraId="12A49CB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层数</w:t>
            </w:r>
          </w:p>
        </w:tc>
        <w:tc>
          <w:tcPr>
            <w:tcW w:w="700" w:type="dxa"/>
            <w:tcBorders>
              <w:top w:val="single" w:color="auto" w:sz="12" w:space="0"/>
              <w:bottom w:val="double" w:color="auto" w:sz="6" w:space="0"/>
            </w:tcBorders>
            <w:noWrap w:val="0"/>
            <w:vAlign w:val="center"/>
          </w:tcPr>
          <w:p w14:paraId="3BFCDEE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生产能力</w:t>
            </w:r>
          </w:p>
        </w:tc>
        <w:tc>
          <w:tcPr>
            <w:tcW w:w="1000" w:type="dxa"/>
            <w:tcBorders>
              <w:top w:val="single" w:color="auto" w:sz="12" w:space="0"/>
              <w:bottom w:val="double" w:color="auto" w:sz="6" w:space="0"/>
            </w:tcBorders>
            <w:noWrap w:val="0"/>
            <w:vAlign w:val="center"/>
          </w:tcPr>
          <w:p w14:paraId="25E7EE9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设备安装内容</w:t>
            </w:r>
          </w:p>
        </w:tc>
        <w:tc>
          <w:tcPr>
            <w:tcW w:w="1135" w:type="dxa"/>
            <w:tcBorders>
              <w:top w:val="single" w:color="auto" w:sz="12" w:space="0"/>
              <w:bottom w:val="double" w:color="auto" w:sz="6" w:space="0"/>
            </w:tcBorders>
            <w:noWrap w:val="0"/>
            <w:vAlign w:val="center"/>
          </w:tcPr>
          <w:p w14:paraId="54E11F7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合同价格（元）</w:t>
            </w:r>
          </w:p>
        </w:tc>
        <w:tc>
          <w:tcPr>
            <w:tcW w:w="1000" w:type="dxa"/>
            <w:tcBorders>
              <w:top w:val="single" w:color="auto" w:sz="12" w:space="0"/>
              <w:bottom w:val="double" w:color="auto" w:sz="6" w:space="0"/>
            </w:tcBorders>
            <w:noWrap w:val="0"/>
            <w:vAlign w:val="center"/>
          </w:tcPr>
          <w:p w14:paraId="4DFF2AE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开工日期</w:t>
            </w:r>
          </w:p>
        </w:tc>
        <w:tc>
          <w:tcPr>
            <w:tcW w:w="800" w:type="dxa"/>
            <w:tcBorders>
              <w:top w:val="single" w:color="auto" w:sz="12" w:space="0"/>
              <w:bottom w:val="double" w:color="auto" w:sz="6" w:space="0"/>
            </w:tcBorders>
            <w:noWrap w:val="0"/>
            <w:vAlign w:val="center"/>
          </w:tcPr>
          <w:p w14:paraId="798E683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竣工日期</w:t>
            </w:r>
          </w:p>
        </w:tc>
      </w:tr>
      <w:tr w14:paraId="56B1A3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84" w:type="dxa"/>
            <w:tcBorders>
              <w:top w:val="double" w:color="auto" w:sz="6" w:space="0"/>
              <w:bottom w:val="single" w:color="auto" w:sz="6" w:space="0"/>
            </w:tcBorders>
            <w:noWrap w:val="0"/>
            <w:vAlign w:val="center"/>
          </w:tcPr>
          <w:p w14:paraId="49ECADF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63" w:type="dxa"/>
            <w:tcBorders>
              <w:top w:val="double" w:color="auto" w:sz="6" w:space="0"/>
              <w:bottom w:val="single" w:color="auto" w:sz="6" w:space="0"/>
            </w:tcBorders>
            <w:noWrap w:val="0"/>
            <w:vAlign w:val="center"/>
          </w:tcPr>
          <w:p w14:paraId="146AB5A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33" w:type="dxa"/>
            <w:tcBorders>
              <w:top w:val="double" w:color="auto" w:sz="6" w:space="0"/>
              <w:bottom w:val="single" w:color="auto" w:sz="6" w:space="0"/>
            </w:tcBorders>
            <w:noWrap w:val="0"/>
            <w:vAlign w:val="center"/>
          </w:tcPr>
          <w:p w14:paraId="3FA89FD6">
            <w:pPr>
              <w:pStyle w:val="17"/>
              <w:keepNext/>
              <w:spacing w:after="0" w:line="440" w:lineRule="exact"/>
              <w:ind w:left="63" w:right="63"/>
              <w:jc w:val="center"/>
              <w:rPr>
                <w:rFonts w:hint="eastAsia" w:ascii="方正仿宋_GB2312" w:hAnsi="方正仿宋_GB2312" w:eastAsia="方正仿宋_GB2312" w:cs="方正仿宋_GB2312"/>
                <w:color w:val="000000"/>
                <w:kern w:val="2"/>
                <w:sz w:val="24"/>
                <w:szCs w:val="24"/>
                <w:highlight w:val="none"/>
                <w:lang w:val="en-US" w:eastAsia="zh-CN"/>
              </w:rPr>
            </w:pPr>
          </w:p>
        </w:tc>
        <w:tc>
          <w:tcPr>
            <w:tcW w:w="737" w:type="dxa"/>
            <w:tcBorders>
              <w:top w:val="double" w:color="auto" w:sz="6" w:space="0"/>
              <w:bottom w:val="single" w:color="auto" w:sz="6" w:space="0"/>
            </w:tcBorders>
            <w:noWrap w:val="0"/>
            <w:vAlign w:val="center"/>
          </w:tcPr>
          <w:p w14:paraId="00A224D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50" w:type="dxa"/>
            <w:tcBorders>
              <w:top w:val="double" w:color="auto" w:sz="6" w:space="0"/>
              <w:bottom w:val="single" w:color="auto" w:sz="6" w:space="0"/>
            </w:tcBorders>
            <w:noWrap w:val="0"/>
            <w:vAlign w:val="center"/>
          </w:tcPr>
          <w:p w14:paraId="76DC931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00" w:type="dxa"/>
            <w:tcBorders>
              <w:top w:val="double" w:color="auto" w:sz="6" w:space="0"/>
              <w:bottom w:val="single" w:color="auto" w:sz="6" w:space="0"/>
            </w:tcBorders>
            <w:noWrap w:val="0"/>
            <w:vAlign w:val="center"/>
          </w:tcPr>
          <w:p w14:paraId="65B8404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00" w:type="dxa"/>
            <w:tcBorders>
              <w:top w:val="double" w:color="auto" w:sz="6" w:space="0"/>
              <w:bottom w:val="single" w:color="auto" w:sz="6" w:space="0"/>
            </w:tcBorders>
            <w:noWrap w:val="0"/>
            <w:vAlign w:val="center"/>
          </w:tcPr>
          <w:p w14:paraId="21A7BF9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5" w:type="dxa"/>
            <w:tcBorders>
              <w:top w:val="double" w:color="auto" w:sz="6" w:space="0"/>
              <w:bottom w:val="single" w:color="auto" w:sz="6" w:space="0"/>
            </w:tcBorders>
            <w:noWrap w:val="0"/>
            <w:vAlign w:val="center"/>
          </w:tcPr>
          <w:p w14:paraId="1C1667F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00" w:type="dxa"/>
            <w:tcBorders>
              <w:top w:val="double" w:color="auto" w:sz="6" w:space="0"/>
              <w:bottom w:val="single" w:color="auto" w:sz="6" w:space="0"/>
            </w:tcBorders>
            <w:noWrap w:val="0"/>
            <w:vAlign w:val="center"/>
          </w:tcPr>
          <w:p w14:paraId="2E43793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00" w:type="dxa"/>
            <w:tcBorders>
              <w:top w:val="double" w:color="auto" w:sz="6" w:space="0"/>
              <w:bottom w:val="single" w:color="auto" w:sz="6" w:space="0"/>
            </w:tcBorders>
            <w:noWrap w:val="0"/>
            <w:vAlign w:val="center"/>
          </w:tcPr>
          <w:p w14:paraId="0859DF4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709318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84" w:type="dxa"/>
            <w:tcBorders>
              <w:top w:val="nil"/>
            </w:tcBorders>
            <w:noWrap w:val="0"/>
            <w:vAlign w:val="center"/>
          </w:tcPr>
          <w:p w14:paraId="02BF615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63" w:type="dxa"/>
            <w:tcBorders>
              <w:top w:val="nil"/>
            </w:tcBorders>
            <w:noWrap w:val="0"/>
            <w:vAlign w:val="center"/>
          </w:tcPr>
          <w:p w14:paraId="075C0F0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33" w:type="dxa"/>
            <w:tcBorders>
              <w:top w:val="nil"/>
            </w:tcBorders>
            <w:noWrap w:val="0"/>
            <w:vAlign w:val="center"/>
          </w:tcPr>
          <w:p w14:paraId="43EA79D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37" w:type="dxa"/>
            <w:tcBorders>
              <w:top w:val="nil"/>
            </w:tcBorders>
            <w:noWrap w:val="0"/>
            <w:vAlign w:val="center"/>
          </w:tcPr>
          <w:p w14:paraId="55EC28C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50" w:type="dxa"/>
            <w:tcBorders>
              <w:top w:val="nil"/>
            </w:tcBorders>
            <w:noWrap w:val="0"/>
            <w:vAlign w:val="center"/>
          </w:tcPr>
          <w:p w14:paraId="6D6D819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00" w:type="dxa"/>
            <w:tcBorders>
              <w:top w:val="nil"/>
            </w:tcBorders>
            <w:noWrap w:val="0"/>
            <w:vAlign w:val="center"/>
          </w:tcPr>
          <w:p w14:paraId="44CD88A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00" w:type="dxa"/>
            <w:tcBorders>
              <w:top w:val="nil"/>
            </w:tcBorders>
            <w:noWrap w:val="0"/>
            <w:vAlign w:val="center"/>
          </w:tcPr>
          <w:p w14:paraId="4C666C4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5" w:type="dxa"/>
            <w:tcBorders>
              <w:top w:val="nil"/>
            </w:tcBorders>
            <w:noWrap w:val="0"/>
            <w:vAlign w:val="center"/>
          </w:tcPr>
          <w:p w14:paraId="3E7429E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00" w:type="dxa"/>
            <w:tcBorders>
              <w:top w:val="nil"/>
            </w:tcBorders>
            <w:noWrap w:val="0"/>
            <w:vAlign w:val="center"/>
          </w:tcPr>
          <w:p w14:paraId="4D24171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00" w:type="dxa"/>
            <w:tcBorders>
              <w:top w:val="nil"/>
            </w:tcBorders>
            <w:noWrap w:val="0"/>
            <w:vAlign w:val="center"/>
          </w:tcPr>
          <w:p w14:paraId="32179CC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1F7B5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84" w:type="dxa"/>
            <w:tcBorders>
              <w:top w:val="nil"/>
            </w:tcBorders>
            <w:noWrap w:val="0"/>
            <w:vAlign w:val="center"/>
          </w:tcPr>
          <w:p w14:paraId="518DB99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63" w:type="dxa"/>
            <w:tcBorders>
              <w:top w:val="nil"/>
            </w:tcBorders>
            <w:noWrap w:val="0"/>
            <w:vAlign w:val="center"/>
          </w:tcPr>
          <w:p w14:paraId="798A589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33" w:type="dxa"/>
            <w:tcBorders>
              <w:top w:val="nil"/>
            </w:tcBorders>
            <w:noWrap w:val="0"/>
            <w:vAlign w:val="center"/>
          </w:tcPr>
          <w:p w14:paraId="66A7E26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37" w:type="dxa"/>
            <w:tcBorders>
              <w:top w:val="nil"/>
            </w:tcBorders>
            <w:noWrap w:val="0"/>
            <w:vAlign w:val="center"/>
          </w:tcPr>
          <w:p w14:paraId="37027CD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50" w:type="dxa"/>
            <w:tcBorders>
              <w:top w:val="nil"/>
            </w:tcBorders>
            <w:noWrap w:val="0"/>
            <w:vAlign w:val="center"/>
          </w:tcPr>
          <w:p w14:paraId="61C3684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00" w:type="dxa"/>
            <w:tcBorders>
              <w:top w:val="nil"/>
            </w:tcBorders>
            <w:noWrap w:val="0"/>
            <w:vAlign w:val="center"/>
          </w:tcPr>
          <w:p w14:paraId="76A498D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00" w:type="dxa"/>
            <w:tcBorders>
              <w:top w:val="nil"/>
            </w:tcBorders>
            <w:noWrap w:val="0"/>
            <w:vAlign w:val="center"/>
          </w:tcPr>
          <w:p w14:paraId="019F01A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5" w:type="dxa"/>
            <w:tcBorders>
              <w:top w:val="nil"/>
            </w:tcBorders>
            <w:noWrap w:val="0"/>
            <w:vAlign w:val="center"/>
          </w:tcPr>
          <w:p w14:paraId="5E5418A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00" w:type="dxa"/>
            <w:tcBorders>
              <w:top w:val="nil"/>
            </w:tcBorders>
            <w:noWrap w:val="0"/>
            <w:vAlign w:val="center"/>
          </w:tcPr>
          <w:p w14:paraId="0EB05EA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00" w:type="dxa"/>
            <w:tcBorders>
              <w:top w:val="nil"/>
            </w:tcBorders>
            <w:noWrap w:val="0"/>
            <w:vAlign w:val="center"/>
          </w:tcPr>
          <w:p w14:paraId="7A9CDD9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0689D5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84" w:type="dxa"/>
            <w:noWrap w:val="0"/>
            <w:vAlign w:val="center"/>
          </w:tcPr>
          <w:p w14:paraId="574C344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63" w:type="dxa"/>
            <w:noWrap w:val="0"/>
            <w:vAlign w:val="center"/>
          </w:tcPr>
          <w:p w14:paraId="377E485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33" w:type="dxa"/>
            <w:noWrap w:val="0"/>
            <w:vAlign w:val="center"/>
          </w:tcPr>
          <w:p w14:paraId="3E236BC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37" w:type="dxa"/>
            <w:noWrap w:val="0"/>
            <w:vAlign w:val="center"/>
          </w:tcPr>
          <w:p w14:paraId="232E198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50" w:type="dxa"/>
            <w:noWrap w:val="0"/>
            <w:vAlign w:val="center"/>
          </w:tcPr>
          <w:p w14:paraId="4835130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00" w:type="dxa"/>
            <w:noWrap w:val="0"/>
            <w:vAlign w:val="center"/>
          </w:tcPr>
          <w:p w14:paraId="64C7F52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00" w:type="dxa"/>
            <w:noWrap w:val="0"/>
            <w:vAlign w:val="center"/>
          </w:tcPr>
          <w:p w14:paraId="2873BA9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5" w:type="dxa"/>
            <w:noWrap w:val="0"/>
            <w:vAlign w:val="center"/>
          </w:tcPr>
          <w:p w14:paraId="13BE772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00" w:type="dxa"/>
            <w:noWrap w:val="0"/>
            <w:vAlign w:val="center"/>
          </w:tcPr>
          <w:p w14:paraId="36E6C7D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00" w:type="dxa"/>
            <w:noWrap w:val="0"/>
            <w:vAlign w:val="center"/>
          </w:tcPr>
          <w:p w14:paraId="56B9ED5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2F899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84" w:type="dxa"/>
            <w:tcBorders>
              <w:top w:val="nil"/>
            </w:tcBorders>
            <w:noWrap w:val="0"/>
            <w:vAlign w:val="center"/>
          </w:tcPr>
          <w:p w14:paraId="039AA32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63" w:type="dxa"/>
            <w:tcBorders>
              <w:top w:val="nil"/>
            </w:tcBorders>
            <w:noWrap w:val="0"/>
            <w:vAlign w:val="center"/>
          </w:tcPr>
          <w:p w14:paraId="4523A37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33" w:type="dxa"/>
            <w:tcBorders>
              <w:top w:val="nil"/>
            </w:tcBorders>
            <w:noWrap w:val="0"/>
            <w:vAlign w:val="center"/>
          </w:tcPr>
          <w:p w14:paraId="1B04857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37" w:type="dxa"/>
            <w:tcBorders>
              <w:top w:val="nil"/>
            </w:tcBorders>
            <w:noWrap w:val="0"/>
            <w:vAlign w:val="center"/>
          </w:tcPr>
          <w:p w14:paraId="4774E51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50" w:type="dxa"/>
            <w:tcBorders>
              <w:top w:val="nil"/>
            </w:tcBorders>
            <w:noWrap w:val="0"/>
            <w:vAlign w:val="center"/>
          </w:tcPr>
          <w:p w14:paraId="3E927A7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00" w:type="dxa"/>
            <w:tcBorders>
              <w:top w:val="nil"/>
            </w:tcBorders>
            <w:noWrap w:val="0"/>
            <w:vAlign w:val="center"/>
          </w:tcPr>
          <w:p w14:paraId="626E6EA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00" w:type="dxa"/>
            <w:tcBorders>
              <w:top w:val="nil"/>
            </w:tcBorders>
            <w:noWrap w:val="0"/>
            <w:vAlign w:val="center"/>
          </w:tcPr>
          <w:p w14:paraId="03B1B9D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5" w:type="dxa"/>
            <w:tcBorders>
              <w:top w:val="nil"/>
            </w:tcBorders>
            <w:noWrap w:val="0"/>
            <w:vAlign w:val="center"/>
          </w:tcPr>
          <w:p w14:paraId="67F091F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00" w:type="dxa"/>
            <w:tcBorders>
              <w:top w:val="nil"/>
            </w:tcBorders>
            <w:noWrap w:val="0"/>
            <w:vAlign w:val="center"/>
          </w:tcPr>
          <w:p w14:paraId="62E6C5D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00" w:type="dxa"/>
            <w:tcBorders>
              <w:top w:val="nil"/>
            </w:tcBorders>
            <w:noWrap w:val="0"/>
            <w:vAlign w:val="center"/>
          </w:tcPr>
          <w:p w14:paraId="726C8B8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0C5624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84" w:type="dxa"/>
            <w:noWrap w:val="0"/>
            <w:vAlign w:val="center"/>
          </w:tcPr>
          <w:p w14:paraId="1918D25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63" w:type="dxa"/>
            <w:noWrap w:val="0"/>
            <w:vAlign w:val="center"/>
          </w:tcPr>
          <w:p w14:paraId="24D2F19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33" w:type="dxa"/>
            <w:noWrap w:val="0"/>
            <w:vAlign w:val="center"/>
          </w:tcPr>
          <w:p w14:paraId="4CE8DC6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37" w:type="dxa"/>
            <w:noWrap w:val="0"/>
            <w:vAlign w:val="center"/>
          </w:tcPr>
          <w:p w14:paraId="033F0F5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50" w:type="dxa"/>
            <w:noWrap w:val="0"/>
            <w:vAlign w:val="center"/>
          </w:tcPr>
          <w:p w14:paraId="0D60EE5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00" w:type="dxa"/>
            <w:noWrap w:val="0"/>
            <w:vAlign w:val="center"/>
          </w:tcPr>
          <w:p w14:paraId="5453186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00" w:type="dxa"/>
            <w:noWrap w:val="0"/>
            <w:vAlign w:val="center"/>
          </w:tcPr>
          <w:p w14:paraId="0BB84C2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5" w:type="dxa"/>
            <w:noWrap w:val="0"/>
            <w:vAlign w:val="center"/>
          </w:tcPr>
          <w:p w14:paraId="32706AA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00" w:type="dxa"/>
            <w:noWrap w:val="0"/>
            <w:vAlign w:val="center"/>
          </w:tcPr>
          <w:p w14:paraId="5903C0A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00" w:type="dxa"/>
            <w:noWrap w:val="0"/>
            <w:vAlign w:val="center"/>
          </w:tcPr>
          <w:p w14:paraId="0FF795F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1F5B06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84" w:type="dxa"/>
            <w:tcBorders>
              <w:top w:val="nil"/>
            </w:tcBorders>
            <w:noWrap w:val="0"/>
            <w:vAlign w:val="center"/>
          </w:tcPr>
          <w:p w14:paraId="0E6C174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63" w:type="dxa"/>
            <w:tcBorders>
              <w:top w:val="nil"/>
            </w:tcBorders>
            <w:noWrap w:val="0"/>
            <w:vAlign w:val="center"/>
          </w:tcPr>
          <w:p w14:paraId="197EA32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33" w:type="dxa"/>
            <w:tcBorders>
              <w:top w:val="nil"/>
            </w:tcBorders>
            <w:noWrap w:val="0"/>
            <w:vAlign w:val="center"/>
          </w:tcPr>
          <w:p w14:paraId="4A5801E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37" w:type="dxa"/>
            <w:tcBorders>
              <w:top w:val="nil"/>
            </w:tcBorders>
            <w:noWrap w:val="0"/>
            <w:vAlign w:val="center"/>
          </w:tcPr>
          <w:p w14:paraId="0D39B2A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50" w:type="dxa"/>
            <w:tcBorders>
              <w:top w:val="nil"/>
            </w:tcBorders>
            <w:noWrap w:val="0"/>
            <w:vAlign w:val="center"/>
          </w:tcPr>
          <w:p w14:paraId="62EF828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00" w:type="dxa"/>
            <w:tcBorders>
              <w:top w:val="nil"/>
            </w:tcBorders>
            <w:noWrap w:val="0"/>
            <w:vAlign w:val="center"/>
          </w:tcPr>
          <w:p w14:paraId="73B4A31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00" w:type="dxa"/>
            <w:tcBorders>
              <w:top w:val="nil"/>
            </w:tcBorders>
            <w:noWrap w:val="0"/>
            <w:vAlign w:val="center"/>
          </w:tcPr>
          <w:p w14:paraId="746FB84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5" w:type="dxa"/>
            <w:tcBorders>
              <w:top w:val="nil"/>
            </w:tcBorders>
            <w:noWrap w:val="0"/>
            <w:vAlign w:val="center"/>
          </w:tcPr>
          <w:p w14:paraId="08B8B06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00" w:type="dxa"/>
            <w:tcBorders>
              <w:top w:val="nil"/>
            </w:tcBorders>
            <w:noWrap w:val="0"/>
            <w:vAlign w:val="center"/>
          </w:tcPr>
          <w:p w14:paraId="6E59E2B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00" w:type="dxa"/>
            <w:tcBorders>
              <w:top w:val="nil"/>
            </w:tcBorders>
            <w:noWrap w:val="0"/>
            <w:vAlign w:val="center"/>
          </w:tcPr>
          <w:p w14:paraId="70C6CDE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75EDA9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84" w:type="dxa"/>
            <w:tcBorders>
              <w:top w:val="nil"/>
            </w:tcBorders>
            <w:noWrap w:val="0"/>
            <w:vAlign w:val="center"/>
          </w:tcPr>
          <w:p w14:paraId="2B76215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63" w:type="dxa"/>
            <w:tcBorders>
              <w:top w:val="nil"/>
            </w:tcBorders>
            <w:noWrap w:val="0"/>
            <w:vAlign w:val="center"/>
          </w:tcPr>
          <w:p w14:paraId="30B459F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33" w:type="dxa"/>
            <w:tcBorders>
              <w:top w:val="nil"/>
            </w:tcBorders>
            <w:noWrap w:val="0"/>
            <w:vAlign w:val="center"/>
          </w:tcPr>
          <w:p w14:paraId="021E481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37" w:type="dxa"/>
            <w:tcBorders>
              <w:top w:val="nil"/>
            </w:tcBorders>
            <w:noWrap w:val="0"/>
            <w:vAlign w:val="center"/>
          </w:tcPr>
          <w:p w14:paraId="7E42B02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50" w:type="dxa"/>
            <w:tcBorders>
              <w:top w:val="nil"/>
            </w:tcBorders>
            <w:noWrap w:val="0"/>
            <w:vAlign w:val="center"/>
          </w:tcPr>
          <w:p w14:paraId="6A36C3E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00" w:type="dxa"/>
            <w:tcBorders>
              <w:top w:val="nil"/>
            </w:tcBorders>
            <w:noWrap w:val="0"/>
            <w:vAlign w:val="center"/>
          </w:tcPr>
          <w:p w14:paraId="77935DE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00" w:type="dxa"/>
            <w:tcBorders>
              <w:top w:val="nil"/>
            </w:tcBorders>
            <w:noWrap w:val="0"/>
            <w:vAlign w:val="center"/>
          </w:tcPr>
          <w:p w14:paraId="211C491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5" w:type="dxa"/>
            <w:tcBorders>
              <w:top w:val="nil"/>
            </w:tcBorders>
            <w:noWrap w:val="0"/>
            <w:vAlign w:val="center"/>
          </w:tcPr>
          <w:p w14:paraId="7413F2D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00" w:type="dxa"/>
            <w:tcBorders>
              <w:top w:val="nil"/>
            </w:tcBorders>
            <w:noWrap w:val="0"/>
            <w:vAlign w:val="center"/>
          </w:tcPr>
          <w:p w14:paraId="5639355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00" w:type="dxa"/>
            <w:tcBorders>
              <w:top w:val="nil"/>
            </w:tcBorders>
            <w:noWrap w:val="0"/>
            <w:vAlign w:val="center"/>
          </w:tcPr>
          <w:p w14:paraId="631CBAF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53221F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84" w:type="dxa"/>
            <w:noWrap w:val="0"/>
            <w:vAlign w:val="center"/>
          </w:tcPr>
          <w:p w14:paraId="11511AF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63" w:type="dxa"/>
            <w:noWrap w:val="0"/>
            <w:vAlign w:val="center"/>
          </w:tcPr>
          <w:p w14:paraId="53B21E4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33" w:type="dxa"/>
            <w:noWrap w:val="0"/>
            <w:vAlign w:val="center"/>
          </w:tcPr>
          <w:p w14:paraId="3A5502B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37" w:type="dxa"/>
            <w:noWrap w:val="0"/>
            <w:vAlign w:val="center"/>
          </w:tcPr>
          <w:p w14:paraId="635DF52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50" w:type="dxa"/>
            <w:noWrap w:val="0"/>
            <w:vAlign w:val="center"/>
          </w:tcPr>
          <w:p w14:paraId="7FE99BA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00" w:type="dxa"/>
            <w:noWrap w:val="0"/>
            <w:vAlign w:val="center"/>
          </w:tcPr>
          <w:p w14:paraId="1F672D8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00" w:type="dxa"/>
            <w:noWrap w:val="0"/>
            <w:vAlign w:val="center"/>
          </w:tcPr>
          <w:p w14:paraId="1FD6B86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5" w:type="dxa"/>
            <w:noWrap w:val="0"/>
            <w:vAlign w:val="center"/>
          </w:tcPr>
          <w:p w14:paraId="7C301F9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00" w:type="dxa"/>
            <w:noWrap w:val="0"/>
            <w:vAlign w:val="center"/>
          </w:tcPr>
          <w:p w14:paraId="2FD9A8A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00" w:type="dxa"/>
            <w:noWrap w:val="0"/>
            <w:vAlign w:val="center"/>
          </w:tcPr>
          <w:p w14:paraId="63AF989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bl>
    <w:p w14:paraId="0C586C9B">
      <w:pPr>
        <w:spacing w:line="440" w:lineRule="exact"/>
        <w:jc w:val="center"/>
        <w:rPr>
          <w:rFonts w:hint="eastAsia" w:ascii="方正仿宋_GB2312" w:hAnsi="方正仿宋_GB2312" w:eastAsia="方正仿宋_GB2312" w:cs="方正仿宋_GB2312"/>
          <w:b/>
          <w:color w:val="000000"/>
          <w:sz w:val="24"/>
          <w:szCs w:val="24"/>
          <w:highlight w:val="none"/>
        </w:rPr>
        <w:sectPr>
          <w:pgSz w:w="11906" w:h="16838"/>
          <w:pgMar w:top="1418" w:right="1531" w:bottom="1418" w:left="1554" w:header="851" w:footer="992" w:gutter="0"/>
          <w:pgNumType w:fmt="decimal"/>
          <w:cols w:space="720" w:num="1"/>
          <w:titlePg/>
          <w:docGrid w:type="linesAndChars" w:linePitch="312" w:charSpace="0"/>
        </w:sectPr>
      </w:pPr>
    </w:p>
    <w:p w14:paraId="29E174FA">
      <w:pPr>
        <w:spacing w:line="440" w:lineRule="exac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附</w:t>
      </w:r>
      <w:bookmarkStart w:id="1228" w:name="_Toc296347224"/>
      <w:bookmarkStart w:id="1229" w:name="_Toc296944564"/>
      <w:bookmarkStart w:id="1230" w:name="_Toc296346726"/>
      <w:bookmarkStart w:id="1231" w:name="_Toc296891265"/>
      <w:bookmarkStart w:id="1232" w:name="_Toc296891053"/>
      <w:bookmarkStart w:id="1233" w:name="_Toc267261692"/>
      <w:bookmarkStart w:id="1234" w:name="_Toc296503225"/>
      <w:r>
        <w:rPr>
          <w:rFonts w:hint="eastAsia" w:ascii="方正仿宋_GB2312" w:hAnsi="方正仿宋_GB2312" w:eastAsia="方正仿宋_GB2312" w:cs="方正仿宋_GB2312"/>
          <w:color w:val="000000"/>
          <w:sz w:val="24"/>
          <w:szCs w:val="24"/>
          <w:highlight w:val="none"/>
        </w:rPr>
        <w:t>件2：</w:t>
      </w:r>
    </w:p>
    <w:bookmarkEnd w:id="1228"/>
    <w:bookmarkEnd w:id="1229"/>
    <w:bookmarkEnd w:id="1230"/>
    <w:bookmarkEnd w:id="1231"/>
    <w:bookmarkEnd w:id="1232"/>
    <w:bookmarkEnd w:id="1233"/>
    <w:bookmarkEnd w:id="1234"/>
    <w:p w14:paraId="2C6A156D">
      <w:pPr>
        <w:spacing w:before="156" w:beforeLines="50" w:after="156" w:afterLines="50" w:line="440" w:lineRule="exact"/>
        <w:jc w:val="center"/>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发包人供应材料设备一览表</w:t>
      </w:r>
    </w:p>
    <w:tbl>
      <w:tblPr>
        <w:tblStyle w:val="3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103823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22D48F9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序号</w:t>
            </w:r>
          </w:p>
        </w:tc>
        <w:tc>
          <w:tcPr>
            <w:tcW w:w="1276" w:type="dxa"/>
            <w:tcBorders>
              <w:top w:val="single" w:color="auto" w:sz="12" w:space="0"/>
              <w:bottom w:val="double" w:color="auto" w:sz="6" w:space="0"/>
            </w:tcBorders>
            <w:noWrap w:val="0"/>
            <w:vAlign w:val="center"/>
          </w:tcPr>
          <w:p w14:paraId="5D32B31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 xml:space="preserve">  材料、</w:t>
            </w:r>
          </w:p>
          <w:p w14:paraId="5C9392A2">
            <w:pPr>
              <w:pStyle w:val="17"/>
              <w:keepNext/>
              <w:spacing w:after="0" w:line="440" w:lineRule="exact"/>
              <w:ind w:left="0" w:leftChars="0" w:right="63"/>
              <w:jc w:val="both"/>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设备品种</w:t>
            </w:r>
          </w:p>
        </w:tc>
        <w:tc>
          <w:tcPr>
            <w:tcW w:w="1418" w:type="dxa"/>
            <w:tcBorders>
              <w:top w:val="single" w:color="auto" w:sz="12" w:space="0"/>
              <w:bottom w:val="double" w:color="auto" w:sz="6" w:space="0"/>
            </w:tcBorders>
            <w:noWrap w:val="0"/>
            <w:vAlign w:val="center"/>
          </w:tcPr>
          <w:p w14:paraId="42A7831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规格型号</w:t>
            </w:r>
          </w:p>
        </w:tc>
        <w:tc>
          <w:tcPr>
            <w:tcW w:w="940" w:type="dxa"/>
            <w:tcBorders>
              <w:top w:val="single" w:color="auto" w:sz="12" w:space="0"/>
              <w:bottom w:val="double" w:color="auto" w:sz="6" w:space="0"/>
            </w:tcBorders>
            <w:noWrap w:val="0"/>
            <w:vAlign w:val="center"/>
          </w:tcPr>
          <w:p w14:paraId="2403EE5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单位</w:t>
            </w:r>
          </w:p>
        </w:tc>
        <w:tc>
          <w:tcPr>
            <w:tcW w:w="851" w:type="dxa"/>
            <w:tcBorders>
              <w:top w:val="single" w:color="auto" w:sz="12" w:space="0"/>
              <w:bottom w:val="double" w:color="auto" w:sz="6" w:space="0"/>
            </w:tcBorders>
            <w:noWrap w:val="0"/>
            <w:vAlign w:val="center"/>
          </w:tcPr>
          <w:p w14:paraId="08918CC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数量</w:t>
            </w:r>
          </w:p>
        </w:tc>
        <w:tc>
          <w:tcPr>
            <w:tcW w:w="1044" w:type="dxa"/>
            <w:tcBorders>
              <w:top w:val="single" w:color="auto" w:sz="12" w:space="0"/>
              <w:bottom w:val="double" w:color="auto" w:sz="6" w:space="0"/>
            </w:tcBorders>
            <w:noWrap w:val="0"/>
            <w:vAlign w:val="center"/>
          </w:tcPr>
          <w:p w14:paraId="74211F6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单价（元）</w:t>
            </w:r>
          </w:p>
        </w:tc>
        <w:tc>
          <w:tcPr>
            <w:tcW w:w="992" w:type="dxa"/>
            <w:tcBorders>
              <w:top w:val="single" w:color="auto" w:sz="12" w:space="0"/>
              <w:bottom w:val="double" w:color="auto" w:sz="6" w:space="0"/>
            </w:tcBorders>
            <w:noWrap w:val="0"/>
            <w:vAlign w:val="center"/>
          </w:tcPr>
          <w:p w14:paraId="454A2FF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质量等级</w:t>
            </w:r>
          </w:p>
        </w:tc>
        <w:tc>
          <w:tcPr>
            <w:tcW w:w="851" w:type="dxa"/>
            <w:tcBorders>
              <w:top w:val="single" w:color="auto" w:sz="12" w:space="0"/>
              <w:bottom w:val="double" w:color="auto" w:sz="6" w:space="0"/>
            </w:tcBorders>
            <w:noWrap w:val="0"/>
            <w:vAlign w:val="center"/>
          </w:tcPr>
          <w:p w14:paraId="6B69765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供应时间</w:t>
            </w:r>
          </w:p>
        </w:tc>
        <w:tc>
          <w:tcPr>
            <w:tcW w:w="1487" w:type="dxa"/>
            <w:tcBorders>
              <w:top w:val="single" w:color="auto" w:sz="12" w:space="0"/>
              <w:bottom w:val="double" w:color="auto" w:sz="6" w:space="0"/>
            </w:tcBorders>
            <w:noWrap w:val="0"/>
            <w:vAlign w:val="center"/>
          </w:tcPr>
          <w:p w14:paraId="3CE5BAE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送达地点</w:t>
            </w:r>
          </w:p>
        </w:tc>
        <w:tc>
          <w:tcPr>
            <w:tcW w:w="992" w:type="dxa"/>
            <w:tcBorders>
              <w:top w:val="single" w:color="auto" w:sz="12" w:space="0"/>
              <w:bottom w:val="double" w:color="auto" w:sz="6" w:space="0"/>
            </w:tcBorders>
            <w:noWrap w:val="0"/>
            <w:vAlign w:val="center"/>
          </w:tcPr>
          <w:p w14:paraId="1588254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备注</w:t>
            </w:r>
          </w:p>
        </w:tc>
      </w:tr>
      <w:tr w14:paraId="7C5E7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0BFACAE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76" w:type="dxa"/>
            <w:tcBorders>
              <w:top w:val="double" w:color="auto" w:sz="6" w:space="0"/>
              <w:bottom w:val="single" w:color="auto" w:sz="6" w:space="0"/>
            </w:tcBorders>
            <w:noWrap w:val="0"/>
            <w:vAlign w:val="center"/>
          </w:tcPr>
          <w:p w14:paraId="45F397E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tcBorders>
              <w:top w:val="double" w:color="auto" w:sz="6" w:space="0"/>
              <w:bottom w:val="single" w:color="auto" w:sz="6" w:space="0"/>
            </w:tcBorders>
            <w:noWrap w:val="0"/>
            <w:vAlign w:val="center"/>
          </w:tcPr>
          <w:p w14:paraId="2767B22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940" w:type="dxa"/>
            <w:tcBorders>
              <w:top w:val="double" w:color="auto" w:sz="6" w:space="0"/>
              <w:bottom w:val="single" w:color="auto" w:sz="6" w:space="0"/>
            </w:tcBorders>
            <w:noWrap w:val="0"/>
            <w:vAlign w:val="center"/>
          </w:tcPr>
          <w:p w14:paraId="5C911AB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tcBorders>
              <w:top w:val="double" w:color="auto" w:sz="6" w:space="0"/>
              <w:bottom w:val="single" w:color="auto" w:sz="6" w:space="0"/>
            </w:tcBorders>
            <w:noWrap w:val="0"/>
            <w:vAlign w:val="center"/>
          </w:tcPr>
          <w:p w14:paraId="018B627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44" w:type="dxa"/>
            <w:tcBorders>
              <w:top w:val="double" w:color="auto" w:sz="6" w:space="0"/>
              <w:bottom w:val="single" w:color="auto" w:sz="6" w:space="0"/>
            </w:tcBorders>
            <w:noWrap w:val="0"/>
            <w:vAlign w:val="center"/>
          </w:tcPr>
          <w:p w14:paraId="21D67FA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992" w:type="dxa"/>
            <w:tcBorders>
              <w:top w:val="double" w:color="auto" w:sz="6" w:space="0"/>
              <w:bottom w:val="single" w:color="auto" w:sz="6" w:space="0"/>
            </w:tcBorders>
            <w:noWrap w:val="0"/>
            <w:vAlign w:val="center"/>
          </w:tcPr>
          <w:p w14:paraId="1097D19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tcBorders>
              <w:top w:val="double" w:color="auto" w:sz="6" w:space="0"/>
              <w:bottom w:val="single" w:color="auto" w:sz="6" w:space="0"/>
            </w:tcBorders>
            <w:noWrap w:val="0"/>
            <w:vAlign w:val="center"/>
          </w:tcPr>
          <w:p w14:paraId="63C0B0A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87" w:type="dxa"/>
            <w:tcBorders>
              <w:top w:val="double" w:color="auto" w:sz="6" w:space="0"/>
              <w:bottom w:val="single" w:color="auto" w:sz="6" w:space="0"/>
            </w:tcBorders>
            <w:noWrap w:val="0"/>
            <w:vAlign w:val="center"/>
          </w:tcPr>
          <w:p w14:paraId="0CFDD65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992" w:type="dxa"/>
            <w:tcBorders>
              <w:top w:val="double" w:color="auto" w:sz="6" w:space="0"/>
              <w:bottom w:val="single" w:color="auto" w:sz="6" w:space="0"/>
            </w:tcBorders>
            <w:noWrap w:val="0"/>
            <w:vAlign w:val="center"/>
          </w:tcPr>
          <w:p w14:paraId="4296F2A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2C95E5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006081F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76" w:type="dxa"/>
            <w:tcBorders>
              <w:top w:val="nil"/>
            </w:tcBorders>
            <w:noWrap w:val="0"/>
            <w:vAlign w:val="center"/>
          </w:tcPr>
          <w:p w14:paraId="02C04A3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tcBorders>
              <w:top w:val="nil"/>
            </w:tcBorders>
            <w:noWrap w:val="0"/>
            <w:vAlign w:val="center"/>
          </w:tcPr>
          <w:p w14:paraId="592BB42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940" w:type="dxa"/>
            <w:tcBorders>
              <w:top w:val="nil"/>
            </w:tcBorders>
            <w:noWrap w:val="0"/>
            <w:vAlign w:val="center"/>
          </w:tcPr>
          <w:p w14:paraId="0DFB90A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tcBorders>
              <w:top w:val="nil"/>
            </w:tcBorders>
            <w:noWrap w:val="0"/>
            <w:vAlign w:val="center"/>
          </w:tcPr>
          <w:p w14:paraId="69DB2D5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44" w:type="dxa"/>
            <w:tcBorders>
              <w:top w:val="nil"/>
            </w:tcBorders>
            <w:noWrap w:val="0"/>
            <w:vAlign w:val="center"/>
          </w:tcPr>
          <w:p w14:paraId="6788D24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992" w:type="dxa"/>
            <w:tcBorders>
              <w:top w:val="nil"/>
            </w:tcBorders>
            <w:noWrap w:val="0"/>
            <w:vAlign w:val="center"/>
          </w:tcPr>
          <w:p w14:paraId="211B9E8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tcBorders>
              <w:top w:val="nil"/>
            </w:tcBorders>
            <w:noWrap w:val="0"/>
            <w:vAlign w:val="center"/>
          </w:tcPr>
          <w:p w14:paraId="6F8AA1E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87" w:type="dxa"/>
            <w:tcBorders>
              <w:top w:val="nil"/>
            </w:tcBorders>
            <w:noWrap w:val="0"/>
            <w:vAlign w:val="center"/>
          </w:tcPr>
          <w:p w14:paraId="149E93E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992" w:type="dxa"/>
            <w:tcBorders>
              <w:top w:val="nil"/>
            </w:tcBorders>
            <w:noWrap w:val="0"/>
            <w:vAlign w:val="center"/>
          </w:tcPr>
          <w:p w14:paraId="68716B8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224EF4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50A3FB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76" w:type="dxa"/>
            <w:noWrap w:val="0"/>
            <w:vAlign w:val="center"/>
          </w:tcPr>
          <w:p w14:paraId="0F69114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center"/>
          </w:tcPr>
          <w:p w14:paraId="5DCEDC7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940" w:type="dxa"/>
            <w:noWrap w:val="0"/>
            <w:vAlign w:val="center"/>
          </w:tcPr>
          <w:p w14:paraId="441CA24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center"/>
          </w:tcPr>
          <w:p w14:paraId="4366C0C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44" w:type="dxa"/>
            <w:noWrap w:val="0"/>
            <w:vAlign w:val="center"/>
          </w:tcPr>
          <w:p w14:paraId="2C79843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992" w:type="dxa"/>
            <w:noWrap w:val="0"/>
            <w:vAlign w:val="center"/>
          </w:tcPr>
          <w:p w14:paraId="76F189C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center"/>
          </w:tcPr>
          <w:p w14:paraId="1CC9B51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87" w:type="dxa"/>
            <w:noWrap w:val="0"/>
            <w:vAlign w:val="center"/>
          </w:tcPr>
          <w:p w14:paraId="087236C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992" w:type="dxa"/>
            <w:noWrap w:val="0"/>
            <w:vAlign w:val="center"/>
          </w:tcPr>
          <w:p w14:paraId="4344AD8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48FBBC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840983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76" w:type="dxa"/>
            <w:noWrap w:val="0"/>
            <w:vAlign w:val="center"/>
          </w:tcPr>
          <w:p w14:paraId="0A41607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center"/>
          </w:tcPr>
          <w:p w14:paraId="16FB81F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940" w:type="dxa"/>
            <w:noWrap w:val="0"/>
            <w:vAlign w:val="center"/>
          </w:tcPr>
          <w:p w14:paraId="6C2B185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center"/>
          </w:tcPr>
          <w:p w14:paraId="2B4F380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44" w:type="dxa"/>
            <w:noWrap w:val="0"/>
            <w:vAlign w:val="center"/>
          </w:tcPr>
          <w:p w14:paraId="32907AE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992" w:type="dxa"/>
            <w:noWrap w:val="0"/>
            <w:vAlign w:val="center"/>
          </w:tcPr>
          <w:p w14:paraId="548F6AA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center"/>
          </w:tcPr>
          <w:p w14:paraId="0F46F26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87" w:type="dxa"/>
            <w:noWrap w:val="0"/>
            <w:vAlign w:val="center"/>
          </w:tcPr>
          <w:p w14:paraId="50C8BE8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992" w:type="dxa"/>
            <w:noWrap w:val="0"/>
            <w:vAlign w:val="center"/>
          </w:tcPr>
          <w:p w14:paraId="32D2034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27E542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426009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76" w:type="dxa"/>
            <w:noWrap w:val="0"/>
            <w:vAlign w:val="center"/>
          </w:tcPr>
          <w:p w14:paraId="118787E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center"/>
          </w:tcPr>
          <w:p w14:paraId="7A72926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940" w:type="dxa"/>
            <w:noWrap w:val="0"/>
            <w:vAlign w:val="center"/>
          </w:tcPr>
          <w:p w14:paraId="5369292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center"/>
          </w:tcPr>
          <w:p w14:paraId="63C79C1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44" w:type="dxa"/>
            <w:noWrap w:val="0"/>
            <w:vAlign w:val="center"/>
          </w:tcPr>
          <w:p w14:paraId="3D6F2BC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992" w:type="dxa"/>
            <w:noWrap w:val="0"/>
            <w:vAlign w:val="center"/>
          </w:tcPr>
          <w:p w14:paraId="5EEFD2B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center"/>
          </w:tcPr>
          <w:p w14:paraId="4557606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87" w:type="dxa"/>
            <w:noWrap w:val="0"/>
            <w:vAlign w:val="center"/>
          </w:tcPr>
          <w:p w14:paraId="439042A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992" w:type="dxa"/>
            <w:noWrap w:val="0"/>
            <w:vAlign w:val="center"/>
          </w:tcPr>
          <w:p w14:paraId="105B3E3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116528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CAA1B9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76" w:type="dxa"/>
            <w:noWrap w:val="0"/>
            <w:vAlign w:val="center"/>
          </w:tcPr>
          <w:p w14:paraId="266531E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center"/>
          </w:tcPr>
          <w:p w14:paraId="5075B7D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940" w:type="dxa"/>
            <w:noWrap w:val="0"/>
            <w:vAlign w:val="center"/>
          </w:tcPr>
          <w:p w14:paraId="2771860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center"/>
          </w:tcPr>
          <w:p w14:paraId="63F721A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44" w:type="dxa"/>
            <w:noWrap w:val="0"/>
            <w:vAlign w:val="center"/>
          </w:tcPr>
          <w:p w14:paraId="4C45154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992" w:type="dxa"/>
            <w:noWrap w:val="0"/>
            <w:vAlign w:val="center"/>
          </w:tcPr>
          <w:p w14:paraId="1AA1218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center"/>
          </w:tcPr>
          <w:p w14:paraId="62CF0D6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87" w:type="dxa"/>
            <w:noWrap w:val="0"/>
            <w:vAlign w:val="center"/>
          </w:tcPr>
          <w:p w14:paraId="27A3A18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992" w:type="dxa"/>
            <w:noWrap w:val="0"/>
            <w:vAlign w:val="center"/>
          </w:tcPr>
          <w:p w14:paraId="6E6BE16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19CA14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59A330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76" w:type="dxa"/>
            <w:noWrap w:val="0"/>
            <w:vAlign w:val="center"/>
          </w:tcPr>
          <w:p w14:paraId="6F8B381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center"/>
          </w:tcPr>
          <w:p w14:paraId="1EC78DE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940" w:type="dxa"/>
            <w:noWrap w:val="0"/>
            <w:vAlign w:val="center"/>
          </w:tcPr>
          <w:p w14:paraId="3F22ED1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center"/>
          </w:tcPr>
          <w:p w14:paraId="39C19D0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44" w:type="dxa"/>
            <w:noWrap w:val="0"/>
            <w:vAlign w:val="center"/>
          </w:tcPr>
          <w:p w14:paraId="130BE41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992" w:type="dxa"/>
            <w:noWrap w:val="0"/>
            <w:vAlign w:val="center"/>
          </w:tcPr>
          <w:p w14:paraId="62370B0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center"/>
          </w:tcPr>
          <w:p w14:paraId="428D0A5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87" w:type="dxa"/>
            <w:noWrap w:val="0"/>
            <w:vAlign w:val="center"/>
          </w:tcPr>
          <w:p w14:paraId="2C98446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992" w:type="dxa"/>
            <w:noWrap w:val="0"/>
            <w:vAlign w:val="center"/>
          </w:tcPr>
          <w:p w14:paraId="4D698DA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3D1FE6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C23966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76" w:type="dxa"/>
            <w:noWrap w:val="0"/>
            <w:vAlign w:val="center"/>
          </w:tcPr>
          <w:p w14:paraId="5ED252E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center"/>
          </w:tcPr>
          <w:p w14:paraId="44D9BA2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940" w:type="dxa"/>
            <w:noWrap w:val="0"/>
            <w:vAlign w:val="center"/>
          </w:tcPr>
          <w:p w14:paraId="32E552C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center"/>
          </w:tcPr>
          <w:p w14:paraId="73FF388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44" w:type="dxa"/>
            <w:noWrap w:val="0"/>
            <w:vAlign w:val="center"/>
          </w:tcPr>
          <w:p w14:paraId="7A4BF93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992" w:type="dxa"/>
            <w:noWrap w:val="0"/>
            <w:vAlign w:val="center"/>
          </w:tcPr>
          <w:p w14:paraId="0874B8F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center"/>
          </w:tcPr>
          <w:p w14:paraId="2F19BC7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87" w:type="dxa"/>
            <w:noWrap w:val="0"/>
            <w:vAlign w:val="center"/>
          </w:tcPr>
          <w:p w14:paraId="666FF29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992" w:type="dxa"/>
            <w:noWrap w:val="0"/>
            <w:vAlign w:val="center"/>
          </w:tcPr>
          <w:p w14:paraId="1928FB0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59DDBE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D8E06C8">
            <w:pPr>
              <w:jc w:val="center"/>
              <w:rPr>
                <w:rFonts w:hint="eastAsia" w:ascii="方正仿宋_GB2312" w:hAnsi="方正仿宋_GB2312" w:eastAsia="方正仿宋_GB2312" w:cs="方正仿宋_GB2312"/>
                <w:color w:val="000000"/>
                <w:sz w:val="24"/>
                <w:szCs w:val="24"/>
                <w:highlight w:val="none"/>
              </w:rPr>
            </w:pPr>
          </w:p>
        </w:tc>
        <w:tc>
          <w:tcPr>
            <w:tcW w:w="1276" w:type="dxa"/>
            <w:noWrap w:val="0"/>
            <w:vAlign w:val="center"/>
          </w:tcPr>
          <w:p w14:paraId="3ABDB5C8">
            <w:pPr>
              <w:jc w:val="center"/>
              <w:rPr>
                <w:rFonts w:hint="eastAsia" w:ascii="方正仿宋_GB2312" w:hAnsi="方正仿宋_GB2312" w:eastAsia="方正仿宋_GB2312" w:cs="方正仿宋_GB2312"/>
                <w:color w:val="000000"/>
                <w:sz w:val="24"/>
                <w:szCs w:val="24"/>
                <w:highlight w:val="none"/>
              </w:rPr>
            </w:pPr>
          </w:p>
        </w:tc>
        <w:tc>
          <w:tcPr>
            <w:tcW w:w="1418" w:type="dxa"/>
            <w:noWrap w:val="0"/>
            <w:vAlign w:val="center"/>
          </w:tcPr>
          <w:p w14:paraId="458FBEAA">
            <w:pPr>
              <w:jc w:val="center"/>
              <w:rPr>
                <w:rFonts w:hint="eastAsia" w:ascii="方正仿宋_GB2312" w:hAnsi="方正仿宋_GB2312" w:eastAsia="方正仿宋_GB2312" w:cs="方正仿宋_GB2312"/>
                <w:color w:val="000000"/>
                <w:sz w:val="24"/>
                <w:szCs w:val="24"/>
                <w:highlight w:val="none"/>
              </w:rPr>
            </w:pPr>
          </w:p>
        </w:tc>
        <w:tc>
          <w:tcPr>
            <w:tcW w:w="940" w:type="dxa"/>
            <w:noWrap w:val="0"/>
            <w:vAlign w:val="center"/>
          </w:tcPr>
          <w:p w14:paraId="2744097D">
            <w:pPr>
              <w:jc w:val="center"/>
              <w:rPr>
                <w:rFonts w:hint="eastAsia" w:ascii="方正仿宋_GB2312" w:hAnsi="方正仿宋_GB2312" w:eastAsia="方正仿宋_GB2312" w:cs="方正仿宋_GB2312"/>
                <w:color w:val="000000"/>
                <w:sz w:val="24"/>
                <w:szCs w:val="24"/>
                <w:highlight w:val="none"/>
              </w:rPr>
            </w:pPr>
          </w:p>
        </w:tc>
        <w:tc>
          <w:tcPr>
            <w:tcW w:w="851" w:type="dxa"/>
            <w:noWrap w:val="0"/>
            <w:vAlign w:val="center"/>
          </w:tcPr>
          <w:p w14:paraId="4A924DDB">
            <w:pPr>
              <w:jc w:val="center"/>
              <w:rPr>
                <w:rFonts w:hint="eastAsia" w:ascii="方正仿宋_GB2312" w:hAnsi="方正仿宋_GB2312" w:eastAsia="方正仿宋_GB2312" w:cs="方正仿宋_GB2312"/>
                <w:color w:val="000000"/>
                <w:sz w:val="24"/>
                <w:szCs w:val="24"/>
                <w:highlight w:val="none"/>
              </w:rPr>
            </w:pPr>
          </w:p>
        </w:tc>
        <w:tc>
          <w:tcPr>
            <w:tcW w:w="1044" w:type="dxa"/>
            <w:noWrap w:val="0"/>
            <w:vAlign w:val="center"/>
          </w:tcPr>
          <w:p w14:paraId="1214B0DE">
            <w:pPr>
              <w:jc w:val="center"/>
              <w:rPr>
                <w:rFonts w:hint="eastAsia" w:ascii="方正仿宋_GB2312" w:hAnsi="方正仿宋_GB2312" w:eastAsia="方正仿宋_GB2312" w:cs="方正仿宋_GB2312"/>
                <w:color w:val="000000"/>
                <w:sz w:val="24"/>
                <w:szCs w:val="24"/>
                <w:highlight w:val="none"/>
              </w:rPr>
            </w:pPr>
          </w:p>
        </w:tc>
        <w:tc>
          <w:tcPr>
            <w:tcW w:w="992" w:type="dxa"/>
            <w:noWrap w:val="0"/>
            <w:vAlign w:val="center"/>
          </w:tcPr>
          <w:p w14:paraId="7719E9A6">
            <w:pPr>
              <w:jc w:val="center"/>
              <w:rPr>
                <w:rFonts w:hint="eastAsia" w:ascii="方正仿宋_GB2312" w:hAnsi="方正仿宋_GB2312" w:eastAsia="方正仿宋_GB2312" w:cs="方正仿宋_GB2312"/>
                <w:color w:val="000000"/>
                <w:sz w:val="24"/>
                <w:szCs w:val="24"/>
                <w:highlight w:val="none"/>
              </w:rPr>
            </w:pPr>
          </w:p>
        </w:tc>
        <w:tc>
          <w:tcPr>
            <w:tcW w:w="851" w:type="dxa"/>
            <w:noWrap w:val="0"/>
            <w:vAlign w:val="center"/>
          </w:tcPr>
          <w:p w14:paraId="6D4506DF">
            <w:pPr>
              <w:jc w:val="center"/>
              <w:rPr>
                <w:rFonts w:hint="eastAsia" w:ascii="方正仿宋_GB2312" w:hAnsi="方正仿宋_GB2312" w:eastAsia="方正仿宋_GB2312" w:cs="方正仿宋_GB2312"/>
                <w:color w:val="000000"/>
                <w:sz w:val="24"/>
                <w:szCs w:val="24"/>
                <w:highlight w:val="none"/>
              </w:rPr>
            </w:pPr>
          </w:p>
        </w:tc>
        <w:tc>
          <w:tcPr>
            <w:tcW w:w="1487" w:type="dxa"/>
            <w:noWrap w:val="0"/>
            <w:vAlign w:val="center"/>
          </w:tcPr>
          <w:p w14:paraId="7508EA15">
            <w:pPr>
              <w:jc w:val="center"/>
              <w:rPr>
                <w:rFonts w:hint="eastAsia" w:ascii="方正仿宋_GB2312" w:hAnsi="方正仿宋_GB2312" w:eastAsia="方正仿宋_GB2312" w:cs="方正仿宋_GB2312"/>
                <w:color w:val="000000"/>
                <w:sz w:val="24"/>
                <w:szCs w:val="24"/>
                <w:highlight w:val="none"/>
              </w:rPr>
            </w:pPr>
          </w:p>
        </w:tc>
        <w:tc>
          <w:tcPr>
            <w:tcW w:w="992" w:type="dxa"/>
            <w:noWrap w:val="0"/>
            <w:vAlign w:val="center"/>
          </w:tcPr>
          <w:p w14:paraId="7F478FCD">
            <w:pPr>
              <w:jc w:val="center"/>
              <w:rPr>
                <w:rFonts w:hint="eastAsia" w:ascii="方正仿宋_GB2312" w:hAnsi="方正仿宋_GB2312" w:eastAsia="方正仿宋_GB2312" w:cs="方正仿宋_GB2312"/>
                <w:color w:val="000000"/>
                <w:sz w:val="24"/>
                <w:szCs w:val="24"/>
                <w:highlight w:val="none"/>
              </w:rPr>
            </w:pPr>
          </w:p>
        </w:tc>
      </w:tr>
      <w:tr w14:paraId="6327B8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2E89B0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76" w:type="dxa"/>
            <w:noWrap w:val="0"/>
            <w:vAlign w:val="center"/>
          </w:tcPr>
          <w:p w14:paraId="51B04D7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center"/>
          </w:tcPr>
          <w:p w14:paraId="05995E3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940" w:type="dxa"/>
            <w:noWrap w:val="0"/>
            <w:vAlign w:val="center"/>
          </w:tcPr>
          <w:p w14:paraId="55B88F5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center"/>
          </w:tcPr>
          <w:p w14:paraId="1B3A7EB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44" w:type="dxa"/>
            <w:noWrap w:val="0"/>
            <w:vAlign w:val="center"/>
          </w:tcPr>
          <w:p w14:paraId="5AA832A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992" w:type="dxa"/>
            <w:noWrap w:val="0"/>
            <w:vAlign w:val="center"/>
          </w:tcPr>
          <w:p w14:paraId="3244A82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center"/>
          </w:tcPr>
          <w:p w14:paraId="507751A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87" w:type="dxa"/>
            <w:noWrap w:val="0"/>
            <w:vAlign w:val="center"/>
          </w:tcPr>
          <w:p w14:paraId="08D9DD2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992" w:type="dxa"/>
            <w:noWrap w:val="0"/>
            <w:vAlign w:val="center"/>
          </w:tcPr>
          <w:p w14:paraId="0A8CDFB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3A2C4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2B5B401">
            <w:pPr>
              <w:jc w:val="center"/>
              <w:rPr>
                <w:rFonts w:hint="eastAsia" w:ascii="方正仿宋_GB2312" w:hAnsi="方正仿宋_GB2312" w:eastAsia="方正仿宋_GB2312" w:cs="方正仿宋_GB2312"/>
                <w:color w:val="000000"/>
                <w:sz w:val="24"/>
                <w:szCs w:val="24"/>
                <w:highlight w:val="none"/>
              </w:rPr>
            </w:pPr>
          </w:p>
        </w:tc>
        <w:tc>
          <w:tcPr>
            <w:tcW w:w="1276" w:type="dxa"/>
            <w:noWrap w:val="0"/>
            <w:vAlign w:val="center"/>
          </w:tcPr>
          <w:p w14:paraId="302671AD">
            <w:pPr>
              <w:jc w:val="center"/>
              <w:rPr>
                <w:rFonts w:hint="eastAsia" w:ascii="方正仿宋_GB2312" w:hAnsi="方正仿宋_GB2312" w:eastAsia="方正仿宋_GB2312" w:cs="方正仿宋_GB2312"/>
                <w:color w:val="000000"/>
                <w:sz w:val="24"/>
                <w:szCs w:val="24"/>
                <w:highlight w:val="none"/>
              </w:rPr>
            </w:pPr>
          </w:p>
        </w:tc>
        <w:tc>
          <w:tcPr>
            <w:tcW w:w="1418" w:type="dxa"/>
            <w:noWrap w:val="0"/>
            <w:vAlign w:val="center"/>
          </w:tcPr>
          <w:p w14:paraId="252B527E">
            <w:pPr>
              <w:jc w:val="center"/>
              <w:rPr>
                <w:rFonts w:hint="eastAsia" w:ascii="方正仿宋_GB2312" w:hAnsi="方正仿宋_GB2312" w:eastAsia="方正仿宋_GB2312" w:cs="方正仿宋_GB2312"/>
                <w:color w:val="000000"/>
                <w:sz w:val="24"/>
                <w:szCs w:val="24"/>
                <w:highlight w:val="none"/>
              </w:rPr>
            </w:pPr>
          </w:p>
        </w:tc>
        <w:tc>
          <w:tcPr>
            <w:tcW w:w="940" w:type="dxa"/>
            <w:noWrap w:val="0"/>
            <w:vAlign w:val="center"/>
          </w:tcPr>
          <w:p w14:paraId="3A4770B6">
            <w:pPr>
              <w:jc w:val="center"/>
              <w:rPr>
                <w:rFonts w:hint="eastAsia" w:ascii="方正仿宋_GB2312" w:hAnsi="方正仿宋_GB2312" w:eastAsia="方正仿宋_GB2312" w:cs="方正仿宋_GB2312"/>
                <w:color w:val="000000"/>
                <w:sz w:val="24"/>
                <w:szCs w:val="24"/>
                <w:highlight w:val="none"/>
              </w:rPr>
            </w:pPr>
          </w:p>
        </w:tc>
        <w:tc>
          <w:tcPr>
            <w:tcW w:w="851" w:type="dxa"/>
            <w:noWrap w:val="0"/>
            <w:vAlign w:val="center"/>
          </w:tcPr>
          <w:p w14:paraId="72DE0C42">
            <w:pPr>
              <w:jc w:val="center"/>
              <w:rPr>
                <w:rFonts w:hint="eastAsia" w:ascii="方正仿宋_GB2312" w:hAnsi="方正仿宋_GB2312" w:eastAsia="方正仿宋_GB2312" w:cs="方正仿宋_GB2312"/>
                <w:color w:val="000000"/>
                <w:sz w:val="24"/>
                <w:szCs w:val="24"/>
                <w:highlight w:val="none"/>
              </w:rPr>
            </w:pPr>
          </w:p>
        </w:tc>
        <w:tc>
          <w:tcPr>
            <w:tcW w:w="1044" w:type="dxa"/>
            <w:noWrap w:val="0"/>
            <w:vAlign w:val="center"/>
          </w:tcPr>
          <w:p w14:paraId="7BC524C4">
            <w:pPr>
              <w:jc w:val="center"/>
              <w:rPr>
                <w:rFonts w:hint="eastAsia" w:ascii="方正仿宋_GB2312" w:hAnsi="方正仿宋_GB2312" w:eastAsia="方正仿宋_GB2312" w:cs="方正仿宋_GB2312"/>
                <w:color w:val="000000"/>
                <w:sz w:val="24"/>
                <w:szCs w:val="24"/>
                <w:highlight w:val="none"/>
              </w:rPr>
            </w:pPr>
          </w:p>
        </w:tc>
        <w:tc>
          <w:tcPr>
            <w:tcW w:w="992" w:type="dxa"/>
            <w:noWrap w:val="0"/>
            <w:vAlign w:val="center"/>
          </w:tcPr>
          <w:p w14:paraId="0D7E57DA">
            <w:pPr>
              <w:jc w:val="center"/>
              <w:rPr>
                <w:rFonts w:hint="eastAsia" w:ascii="方正仿宋_GB2312" w:hAnsi="方正仿宋_GB2312" w:eastAsia="方正仿宋_GB2312" w:cs="方正仿宋_GB2312"/>
                <w:color w:val="000000"/>
                <w:sz w:val="24"/>
                <w:szCs w:val="24"/>
                <w:highlight w:val="none"/>
              </w:rPr>
            </w:pPr>
          </w:p>
        </w:tc>
        <w:tc>
          <w:tcPr>
            <w:tcW w:w="851" w:type="dxa"/>
            <w:noWrap w:val="0"/>
            <w:vAlign w:val="center"/>
          </w:tcPr>
          <w:p w14:paraId="6AED9BD3">
            <w:pPr>
              <w:jc w:val="center"/>
              <w:rPr>
                <w:rFonts w:hint="eastAsia" w:ascii="方正仿宋_GB2312" w:hAnsi="方正仿宋_GB2312" w:eastAsia="方正仿宋_GB2312" w:cs="方正仿宋_GB2312"/>
                <w:color w:val="000000"/>
                <w:sz w:val="24"/>
                <w:szCs w:val="24"/>
                <w:highlight w:val="none"/>
              </w:rPr>
            </w:pPr>
          </w:p>
        </w:tc>
        <w:tc>
          <w:tcPr>
            <w:tcW w:w="1487" w:type="dxa"/>
            <w:noWrap w:val="0"/>
            <w:vAlign w:val="center"/>
          </w:tcPr>
          <w:p w14:paraId="6FA93D59">
            <w:pPr>
              <w:jc w:val="center"/>
              <w:rPr>
                <w:rFonts w:hint="eastAsia" w:ascii="方正仿宋_GB2312" w:hAnsi="方正仿宋_GB2312" w:eastAsia="方正仿宋_GB2312" w:cs="方正仿宋_GB2312"/>
                <w:color w:val="000000"/>
                <w:sz w:val="24"/>
                <w:szCs w:val="24"/>
                <w:highlight w:val="none"/>
              </w:rPr>
            </w:pPr>
          </w:p>
        </w:tc>
        <w:tc>
          <w:tcPr>
            <w:tcW w:w="992" w:type="dxa"/>
            <w:noWrap w:val="0"/>
            <w:vAlign w:val="center"/>
          </w:tcPr>
          <w:p w14:paraId="3E2905B3">
            <w:pPr>
              <w:jc w:val="center"/>
              <w:rPr>
                <w:rFonts w:hint="eastAsia" w:ascii="方正仿宋_GB2312" w:hAnsi="方正仿宋_GB2312" w:eastAsia="方正仿宋_GB2312" w:cs="方正仿宋_GB2312"/>
                <w:color w:val="000000"/>
                <w:sz w:val="24"/>
                <w:szCs w:val="24"/>
                <w:highlight w:val="none"/>
              </w:rPr>
            </w:pPr>
          </w:p>
        </w:tc>
      </w:tr>
      <w:tr w14:paraId="67BA51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B9CD6A0">
            <w:pPr>
              <w:jc w:val="center"/>
              <w:rPr>
                <w:rFonts w:hint="eastAsia" w:ascii="方正仿宋_GB2312" w:hAnsi="方正仿宋_GB2312" w:eastAsia="方正仿宋_GB2312" w:cs="方正仿宋_GB2312"/>
                <w:color w:val="000000"/>
                <w:sz w:val="24"/>
                <w:szCs w:val="24"/>
                <w:highlight w:val="none"/>
              </w:rPr>
            </w:pPr>
          </w:p>
        </w:tc>
        <w:tc>
          <w:tcPr>
            <w:tcW w:w="1276" w:type="dxa"/>
            <w:noWrap w:val="0"/>
            <w:vAlign w:val="center"/>
          </w:tcPr>
          <w:p w14:paraId="7C9A623C">
            <w:pPr>
              <w:jc w:val="center"/>
              <w:rPr>
                <w:rFonts w:hint="eastAsia" w:ascii="方正仿宋_GB2312" w:hAnsi="方正仿宋_GB2312" w:eastAsia="方正仿宋_GB2312" w:cs="方正仿宋_GB2312"/>
                <w:color w:val="000000"/>
                <w:sz w:val="24"/>
                <w:szCs w:val="24"/>
                <w:highlight w:val="none"/>
              </w:rPr>
            </w:pPr>
          </w:p>
        </w:tc>
        <w:tc>
          <w:tcPr>
            <w:tcW w:w="1418" w:type="dxa"/>
            <w:noWrap w:val="0"/>
            <w:vAlign w:val="center"/>
          </w:tcPr>
          <w:p w14:paraId="0EEFDE01">
            <w:pPr>
              <w:jc w:val="center"/>
              <w:rPr>
                <w:rFonts w:hint="eastAsia" w:ascii="方正仿宋_GB2312" w:hAnsi="方正仿宋_GB2312" w:eastAsia="方正仿宋_GB2312" w:cs="方正仿宋_GB2312"/>
                <w:color w:val="000000"/>
                <w:sz w:val="24"/>
                <w:szCs w:val="24"/>
                <w:highlight w:val="none"/>
              </w:rPr>
            </w:pPr>
          </w:p>
        </w:tc>
        <w:tc>
          <w:tcPr>
            <w:tcW w:w="940" w:type="dxa"/>
            <w:noWrap w:val="0"/>
            <w:vAlign w:val="center"/>
          </w:tcPr>
          <w:p w14:paraId="76CD2B4D">
            <w:pPr>
              <w:jc w:val="center"/>
              <w:rPr>
                <w:rFonts w:hint="eastAsia" w:ascii="方正仿宋_GB2312" w:hAnsi="方正仿宋_GB2312" w:eastAsia="方正仿宋_GB2312" w:cs="方正仿宋_GB2312"/>
                <w:color w:val="000000"/>
                <w:sz w:val="24"/>
                <w:szCs w:val="24"/>
                <w:highlight w:val="none"/>
              </w:rPr>
            </w:pPr>
          </w:p>
        </w:tc>
        <w:tc>
          <w:tcPr>
            <w:tcW w:w="851" w:type="dxa"/>
            <w:noWrap w:val="0"/>
            <w:vAlign w:val="center"/>
          </w:tcPr>
          <w:p w14:paraId="656439DC">
            <w:pPr>
              <w:jc w:val="center"/>
              <w:rPr>
                <w:rFonts w:hint="eastAsia" w:ascii="方正仿宋_GB2312" w:hAnsi="方正仿宋_GB2312" w:eastAsia="方正仿宋_GB2312" w:cs="方正仿宋_GB2312"/>
                <w:color w:val="000000"/>
                <w:sz w:val="24"/>
                <w:szCs w:val="24"/>
                <w:highlight w:val="none"/>
              </w:rPr>
            </w:pPr>
          </w:p>
        </w:tc>
        <w:tc>
          <w:tcPr>
            <w:tcW w:w="1044" w:type="dxa"/>
            <w:noWrap w:val="0"/>
            <w:vAlign w:val="center"/>
          </w:tcPr>
          <w:p w14:paraId="189D22B6">
            <w:pPr>
              <w:jc w:val="center"/>
              <w:rPr>
                <w:rFonts w:hint="eastAsia" w:ascii="方正仿宋_GB2312" w:hAnsi="方正仿宋_GB2312" w:eastAsia="方正仿宋_GB2312" w:cs="方正仿宋_GB2312"/>
                <w:color w:val="000000"/>
                <w:sz w:val="24"/>
                <w:szCs w:val="24"/>
                <w:highlight w:val="none"/>
              </w:rPr>
            </w:pPr>
          </w:p>
        </w:tc>
        <w:tc>
          <w:tcPr>
            <w:tcW w:w="992" w:type="dxa"/>
            <w:noWrap w:val="0"/>
            <w:vAlign w:val="center"/>
          </w:tcPr>
          <w:p w14:paraId="43FC135E">
            <w:pPr>
              <w:jc w:val="center"/>
              <w:rPr>
                <w:rFonts w:hint="eastAsia" w:ascii="方正仿宋_GB2312" w:hAnsi="方正仿宋_GB2312" w:eastAsia="方正仿宋_GB2312" w:cs="方正仿宋_GB2312"/>
                <w:color w:val="000000"/>
                <w:sz w:val="24"/>
                <w:szCs w:val="24"/>
                <w:highlight w:val="none"/>
              </w:rPr>
            </w:pPr>
          </w:p>
        </w:tc>
        <w:tc>
          <w:tcPr>
            <w:tcW w:w="851" w:type="dxa"/>
            <w:noWrap w:val="0"/>
            <w:vAlign w:val="center"/>
          </w:tcPr>
          <w:p w14:paraId="7AE302E2">
            <w:pPr>
              <w:jc w:val="center"/>
              <w:rPr>
                <w:rFonts w:hint="eastAsia" w:ascii="方正仿宋_GB2312" w:hAnsi="方正仿宋_GB2312" w:eastAsia="方正仿宋_GB2312" w:cs="方正仿宋_GB2312"/>
                <w:color w:val="000000"/>
                <w:sz w:val="24"/>
                <w:szCs w:val="24"/>
                <w:highlight w:val="none"/>
              </w:rPr>
            </w:pPr>
          </w:p>
        </w:tc>
        <w:tc>
          <w:tcPr>
            <w:tcW w:w="1487" w:type="dxa"/>
            <w:noWrap w:val="0"/>
            <w:vAlign w:val="center"/>
          </w:tcPr>
          <w:p w14:paraId="3DAA9831">
            <w:pPr>
              <w:jc w:val="center"/>
              <w:rPr>
                <w:rFonts w:hint="eastAsia" w:ascii="方正仿宋_GB2312" w:hAnsi="方正仿宋_GB2312" w:eastAsia="方正仿宋_GB2312" w:cs="方正仿宋_GB2312"/>
                <w:color w:val="000000"/>
                <w:sz w:val="24"/>
                <w:szCs w:val="24"/>
                <w:highlight w:val="none"/>
              </w:rPr>
            </w:pPr>
          </w:p>
        </w:tc>
        <w:tc>
          <w:tcPr>
            <w:tcW w:w="992" w:type="dxa"/>
            <w:noWrap w:val="0"/>
            <w:vAlign w:val="center"/>
          </w:tcPr>
          <w:p w14:paraId="658F5262">
            <w:pPr>
              <w:jc w:val="center"/>
              <w:rPr>
                <w:rFonts w:hint="eastAsia" w:ascii="方正仿宋_GB2312" w:hAnsi="方正仿宋_GB2312" w:eastAsia="方正仿宋_GB2312" w:cs="方正仿宋_GB2312"/>
                <w:color w:val="000000"/>
                <w:sz w:val="24"/>
                <w:szCs w:val="24"/>
                <w:highlight w:val="none"/>
              </w:rPr>
            </w:pPr>
          </w:p>
        </w:tc>
      </w:tr>
      <w:tr w14:paraId="2F628E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8AA8B0A">
            <w:pPr>
              <w:jc w:val="center"/>
              <w:rPr>
                <w:rFonts w:hint="eastAsia" w:ascii="方正仿宋_GB2312" w:hAnsi="方正仿宋_GB2312" w:eastAsia="方正仿宋_GB2312" w:cs="方正仿宋_GB2312"/>
                <w:color w:val="000000"/>
                <w:sz w:val="24"/>
                <w:szCs w:val="24"/>
                <w:highlight w:val="none"/>
              </w:rPr>
            </w:pPr>
          </w:p>
        </w:tc>
        <w:tc>
          <w:tcPr>
            <w:tcW w:w="1276" w:type="dxa"/>
            <w:noWrap w:val="0"/>
            <w:vAlign w:val="center"/>
          </w:tcPr>
          <w:p w14:paraId="17A3EBEC">
            <w:pPr>
              <w:jc w:val="center"/>
              <w:rPr>
                <w:rFonts w:hint="eastAsia" w:ascii="方正仿宋_GB2312" w:hAnsi="方正仿宋_GB2312" w:eastAsia="方正仿宋_GB2312" w:cs="方正仿宋_GB2312"/>
                <w:color w:val="000000"/>
                <w:sz w:val="24"/>
                <w:szCs w:val="24"/>
                <w:highlight w:val="none"/>
              </w:rPr>
            </w:pPr>
          </w:p>
        </w:tc>
        <w:tc>
          <w:tcPr>
            <w:tcW w:w="1418" w:type="dxa"/>
            <w:noWrap w:val="0"/>
            <w:vAlign w:val="center"/>
          </w:tcPr>
          <w:p w14:paraId="212382E4">
            <w:pPr>
              <w:jc w:val="center"/>
              <w:rPr>
                <w:rFonts w:hint="eastAsia" w:ascii="方正仿宋_GB2312" w:hAnsi="方正仿宋_GB2312" w:eastAsia="方正仿宋_GB2312" w:cs="方正仿宋_GB2312"/>
                <w:color w:val="000000"/>
                <w:sz w:val="24"/>
                <w:szCs w:val="24"/>
                <w:highlight w:val="none"/>
              </w:rPr>
            </w:pPr>
          </w:p>
        </w:tc>
        <w:tc>
          <w:tcPr>
            <w:tcW w:w="940" w:type="dxa"/>
            <w:noWrap w:val="0"/>
            <w:vAlign w:val="center"/>
          </w:tcPr>
          <w:p w14:paraId="3939B1BC">
            <w:pPr>
              <w:jc w:val="center"/>
              <w:rPr>
                <w:rFonts w:hint="eastAsia" w:ascii="方正仿宋_GB2312" w:hAnsi="方正仿宋_GB2312" w:eastAsia="方正仿宋_GB2312" w:cs="方正仿宋_GB2312"/>
                <w:color w:val="000000"/>
                <w:sz w:val="24"/>
                <w:szCs w:val="24"/>
                <w:highlight w:val="none"/>
              </w:rPr>
            </w:pPr>
          </w:p>
        </w:tc>
        <w:tc>
          <w:tcPr>
            <w:tcW w:w="851" w:type="dxa"/>
            <w:noWrap w:val="0"/>
            <w:vAlign w:val="center"/>
          </w:tcPr>
          <w:p w14:paraId="312BD4AC">
            <w:pPr>
              <w:jc w:val="center"/>
              <w:rPr>
                <w:rFonts w:hint="eastAsia" w:ascii="方正仿宋_GB2312" w:hAnsi="方正仿宋_GB2312" w:eastAsia="方正仿宋_GB2312" w:cs="方正仿宋_GB2312"/>
                <w:color w:val="000000"/>
                <w:sz w:val="24"/>
                <w:szCs w:val="24"/>
                <w:highlight w:val="none"/>
              </w:rPr>
            </w:pPr>
          </w:p>
        </w:tc>
        <w:tc>
          <w:tcPr>
            <w:tcW w:w="1044" w:type="dxa"/>
            <w:noWrap w:val="0"/>
            <w:vAlign w:val="center"/>
          </w:tcPr>
          <w:p w14:paraId="111C3FBB">
            <w:pPr>
              <w:jc w:val="center"/>
              <w:rPr>
                <w:rFonts w:hint="eastAsia" w:ascii="方正仿宋_GB2312" w:hAnsi="方正仿宋_GB2312" w:eastAsia="方正仿宋_GB2312" w:cs="方正仿宋_GB2312"/>
                <w:color w:val="000000"/>
                <w:sz w:val="24"/>
                <w:szCs w:val="24"/>
                <w:highlight w:val="none"/>
              </w:rPr>
            </w:pPr>
          </w:p>
        </w:tc>
        <w:tc>
          <w:tcPr>
            <w:tcW w:w="992" w:type="dxa"/>
            <w:noWrap w:val="0"/>
            <w:vAlign w:val="center"/>
          </w:tcPr>
          <w:p w14:paraId="427E6561">
            <w:pPr>
              <w:jc w:val="center"/>
              <w:rPr>
                <w:rFonts w:hint="eastAsia" w:ascii="方正仿宋_GB2312" w:hAnsi="方正仿宋_GB2312" w:eastAsia="方正仿宋_GB2312" w:cs="方正仿宋_GB2312"/>
                <w:color w:val="000000"/>
                <w:sz w:val="24"/>
                <w:szCs w:val="24"/>
                <w:highlight w:val="none"/>
              </w:rPr>
            </w:pPr>
          </w:p>
        </w:tc>
        <w:tc>
          <w:tcPr>
            <w:tcW w:w="851" w:type="dxa"/>
            <w:noWrap w:val="0"/>
            <w:vAlign w:val="center"/>
          </w:tcPr>
          <w:p w14:paraId="30B4F77B">
            <w:pPr>
              <w:jc w:val="center"/>
              <w:rPr>
                <w:rFonts w:hint="eastAsia" w:ascii="方正仿宋_GB2312" w:hAnsi="方正仿宋_GB2312" w:eastAsia="方正仿宋_GB2312" w:cs="方正仿宋_GB2312"/>
                <w:color w:val="000000"/>
                <w:sz w:val="24"/>
                <w:szCs w:val="24"/>
                <w:highlight w:val="none"/>
              </w:rPr>
            </w:pPr>
          </w:p>
        </w:tc>
        <w:tc>
          <w:tcPr>
            <w:tcW w:w="1487" w:type="dxa"/>
            <w:noWrap w:val="0"/>
            <w:vAlign w:val="center"/>
          </w:tcPr>
          <w:p w14:paraId="53F41E85">
            <w:pPr>
              <w:jc w:val="center"/>
              <w:rPr>
                <w:rFonts w:hint="eastAsia" w:ascii="方正仿宋_GB2312" w:hAnsi="方正仿宋_GB2312" w:eastAsia="方正仿宋_GB2312" w:cs="方正仿宋_GB2312"/>
                <w:color w:val="000000"/>
                <w:sz w:val="24"/>
                <w:szCs w:val="24"/>
                <w:highlight w:val="none"/>
              </w:rPr>
            </w:pPr>
          </w:p>
        </w:tc>
        <w:tc>
          <w:tcPr>
            <w:tcW w:w="992" w:type="dxa"/>
            <w:noWrap w:val="0"/>
            <w:vAlign w:val="center"/>
          </w:tcPr>
          <w:p w14:paraId="5FC6A54A">
            <w:pPr>
              <w:jc w:val="center"/>
              <w:rPr>
                <w:rFonts w:hint="eastAsia" w:ascii="方正仿宋_GB2312" w:hAnsi="方正仿宋_GB2312" w:eastAsia="方正仿宋_GB2312" w:cs="方正仿宋_GB2312"/>
                <w:color w:val="000000"/>
                <w:sz w:val="24"/>
                <w:szCs w:val="24"/>
                <w:highlight w:val="none"/>
              </w:rPr>
            </w:pPr>
          </w:p>
        </w:tc>
      </w:tr>
      <w:tr w14:paraId="4918A5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ED1B381">
            <w:pPr>
              <w:jc w:val="center"/>
              <w:rPr>
                <w:rFonts w:hint="eastAsia" w:ascii="方正仿宋_GB2312" w:hAnsi="方正仿宋_GB2312" w:eastAsia="方正仿宋_GB2312" w:cs="方正仿宋_GB2312"/>
                <w:color w:val="000000"/>
                <w:sz w:val="24"/>
                <w:szCs w:val="24"/>
                <w:highlight w:val="none"/>
              </w:rPr>
            </w:pPr>
          </w:p>
        </w:tc>
        <w:tc>
          <w:tcPr>
            <w:tcW w:w="1276" w:type="dxa"/>
            <w:noWrap w:val="0"/>
            <w:vAlign w:val="center"/>
          </w:tcPr>
          <w:p w14:paraId="3ADA5576">
            <w:pPr>
              <w:jc w:val="center"/>
              <w:rPr>
                <w:rFonts w:hint="eastAsia" w:ascii="方正仿宋_GB2312" w:hAnsi="方正仿宋_GB2312" w:eastAsia="方正仿宋_GB2312" w:cs="方正仿宋_GB2312"/>
                <w:color w:val="000000"/>
                <w:sz w:val="24"/>
                <w:szCs w:val="24"/>
                <w:highlight w:val="none"/>
              </w:rPr>
            </w:pPr>
          </w:p>
        </w:tc>
        <w:tc>
          <w:tcPr>
            <w:tcW w:w="1418" w:type="dxa"/>
            <w:noWrap w:val="0"/>
            <w:vAlign w:val="center"/>
          </w:tcPr>
          <w:p w14:paraId="316CD83A">
            <w:pPr>
              <w:jc w:val="center"/>
              <w:rPr>
                <w:rFonts w:hint="eastAsia" w:ascii="方正仿宋_GB2312" w:hAnsi="方正仿宋_GB2312" w:eastAsia="方正仿宋_GB2312" w:cs="方正仿宋_GB2312"/>
                <w:color w:val="000000"/>
                <w:sz w:val="24"/>
                <w:szCs w:val="24"/>
                <w:highlight w:val="none"/>
              </w:rPr>
            </w:pPr>
          </w:p>
        </w:tc>
        <w:tc>
          <w:tcPr>
            <w:tcW w:w="940" w:type="dxa"/>
            <w:noWrap w:val="0"/>
            <w:vAlign w:val="center"/>
          </w:tcPr>
          <w:p w14:paraId="2A13A649">
            <w:pPr>
              <w:jc w:val="center"/>
              <w:rPr>
                <w:rFonts w:hint="eastAsia" w:ascii="方正仿宋_GB2312" w:hAnsi="方正仿宋_GB2312" w:eastAsia="方正仿宋_GB2312" w:cs="方正仿宋_GB2312"/>
                <w:color w:val="000000"/>
                <w:sz w:val="24"/>
                <w:szCs w:val="24"/>
                <w:highlight w:val="none"/>
              </w:rPr>
            </w:pPr>
          </w:p>
        </w:tc>
        <w:tc>
          <w:tcPr>
            <w:tcW w:w="851" w:type="dxa"/>
            <w:noWrap w:val="0"/>
            <w:vAlign w:val="center"/>
          </w:tcPr>
          <w:p w14:paraId="746DCAB6">
            <w:pPr>
              <w:jc w:val="center"/>
              <w:rPr>
                <w:rFonts w:hint="eastAsia" w:ascii="方正仿宋_GB2312" w:hAnsi="方正仿宋_GB2312" w:eastAsia="方正仿宋_GB2312" w:cs="方正仿宋_GB2312"/>
                <w:color w:val="000000"/>
                <w:sz w:val="24"/>
                <w:szCs w:val="24"/>
                <w:highlight w:val="none"/>
              </w:rPr>
            </w:pPr>
          </w:p>
        </w:tc>
        <w:tc>
          <w:tcPr>
            <w:tcW w:w="1044" w:type="dxa"/>
            <w:noWrap w:val="0"/>
            <w:vAlign w:val="center"/>
          </w:tcPr>
          <w:p w14:paraId="2AFA25C4">
            <w:pPr>
              <w:jc w:val="center"/>
              <w:rPr>
                <w:rFonts w:hint="eastAsia" w:ascii="方正仿宋_GB2312" w:hAnsi="方正仿宋_GB2312" w:eastAsia="方正仿宋_GB2312" w:cs="方正仿宋_GB2312"/>
                <w:color w:val="000000"/>
                <w:sz w:val="24"/>
                <w:szCs w:val="24"/>
                <w:highlight w:val="none"/>
              </w:rPr>
            </w:pPr>
          </w:p>
        </w:tc>
        <w:tc>
          <w:tcPr>
            <w:tcW w:w="992" w:type="dxa"/>
            <w:noWrap w:val="0"/>
            <w:vAlign w:val="center"/>
          </w:tcPr>
          <w:p w14:paraId="198203D5">
            <w:pPr>
              <w:jc w:val="center"/>
              <w:rPr>
                <w:rFonts w:hint="eastAsia" w:ascii="方正仿宋_GB2312" w:hAnsi="方正仿宋_GB2312" w:eastAsia="方正仿宋_GB2312" w:cs="方正仿宋_GB2312"/>
                <w:color w:val="000000"/>
                <w:sz w:val="24"/>
                <w:szCs w:val="24"/>
                <w:highlight w:val="none"/>
              </w:rPr>
            </w:pPr>
          </w:p>
        </w:tc>
        <w:tc>
          <w:tcPr>
            <w:tcW w:w="851" w:type="dxa"/>
            <w:noWrap w:val="0"/>
            <w:vAlign w:val="center"/>
          </w:tcPr>
          <w:p w14:paraId="0E93C872">
            <w:pPr>
              <w:jc w:val="center"/>
              <w:rPr>
                <w:rFonts w:hint="eastAsia" w:ascii="方正仿宋_GB2312" w:hAnsi="方正仿宋_GB2312" w:eastAsia="方正仿宋_GB2312" w:cs="方正仿宋_GB2312"/>
                <w:color w:val="000000"/>
                <w:sz w:val="24"/>
                <w:szCs w:val="24"/>
                <w:highlight w:val="none"/>
              </w:rPr>
            </w:pPr>
          </w:p>
        </w:tc>
        <w:tc>
          <w:tcPr>
            <w:tcW w:w="1487" w:type="dxa"/>
            <w:noWrap w:val="0"/>
            <w:vAlign w:val="center"/>
          </w:tcPr>
          <w:p w14:paraId="3FD43E6A">
            <w:pPr>
              <w:jc w:val="center"/>
              <w:rPr>
                <w:rFonts w:hint="eastAsia" w:ascii="方正仿宋_GB2312" w:hAnsi="方正仿宋_GB2312" w:eastAsia="方正仿宋_GB2312" w:cs="方正仿宋_GB2312"/>
                <w:color w:val="000000"/>
                <w:sz w:val="24"/>
                <w:szCs w:val="24"/>
                <w:highlight w:val="none"/>
              </w:rPr>
            </w:pPr>
          </w:p>
        </w:tc>
        <w:tc>
          <w:tcPr>
            <w:tcW w:w="992" w:type="dxa"/>
            <w:noWrap w:val="0"/>
            <w:vAlign w:val="center"/>
          </w:tcPr>
          <w:p w14:paraId="5A6AD78D">
            <w:pPr>
              <w:jc w:val="center"/>
              <w:rPr>
                <w:rFonts w:hint="eastAsia" w:ascii="方正仿宋_GB2312" w:hAnsi="方正仿宋_GB2312" w:eastAsia="方正仿宋_GB2312" w:cs="方正仿宋_GB2312"/>
                <w:color w:val="000000"/>
                <w:sz w:val="24"/>
                <w:szCs w:val="24"/>
                <w:highlight w:val="none"/>
              </w:rPr>
            </w:pPr>
          </w:p>
        </w:tc>
      </w:tr>
      <w:tr w14:paraId="69168D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6540234">
            <w:pPr>
              <w:jc w:val="center"/>
              <w:rPr>
                <w:rFonts w:hint="eastAsia" w:ascii="方正仿宋_GB2312" w:hAnsi="方正仿宋_GB2312" w:eastAsia="方正仿宋_GB2312" w:cs="方正仿宋_GB2312"/>
                <w:color w:val="000000"/>
                <w:sz w:val="24"/>
                <w:szCs w:val="24"/>
                <w:highlight w:val="none"/>
              </w:rPr>
            </w:pPr>
          </w:p>
        </w:tc>
        <w:tc>
          <w:tcPr>
            <w:tcW w:w="1276" w:type="dxa"/>
            <w:noWrap w:val="0"/>
            <w:vAlign w:val="center"/>
          </w:tcPr>
          <w:p w14:paraId="3AA810F1">
            <w:pPr>
              <w:jc w:val="center"/>
              <w:rPr>
                <w:rFonts w:hint="eastAsia" w:ascii="方正仿宋_GB2312" w:hAnsi="方正仿宋_GB2312" w:eastAsia="方正仿宋_GB2312" w:cs="方正仿宋_GB2312"/>
                <w:color w:val="000000"/>
                <w:sz w:val="24"/>
                <w:szCs w:val="24"/>
                <w:highlight w:val="none"/>
              </w:rPr>
            </w:pPr>
          </w:p>
        </w:tc>
        <w:tc>
          <w:tcPr>
            <w:tcW w:w="1418" w:type="dxa"/>
            <w:noWrap w:val="0"/>
            <w:vAlign w:val="center"/>
          </w:tcPr>
          <w:p w14:paraId="0FB766DC">
            <w:pPr>
              <w:jc w:val="center"/>
              <w:rPr>
                <w:rFonts w:hint="eastAsia" w:ascii="方正仿宋_GB2312" w:hAnsi="方正仿宋_GB2312" w:eastAsia="方正仿宋_GB2312" w:cs="方正仿宋_GB2312"/>
                <w:color w:val="000000"/>
                <w:sz w:val="24"/>
                <w:szCs w:val="24"/>
                <w:highlight w:val="none"/>
              </w:rPr>
            </w:pPr>
          </w:p>
        </w:tc>
        <w:tc>
          <w:tcPr>
            <w:tcW w:w="940" w:type="dxa"/>
            <w:noWrap w:val="0"/>
            <w:vAlign w:val="center"/>
          </w:tcPr>
          <w:p w14:paraId="079C6B23">
            <w:pPr>
              <w:jc w:val="center"/>
              <w:rPr>
                <w:rFonts w:hint="eastAsia" w:ascii="方正仿宋_GB2312" w:hAnsi="方正仿宋_GB2312" w:eastAsia="方正仿宋_GB2312" w:cs="方正仿宋_GB2312"/>
                <w:color w:val="000000"/>
                <w:sz w:val="24"/>
                <w:szCs w:val="24"/>
                <w:highlight w:val="none"/>
              </w:rPr>
            </w:pPr>
          </w:p>
        </w:tc>
        <w:tc>
          <w:tcPr>
            <w:tcW w:w="851" w:type="dxa"/>
            <w:noWrap w:val="0"/>
            <w:vAlign w:val="center"/>
          </w:tcPr>
          <w:p w14:paraId="0AEF93FA">
            <w:pPr>
              <w:jc w:val="center"/>
              <w:rPr>
                <w:rFonts w:hint="eastAsia" w:ascii="方正仿宋_GB2312" w:hAnsi="方正仿宋_GB2312" w:eastAsia="方正仿宋_GB2312" w:cs="方正仿宋_GB2312"/>
                <w:color w:val="000000"/>
                <w:sz w:val="24"/>
                <w:szCs w:val="24"/>
                <w:highlight w:val="none"/>
              </w:rPr>
            </w:pPr>
          </w:p>
        </w:tc>
        <w:tc>
          <w:tcPr>
            <w:tcW w:w="1044" w:type="dxa"/>
            <w:noWrap w:val="0"/>
            <w:vAlign w:val="center"/>
          </w:tcPr>
          <w:p w14:paraId="59B9C252">
            <w:pPr>
              <w:jc w:val="center"/>
              <w:rPr>
                <w:rFonts w:hint="eastAsia" w:ascii="方正仿宋_GB2312" w:hAnsi="方正仿宋_GB2312" w:eastAsia="方正仿宋_GB2312" w:cs="方正仿宋_GB2312"/>
                <w:color w:val="000000"/>
                <w:sz w:val="24"/>
                <w:szCs w:val="24"/>
                <w:highlight w:val="none"/>
              </w:rPr>
            </w:pPr>
          </w:p>
        </w:tc>
        <w:tc>
          <w:tcPr>
            <w:tcW w:w="992" w:type="dxa"/>
            <w:noWrap w:val="0"/>
            <w:vAlign w:val="center"/>
          </w:tcPr>
          <w:p w14:paraId="113CE25D">
            <w:pPr>
              <w:jc w:val="center"/>
              <w:rPr>
                <w:rFonts w:hint="eastAsia" w:ascii="方正仿宋_GB2312" w:hAnsi="方正仿宋_GB2312" w:eastAsia="方正仿宋_GB2312" w:cs="方正仿宋_GB2312"/>
                <w:color w:val="000000"/>
                <w:sz w:val="24"/>
                <w:szCs w:val="24"/>
                <w:highlight w:val="none"/>
              </w:rPr>
            </w:pPr>
          </w:p>
        </w:tc>
        <w:tc>
          <w:tcPr>
            <w:tcW w:w="851" w:type="dxa"/>
            <w:noWrap w:val="0"/>
            <w:vAlign w:val="center"/>
          </w:tcPr>
          <w:p w14:paraId="2A0DE3ED">
            <w:pPr>
              <w:jc w:val="center"/>
              <w:rPr>
                <w:rFonts w:hint="eastAsia" w:ascii="方正仿宋_GB2312" w:hAnsi="方正仿宋_GB2312" w:eastAsia="方正仿宋_GB2312" w:cs="方正仿宋_GB2312"/>
                <w:color w:val="000000"/>
                <w:sz w:val="24"/>
                <w:szCs w:val="24"/>
                <w:highlight w:val="none"/>
              </w:rPr>
            </w:pPr>
          </w:p>
        </w:tc>
        <w:tc>
          <w:tcPr>
            <w:tcW w:w="1487" w:type="dxa"/>
            <w:noWrap w:val="0"/>
            <w:vAlign w:val="center"/>
          </w:tcPr>
          <w:p w14:paraId="17294329">
            <w:pPr>
              <w:jc w:val="center"/>
              <w:rPr>
                <w:rFonts w:hint="eastAsia" w:ascii="方正仿宋_GB2312" w:hAnsi="方正仿宋_GB2312" w:eastAsia="方正仿宋_GB2312" w:cs="方正仿宋_GB2312"/>
                <w:color w:val="000000"/>
                <w:sz w:val="24"/>
                <w:szCs w:val="24"/>
                <w:highlight w:val="none"/>
              </w:rPr>
            </w:pPr>
          </w:p>
        </w:tc>
        <w:tc>
          <w:tcPr>
            <w:tcW w:w="992" w:type="dxa"/>
            <w:noWrap w:val="0"/>
            <w:vAlign w:val="center"/>
          </w:tcPr>
          <w:p w14:paraId="6741773A">
            <w:pPr>
              <w:jc w:val="center"/>
              <w:rPr>
                <w:rFonts w:hint="eastAsia" w:ascii="方正仿宋_GB2312" w:hAnsi="方正仿宋_GB2312" w:eastAsia="方正仿宋_GB2312" w:cs="方正仿宋_GB2312"/>
                <w:color w:val="000000"/>
                <w:sz w:val="24"/>
                <w:szCs w:val="24"/>
                <w:highlight w:val="none"/>
              </w:rPr>
            </w:pPr>
          </w:p>
        </w:tc>
      </w:tr>
      <w:tr w14:paraId="2D8168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57B5C0F">
            <w:pPr>
              <w:jc w:val="center"/>
              <w:rPr>
                <w:rFonts w:hint="eastAsia" w:ascii="方正仿宋_GB2312" w:hAnsi="方正仿宋_GB2312" w:eastAsia="方正仿宋_GB2312" w:cs="方正仿宋_GB2312"/>
                <w:color w:val="000000"/>
                <w:sz w:val="24"/>
                <w:szCs w:val="24"/>
                <w:highlight w:val="none"/>
              </w:rPr>
            </w:pPr>
          </w:p>
        </w:tc>
        <w:tc>
          <w:tcPr>
            <w:tcW w:w="1276" w:type="dxa"/>
            <w:noWrap w:val="0"/>
            <w:vAlign w:val="center"/>
          </w:tcPr>
          <w:p w14:paraId="04EE6793">
            <w:pPr>
              <w:jc w:val="center"/>
              <w:rPr>
                <w:rFonts w:hint="eastAsia" w:ascii="方正仿宋_GB2312" w:hAnsi="方正仿宋_GB2312" w:eastAsia="方正仿宋_GB2312" w:cs="方正仿宋_GB2312"/>
                <w:color w:val="000000"/>
                <w:sz w:val="24"/>
                <w:szCs w:val="24"/>
                <w:highlight w:val="none"/>
              </w:rPr>
            </w:pPr>
          </w:p>
        </w:tc>
        <w:tc>
          <w:tcPr>
            <w:tcW w:w="1418" w:type="dxa"/>
            <w:noWrap w:val="0"/>
            <w:vAlign w:val="center"/>
          </w:tcPr>
          <w:p w14:paraId="5A687915">
            <w:pPr>
              <w:jc w:val="center"/>
              <w:rPr>
                <w:rFonts w:hint="eastAsia" w:ascii="方正仿宋_GB2312" w:hAnsi="方正仿宋_GB2312" w:eastAsia="方正仿宋_GB2312" w:cs="方正仿宋_GB2312"/>
                <w:color w:val="000000"/>
                <w:sz w:val="24"/>
                <w:szCs w:val="24"/>
                <w:highlight w:val="none"/>
              </w:rPr>
            </w:pPr>
          </w:p>
        </w:tc>
        <w:tc>
          <w:tcPr>
            <w:tcW w:w="940" w:type="dxa"/>
            <w:noWrap w:val="0"/>
            <w:vAlign w:val="center"/>
          </w:tcPr>
          <w:p w14:paraId="50E8523E">
            <w:pPr>
              <w:jc w:val="center"/>
              <w:rPr>
                <w:rFonts w:hint="eastAsia" w:ascii="方正仿宋_GB2312" w:hAnsi="方正仿宋_GB2312" w:eastAsia="方正仿宋_GB2312" w:cs="方正仿宋_GB2312"/>
                <w:color w:val="000000"/>
                <w:sz w:val="24"/>
                <w:szCs w:val="24"/>
                <w:highlight w:val="none"/>
              </w:rPr>
            </w:pPr>
          </w:p>
        </w:tc>
        <w:tc>
          <w:tcPr>
            <w:tcW w:w="851" w:type="dxa"/>
            <w:noWrap w:val="0"/>
            <w:vAlign w:val="center"/>
          </w:tcPr>
          <w:p w14:paraId="182B0646">
            <w:pPr>
              <w:jc w:val="center"/>
              <w:rPr>
                <w:rFonts w:hint="eastAsia" w:ascii="方正仿宋_GB2312" w:hAnsi="方正仿宋_GB2312" w:eastAsia="方正仿宋_GB2312" w:cs="方正仿宋_GB2312"/>
                <w:color w:val="000000"/>
                <w:sz w:val="24"/>
                <w:szCs w:val="24"/>
                <w:highlight w:val="none"/>
              </w:rPr>
            </w:pPr>
          </w:p>
        </w:tc>
        <w:tc>
          <w:tcPr>
            <w:tcW w:w="1044" w:type="dxa"/>
            <w:noWrap w:val="0"/>
            <w:vAlign w:val="center"/>
          </w:tcPr>
          <w:p w14:paraId="4433D2B0">
            <w:pPr>
              <w:jc w:val="center"/>
              <w:rPr>
                <w:rFonts w:hint="eastAsia" w:ascii="方正仿宋_GB2312" w:hAnsi="方正仿宋_GB2312" w:eastAsia="方正仿宋_GB2312" w:cs="方正仿宋_GB2312"/>
                <w:color w:val="000000"/>
                <w:sz w:val="24"/>
                <w:szCs w:val="24"/>
                <w:highlight w:val="none"/>
              </w:rPr>
            </w:pPr>
          </w:p>
        </w:tc>
        <w:tc>
          <w:tcPr>
            <w:tcW w:w="992" w:type="dxa"/>
            <w:noWrap w:val="0"/>
            <w:vAlign w:val="center"/>
          </w:tcPr>
          <w:p w14:paraId="4098D537">
            <w:pPr>
              <w:jc w:val="center"/>
              <w:rPr>
                <w:rFonts w:hint="eastAsia" w:ascii="方正仿宋_GB2312" w:hAnsi="方正仿宋_GB2312" w:eastAsia="方正仿宋_GB2312" w:cs="方正仿宋_GB2312"/>
                <w:color w:val="000000"/>
                <w:sz w:val="24"/>
                <w:szCs w:val="24"/>
                <w:highlight w:val="none"/>
              </w:rPr>
            </w:pPr>
          </w:p>
        </w:tc>
        <w:tc>
          <w:tcPr>
            <w:tcW w:w="851" w:type="dxa"/>
            <w:noWrap w:val="0"/>
            <w:vAlign w:val="center"/>
          </w:tcPr>
          <w:p w14:paraId="316E6118">
            <w:pPr>
              <w:jc w:val="center"/>
              <w:rPr>
                <w:rFonts w:hint="eastAsia" w:ascii="方正仿宋_GB2312" w:hAnsi="方正仿宋_GB2312" w:eastAsia="方正仿宋_GB2312" w:cs="方正仿宋_GB2312"/>
                <w:color w:val="000000"/>
                <w:sz w:val="24"/>
                <w:szCs w:val="24"/>
                <w:highlight w:val="none"/>
              </w:rPr>
            </w:pPr>
          </w:p>
        </w:tc>
        <w:tc>
          <w:tcPr>
            <w:tcW w:w="1487" w:type="dxa"/>
            <w:noWrap w:val="0"/>
            <w:vAlign w:val="center"/>
          </w:tcPr>
          <w:p w14:paraId="49498882">
            <w:pPr>
              <w:jc w:val="center"/>
              <w:rPr>
                <w:rFonts w:hint="eastAsia" w:ascii="方正仿宋_GB2312" w:hAnsi="方正仿宋_GB2312" w:eastAsia="方正仿宋_GB2312" w:cs="方正仿宋_GB2312"/>
                <w:color w:val="000000"/>
                <w:sz w:val="24"/>
                <w:szCs w:val="24"/>
                <w:highlight w:val="none"/>
              </w:rPr>
            </w:pPr>
          </w:p>
        </w:tc>
        <w:tc>
          <w:tcPr>
            <w:tcW w:w="992" w:type="dxa"/>
            <w:noWrap w:val="0"/>
            <w:vAlign w:val="center"/>
          </w:tcPr>
          <w:p w14:paraId="549E9C68">
            <w:pPr>
              <w:jc w:val="center"/>
              <w:rPr>
                <w:rFonts w:hint="eastAsia" w:ascii="方正仿宋_GB2312" w:hAnsi="方正仿宋_GB2312" w:eastAsia="方正仿宋_GB2312" w:cs="方正仿宋_GB2312"/>
                <w:color w:val="000000"/>
                <w:sz w:val="24"/>
                <w:szCs w:val="24"/>
                <w:highlight w:val="none"/>
              </w:rPr>
            </w:pPr>
          </w:p>
        </w:tc>
      </w:tr>
      <w:tr w14:paraId="0CB0B0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875D675">
            <w:pPr>
              <w:jc w:val="center"/>
              <w:rPr>
                <w:rFonts w:hint="eastAsia" w:ascii="方正仿宋_GB2312" w:hAnsi="方正仿宋_GB2312" w:eastAsia="方正仿宋_GB2312" w:cs="方正仿宋_GB2312"/>
                <w:color w:val="000000"/>
                <w:sz w:val="24"/>
                <w:szCs w:val="24"/>
                <w:highlight w:val="none"/>
              </w:rPr>
            </w:pPr>
          </w:p>
        </w:tc>
        <w:tc>
          <w:tcPr>
            <w:tcW w:w="1276" w:type="dxa"/>
            <w:noWrap w:val="0"/>
            <w:vAlign w:val="center"/>
          </w:tcPr>
          <w:p w14:paraId="3BE1E63D">
            <w:pPr>
              <w:jc w:val="center"/>
              <w:rPr>
                <w:rFonts w:hint="eastAsia" w:ascii="方正仿宋_GB2312" w:hAnsi="方正仿宋_GB2312" w:eastAsia="方正仿宋_GB2312" w:cs="方正仿宋_GB2312"/>
                <w:color w:val="000000"/>
                <w:sz w:val="24"/>
                <w:szCs w:val="24"/>
                <w:highlight w:val="none"/>
              </w:rPr>
            </w:pPr>
          </w:p>
        </w:tc>
        <w:tc>
          <w:tcPr>
            <w:tcW w:w="1418" w:type="dxa"/>
            <w:noWrap w:val="0"/>
            <w:vAlign w:val="center"/>
          </w:tcPr>
          <w:p w14:paraId="0E05FBAF">
            <w:pPr>
              <w:jc w:val="center"/>
              <w:rPr>
                <w:rFonts w:hint="eastAsia" w:ascii="方正仿宋_GB2312" w:hAnsi="方正仿宋_GB2312" w:eastAsia="方正仿宋_GB2312" w:cs="方正仿宋_GB2312"/>
                <w:color w:val="000000"/>
                <w:sz w:val="24"/>
                <w:szCs w:val="24"/>
                <w:highlight w:val="none"/>
              </w:rPr>
            </w:pPr>
          </w:p>
        </w:tc>
        <w:tc>
          <w:tcPr>
            <w:tcW w:w="940" w:type="dxa"/>
            <w:noWrap w:val="0"/>
            <w:vAlign w:val="center"/>
          </w:tcPr>
          <w:p w14:paraId="0D7A9275">
            <w:pPr>
              <w:jc w:val="center"/>
              <w:rPr>
                <w:rFonts w:hint="eastAsia" w:ascii="方正仿宋_GB2312" w:hAnsi="方正仿宋_GB2312" w:eastAsia="方正仿宋_GB2312" w:cs="方正仿宋_GB2312"/>
                <w:color w:val="000000"/>
                <w:sz w:val="24"/>
                <w:szCs w:val="24"/>
                <w:highlight w:val="none"/>
              </w:rPr>
            </w:pPr>
          </w:p>
        </w:tc>
        <w:tc>
          <w:tcPr>
            <w:tcW w:w="851" w:type="dxa"/>
            <w:noWrap w:val="0"/>
            <w:vAlign w:val="center"/>
          </w:tcPr>
          <w:p w14:paraId="7FF234B3">
            <w:pPr>
              <w:jc w:val="center"/>
              <w:rPr>
                <w:rFonts w:hint="eastAsia" w:ascii="方正仿宋_GB2312" w:hAnsi="方正仿宋_GB2312" w:eastAsia="方正仿宋_GB2312" w:cs="方正仿宋_GB2312"/>
                <w:color w:val="000000"/>
                <w:sz w:val="24"/>
                <w:szCs w:val="24"/>
                <w:highlight w:val="none"/>
              </w:rPr>
            </w:pPr>
          </w:p>
        </w:tc>
        <w:tc>
          <w:tcPr>
            <w:tcW w:w="1044" w:type="dxa"/>
            <w:noWrap w:val="0"/>
            <w:vAlign w:val="center"/>
          </w:tcPr>
          <w:p w14:paraId="5932F5D3">
            <w:pPr>
              <w:jc w:val="center"/>
              <w:rPr>
                <w:rFonts w:hint="eastAsia" w:ascii="方正仿宋_GB2312" w:hAnsi="方正仿宋_GB2312" w:eastAsia="方正仿宋_GB2312" w:cs="方正仿宋_GB2312"/>
                <w:color w:val="000000"/>
                <w:sz w:val="24"/>
                <w:szCs w:val="24"/>
                <w:highlight w:val="none"/>
              </w:rPr>
            </w:pPr>
          </w:p>
        </w:tc>
        <w:tc>
          <w:tcPr>
            <w:tcW w:w="992" w:type="dxa"/>
            <w:noWrap w:val="0"/>
            <w:vAlign w:val="center"/>
          </w:tcPr>
          <w:p w14:paraId="41E5DF4C">
            <w:pPr>
              <w:jc w:val="center"/>
              <w:rPr>
                <w:rFonts w:hint="eastAsia" w:ascii="方正仿宋_GB2312" w:hAnsi="方正仿宋_GB2312" w:eastAsia="方正仿宋_GB2312" w:cs="方正仿宋_GB2312"/>
                <w:color w:val="000000"/>
                <w:sz w:val="24"/>
                <w:szCs w:val="24"/>
                <w:highlight w:val="none"/>
              </w:rPr>
            </w:pPr>
          </w:p>
        </w:tc>
        <w:tc>
          <w:tcPr>
            <w:tcW w:w="851" w:type="dxa"/>
            <w:noWrap w:val="0"/>
            <w:vAlign w:val="center"/>
          </w:tcPr>
          <w:p w14:paraId="066B1570">
            <w:pPr>
              <w:jc w:val="center"/>
              <w:rPr>
                <w:rFonts w:hint="eastAsia" w:ascii="方正仿宋_GB2312" w:hAnsi="方正仿宋_GB2312" w:eastAsia="方正仿宋_GB2312" w:cs="方正仿宋_GB2312"/>
                <w:color w:val="000000"/>
                <w:sz w:val="24"/>
                <w:szCs w:val="24"/>
                <w:highlight w:val="none"/>
              </w:rPr>
            </w:pPr>
          </w:p>
        </w:tc>
        <w:tc>
          <w:tcPr>
            <w:tcW w:w="1487" w:type="dxa"/>
            <w:noWrap w:val="0"/>
            <w:vAlign w:val="center"/>
          </w:tcPr>
          <w:p w14:paraId="705169FB">
            <w:pPr>
              <w:jc w:val="center"/>
              <w:rPr>
                <w:rFonts w:hint="eastAsia" w:ascii="方正仿宋_GB2312" w:hAnsi="方正仿宋_GB2312" w:eastAsia="方正仿宋_GB2312" w:cs="方正仿宋_GB2312"/>
                <w:color w:val="000000"/>
                <w:sz w:val="24"/>
                <w:szCs w:val="24"/>
                <w:highlight w:val="none"/>
              </w:rPr>
            </w:pPr>
          </w:p>
        </w:tc>
        <w:tc>
          <w:tcPr>
            <w:tcW w:w="992" w:type="dxa"/>
            <w:noWrap w:val="0"/>
            <w:vAlign w:val="center"/>
          </w:tcPr>
          <w:p w14:paraId="368530F7">
            <w:pPr>
              <w:jc w:val="center"/>
              <w:rPr>
                <w:rFonts w:hint="eastAsia" w:ascii="方正仿宋_GB2312" w:hAnsi="方正仿宋_GB2312" w:eastAsia="方正仿宋_GB2312" w:cs="方正仿宋_GB2312"/>
                <w:color w:val="000000"/>
                <w:sz w:val="24"/>
                <w:szCs w:val="24"/>
                <w:highlight w:val="none"/>
              </w:rPr>
            </w:pPr>
          </w:p>
        </w:tc>
      </w:tr>
      <w:tr w14:paraId="1B83B5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50536CF">
            <w:pPr>
              <w:jc w:val="center"/>
              <w:rPr>
                <w:rFonts w:hint="eastAsia" w:ascii="方正仿宋_GB2312" w:hAnsi="方正仿宋_GB2312" w:eastAsia="方正仿宋_GB2312" w:cs="方正仿宋_GB2312"/>
                <w:color w:val="000000"/>
                <w:sz w:val="24"/>
                <w:szCs w:val="24"/>
                <w:highlight w:val="none"/>
              </w:rPr>
            </w:pPr>
          </w:p>
        </w:tc>
        <w:tc>
          <w:tcPr>
            <w:tcW w:w="1276" w:type="dxa"/>
            <w:noWrap w:val="0"/>
            <w:vAlign w:val="center"/>
          </w:tcPr>
          <w:p w14:paraId="221D96E8">
            <w:pPr>
              <w:jc w:val="center"/>
              <w:rPr>
                <w:rFonts w:hint="eastAsia" w:ascii="方正仿宋_GB2312" w:hAnsi="方正仿宋_GB2312" w:eastAsia="方正仿宋_GB2312" w:cs="方正仿宋_GB2312"/>
                <w:color w:val="000000"/>
                <w:sz w:val="24"/>
                <w:szCs w:val="24"/>
                <w:highlight w:val="none"/>
              </w:rPr>
            </w:pPr>
          </w:p>
        </w:tc>
        <w:tc>
          <w:tcPr>
            <w:tcW w:w="1418" w:type="dxa"/>
            <w:noWrap w:val="0"/>
            <w:vAlign w:val="center"/>
          </w:tcPr>
          <w:p w14:paraId="47BF0160">
            <w:pPr>
              <w:jc w:val="center"/>
              <w:rPr>
                <w:rFonts w:hint="eastAsia" w:ascii="方正仿宋_GB2312" w:hAnsi="方正仿宋_GB2312" w:eastAsia="方正仿宋_GB2312" w:cs="方正仿宋_GB2312"/>
                <w:color w:val="000000"/>
                <w:sz w:val="24"/>
                <w:szCs w:val="24"/>
                <w:highlight w:val="none"/>
              </w:rPr>
            </w:pPr>
          </w:p>
        </w:tc>
        <w:tc>
          <w:tcPr>
            <w:tcW w:w="940" w:type="dxa"/>
            <w:noWrap w:val="0"/>
            <w:vAlign w:val="center"/>
          </w:tcPr>
          <w:p w14:paraId="6A9B1DC8">
            <w:pPr>
              <w:jc w:val="center"/>
              <w:rPr>
                <w:rFonts w:hint="eastAsia" w:ascii="方正仿宋_GB2312" w:hAnsi="方正仿宋_GB2312" w:eastAsia="方正仿宋_GB2312" w:cs="方正仿宋_GB2312"/>
                <w:color w:val="000000"/>
                <w:sz w:val="24"/>
                <w:szCs w:val="24"/>
                <w:highlight w:val="none"/>
              </w:rPr>
            </w:pPr>
          </w:p>
        </w:tc>
        <w:tc>
          <w:tcPr>
            <w:tcW w:w="851" w:type="dxa"/>
            <w:noWrap w:val="0"/>
            <w:vAlign w:val="center"/>
          </w:tcPr>
          <w:p w14:paraId="03FF5707">
            <w:pPr>
              <w:jc w:val="center"/>
              <w:rPr>
                <w:rFonts w:hint="eastAsia" w:ascii="方正仿宋_GB2312" w:hAnsi="方正仿宋_GB2312" w:eastAsia="方正仿宋_GB2312" w:cs="方正仿宋_GB2312"/>
                <w:color w:val="000000"/>
                <w:sz w:val="24"/>
                <w:szCs w:val="24"/>
                <w:highlight w:val="none"/>
              </w:rPr>
            </w:pPr>
          </w:p>
        </w:tc>
        <w:tc>
          <w:tcPr>
            <w:tcW w:w="1044" w:type="dxa"/>
            <w:noWrap w:val="0"/>
            <w:vAlign w:val="center"/>
          </w:tcPr>
          <w:p w14:paraId="128A1DB1">
            <w:pPr>
              <w:jc w:val="center"/>
              <w:rPr>
                <w:rFonts w:hint="eastAsia" w:ascii="方正仿宋_GB2312" w:hAnsi="方正仿宋_GB2312" w:eastAsia="方正仿宋_GB2312" w:cs="方正仿宋_GB2312"/>
                <w:color w:val="000000"/>
                <w:sz w:val="24"/>
                <w:szCs w:val="24"/>
                <w:highlight w:val="none"/>
              </w:rPr>
            </w:pPr>
          </w:p>
        </w:tc>
        <w:tc>
          <w:tcPr>
            <w:tcW w:w="992" w:type="dxa"/>
            <w:noWrap w:val="0"/>
            <w:vAlign w:val="center"/>
          </w:tcPr>
          <w:p w14:paraId="2E94CB55">
            <w:pPr>
              <w:jc w:val="center"/>
              <w:rPr>
                <w:rFonts w:hint="eastAsia" w:ascii="方正仿宋_GB2312" w:hAnsi="方正仿宋_GB2312" w:eastAsia="方正仿宋_GB2312" w:cs="方正仿宋_GB2312"/>
                <w:color w:val="000000"/>
                <w:sz w:val="24"/>
                <w:szCs w:val="24"/>
                <w:highlight w:val="none"/>
              </w:rPr>
            </w:pPr>
          </w:p>
        </w:tc>
        <w:tc>
          <w:tcPr>
            <w:tcW w:w="851" w:type="dxa"/>
            <w:noWrap w:val="0"/>
            <w:vAlign w:val="center"/>
          </w:tcPr>
          <w:p w14:paraId="0C521B15">
            <w:pPr>
              <w:jc w:val="center"/>
              <w:rPr>
                <w:rFonts w:hint="eastAsia" w:ascii="方正仿宋_GB2312" w:hAnsi="方正仿宋_GB2312" w:eastAsia="方正仿宋_GB2312" w:cs="方正仿宋_GB2312"/>
                <w:color w:val="000000"/>
                <w:sz w:val="24"/>
                <w:szCs w:val="24"/>
                <w:highlight w:val="none"/>
              </w:rPr>
            </w:pPr>
          </w:p>
        </w:tc>
        <w:tc>
          <w:tcPr>
            <w:tcW w:w="1487" w:type="dxa"/>
            <w:noWrap w:val="0"/>
            <w:vAlign w:val="center"/>
          </w:tcPr>
          <w:p w14:paraId="6CA98642">
            <w:pPr>
              <w:jc w:val="center"/>
              <w:rPr>
                <w:rFonts w:hint="eastAsia" w:ascii="方正仿宋_GB2312" w:hAnsi="方正仿宋_GB2312" w:eastAsia="方正仿宋_GB2312" w:cs="方正仿宋_GB2312"/>
                <w:color w:val="000000"/>
                <w:sz w:val="24"/>
                <w:szCs w:val="24"/>
                <w:highlight w:val="none"/>
              </w:rPr>
            </w:pPr>
          </w:p>
        </w:tc>
        <w:tc>
          <w:tcPr>
            <w:tcW w:w="992" w:type="dxa"/>
            <w:noWrap w:val="0"/>
            <w:vAlign w:val="center"/>
          </w:tcPr>
          <w:p w14:paraId="5BC44016">
            <w:pPr>
              <w:jc w:val="center"/>
              <w:rPr>
                <w:rFonts w:hint="eastAsia" w:ascii="方正仿宋_GB2312" w:hAnsi="方正仿宋_GB2312" w:eastAsia="方正仿宋_GB2312" w:cs="方正仿宋_GB2312"/>
                <w:color w:val="000000"/>
                <w:sz w:val="24"/>
                <w:szCs w:val="24"/>
                <w:highlight w:val="none"/>
              </w:rPr>
            </w:pPr>
          </w:p>
        </w:tc>
      </w:tr>
    </w:tbl>
    <w:p w14:paraId="23D0711B">
      <w:pPr>
        <w:spacing w:line="440" w:lineRule="exact"/>
        <w:rPr>
          <w:rFonts w:hint="eastAsia" w:ascii="方正仿宋_GB2312" w:hAnsi="方正仿宋_GB2312" w:eastAsia="方正仿宋_GB2312" w:cs="方正仿宋_GB2312"/>
          <w:color w:val="000000"/>
          <w:sz w:val="24"/>
          <w:szCs w:val="24"/>
          <w:highlight w:val="none"/>
        </w:rPr>
      </w:pPr>
    </w:p>
    <w:p w14:paraId="4F4B72A6">
      <w:pPr>
        <w:spacing w:line="440" w:lineRule="exac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附</w:t>
      </w:r>
      <w:bookmarkStart w:id="1235" w:name="_Toc296346727"/>
      <w:bookmarkStart w:id="1236" w:name="_Toc296347225"/>
      <w:bookmarkStart w:id="1237" w:name="_Toc296503226"/>
      <w:bookmarkStart w:id="1238" w:name="_Toc296944565"/>
      <w:bookmarkStart w:id="1239" w:name="_Toc296891266"/>
      <w:bookmarkStart w:id="1240" w:name="_Toc267261693"/>
      <w:bookmarkStart w:id="1241" w:name="_Toc296891054"/>
      <w:r>
        <w:rPr>
          <w:rFonts w:hint="eastAsia" w:ascii="方正仿宋_GB2312" w:hAnsi="方正仿宋_GB2312" w:eastAsia="方正仿宋_GB2312" w:cs="方正仿宋_GB2312"/>
          <w:color w:val="000000"/>
          <w:sz w:val="24"/>
          <w:szCs w:val="24"/>
          <w:highlight w:val="none"/>
        </w:rPr>
        <w:t>件3：</w:t>
      </w:r>
      <w:bookmarkEnd w:id="1235"/>
      <w:bookmarkEnd w:id="1236"/>
      <w:bookmarkEnd w:id="1237"/>
      <w:bookmarkEnd w:id="1238"/>
      <w:bookmarkEnd w:id="1239"/>
      <w:bookmarkEnd w:id="1240"/>
      <w:bookmarkEnd w:id="1241"/>
      <w:r>
        <w:rPr>
          <w:rFonts w:hint="eastAsia" w:ascii="方正仿宋_GB2312" w:hAnsi="方正仿宋_GB2312" w:eastAsia="方正仿宋_GB2312" w:cs="方正仿宋_GB2312"/>
          <w:color w:val="000000"/>
          <w:sz w:val="24"/>
          <w:szCs w:val="24"/>
          <w:highlight w:val="none"/>
        </w:rPr>
        <w:t xml:space="preserve">    </w:t>
      </w:r>
    </w:p>
    <w:p w14:paraId="3B27CB84">
      <w:pPr>
        <w:spacing w:before="156" w:beforeLines="50" w:after="156" w:afterLines="50" w:line="440" w:lineRule="exact"/>
        <w:jc w:val="center"/>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工程质量保修书</w:t>
      </w:r>
    </w:p>
    <w:p w14:paraId="093E2270">
      <w:pPr>
        <w:spacing w:line="440" w:lineRule="exact"/>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发包人（全称）：</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 xml:space="preserve"> </w:t>
      </w:r>
    </w:p>
    <w:p w14:paraId="11FE390B">
      <w:pPr>
        <w:spacing w:line="440" w:lineRule="exac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　　承包人（全称）：</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 xml:space="preserve"> </w:t>
      </w:r>
    </w:p>
    <w:p w14:paraId="45346C81">
      <w:pPr>
        <w:spacing w:line="440" w:lineRule="exact"/>
        <w:rPr>
          <w:rFonts w:hint="eastAsia" w:ascii="方正仿宋_GB2312" w:hAnsi="方正仿宋_GB2312" w:eastAsia="方正仿宋_GB2312" w:cs="方正仿宋_GB2312"/>
          <w:color w:val="000000"/>
          <w:sz w:val="24"/>
          <w:szCs w:val="24"/>
          <w:highlight w:val="none"/>
        </w:rPr>
      </w:pPr>
    </w:p>
    <w:p w14:paraId="474D7FF9">
      <w:pPr>
        <w:spacing w:line="360" w:lineRule="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　　发包人和承包人根据《中华人民共和国建筑法》和《建设工程质量管理条例》，经协商一致就</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（工程全称）签订工程质量保修书。</w:t>
      </w:r>
    </w:p>
    <w:p w14:paraId="52F26CC4">
      <w:pPr>
        <w:spacing w:line="360" w:lineRule="auto"/>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　　一、工程质量保修范围和内容</w:t>
      </w:r>
    </w:p>
    <w:p w14:paraId="066FDDE9">
      <w:pPr>
        <w:spacing w:line="360" w:lineRule="auto"/>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　　承包人在质量保修期内，按照有关法律规定和合同约定，承担工程质量保修责任。</w:t>
      </w:r>
    </w:p>
    <w:p w14:paraId="1C6F953A">
      <w:pPr>
        <w:spacing w:line="360" w:lineRule="auto"/>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C6BB7C1">
      <w:pPr>
        <w:spacing w:line="360" w:lineRule="auto"/>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　　</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508C057E">
      <w:pPr>
        <w:spacing w:line="360" w:lineRule="auto"/>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b/>
          <w:color w:val="000000"/>
          <w:sz w:val="24"/>
          <w:szCs w:val="24"/>
          <w:highlight w:val="none"/>
        </w:rPr>
        <w:t>　　</w:t>
      </w:r>
      <w:r>
        <w:rPr>
          <w:rFonts w:hint="eastAsia" w:ascii="方正仿宋_GB2312" w:hAnsi="方正仿宋_GB2312" w:eastAsia="方正仿宋_GB2312" w:cs="方正仿宋_GB2312"/>
          <w:color w:val="000000"/>
          <w:sz w:val="24"/>
          <w:szCs w:val="24"/>
          <w:highlight w:val="none"/>
        </w:rPr>
        <w:t>二、质量保修期</w:t>
      </w:r>
    </w:p>
    <w:p w14:paraId="2C5E45E4">
      <w:pPr>
        <w:spacing w:line="360" w:lineRule="auto"/>
        <w:ind w:firstLine="480" w:firstLineChars="200"/>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根据《建设工程质量管理条例》及有关规定，工程的质量保修期如下：</w:t>
      </w:r>
    </w:p>
    <w:p w14:paraId="2309D883">
      <w:pPr>
        <w:ind w:firstLine="480" w:firstLineChars="200"/>
        <w:outlineLvl w:val="9"/>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color w:val="000000"/>
          <w:sz w:val="24"/>
          <w:szCs w:val="24"/>
          <w:highlight w:val="none"/>
        </w:rPr>
        <w:t>．</w:t>
      </w:r>
      <w:r>
        <w:rPr>
          <w:rFonts w:hint="eastAsia" w:ascii="方正仿宋_GB2312" w:hAnsi="方正仿宋_GB2312" w:eastAsia="方正仿宋_GB2312" w:cs="方正仿宋_GB2312"/>
          <w:sz w:val="24"/>
          <w:szCs w:val="24"/>
          <w:highlight w:val="none"/>
        </w:rPr>
        <w:t>地基基础工程和主体结构工程为设计文件规定的工程合理使用年限；</w:t>
      </w:r>
    </w:p>
    <w:p w14:paraId="4A96D824">
      <w:pPr>
        <w:spacing w:line="360" w:lineRule="auto"/>
        <w:ind w:firstLine="480" w:firstLineChars="200"/>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w:t>
      </w:r>
      <w:r>
        <w:rPr>
          <w:rFonts w:hint="eastAsia" w:ascii="方正仿宋_GB2312" w:hAnsi="方正仿宋_GB2312" w:eastAsia="方正仿宋_GB2312" w:cs="方正仿宋_GB2312"/>
          <w:sz w:val="24"/>
          <w:szCs w:val="24"/>
          <w:highlight w:val="none"/>
        </w:rPr>
        <w:t>．</w:t>
      </w:r>
      <w:r>
        <w:rPr>
          <w:rFonts w:hint="eastAsia" w:ascii="方正仿宋_GB2312" w:hAnsi="方正仿宋_GB2312" w:eastAsia="方正仿宋_GB2312" w:cs="方正仿宋_GB2312"/>
          <w:color w:val="000000"/>
          <w:sz w:val="24"/>
          <w:szCs w:val="24"/>
          <w:highlight w:val="none"/>
        </w:rPr>
        <w:t>屋面防水工程、有防水要求的卫生间、房间和外墙面的防渗     为</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年；</w:t>
      </w:r>
    </w:p>
    <w:p w14:paraId="1F2DD4D8">
      <w:pPr>
        <w:spacing w:line="360" w:lineRule="auto"/>
        <w:ind w:left="420" w:leftChars="200" w:firstLine="120" w:firstLineChars="50"/>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3</w:t>
      </w:r>
      <w:r>
        <w:rPr>
          <w:rFonts w:hint="eastAsia" w:ascii="方正仿宋_GB2312" w:hAnsi="方正仿宋_GB2312" w:eastAsia="方正仿宋_GB2312" w:cs="方正仿宋_GB2312"/>
          <w:sz w:val="24"/>
          <w:szCs w:val="24"/>
          <w:highlight w:val="none"/>
        </w:rPr>
        <w:t>．</w:t>
      </w:r>
      <w:r>
        <w:rPr>
          <w:rFonts w:hint="eastAsia" w:ascii="方正仿宋_GB2312" w:hAnsi="方正仿宋_GB2312" w:eastAsia="方正仿宋_GB2312" w:cs="方正仿宋_GB2312"/>
          <w:color w:val="000000"/>
          <w:sz w:val="24"/>
          <w:szCs w:val="24"/>
          <w:highlight w:val="none"/>
        </w:rPr>
        <w:t>装修工程为</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年；</w:t>
      </w:r>
    </w:p>
    <w:p w14:paraId="464542C6">
      <w:pPr>
        <w:spacing w:line="360" w:lineRule="auto"/>
        <w:ind w:left="420" w:leftChars="200" w:firstLine="120" w:firstLineChars="50"/>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4</w:t>
      </w:r>
      <w:r>
        <w:rPr>
          <w:rFonts w:hint="eastAsia" w:ascii="方正仿宋_GB2312" w:hAnsi="方正仿宋_GB2312" w:eastAsia="方正仿宋_GB2312" w:cs="方正仿宋_GB2312"/>
          <w:sz w:val="24"/>
          <w:szCs w:val="24"/>
          <w:highlight w:val="none"/>
        </w:rPr>
        <w:t>．</w:t>
      </w:r>
      <w:r>
        <w:rPr>
          <w:rFonts w:hint="eastAsia" w:ascii="方正仿宋_GB2312" w:hAnsi="方正仿宋_GB2312" w:eastAsia="方正仿宋_GB2312" w:cs="方正仿宋_GB2312"/>
          <w:color w:val="000000"/>
          <w:sz w:val="24"/>
          <w:szCs w:val="24"/>
          <w:highlight w:val="none"/>
        </w:rPr>
        <w:t>电气管线、给排水管道、设备安装工程为</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年；</w:t>
      </w:r>
    </w:p>
    <w:p w14:paraId="10A22656">
      <w:pPr>
        <w:spacing w:line="360" w:lineRule="auto"/>
        <w:ind w:left="420" w:leftChars="200" w:firstLine="120" w:firstLineChars="50"/>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5</w:t>
      </w:r>
      <w:r>
        <w:rPr>
          <w:rFonts w:hint="eastAsia" w:ascii="方正仿宋_GB2312" w:hAnsi="方正仿宋_GB2312" w:eastAsia="方正仿宋_GB2312" w:cs="方正仿宋_GB2312"/>
          <w:sz w:val="24"/>
          <w:szCs w:val="24"/>
          <w:highlight w:val="none"/>
        </w:rPr>
        <w:t>．</w:t>
      </w:r>
      <w:r>
        <w:rPr>
          <w:rFonts w:hint="eastAsia" w:ascii="方正仿宋_GB2312" w:hAnsi="方正仿宋_GB2312" w:eastAsia="方正仿宋_GB2312" w:cs="方正仿宋_GB2312"/>
          <w:color w:val="000000"/>
          <w:sz w:val="24"/>
          <w:szCs w:val="24"/>
          <w:highlight w:val="none"/>
        </w:rPr>
        <w:t>供热与供冷系统为</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个采暖期、供冷期；</w:t>
      </w:r>
    </w:p>
    <w:p w14:paraId="3A6ABB00">
      <w:pPr>
        <w:spacing w:line="360" w:lineRule="auto"/>
        <w:ind w:left="420" w:leftChars="200" w:firstLine="120" w:firstLineChars="50"/>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6</w:t>
      </w:r>
      <w:r>
        <w:rPr>
          <w:rFonts w:hint="eastAsia" w:ascii="方正仿宋_GB2312" w:hAnsi="方正仿宋_GB2312" w:eastAsia="方正仿宋_GB2312" w:cs="方正仿宋_GB2312"/>
          <w:sz w:val="24"/>
          <w:szCs w:val="24"/>
          <w:highlight w:val="none"/>
        </w:rPr>
        <w:t>．</w:t>
      </w:r>
      <w:r>
        <w:rPr>
          <w:rFonts w:hint="eastAsia" w:ascii="方正仿宋_GB2312" w:hAnsi="方正仿宋_GB2312" w:eastAsia="方正仿宋_GB2312" w:cs="方正仿宋_GB2312"/>
          <w:color w:val="000000"/>
          <w:sz w:val="24"/>
          <w:szCs w:val="24"/>
          <w:highlight w:val="none"/>
        </w:rPr>
        <w:t>住宅小区内的给排水设施、道路等配套工程为</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年；</w:t>
      </w:r>
    </w:p>
    <w:p w14:paraId="0A2021DB">
      <w:pPr>
        <w:spacing w:line="360" w:lineRule="auto"/>
        <w:ind w:left="420" w:leftChars="200" w:firstLine="120" w:firstLineChars="50"/>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7</w:t>
      </w:r>
      <w:r>
        <w:rPr>
          <w:rFonts w:hint="eastAsia" w:ascii="方正仿宋_GB2312" w:hAnsi="方正仿宋_GB2312" w:eastAsia="方正仿宋_GB2312" w:cs="方正仿宋_GB2312"/>
          <w:sz w:val="24"/>
          <w:szCs w:val="24"/>
          <w:highlight w:val="none"/>
        </w:rPr>
        <w:t>．</w:t>
      </w:r>
      <w:r>
        <w:rPr>
          <w:rFonts w:hint="eastAsia" w:ascii="方正仿宋_GB2312" w:hAnsi="方正仿宋_GB2312" w:eastAsia="方正仿宋_GB2312" w:cs="方正仿宋_GB2312"/>
          <w:color w:val="000000"/>
          <w:sz w:val="24"/>
          <w:szCs w:val="24"/>
          <w:highlight w:val="none"/>
        </w:rPr>
        <w:t>其他项目保修期限约定如下：</w:t>
      </w:r>
    </w:p>
    <w:p w14:paraId="5F28B6F8">
      <w:pPr>
        <w:spacing w:line="360" w:lineRule="auto"/>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099CF882">
      <w:pPr>
        <w:spacing w:line="360" w:lineRule="auto"/>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　　质量保修期自工程竣工验收合格之日起计算。</w:t>
      </w:r>
    </w:p>
    <w:p w14:paraId="55BFD87F">
      <w:pPr>
        <w:spacing w:line="360" w:lineRule="auto"/>
        <w:ind w:firstLine="480" w:firstLineChars="200"/>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三、缺陷责任期</w:t>
      </w:r>
    </w:p>
    <w:p w14:paraId="16FE4520">
      <w:pPr>
        <w:spacing w:line="360" w:lineRule="auto"/>
        <w:ind w:firstLine="480" w:firstLineChars="200"/>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工程缺陷责任期为</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个月，缺陷责任期自工程通过竣工验收之日起计算。单位工程先于全部工程进行验收，单位工程缺陷责任期自单位工程验收合格之日起算。</w:t>
      </w:r>
    </w:p>
    <w:p w14:paraId="1DD9AE38">
      <w:pPr>
        <w:spacing w:line="360" w:lineRule="auto"/>
        <w:ind w:firstLine="480" w:firstLineChars="200"/>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缺陷责任期终止后，发包人应退还剩余的质量保证金。</w:t>
      </w:r>
    </w:p>
    <w:p w14:paraId="19349766">
      <w:pPr>
        <w:spacing w:line="360" w:lineRule="auto"/>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 xml:space="preserve">    四、质量保修责任</w:t>
      </w:r>
    </w:p>
    <w:p w14:paraId="39EB30AC">
      <w:pPr>
        <w:spacing w:line="360" w:lineRule="auto"/>
        <w:ind w:left="105" w:leftChars="50" w:firstLine="491" w:firstLineChars="205"/>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w:t>
      </w:r>
      <w:r>
        <w:rPr>
          <w:rFonts w:hint="eastAsia" w:ascii="方正仿宋_GB2312" w:hAnsi="方正仿宋_GB2312" w:eastAsia="方正仿宋_GB2312" w:cs="方正仿宋_GB2312"/>
          <w:sz w:val="24"/>
          <w:szCs w:val="24"/>
          <w:highlight w:val="none"/>
        </w:rPr>
        <w:t>．</w:t>
      </w:r>
      <w:r>
        <w:rPr>
          <w:rFonts w:hint="eastAsia" w:ascii="方正仿宋_GB2312" w:hAnsi="方正仿宋_GB2312" w:eastAsia="方正仿宋_GB2312" w:cs="方正仿宋_GB2312"/>
          <w:color w:val="000000"/>
          <w:sz w:val="24"/>
          <w:szCs w:val="24"/>
          <w:highlight w:val="none"/>
        </w:rPr>
        <w:t>属于保修范围、内容的项目，承包人应当在接到保修通知之日起7天内派人保修。承包人不在约定期限内派人保修的，发包人可以委托他人修理。</w:t>
      </w:r>
    </w:p>
    <w:p w14:paraId="4D041BE6">
      <w:pPr>
        <w:spacing w:line="360" w:lineRule="auto"/>
        <w:ind w:left="105" w:leftChars="50" w:firstLine="491" w:firstLineChars="205"/>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w:t>
      </w:r>
      <w:r>
        <w:rPr>
          <w:rFonts w:hint="eastAsia" w:ascii="方正仿宋_GB2312" w:hAnsi="方正仿宋_GB2312" w:eastAsia="方正仿宋_GB2312" w:cs="方正仿宋_GB2312"/>
          <w:sz w:val="24"/>
          <w:szCs w:val="24"/>
          <w:highlight w:val="none"/>
        </w:rPr>
        <w:t>．</w:t>
      </w:r>
      <w:r>
        <w:rPr>
          <w:rFonts w:hint="eastAsia" w:ascii="方正仿宋_GB2312" w:hAnsi="方正仿宋_GB2312" w:eastAsia="方正仿宋_GB2312" w:cs="方正仿宋_GB2312"/>
          <w:color w:val="000000"/>
          <w:sz w:val="24"/>
          <w:szCs w:val="24"/>
          <w:highlight w:val="none"/>
        </w:rPr>
        <w:t>发生紧急事故需抢修的，承包人在接到事故通知后，应当立即到达事故现场抢修。</w:t>
      </w:r>
    </w:p>
    <w:p w14:paraId="3F3C6900">
      <w:pPr>
        <w:spacing w:line="360" w:lineRule="auto"/>
        <w:ind w:left="105" w:leftChars="50" w:firstLine="491" w:firstLineChars="205"/>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3</w:t>
      </w:r>
      <w:r>
        <w:rPr>
          <w:rFonts w:hint="eastAsia" w:ascii="方正仿宋_GB2312" w:hAnsi="方正仿宋_GB2312" w:eastAsia="方正仿宋_GB2312" w:cs="方正仿宋_GB2312"/>
          <w:sz w:val="24"/>
          <w:szCs w:val="24"/>
          <w:highlight w:val="none"/>
        </w:rPr>
        <w:t>．</w:t>
      </w:r>
      <w:r>
        <w:rPr>
          <w:rFonts w:hint="eastAsia" w:ascii="方正仿宋_GB2312" w:hAnsi="方正仿宋_GB2312" w:eastAsia="方正仿宋_GB2312" w:cs="方正仿宋_GB2312"/>
          <w:color w:val="000000"/>
          <w:sz w:val="24"/>
          <w:szCs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BE68A04">
      <w:pPr>
        <w:spacing w:line="360" w:lineRule="auto"/>
        <w:ind w:left="420" w:leftChars="200" w:firstLine="120" w:firstLineChars="50"/>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4</w:t>
      </w:r>
      <w:r>
        <w:rPr>
          <w:rFonts w:hint="eastAsia" w:ascii="方正仿宋_GB2312" w:hAnsi="方正仿宋_GB2312" w:eastAsia="方正仿宋_GB2312" w:cs="方正仿宋_GB2312"/>
          <w:sz w:val="24"/>
          <w:szCs w:val="24"/>
          <w:highlight w:val="none"/>
        </w:rPr>
        <w:t>．</w:t>
      </w:r>
      <w:r>
        <w:rPr>
          <w:rFonts w:hint="eastAsia" w:ascii="方正仿宋_GB2312" w:hAnsi="方正仿宋_GB2312" w:eastAsia="方正仿宋_GB2312" w:cs="方正仿宋_GB2312"/>
          <w:color w:val="000000"/>
          <w:sz w:val="24"/>
          <w:szCs w:val="24"/>
          <w:highlight w:val="none"/>
        </w:rPr>
        <w:t>质量保修完成后，由发包人组织验收。</w:t>
      </w:r>
    </w:p>
    <w:p w14:paraId="20064C8A">
      <w:pPr>
        <w:spacing w:line="360" w:lineRule="auto"/>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　　五、保修费用</w:t>
      </w:r>
    </w:p>
    <w:p w14:paraId="78A1E1E5">
      <w:pPr>
        <w:spacing w:line="360" w:lineRule="auto"/>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　　保修费用由造成质量缺陷的责任方承担。</w:t>
      </w:r>
    </w:p>
    <w:p w14:paraId="7B676C1A">
      <w:pPr>
        <w:spacing w:line="360" w:lineRule="auto"/>
        <w:ind w:firstLine="600"/>
        <w:jc w:val="left"/>
        <w:outlineLvl w:val="9"/>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b/>
          <w:color w:val="000000"/>
          <w:sz w:val="24"/>
          <w:szCs w:val="24"/>
          <w:highlight w:val="none"/>
        </w:rPr>
        <w:t>六</w:t>
      </w:r>
      <w:r>
        <w:rPr>
          <w:rFonts w:hint="eastAsia" w:ascii="方正仿宋_GB2312" w:hAnsi="方正仿宋_GB2312" w:eastAsia="方正仿宋_GB2312" w:cs="方正仿宋_GB2312"/>
          <w:color w:val="000000"/>
          <w:sz w:val="24"/>
          <w:szCs w:val="24"/>
          <w:highlight w:val="none"/>
        </w:rPr>
        <w:t>、双方约定的其他工程质量保修事项：</w:t>
      </w:r>
      <w:r>
        <w:rPr>
          <w:rFonts w:hint="eastAsia" w:ascii="方正仿宋_GB2312" w:hAnsi="方正仿宋_GB2312" w:eastAsia="方正仿宋_GB2312" w:cs="方正仿宋_GB2312"/>
          <w:color w:val="000000"/>
          <w:sz w:val="24"/>
          <w:szCs w:val="24"/>
          <w:highlight w:val="none"/>
          <w:u w:val="single"/>
        </w:rPr>
        <w:t xml:space="preserve">                  </w:t>
      </w:r>
    </w:p>
    <w:p w14:paraId="47D810EB">
      <w:pPr>
        <w:spacing w:line="360" w:lineRule="auto"/>
        <w:jc w:val="lef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5D80335D">
      <w:pPr>
        <w:spacing w:line="360" w:lineRule="auto"/>
        <w:ind w:firstLine="456" w:firstLineChars="190"/>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工程质量保修书由发包人、承包人在工程竣工验收前共同签署，作为施工合同附件，其有效期限至保修期满。</w:t>
      </w:r>
    </w:p>
    <w:p w14:paraId="535BF4D5">
      <w:pPr>
        <w:spacing w:line="360" w:lineRule="auto"/>
        <w:ind w:firstLine="420"/>
        <w:outlineLvl w:val="9"/>
        <w:rPr>
          <w:rFonts w:hint="eastAsia" w:ascii="方正仿宋_GB2312" w:hAnsi="方正仿宋_GB2312" w:eastAsia="方正仿宋_GB2312" w:cs="方正仿宋_GB2312"/>
          <w:color w:val="000000"/>
          <w:sz w:val="24"/>
          <w:szCs w:val="24"/>
          <w:highlight w:val="none"/>
        </w:rPr>
      </w:pPr>
    </w:p>
    <w:p w14:paraId="0FECA3F9">
      <w:pPr>
        <w:spacing w:line="360" w:lineRule="auto"/>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发包人(公章)：</w:t>
      </w:r>
      <w:r>
        <w:rPr>
          <w:rFonts w:hint="eastAsia" w:ascii="方正仿宋_GB2312" w:hAnsi="方正仿宋_GB2312" w:eastAsia="方正仿宋_GB2312" w:cs="方正仿宋_GB2312"/>
          <w:color w:val="000000"/>
          <w:sz w:val="24"/>
          <w:szCs w:val="24"/>
          <w:highlight w:val="none"/>
          <w:u w:val="single"/>
        </w:rPr>
        <w:t xml:space="preserve">        </w:t>
      </w:r>
      <w:r>
        <w:rPr>
          <w:rFonts w:hint="eastAsia" w:ascii="方正仿宋_GB2312" w:hAnsi="方正仿宋_GB2312" w:eastAsia="方正仿宋_GB2312" w:cs="方正仿宋_GB2312"/>
          <w:color w:val="000000"/>
          <w:sz w:val="24"/>
          <w:szCs w:val="24"/>
          <w:highlight w:val="none"/>
        </w:rPr>
        <w:t xml:space="preserve"> 承包人(公章)：</w:t>
      </w:r>
      <w:r>
        <w:rPr>
          <w:rFonts w:hint="eastAsia" w:ascii="方正仿宋_GB2312" w:hAnsi="方正仿宋_GB2312" w:eastAsia="方正仿宋_GB2312" w:cs="方正仿宋_GB2312"/>
          <w:color w:val="000000"/>
          <w:sz w:val="24"/>
          <w:szCs w:val="24"/>
          <w:highlight w:val="none"/>
          <w:u w:val="single"/>
        </w:rPr>
        <w:t xml:space="preserve">           </w:t>
      </w:r>
    </w:p>
    <w:p w14:paraId="5BD02AD8">
      <w:pPr>
        <w:spacing w:line="360" w:lineRule="auto"/>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地  址：</w:t>
      </w:r>
      <w:r>
        <w:rPr>
          <w:rFonts w:hint="eastAsia" w:ascii="方正仿宋_GB2312" w:hAnsi="方正仿宋_GB2312" w:eastAsia="方正仿宋_GB2312" w:cs="方正仿宋_GB2312"/>
          <w:color w:val="000000"/>
          <w:sz w:val="24"/>
          <w:szCs w:val="24"/>
          <w:highlight w:val="none"/>
          <w:u w:val="single"/>
        </w:rPr>
        <w:t xml:space="preserve">     </w:t>
      </w:r>
      <w:r>
        <w:rPr>
          <w:rFonts w:hint="eastAsia" w:ascii="方正仿宋_GB2312" w:hAnsi="方正仿宋_GB2312" w:eastAsia="方正仿宋_GB2312" w:cs="方正仿宋_GB2312"/>
          <w:color w:val="000000"/>
          <w:sz w:val="24"/>
          <w:szCs w:val="24"/>
          <w:highlight w:val="none"/>
        </w:rPr>
        <w:t xml:space="preserve"> 地  址：</w:t>
      </w:r>
      <w:r>
        <w:rPr>
          <w:rFonts w:hint="eastAsia" w:ascii="方正仿宋_GB2312" w:hAnsi="方正仿宋_GB2312" w:eastAsia="方正仿宋_GB2312" w:cs="方正仿宋_GB2312"/>
          <w:color w:val="000000"/>
          <w:sz w:val="24"/>
          <w:szCs w:val="24"/>
          <w:highlight w:val="none"/>
          <w:u w:val="single"/>
        </w:rPr>
        <w:t xml:space="preserve">       </w:t>
      </w:r>
    </w:p>
    <w:p w14:paraId="710157A5">
      <w:pPr>
        <w:spacing w:line="360" w:lineRule="auto"/>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法定代表人(签字)：</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 xml:space="preserve"> 法定代表人(签字)：</w:t>
      </w:r>
      <w:r>
        <w:rPr>
          <w:rFonts w:hint="eastAsia" w:ascii="方正仿宋_GB2312" w:hAnsi="方正仿宋_GB2312" w:eastAsia="方正仿宋_GB2312" w:cs="方正仿宋_GB2312"/>
          <w:color w:val="000000"/>
          <w:sz w:val="24"/>
          <w:szCs w:val="24"/>
          <w:highlight w:val="none"/>
          <w:u w:val="single"/>
        </w:rPr>
        <w:t xml:space="preserve">       </w:t>
      </w:r>
    </w:p>
    <w:p w14:paraId="5B784F26">
      <w:pPr>
        <w:spacing w:line="360" w:lineRule="auto"/>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委托代理人(签字)：</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 xml:space="preserve"> 委托代理人(签字)：</w:t>
      </w:r>
      <w:r>
        <w:rPr>
          <w:rFonts w:hint="eastAsia" w:ascii="方正仿宋_GB2312" w:hAnsi="方正仿宋_GB2312" w:eastAsia="方正仿宋_GB2312" w:cs="方正仿宋_GB2312"/>
          <w:color w:val="000000"/>
          <w:sz w:val="24"/>
          <w:szCs w:val="24"/>
          <w:highlight w:val="none"/>
          <w:u w:val="single"/>
        </w:rPr>
        <w:t xml:space="preserve">       </w:t>
      </w:r>
    </w:p>
    <w:p w14:paraId="1DCA1EE1">
      <w:pPr>
        <w:spacing w:line="360" w:lineRule="auto"/>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电  话：</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 xml:space="preserve"> 电  话：</w:t>
      </w:r>
      <w:r>
        <w:rPr>
          <w:rFonts w:hint="eastAsia" w:ascii="方正仿宋_GB2312" w:hAnsi="方正仿宋_GB2312" w:eastAsia="方正仿宋_GB2312" w:cs="方正仿宋_GB2312"/>
          <w:color w:val="000000"/>
          <w:sz w:val="24"/>
          <w:szCs w:val="24"/>
          <w:highlight w:val="none"/>
          <w:u w:val="single"/>
        </w:rPr>
        <w:t xml:space="preserve">     </w:t>
      </w:r>
    </w:p>
    <w:p w14:paraId="2825CDDD">
      <w:pPr>
        <w:spacing w:line="360" w:lineRule="auto"/>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传  真：</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 xml:space="preserve"> 传  真：</w:t>
      </w:r>
      <w:r>
        <w:rPr>
          <w:rFonts w:hint="eastAsia" w:ascii="方正仿宋_GB2312" w:hAnsi="方正仿宋_GB2312" w:eastAsia="方正仿宋_GB2312" w:cs="方正仿宋_GB2312"/>
          <w:color w:val="000000"/>
          <w:sz w:val="24"/>
          <w:szCs w:val="24"/>
          <w:highlight w:val="none"/>
          <w:u w:val="single"/>
        </w:rPr>
        <w:t xml:space="preserve">     </w:t>
      </w:r>
    </w:p>
    <w:p w14:paraId="7CFF993A">
      <w:pPr>
        <w:spacing w:line="360" w:lineRule="auto"/>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开户银行：</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 xml:space="preserve"> 开户银行：</w:t>
      </w:r>
      <w:r>
        <w:rPr>
          <w:rFonts w:hint="eastAsia" w:ascii="方正仿宋_GB2312" w:hAnsi="方正仿宋_GB2312" w:eastAsia="方正仿宋_GB2312" w:cs="方正仿宋_GB2312"/>
          <w:color w:val="000000"/>
          <w:sz w:val="24"/>
          <w:szCs w:val="24"/>
          <w:highlight w:val="none"/>
          <w:u w:val="single"/>
        </w:rPr>
        <w:t xml:space="preserve">   </w:t>
      </w:r>
    </w:p>
    <w:p w14:paraId="68B68CE7">
      <w:pPr>
        <w:spacing w:line="360" w:lineRule="auto"/>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账  号：</w:t>
      </w:r>
      <w:r>
        <w:rPr>
          <w:rFonts w:hint="eastAsia" w:ascii="方正仿宋_GB2312" w:hAnsi="方正仿宋_GB2312" w:eastAsia="方正仿宋_GB2312" w:cs="方正仿宋_GB2312"/>
          <w:color w:val="000000"/>
          <w:sz w:val="24"/>
          <w:szCs w:val="24"/>
          <w:highlight w:val="none"/>
          <w:u w:val="single"/>
        </w:rPr>
        <w:t xml:space="preserve">       </w:t>
      </w:r>
      <w:r>
        <w:rPr>
          <w:rFonts w:hint="eastAsia" w:ascii="方正仿宋_GB2312" w:hAnsi="方正仿宋_GB2312" w:eastAsia="方正仿宋_GB2312" w:cs="方正仿宋_GB2312"/>
          <w:color w:val="000000"/>
          <w:sz w:val="24"/>
          <w:szCs w:val="24"/>
          <w:highlight w:val="none"/>
        </w:rPr>
        <w:t xml:space="preserve">  账  号：</w:t>
      </w:r>
      <w:r>
        <w:rPr>
          <w:rFonts w:hint="eastAsia" w:ascii="方正仿宋_GB2312" w:hAnsi="方正仿宋_GB2312" w:eastAsia="方正仿宋_GB2312" w:cs="方正仿宋_GB2312"/>
          <w:color w:val="000000"/>
          <w:sz w:val="24"/>
          <w:szCs w:val="24"/>
          <w:highlight w:val="none"/>
          <w:u w:val="single"/>
        </w:rPr>
        <w:t xml:space="preserve">     </w:t>
      </w:r>
    </w:p>
    <w:p w14:paraId="699CAA8B">
      <w:pPr>
        <w:spacing w:line="360" w:lineRule="auto"/>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邮政编码：</w:t>
      </w:r>
      <w:r>
        <w:rPr>
          <w:rFonts w:hint="eastAsia" w:ascii="方正仿宋_GB2312" w:hAnsi="方正仿宋_GB2312" w:eastAsia="方正仿宋_GB2312" w:cs="方正仿宋_GB2312"/>
          <w:color w:val="000000"/>
          <w:sz w:val="24"/>
          <w:szCs w:val="24"/>
          <w:highlight w:val="none"/>
          <w:u w:val="single"/>
        </w:rPr>
        <w:t xml:space="preserve">     </w:t>
      </w:r>
      <w:r>
        <w:rPr>
          <w:rFonts w:hint="eastAsia" w:ascii="方正仿宋_GB2312" w:hAnsi="方正仿宋_GB2312" w:eastAsia="方正仿宋_GB2312" w:cs="方正仿宋_GB2312"/>
          <w:color w:val="000000"/>
          <w:sz w:val="24"/>
          <w:szCs w:val="24"/>
          <w:highlight w:val="none"/>
        </w:rPr>
        <w:t xml:space="preserve"> 邮政编码：</w:t>
      </w:r>
      <w:r>
        <w:rPr>
          <w:rFonts w:hint="eastAsia" w:ascii="方正仿宋_GB2312" w:hAnsi="方正仿宋_GB2312" w:eastAsia="方正仿宋_GB2312" w:cs="方正仿宋_GB2312"/>
          <w:color w:val="000000"/>
          <w:sz w:val="24"/>
          <w:szCs w:val="24"/>
          <w:highlight w:val="none"/>
          <w:u w:val="single"/>
        </w:rPr>
        <w:t xml:space="preserve">   </w:t>
      </w:r>
    </w:p>
    <w:p w14:paraId="1AC4740E">
      <w:pPr>
        <w:spacing w:line="440" w:lineRule="exac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b/>
          <w:color w:val="000000"/>
          <w:sz w:val="24"/>
          <w:szCs w:val="24"/>
          <w:highlight w:val="none"/>
        </w:rPr>
        <w:br w:type="page"/>
      </w:r>
      <w:r>
        <w:rPr>
          <w:rFonts w:hint="eastAsia" w:ascii="方正仿宋_GB2312" w:hAnsi="方正仿宋_GB2312" w:eastAsia="方正仿宋_GB2312" w:cs="方正仿宋_GB2312"/>
          <w:color w:val="000000"/>
          <w:sz w:val="24"/>
          <w:szCs w:val="24"/>
          <w:highlight w:val="none"/>
        </w:rPr>
        <w:t>附件4：</w:t>
      </w:r>
    </w:p>
    <w:p w14:paraId="710881E6">
      <w:pPr>
        <w:spacing w:before="156" w:beforeLines="50" w:after="156" w:afterLines="50" w:line="440" w:lineRule="exact"/>
        <w:jc w:val="center"/>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主要建设工程文件目录</w:t>
      </w:r>
    </w:p>
    <w:tbl>
      <w:tblPr>
        <w:tblStyle w:val="3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6B2928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6BA3B85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文件名称</w:t>
            </w:r>
          </w:p>
        </w:tc>
        <w:tc>
          <w:tcPr>
            <w:tcW w:w="1276" w:type="dxa"/>
            <w:tcBorders>
              <w:top w:val="single" w:color="auto" w:sz="12" w:space="0"/>
              <w:bottom w:val="double" w:color="auto" w:sz="6" w:space="0"/>
            </w:tcBorders>
            <w:noWrap w:val="0"/>
            <w:vAlign w:val="center"/>
          </w:tcPr>
          <w:p w14:paraId="094E483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套数</w:t>
            </w:r>
          </w:p>
        </w:tc>
        <w:tc>
          <w:tcPr>
            <w:tcW w:w="1450" w:type="dxa"/>
            <w:tcBorders>
              <w:top w:val="single" w:color="auto" w:sz="12" w:space="0"/>
              <w:bottom w:val="double" w:color="auto" w:sz="6" w:space="0"/>
            </w:tcBorders>
            <w:noWrap w:val="0"/>
            <w:vAlign w:val="center"/>
          </w:tcPr>
          <w:p w14:paraId="4CD8C25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费用（元）</w:t>
            </w:r>
          </w:p>
        </w:tc>
        <w:tc>
          <w:tcPr>
            <w:tcW w:w="1243" w:type="dxa"/>
            <w:tcBorders>
              <w:top w:val="single" w:color="auto" w:sz="12" w:space="0"/>
              <w:bottom w:val="double" w:color="auto" w:sz="6" w:space="0"/>
            </w:tcBorders>
            <w:noWrap w:val="0"/>
            <w:vAlign w:val="center"/>
          </w:tcPr>
          <w:p w14:paraId="4A74F51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质量</w:t>
            </w:r>
          </w:p>
        </w:tc>
        <w:tc>
          <w:tcPr>
            <w:tcW w:w="1450" w:type="dxa"/>
            <w:tcBorders>
              <w:top w:val="single" w:color="auto" w:sz="12" w:space="0"/>
              <w:bottom w:val="double" w:color="auto" w:sz="6" w:space="0"/>
            </w:tcBorders>
            <w:noWrap w:val="0"/>
            <w:vAlign w:val="top"/>
          </w:tcPr>
          <w:p w14:paraId="177B4B4D">
            <w:pPr>
              <w:spacing w:line="440" w:lineRule="exact"/>
              <w:jc w:val="center"/>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移交时间</w:t>
            </w:r>
          </w:p>
        </w:tc>
        <w:tc>
          <w:tcPr>
            <w:tcW w:w="1667" w:type="dxa"/>
            <w:tcBorders>
              <w:top w:val="single" w:color="auto" w:sz="12" w:space="0"/>
              <w:bottom w:val="double" w:color="auto" w:sz="6" w:space="0"/>
            </w:tcBorders>
            <w:noWrap w:val="0"/>
            <w:vAlign w:val="top"/>
          </w:tcPr>
          <w:p w14:paraId="374AE96A">
            <w:pPr>
              <w:spacing w:line="440" w:lineRule="exact"/>
              <w:jc w:val="center"/>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责任人</w:t>
            </w:r>
          </w:p>
        </w:tc>
      </w:tr>
      <w:tr w14:paraId="4A4393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20C3EC2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76" w:type="dxa"/>
            <w:tcBorders>
              <w:top w:val="double" w:color="auto" w:sz="6" w:space="0"/>
              <w:bottom w:val="single" w:color="auto" w:sz="6" w:space="0"/>
            </w:tcBorders>
            <w:noWrap w:val="0"/>
            <w:vAlign w:val="center"/>
          </w:tcPr>
          <w:p w14:paraId="594A1F2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50" w:type="dxa"/>
            <w:tcBorders>
              <w:top w:val="double" w:color="auto" w:sz="6" w:space="0"/>
              <w:bottom w:val="single" w:color="auto" w:sz="6" w:space="0"/>
            </w:tcBorders>
            <w:noWrap w:val="0"/>
            <w:vAlign w:val="center"/>
          </w:tcPr>
          <w:p w14:paraId="589944E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43" w:type="dxa"/>
            <w:tcBorders>
              <w:top w:val="double" w:color="auto" w:sz="6" w:space="0"/>
              <w:bottom w:val="single" w:color="auto" w:sz="6" w:space="0"/>
            </w:tcBorders>
            <w:noWrap w:val="0"/>
            <w:vAlign w:val="center"/>
          </w:tcPr>
          <w:p w14:paraId="7F4868E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50" w:type="dxa"/>
            <w:tcBorders>
              <w:top w:val="double" w:color="auto" w:sz="6" w:space="0"/>
              <w:bottom w:val="single" w:color="auto" w:sz="6" w:space="0"/>
            </w:tcBorders>
            <w:noWrap w:val="0"/>
            <w:vAlign w:val="center"/>
          </w:tcPr>
          <w:p w14:paraId="5E9824A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667" w:type="dxa"/>
            <w:tcBorders>
              <w:top w:val="double" w:color="auto" w:sz="6" w:space="0"/>
              <w:bottom w:val="single" w:color="auto" w:sz="6" w:space="0"/>
            </w:tcBorders>
            <w:noWrap w:val="0"/>
            <w:vAlign w:val="center"/>
          </w:tcPr>
          <w:p w14:paraId="3886ED0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3B5317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2D2CE63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76" w:type="dxa"/>
            <w:tcBorders>
              <w:top w:val="nil"/>
            </w:tcBorders>
            <w:noWrap w:val="0"/>
            <w:vAlign w:val="center"/>
          </w:tcPr>
          <w:p w14:paraId="7C526BE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50" w:type="dxa"/>
            <w:tcBorders>
              <w:top w:val="nil"/>
            </w:tcBorders>
            <w:noWrap w:val="0"/>
            <w:vAlign w:val="center"/>
          </w:tcPr>
          <w:p w14:paraId="1B67EDB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43" w:type="dxa"/>
            <w:tcBorders>
              <w:top w:val="nil"/>
            </w:tcBorders>
            <w:noWrap w:val="0"/>
            <w:vAlign w:val="center"/>
          </w:tcPr>
          <w:p w14:paraId="0A6A08A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50" w:type="dxa"/>
            <w:tcBorders>
              <w:top w:val="nil"/>
            </w:tcBorders>
            <w:noWrap w:val="0"/>
            <w:vAlign w:val="center"/>
          </w:tcPr>
          <w:p w14:paraId="5F58A65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667" w:type="dxa"/>
            <w:tcBorders>
              <w:top w:val="nil"/>
            </w:tcBorders>
            <w:noWrap w:val="0"/>
            <w:vAlign w:val="center"/>
          </w:tcPr>
          <w:p w14:paraId="0D7A820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698C36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E6CFD1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76" w:type="dxa"/>
            <w:noWrap w:val="0"/>
            <w:vAlign w:val="center"/>
          </w:tcPr>
          <w:p w14:paraId="52F0D1B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50" w:type="dxa"/>
            <w:noWrap w:val="0"/>
            <w:vAlign w:val="center"/>
          </w:tcPr>
          <w:p w14:paraId="00D48DB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43" w:type="dxa"/>
            <w:noWrap w:val="0"/>
            <w:vAlign w:val="center"/>
          </w:tcPr>
          <w:p w14:paraId="04B0CBA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50" w:type="dxa"/>
            <w:noWrap w:val="0"/>
            <w:vAlign w:val="center"/>
          </w:tcPr>
          <w:p w14:paraId="1FA2793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667" w:type="dxa"/>
            <w:noWrap w:val="0"/>
            <w:vAlign w:val="center"/>
          </w:tcPr>
          <w:p w14:paraId="0A7D2A1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63E232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5DAE30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76" w:type="dxa"/>
            <w:noWrap w:val="0"/>
            <w:vAlign w:val="center"/>
          </w:tcPr>
          <w:p w14:paraId="64928FA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50" w:type="dxa"/>
            <w:noWrap w:val="0"/>
            <w:vAlign w:val="center"/>
          </w:tcPr>
          <w:p w14:paraId="12C0626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43" w:type="dxa"/>
            <w:noWrap w:val="0"/>
            <w:vAlign w:val="center"/>
          </w:tcPr>
          <w:p w14:paraId="50BA8CA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50" w:type="dxa"/>
            <w:noWrap w:val="0"/>
            <w:vAlign w:val="center"/>
          </w:tcPr>
          <w:p w14:paraId="61A1B73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667" w:type="dxa"/>
            <w:noWrap w:val="0"/>
            <w:vAlign w:val="center"/>
          </w:tcPr>
          <w:p w14:paraId="27A03A1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306B44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2BAB69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76" w:type="dxa"/>
            <w:noWrap w:val="0"/>
            <w:vAlign w:val="center"/>
          </w:tcPr>
          <w:p w14:paraId="1C04156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50" w:type="dxa"/>
            <w:noWrap w:val="0"/>
            <w:vAlign w:val="center"/>
          </w:tcPr>
          <w:p w14:paraId="5A093E6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43" w:type="dxa"/>
            <w:noWrap w:val="0"/>
            <w:vAlign w:val="center"/>
          </w:tcPr>
          <w:p w14:paraId="07717BF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50" w:type="dxa"/>
            <w:noWrap w:val="0"/>
            <w:vAlign w:val="center"/>
          </w:tcPr>
          <w:p w14:paraId="04CE4B4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667" w:type="dxa"/>
            <w:noWrap w:val="0"/>
            <w:vAlign w:val="center"/>
          </w:tcPr>
          <w:p w14:paraId="7C81852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4D0B5F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AE511E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76" w:type="dxa"/>
            <w:noWrap w:val="0"/>
            <w:vAlign w:val="center"/>
          </w:tcPr>
          <w:p w14:paraId="2941747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50" w:type="dxa"/>
            <w:noWrap w:val="0"/>
            <w:vAlign w:val="center"/>
          </w:tcPr>
          <w:p w14:paraId="7EB9EA3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43" w:type="dxa"/>
            <w:noWrap w:val="0"/>
            <w:vAlign w:val="center"/>
          </w:tcPr>
          <w:p w14:paraId="47C9FD7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50" w:type="dxa"/>
            <w:noWrap w:val="0"/>
            <w:vAlign w:val="center"/>
          </w:tcPr>
          <w:p w14:paraId="1DC8A6F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667" w:type="dxa"/>
            <w:noWrap w:val="0"/>
            <w:vAlign w:val="center"/>
          </w:tcPr>
          <w:p w14:paraId="3B7B65B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28782B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D33AAC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76" w:type="dxa"/>
            <w:noWrap w:val="0"/>
            <w:vAlign w:val="center"/>
          </w:tcPr>
          <w:p w14:paraId="0BEFC82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50" w:type="dxa"/>
            <w:noWrap w:val="0"/>
            <w:vAlign w:val="center"/>
          </w:tcPr>
          <w:p w14:paraId="16CF473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43" w:type="dxa"/>
            <w:noWrap w:val="0"/>
            <w:vAlign w:val="center"/>
          </w:tcPr>
          <w:p w14:paraId="64BD2E5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50" w:type="dxa"/>
            <w:noWrap w:val="0"/>
            <w:vAlign w:val="center"/>
          </w:tcPr>
          <w:p w14:paraId="762D80B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667" w:type="dxa"/>
            <w:noWrap w:val="0"/>
            <w:vAlign w:val="center"/>
          </w:tcPr>
          <w:p w14:paraId="002FB96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7A74CF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6D5E25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76" w:type="dxa"/>
            <w:noWrap w:val="0"/>
            <w:vAlign w:val="center"/>
          </w:tcPr>
          <w:p w14:paraId="34EFEAD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50" w:type="dxa"/>
            <w:noWrap w:val="0"/>
            <w:vAlign w:val="center"/>
          </w:tcPr>
          <w:p w14:paraId="2D3D274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43" w:type="dxa"/>
            <w:noWrap w:val="0"/>
            <w:vAlign w:val="center"/>
          </w:tcPr>
          <w:p w14:paraId="53AC966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50" w:type="dxa"/>
            <w:noWrap w:val="0"/>
            <w:vAlign w:val="center"/>
          </w:tcPr>
          <w:p w14:paraId="465252B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667" w:type="dxa"/>
            <w:noWrap w:val="0"/>
            <w:vAlign w:val="center"/>
          </w:tcPr>
          <w:p w14:paraId="70A10EE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5D3A89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BDD18E3">
            <w:pPr>
              <w:rPr>
                <w:rFonts w:hint="eastAsia" w:ascii="方正仿宋_GB2312" w:hAnsi="方正仿宋_GB2312" w:eastAsia="方正仿宋_GB2312" w:cs="方正仿宋_GB2312"/>
                <w:color w:val="000000"/>
                <w:sz w:val="24"/>
                <w:szCs w:val="24"/>
                <w:highlight w:val="none"/>
              </w:rPr>
            </w:pPr>
          </w:p>
        </w:tc>
        <w:tc>
          <w:tcPr>
            <w:tcW w:w="1276" w:type="dxa"/>
            <w:noWrap w:val="0"/>
            <w:vAlign w:val="top"/>
          </w:tcPr>
          <w:p w14:paraId="6F9E4133">
            <w:pPr>
              <w:rPr>
                <w:rFonts w:hint="eastAsia" w:ascii="方正仿宋_GB2312" w:hAnsi="方正仿宋_GB2312" w:eastAsia="方正仿宋_GB2312" w:cs="方正仿宋_GB2312"/>
                <w:color w:val="000000"/>
                <w:sz w:val="24"/>
                <w:szCs w:val="24"/>
                <w:highlight w:val="none"/>
              </w:rPr>
            </w:pPr>
          </w:p>
        </w:tc>
        <w:tc>
          <w:tcPr>
            <w:tcW w:w="1450" w:type="dxa"/>
            <w:noWrap w:val="0"/>
            <w:vAlign w:val="top"/>
          </w:tcPr>
          <w:p w14:paraId="5738C67C">
            <w:pPr>
              <w:rPr>
                <w:rFonts w:hint="eastAsia" w:ascii="方正仿宋_GB2312" w:hAnsi="方正仿宋_GB2312" w:eastAsia="方正仿宋_GB2312" w:cs="方正仿宋_GB2312"/>
                <w:color w:val="000000"/>
                <w:sz w:val="24"/>
                <w:szCs w:val="24"/>
                <w:highlight w:val="none"/>
              </w:rPr>
            </w:pPr>
          </w:p>
        </w:tc>
        <w:tc>
          <w:tcPr>
            <w:tcW w:w="1243" w:type="dxa"/>
            <w:noWrap w:val="0"/>
            <w:vAlign w:val="top"/>
          </w:tcPr>
          <w:p w14:paraId="6B3248B4">
            <w:pPr>
              <w:rPr>
                <w:rFonts w:hint="eastAsia" w:ascii="方正仿宋_GB2312" w:hAnsi="方正仿宋_GB2312" w:eastAsia="方正仿宋_GB2312" w:cs="方正仿宋_GB2312"/>
                <w:color w:val="000000"/>
                <w:sz w:val="24"/>
                <w:szCs w:val="24"/>
                <w:highlight w:val="none"/>
              </w:rPr>
            </w:pPr>
          </w:p>
        </w:tc>
        <w:tc>
          <w:tcPr>
            <w:tcW w:w="1450" w:type="dxa"/>
            <w:noWrap w:val="0"/>
            <w:vAlign w:val="top"/>
          </w:tcPr>
          <w:p w14:paraId="2057606B">
            <w:pPr>
              <w:rPr>
                <w:rFonts w:hint="eastAsia" w:ascii="方正仿宋_GB2312" w:hAnsi="方正仿宋_GB2312" w:eastAsia="方正仿宋_GB2312" w:cs="方正仿宋_GB2312"/>
                <w:color w:val="000000"/>
                <w:sz w:val="24"/>
                <w:szCs w:val="24"/>
                <w:highlight w:val="none"/>
              </w:rPr>
            </w:pPr>
          </w:p>
        </w:tc>
        <w:tc>
          <w:tcPr>
            <w:tcW w:w="1667" w:type="dxa"/>
            <w:noWrap w:val="0"/>
            <w:vAlign w:val="top"/>
          </w:tcPr>
          <w:p w14:paraId="2D6D27C2">
            <w:pPr>
              <w:rPr>
                <w:rFonts w:hint="eastAsia" w:ascii="方正仿宋_GB2312" w:hAnsi="方正仿宋_GB2312" w:eastAsia="方正仿宋_GB2312" w:cs="方正仿宋_GB2312"/>
                <w:color w:val="000000"/>
                <w:sz w:val="24"/>
                <w:szCs w:val="24"/>
                <w:highlight w:val="none"/>
              </w:rPr>
            </w:pPr>
          </w:p>
        </w:tc>
      </w:tr>
      <w:tr w14:paraId="510A4D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605343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76" w:type="dxa"/>
            <w:noWrap w:val="0"/>
            <w:vAlign w:val="center"/>
          </w:tcPr>
          <w:p w14:paraId="10232FB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50" w:type="dxa"/>
            <w:noWrap w:val="0"/>
            <w:vAlign w:val="center"/>
          </w:tcPr>
          <w:p w14:paraId="4677CAA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43" w:type="dxa"/>
            <w:noWrap w:val="0"/>
            <w:vAlign w:val="center"/>
          </w:tcPr>
          <w:p w14:paraId="5B7F342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50" w:type="dxa"/>
            <w:noWrap w:val="0"/>
            <w:vAlign w:val="center"/>
          </w:tcPr>
          <w:p w14:paraId="7C1D66C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667" w:type="dxa"/>
            <w:noWrap w:val="0"/>
            <w:vAlign w:val="center"/>
          </w:tcPr>
          <w:p w14:paraId="017824F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397244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3C72EEE">
            <w:pPr>
              <w:rPr>
                <w:rFonts w:hint="eastAsia" w:ascii="方正仿宋_GB2312" w:hAnsi="方正仿宋_GB2312" w:eastAsia="方正仿宋_GB2312" w:cs="方正仿宋_GB2312"/>
                <w:color w:val="000000"/>
                <w:sz w:val="24"/>
                <w:szCs w:val="24"/>
                <w:highlight w:val="none"/>
              </w:rPr>
            </w:pPr>
          </w:p>
        </w:tc>
        <w:tc>
          <w:tcPr>
            <w:tcW w:w="1276" w:type="dxa"/>
            <w:noWrap w:val="0"/>
            <w:vAlign w:val="top"/>
          </w:tcPr>
          <w:p w14:paraId="2C412FC1">
            <w:pPr>
              <w:rPr>
                <w:rFonts w:hint="eastAsia" w:ascii="方正仿宋_GB2312" w:hAnsi="方正仿宋_GB2312" w:eastAsia="方正仿宋_GB2312" w:cs="方正仿宋_GB2312"/>
                <w:color w:val="000000"/>
                <w:sz w:val="24"/>
                <w:szCs w:val="24"/>
                <w:highlight w:val="none"/>
              </w:rPr>
            </w:pPr>
          </w:p>
        </w:tc>
        <w:tc>
          <w:tcPr>
            <w:tcW w:w="1450" w:type="dxa"/>
            <w:noWrap w:val="0"/>
            <w:vAlign w:val="top"/>
          </w:tcPr>
          <w:p w14:paraId="37BCA696">
            <w:pPr>
              <w:rPr>
                <w:rFonts w:hint="eastAsia" w:ascii="方正仿宋_GB2312" w:hAnsi="方正仿宋_GB2312" w:eastAsia="方正仿宋_GB2312" w:cs="方正仿宋_GB2312"/>
                <w:color w:val="000000"/>
                <w:sz w:val="24"/>
                <w:szCs w:val="24"/>
                <w:highlight w:val="none"/>
              </w:rPr>
            </w:pPr>
          </w:p>
        </w:tc>
        <w:tc>
          <w:tcPr>
            <w:tcW w:w="1243" w:type="dxa"/>
            <w:noWrap w:val="0"/>
            <w:vAlign w:val="top"/>
          </w:tcPr>
          <w:p w14:paraId="0E46B959">
            <w:pPr>
              <w:rPr>
                <w:rFonts w:hint="eastAsia" w:ascii="方正仿宋_GB2312" w:hAnsi="方正仿宋_GB2312" w:eastAsia="方正仿宋_GB2312" w:cs="方正仿宋_GB2312"/>
                <w:color w:val="000000"/>
                <w:sz w:val="24"/>
                <w:szCs w:val="24"/>
                <w:highlight w:val="none"/>
              </w:rPr>
            </w:pPr>
          </w:p>
        </w:tc>
        <w:tc>
          <w:tcPr>
            <w:tcW w:w="1450" w:type="dxa"/>
            <w:noWrap w:val="0"/>
            <w:vAlign w:val="top"/>
          </w:tcPr>
          <w:p w14:paraId="11915130">
            <w:pPr>
              <w:rPr>
                <w:rFonts w:hint="eastAsia" w:ascii="方正仿宋_GB2312" w:hAnsi="方正仿宋_GB2312" w:eastAsia="方正仿宋_GB2312" w:cs="方正仿宋_GB2312"/>
                <w:color w:val="000000"/>
                <w:sz w:val="24"/>
                <w:szCs w:val="24"/>
                <w:highlight w:val="none"/>
              </w:rPr>
            </w:pPr>
          </w:p>
        </w:tc>
        <w:tc>
          <w:tcPr>
            <w:tcW w:w="1667" w:type="dxa"/>
            <w:noWrap w:val="0"/>
            <w:vAlign w:val="top"/>
          </w:tcPr>
          <w:p w14:paraId="5165225A">
            <w:pPr>
              <w:rPr>
                <w:rFonts w:hint="eastAsia" w:ascii="方正仿宋_GB2312" w:hAnsi="方正仿宋_GB2312" w:eastAsia="方正仿宋_GB2312" w:cs="方正仿宋_GB2312"/>
                <w:color w:val="000000"/>
                <w:sz w:val="24"/>
                <w:szCs w:val="24"/>
                <w:highlight w:val="none"/>
              </w:rPr>
            </w:pPr>
          </w:p>
        </w:tc>
      </w:tr>
      <w:tr w14:paraId="3D8FFE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8978AF5">
            <w:pPr>
              <w:rPr>
                <w:rFonts w:hint="eastAsia" w:ascii="方正仿宋_GB2312" w:hAnsi="方正仿宋_GB2312" w:eastAsia="方正仿宋_GB2312" w:cs="方正仿宋_GB2312"/>
                <w:color w:val="000000"/>
                <w:sz w:val="24"/>
                <w:szCs w:val="24"/>
                <w:highlight w:val="none"/>
              </w:rPr>
            </w:pPr>
          </w:p>
        </w:tc>
        <w:tc>
          <w:tcPr>
            <w:tcW w:w="1276" w:type="dxa"/>
            <w:noWrap w:val="0"/>
            <w:vAlign w:val="top"/>
          </w:tcPr>
          <w:p w14:paraId="701BBDE4">
            <w:pPr>
              <w:rPr>
                <w:rFonts w:hint="eastAsia" w:ascii="方正仿宋_GB2312" w:hAnsi="方正仿宋_GB2312" w:eastAsia="方正仿宋_GB2312" w:cs="方正仿宋_GB2312"/>
                <w:color w:val="000000"/>
                <w:sz w:val="24"/>
                <w:szCs w:val="24"/>
                <w:highlight w:val="none"/>
              </w:rPr>
            </w:pPr>
          </w:p>
        </w:tc>
        <w:tc>
          <w:tcPr>
            <w:tcW w:w="1450" w:type="dxa"/>
            <w:noWrap w:val="0"/>
            <w:vAlign w:val="top"/>
          </w:tcPr>
          <w:p w14:paraId="7A0F3E53">
            <w:pPr>
              <w:rPr>
                <w:rFonts w:hint="eastAsia" w:ascii="方正仿宋_GB2312" w:hAnsi="方正仿宋_GB2312" w:eastAsia="方正仿宋_GB2312" w:cs="方正仿宋_GB2312"/>
                <w:color w:val="000000"/>
                <w:sz w:val="24"/>
                <w:szCs w:val="24"/>
                <w:highlight w:val="none"/>
              </w:rPr>
            </w:pPr>
          </w:p>
        </w:tc>
        <w:tc>
          <w:tcPr>
            <w:tcW w:w="1243" w:type="dxa"/>
            <w:noWrap w:val="0"/>
            <w:vAlign w:val="top"/>
          </w:tcPr>
          <w:p w14:paraId="604DEDCF">
            <w:pPr>
              <w:rPr>
                <w:rFonts w:hint="eastAsia" w:ascii="方正仿宋_GB2312" w:hAnsi="方正仿宋_GB2312" w:eastAsia="方正仿宋_GB2312" w:cs="方正仿宋_GB2312"/>
                <w:color w:val="000000"/>
                <w:sz w:val="24"/>
                <w:szCs w:val="24"/>
                <w:highlight w:val="none"/>
              </w:rPr>
            </w:pPr>
          </w:p>
        </w:tc>
        <w:tc>
          <w:tcPr>
            <w:tcW w:w="1450" w:type="dxa"/>
            <w:noWrap w:val="0"/>
            <w:vAlign w:val="top"/>
          </w:tcPr>
          <w:p w14:paraId="0D7A4ADD">
            <w:pPr>
              <w:rPr>
                <w:rFonts w:hint="eastAsia" w:ascii="方正仿宋_GB2312" w:hAnsi="方正仿宋_GB2312" w:eastAsia="方正仿宋_GB2312" w:cs="方正仿宋_GB2312"/>
                <w:color w:val="000000"/>
                <w:sz w:val="24"/>
                <w:szCs w:val="24"/>
                <w:highlight w:val="none"/>
              </w:rPr>
            </w:pPr>
          </w:p>
        </w:tc>
        <w:tc>
          <w:tcPr>
            <w:tcW w:w="1667" w:type="dxa"/>
            <w:noWrap w:val="0"/>
            <w:vAlign w:val="top"/>
          </w:tcPr>
          <w:p w14:paraId="02317FFD">
            <w:pPr>
              <w:rPr>
                <w:rFonts w:hint="eastAsia" w:ascii="方正仿宋_GB2312" w:hAnsi="方正仿宋_GB2312" w:eastAsia="方正仿宋_GB2312" w:cs="方正仿宋_GB2312"/>
                <w:color w:val="000000"/>
                <w:sz w:val="24"/>
                <w:szCs w:val="24"/>
                <w:highlight w:val="none"/>
              </w:rPr>
            </w:pPr>
          </w:p>
        </w:tc>
      </w:tr>
      <w:tr w14:paraId="7A4199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29D9368">
            <w:pPr>
              <w:rPr>
                <w:rFonts w:hint="eastAsia" w:ascii="方正仿宋_GB2312" w:hAnsi="方正仿宋_GB2312" w:eastAsia="方正仿宋_GB2312" w:cs="方正仿宋_GB2312"/>
                <w:color w:val="000000"/>
                <w:sz w:val="24"/>
                <w:szCs w:val="24"/>
                <w:highlight w:val="none"/>
              </w:rPr>
            </w:pPr>
          </w:p>
        </w:tc>
        <w:tc>
          <w:tcPr>
            <w:tcW w:w="1276" w:type="dxa"/>
            <w:noWrap w:val="0"/>
            <w:vAlign w:val="top"/>
          </w:tcPr>
          <w:p w14:paraId="78EC3E55">
            <w:pPr>
              <w:rPr>
                <w:rFonts w:hint="eastAsia" w:ascii="方正仿宋_GB2312" w:hAnsi="方正仿宋_GB2312" w:eastAsia="方正仿宋_GB2312" w:cs="方正仿宋_GB2312"/>
                <w:color w:val="000000"/>
                <w:sz w:val="24"/>
                <w:szCs w:val="24"/>
                <w:highlight w:val="none"/>
              </w:rPr>
            </w:pPr>
          </w:p>
        </w:tc>
        <w:tc>
          <w:tcPr>
            <w:tcW w:w="1450" w:type="dxa"/>
            <w:noWrap w:val="0"/>
            <w:vAlign w:val="top"/>
          </w:tcPr>
          <w:p w14:paraId="7C9BC327">
            <w:pPr>
              <w:rPr>
                <w:rFonts w:hint="eastAsia" w:ascii="方正仿宋_GB2312" w:hAnsi="方正仿宋_GB2312" w:eastAsia="方正仿宋_GB2312" w:cs="方正仿宋_GB2312"/>
                <w:color w:val="000000"/>
                <w:sz w:val="24"/>
                <w:szCs w:val="24"/>
                <w:highlight w:val="none"/>
              </w:rPr>
            </w:pPr>
          </w:p>
        </w:tc>
        <w:tc>
          <w:tcPr>
            <w:tcW w:w="1243" w:type="dxa"/>
            <w:noWrap w:val="0"/>
            <w:vAlign w:val="top"/>
          </w:tcPr>
          <w:p w14:paraId="78A904EF">
            <w:pPr>
              <w:rPr>
                <w:rFonts w:hint="eastAsia" w:ascii="方正仿宋_GB2312" w:hAnsi="方正仿宋_GB2312" w:eastAsia="方正仿宋_GB2312" w:cs="方正仿宋_GB2312"/>
                <w:color w:val="000000"/>
                <w:sz w:val="24"/>
                <w:szCs w:val="24"/>
                <w:highlight w:val="none"/>
              </w:rPr>
            </w:pPr>
          </w:p>
        </w:tc>
        <w:tc>
          <w:tcPr>
            <w:tcW w:w="1450" w:type="dxa"/>
            <w:noWrap w:val="0"/>
            <w:vAlign w:val="top"/>
          </w:tcPr>
          <w:p w14:paraId="10EEE5A5">
            <w:pPr>
              <w:rPr>
                <w:rFonts w:hint="eastAsia" w:ascii="方正仿宋_GB2312" w:hAnsi="方正仿宋_GB2312" w:eastAsia="方正仿宋_GB2312" w:cs="方正仿宋_GB2312"/>
                <w:color w:val="000000"/>
                <w:sz w:val="24"/>
                <w:szCs w:val="24"/>
                <w:highlight w:val="none"/>
              </w:rPr>
            </w:pPr>
          </w:p>
        </w:tc>
        <w:tc>
          <w:tcPr>
            <w:tcW w:w="1667" w:type="dxa"/>
            <w:noWrap w:val="0"/>
            <w:vAlign w:val="top"/>
          </w:tcPr>
          <w:p w14:paraId="03102EE3">
            <w:pPr>
              <w:rPr>
                <w:rFonts w:hint="eastAsia" w:ascii="方正仿宋_GB2312" w:hAnsi="方正仿宋_GB2312" w:eastAsia="方正仿宋_GB2312" w:cs="方正仿宋_GB2312"/>
                <w:color w:val="000000"/>
                <w:sz w:val="24"/>
                <w:szCs w:val="24"/>
                <w:highlight w:val="none"/>
              </w:rPr>
            </w:pPr>
          </w:p>
        </w:tc>
      </w:tr>
      <w:tr w14:paraId="72A7AE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3C5F834">
            <w:pPr>
              <w:rPr>
                <w:rFonts w:hint="eastAsia" w:ascii="方正仿宋_GB2312" w:hAnsi="方正仿宋_GB2312" w:eastAsia="方正仿宋_GB2312" w:cs="方正仿宋_GB2312"/>
                <w:color w:val="000000"/>
                <w:sz w:val="24"/>
                <w:szCs w:val="24"/>
                <w:highlight w:val="none"/>
              </w:rPr>
            </w:pPr>
          </w:p>
        </w:tc>
        <w:tc>
          <w:tcPr>
            <w:tcW w:w="1276" w:type="dxa"/>
            <w:noWrap w:val="0"/>
            <w:vAlign w:val="top"/>
          </w:tcPr>
          <w:p w14:paraId="3CDD2302">
            <w:pPr>
              <w:rPr>
                <w:rFonts w:hint="eastAsia" w:ascii="方正仿宋_GB2312" w:hAnsi="方正仿宋_GB2312" w:eastAsia="方正仿宋_GB2312" w:cs="方正仿宋_GB2312"/>
                <w:color w:val="000000"/>
                <w:sz w:val="24"/>
                <w:szCs w:val="24"/>
                <w:highlight w:val="none"/>
              </w:rPr>
            </w:pPr>
          </w:p>
        </w:tc>
        <w:tc>
          <w:tcPr>
            <w:tcW w:w="1450" w:type="dxa"/>
            <w:noWrap w:val="0"/>
            <w:vAlign w:val="top"/>
          </w:tcPr>
          <w:p w14:paraId="67D0F240">
            <w:pPr>
              <w:rPr>
                <w:rFonts w:hint="eastAsia" w:ascii="方正仿宋_GB2312" w:hAnsi="方正仿宋_GB2312" w:eastAsia="方正仿宋_GB2312" w:cs="方正仿宋_GB2312"/>
                <w:color w:val="000000"/>
                <w:sz w:val="24"/>
                <w:szCs w:val="24"/>
                <w:highlight w:val="none"/>
              </w:rPr>
            </w:pPr>
          </w:p>
        </w:tc>
        <w:tc>
          <w:tcPr>
            <w:tcW w:w="1243" w:type="dxa"/>
            <w:noWrap w:val="0"/>
            <w:vAlign w:val="top"/>
          </w:tcPr>
          <w:p w14:paraId="2F80DE27">
            <w:pPr>
              <w:rPr>
                <w:rFonts w:hint="eastAsia" w:ascii="方正仿宋_GB2312" w:hAnsi="方正仿宋_GB2312" w:eastAsia="方正仿宋_GB2312" w:cs="方正仿宋_GB2312"/>
                <w:color w:val="000000"/>
                <w:sz w:val="24"/>
                <w:szCs w:val="24"/>
                <w:highlight w:val="none"/>
              </w:rPr>
            </w:pPr>
          </w:p>
        </w:tc>
        <w:tc>
          <w:tcPr>
            <w:tcW w:w="1450" w:type="dxa"/>
            <w:noWrap w:val="0"/>
            <w:vAlign w:val="top"/>
          </w:tcPr>
          <w:p w14:paraId="09B3CE7A">
            <w:pPr>
              <w:rPr>
                <w:rFonts w:hint="eastAsia" w:ascii="方正仿宋_GB2312" w:hAnsi="方正仿宋_GB2312" w:eastAsia="方正仿宋_GB2312" w:cs="方正仿宋_GB2312"/>
                <w:color w:val="000000"/>
                <w:sz w:val="24"/>
                <w:szCs w:val="24"/>
                <w:highlight w:val="none"/>
              </w:rPr>
            </w:pPr>
          </w:p>
        </w:tc>
        <w:tc>
          <w:tcPr>
            <w:tcW w:w="1667" w:type="dxa"/>
            <w:noWrap w:val="0"/>
            <w:vAlign w:val="top"/>
          </w:tcPr>
          <w:p w14:paraId="2E8157F8">
            <w:pPr>
              <w:rPr>
                <w:rFonts w:hint="eastAsia" w:ascii="方正仿宋_GB2312" w:hAnsi="方正仿宋_GB2312" w:eastAsia="方正仿宋_GB2312" w:cs="方正仿宋_GB2312"/>
                <w:color w:val="000000"/>
                <w:sz w:val="24"/>
                <w:szCs w:val="24"/>
                <w:highlight w:val="none"/>
              </w:rPr>
            </w:pPr>
          </w:p>
        </w:tc>
      </w:tr>
      <w:tr w14:paraId="2F257D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3F070EB">
            <w:pPr>
              <w:rPr>
                <w:rFonts w:hint="eastAsia" w:ascii="方正仿宋_GB2312" w:hAnsi="方正仿宋_GB2312" w:eastAsia="方正仿宋_GB2312" w:cs="方正仿宋_GB2312"/>
                <w:color w:val="000000"/>
                <w:sz w:val="24"/>
                <w:szCs w:val="24"/>
                <w:highlight w:val="none"/>
              </w:rPr>
            </w:pPr>
          </w:p>
        </w:tc>
        <w:tc>
          <w:tcPr>
            <w:tcW w:w="1276" w:type="dxa"/>
            <w:noWrap w:val="0"/>
            <w:vAlign w:val="top"/>
          </w:tcPr>
          <w:p w14:paraId="0D79316D">
            <w:pPr>
              <w:rPr>
                <w:rFonts w:hint="eastAsia" w:ascii="方正仿宋_GB2312" w:hAnsi="方正仿宋_GB2312" w:eastAsia="方正仿宋_GB2312" w:cs="方正仿宋_GB2312"/>
                <w:color w:val="000000"/>
                <w:sz w:val="24"/>
                <w:szCs w:val="24"/>
                <w:highlight w:val="none"/>
              </w:rPr>
            </w:pPr>
          </w:p>
        </w:tc>
        <w:tc>
          <w:tcPr>
            <w:tcW w:w="1450" w:type="dxa"/>
            <w:noWrap w:val="0"/>
            <w:vAlign w:val="top"/>
          </w:tcPr>
          <w:p w14:paraId="7D9ED131">
            <w:pPr>
              <w:rPr>
                <w:rFonts w:hint="eastAsia" w:ascii="方正仿宋_GB2312" w:hAnsi="方正仿宋_GB2312" w:eastAsia="方正仿宋_GB2312" w:cs="方正仿宋_GB2312"/>
                <w:color w:val="000000"/>
                <w:sz w:val="24"/>
                <w:szCs w:val="24"/>
                <w:highlight w:val="none"/>
              </w:rPr>
            </w:pPr>
          </w:p>
        </w:tc>
        <w:tc>
          <w:tcPr>
            <w:tcW w:w="1243" w:type="dxa"/>
            <w:noWrap w:val="0"/>
            <w:vAlign w:val="top"/>
          </w:tcPr>
          <w:p w14:paraId="370A3C22">
            <w:pPr>
              <w:rPr>
                <w:rFonts w:hint="eastAsia" w:ascii="方正仿宋_GB2312" w:hAnsi="方正仿宋_GB2312" w:eastAsia="方正仿宋_GB2312" w:cs="方正仿宋_GB2312"/>
                <w:color w:val="000000"/>
                <w:sz w:val="24"/>
                <w:szCs w:val="24"/>
                <w:highlight w:val="none"/>
              </w:rPr>
            </w:pPr>
          </w:p>
        </w:tc>
        <w:tc>
          <w:tcPr>
            <w:tcW w:w="1450" w:type="dxa"/>
            <w:noWrap w:val="0"/>
            <w:vAlign w:val="top"/>
          </w:tcPr>
          <w:p w14:paraId="4D52DF84">
            <w:pPr>
              <w:rPr>
                <w:rFonts w:hint="eastAsia" w:ascii="方正仿宋_GB2312" w:hAnsi="方正仿宋_GB2312" w:eastAsia="方正仿宋_GB2312" w:cs="方正仿宋_GB2312"/>
                <w:color w:val="000000"/>
                <w:sz w:val="24"/>
                <w:szCs w:val="24"/>
                <w:highlight w:val="none"/>
              </w:rPr>
            </w:pPr>
          </w:p>
        </w:tc>
        <w:tc>
          <w:tcPr>
            <w:tcW w:w="1667" w:type="dxa"/>
            <w:noWrap w:val="0"/>
            <w:vAlign w:val="top"/>
          </w:tcPr>
          <w:p w14:paraId="45386ADA">
            <w:pPr>
              <w:rPr>
                <w:rFonts w:hint="eastAsia" w:ascii="方正仿宋_GB2312" w:hAnsi="方正仿宋_GB2312" w:eastAsia="方正仿宋_GB2312" w:cs="方正仿宋_GB2312"/>
                <w:color w:val="000000"/>
                <w:sz w:val="24"/>
                <w:szCs w:val="24"/>
                <w:highlight w:val="none"/>
              </w:rPr>
            </w:pPr>
          </w:p>
        </w:tc>
      </w:tr>
      <w:tr w14:paraId="599132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87D679B">
            <w:pPr>
              <w:rPr>
                <w:rFonts w:hint="eastAsia" w:ascii="方正仿宋_GB2312" w:hAnsi="方正仿宋_GB2312" w:eastAsia="方正仿宋_GB2312" w:cs="方正仿宋_GB2312"/>
                <w:color w:val="000000"/>
                <w:sz w:val="24"/>
                <w:szCs w:val="24"/>
                <w:highlight w:val="none"/>
              </w:rPr>
            </w:pPr>
          </w:p>
        </w:tc>
        <w:tc>
          <w:tcPr>
            <w:tcW w:w="1276" w:type="dxa"/>
            <w:noWrap w:val="0"/>
            <w:vAlign w:val="top"/>
          </w:tcPr>
          <w:p w14:paraId="5E16EBF3">
            <w:pPr>
              <w:rPr>
                <w:rFonts w:hint="eastAsia" w:ascii="方正仿宋_GB2312" w:hAnsi="方正仿宋_GB2312" w:eastAsia="方正仿宋_GB2312" w:cs="方正仿宋_GB2312"/>
                <w:color w:val="000000"/>
                <w:sz w:val="24"/>
                <w:szCs w:val="24"/>
                <w:highlight w:val="none"/>
              </w:rPr>
            </w:pPr>
          </w:p>
        </w:tc>
        <w:tc>
          <w:tcPr>
            <w:tcW w:w="1450" w:type="dxa"/>
            <w:noWrap w:val="0"/>
            <w:vAlign w:val="top"/>
          </w:tcPr>
          <w:p w14:paraId="231E9F95">
            <w:pPr>
              <w:rPr>
                <w:rFonts w:hint="eastAsia" w:ascii="方正仿宋_GB2312" w:hAnsi="方正仿宋_GB2312" w:eastAsia="方正仿宋_GB2312" w:cs="方正仿宋_GB2312"/>
                <w:color w:val="000000"/>
                <w:sz w:val="24"/>
                <w:szCs w:val="24"/>
                <w:highlight w:val="none"/>
              </w:rPr>
            </w:pPr>
          </w:p>
        </w:tc>
        <w:tc>
          <w:tcPr>
            <w:tcW w:w="1243" w:type="dxa"/>
            <w:noWrap w:val="0"/>
            <w:vAlign w:val="top"/>
          </w:tcPr>
          <w:p w14:paraId="37CE20C4">
            <w:pPr>
              <w:rPr>
                <w:rFonts w:hint="eastAsia" w:ascii="方正仿宋_GB2312" w:hAnsi="方正仿宋_GB2312" w:eastAsia="方正仿宋_GB2312" w:cs="方正仿宋_GB2312"/>
                <w:color w:val="000000"/>
                <w:sz w:val="24"/>
                <w:szCs w:val="24"/>
                <w:highlight w:val="none"/>
              </w:rPr>
            </w:pPr>
          </w:p>
        </w:tc>
        <w:tc>
          <w:tcPr>
            <w:tcW w:w="1450" w:type="dxa"/>
            <w:noWrap w:val="0"/>
            <w:vAlign w:val="top"/>
          </w:tcPr>
          <w:p w14:paraId="6929337B">
            <w:pPr>
              <w:rPr>
                <w:rFonts w:hint="eastAsia" w:ascii="方正仿宋_GB2312" w:hAnsi="方正仿宋_GB2312" w:eastAsia="方正仿宋_GB2312" w:cs="方正仿宋_GB2312"/>
                <w:color w:val="000000"/>
                <w:sz w:val="24"/>
                <w:szCs w:val="24"/>
                <w:highlight w:val="none"/>
              </w:rPr>
            </w:pPr>
          </w:p>
        </w:tc>
        <w:tc>
          <w:tcPr>
            <w:tcW w:w="1667" w:type="dxa"/>
            <w:noWrap w:val="0"/>
            <w:vAlign w:val="top"/>
          </w:tcPr>
          <w:p w14:paraId="0A5AD2EC">
            <w:pPr>
              <w:rPr>
                <w:rFonts w:hint="eastAsia" w:ascii="方正仿宋_GB2312" w:hAnsi="方正仿宋_GB2312" w:eastAsia="方正仿宋_GB2312" w:cs="方正仿宋_GB2312"/>
                <w:color w:val="000000"/>
                <w:sz w:val="24"/>
                <w:szCs w:val="24"/>
                <w:highlight w:val="none"/>
              </w:rPr>
            </w:pPr>
          </w:p>
        </w:tc>
      </w:tr>
      <w:tr w14:paraId="6030B4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99D81DB">
            <w:pPr>
              <w:rPr>
                <w:rFonts w:hint="eastAsia" w:ascii="方正仿宋_GB2312" w:hAnsi="方正仿宋_GB2312" w:eastAsia="方正仿宋_GB2312" w:cs="方正仿宋_GB2312"/>
                <w:color w:val="000000"/>
                <w:sz w:val="24"/>
                <w:szCs w:val="24"/>
                <w:highlight w:val="none"/>
              </w:rPr>
            </w:pPr>
          </w:p>
        </w:tc>
        <w:tc>
          <w:tcPr>
            <w:tcW w:w="1276" w:type="dxa"/>
            <w:noWrap w:val="0"/>
            <w:vAlign w:val="top"/>
          </w:tcPr>
          <w:p w14:paraId="76666425">
            <w:pPr>
              <w:rPr>
                <w:rFonts w:hint="eastAsia" w:ascii="方正仿宋_GB2312" w:hAnsi="方正仿宋_GB2312" w:eastAsia="方正仿宋_GB2312" w:cs="方正仿宋_GB2312"/>
                <w:color w:val="000000"/>
                <w:sz w:val="24"/>
                <w:szCs w:val="24"/>
                <w:highlight w:val="none"/>
              </w:rPr>
            </w:pPr>
          </w:p>
        </w:tc>
        <w:tc>
          <w:tcPr>
            <w:tcW w:w="1450" w:type="dxa"/>
            <w:noWrap w:val="0"/>
            <w:vAlign w:val="top"/>
          </w:tcPr>
          <w:p w14:paraId="38C107D8">
            <w:pPr>
              <w:rPr>
                <w:rFonts w:hint="eastAsia" w:ascii="方正仿宋_GB2312" w:hAnsi="方正仿宋_GB2312" w:eastAsia="方正仿宋_GB2312" w:cs="方正仿宋_GB2312"/>
                <w:color w:val="000000"/>
                <w:sz w:val="24"/>
                <w:szCs w:val="24"/>
                <w:highlight w:val="none"/>
              </w:rPr>
            </w:pPr>
          </w:p>
        </w:tc>
        <w:tc>
          <w:tcPr>
            <w:tcW w:w="1243" w:type="dxa"/>
            <w:noWrap w:val="0"/>
            <w:vAlign w:val="top"/>
          </w:tcPr>
          <w:p w14:paraId="5385CA81">
            <w:pPr>
              <w:rPr>
                <w:rFonts w:hint="eastAsia" w:ascii="方正仿宋_GB2312" w:hAnsi="方正仿宋_GB2312" w:eastAsia="方正仿宋_GB2312" w:cs="方正仿宋_GB2312"/>
                <w:color w:val="000000"/>
                <w:sz w:val="24"/>
                <w:szCs w:val="24"/>
                <w:highlight w:val="none"/>
              </w:rPr>
            </w:pPr>
          </w:p>
        </w:tc>
        <w:tc>
          <w:tcPr>
            <w:tcW w:w="1450" w:type="dxa"/>
            <w:noWrap w:val="0"/>
            <w:vAlign w:val="top"/>
          </w:tcPr>
          <w:p w14:paraId="706B3F5E">
            <w:pPr>
              <w:rPr>
                <w:rFonts w:hint="eastAsia" w:ascii="方正仿宋_GB2312" w:hAnsi="方正仿宋_GB2312" w:eastAsia="方正仿宋_GB2312" w:cs="方正仿宋_GB2312"/>
                <w:color w:val="000000"/>
                <w:sz w:val="24"/>
                <w:szCs w:val="24"/>
                <w:highlight w:val="none"/>
              </w:rPr>
            </w:pPr>
          </w:p>
        </w:tc>
        <w:tc>
          <w:tcPr>
            <w:tcW w:w="1667" w:type="dxa"/>
            <w:noWrap w:val="0"/>
            <w:vAlign w:val="top"/>
          </w:tcPr>
          <w:p w14:paraId="33265550">
            <w:pPr>
              <w:rPr>
                <w:rFonts w:hint="eastAsia" w:ascii="方正仿宋_GB2312" w:hAnsi="方正仿宋_GB2312" w:eastAsia="方正仿宋_GB2312" w:cs="方正仿宋_GB2312"/>
                <w:color w:val="000000"/>
                <w:sz w:val="24"/>
                <w:szCs w:val="24"/>
                <w:highlight w:val="none"/>
              </w:rPr>
            </w:pPr>
          </w:p>
        </w:tc>
      </w:tr>
      <w:tr w14:paraId="4C3F8E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AA3D4F1">
            <w:pPr>
              <w:rPr>
                <w:rFonts w:hint="eastAsia" w:ascii="方正仿宋_GB2312" w:hAnsi="方正仿宋_GB2312" w:eastAsia="方正仿宋_GB2312" w:cs="方正仿宋_GB2312"/>
                <w:color w:val="000000"/>
                <w:sz w:val="24"/>
                <w:szCs w:val="24"/>
                <w:highlight w:val="none"/>
              </w:rPr>
            </w:pPr>
          </w:p>
        </w:tc>
        <w:tc>
          <w:tcPr>
            <w:tcW w:w="1276" w:type="dxa"/>
            <w:noWrap w:val="0"/>
            <w:vAlign w:val="top"/>
          </w:tcPr>
          <w:p w14:paraId="7BD7B84A">
            <w:pPr>
              <w:rPr>
                <w:rFonts w:hint="eastAsia" w:ascii="方正仿宋_GB2312" w:hAnsi="方正仿宋_GB2312" w:eastAsia="方正仿宋_GB2312" w:cs="方正仿宋_GB2312"/>
                <w:color w:val="000000"/>
                <w:sz w:val="24"/>
                <w:szCs w:val="24"/>
                <w:highlight w:val="none"/>
              </w:rPr>
            </w:pPr>
          </w:p>
        </w:tc>
        <w:tc>
          <w:tcPr>
            <w:tcW w:w="1450" w:type="dxa"/>
            <w:noWrap w:val="0"/>
            <w:vAlign w:val="top"/>
          </w:tcPr>
          <w:p w14:paraId="543FD23F">
            <w:pPr>
              <w:rPr>
                <w:rFonts w:hint="eastAsia" w:ascii="方正仿宋_GB2312" w:hAnsi="方正仿宋_GB2312" w:eastAsia="方正仿宋_GB2312" w:cs="方正仿宋_GB2312"/>
                <w:color w:val="000000"/>
                <w:sz w:val="24"/>
                <w:szCs w:val="24"/>
                <w:highlight w:val="none"/>
              </w:rPr>
            </w:pPr>
          </w:p>
        </w:tc>
        <w:tc>
          <w:tcPr>
            <w:tcW w:w="1243" w:type="dxa"/>
            <w:noWrap w:val="0"/>
            <w:vAlign w:val="top"/>
          </w:tcPr>
          <w:p w14:paraId="4A7D3A5E">
            <w:pPr>
              <w:rPr>
                <w:rFonts w:hint="eastAsia" w:ascii="方正仿宋_GB2312" w:hAnsi="方正仿宋_GB2312" w:eastAsia="方正仿宋_GB2312" w:cs="方正仿宋_GB2312"/>
                <w:color w:val="000000"/>
                <w:sz w:val="24"/>
                <w:szCs w:val="24"/>
                <w:highlight w:val="none"/>
              </w:rPr>
            </w:pPr>
          </w:p>
        </w:tc>
        <w:tc>
          <w:tcPr>
            <w:tcW w:w="1450" w:type="dxa"/>
            <w:noWrap w:val="0"/>
            <w:vAlign w:val="top"/>
          </w:tcPr>
          <w:p w14:paraId="0B5A9795">
            <w:pPr>
              <w:rPr>
                <w:rFonts w:hint="eastAsia" w:ascii="方正仿宋_GB2312" w:hAnsi="方正仿宋_GB2312" w:eastAsia="方正仿宋_GB2312" w:cs="方正仿宋_GB2312"/>
                <w:color w:val="000000"/>
                <w:sz w:val="24"/>
                <w:szCs w:val="24"/>
                <w:highlight w:val="none"/>
              </w:rPr>
            </w:pPr>
          </w:p>
        </w:tc>
        <w:tc>
          <w:tcPr>
            <w:tcW w:w="1667" w:type="dxa"/>
            <w:noWrap w:val="0"/>
            <w:vAlign w:val="top"/>
          </w:tcPr>
          <w:p w14:paraId="53ACD1C1">
            <w:pPr>
              <w:rPr>
                <w:rFonts w:hint="eastAsia" w:ascii="方正仿宋_GB2312" w:hAnsi="方正仿宋_GB2312" w:eastAsia="方正仿宋_GB2312" w:cs="方正仿宋_GB2312"/>
                <w:color w:val="000000"/>
                <w:sz w:val="24"/>
                <w:szCs w:val="24"/>
                <w:highlight w:val="none"/>
              </w:rPr>
            </w:pPr>
          </w:p>
        </w:tc>
      </w:tr>
      <w:tr w14:paraId="6CE9FE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DCB31E1">
            <w:pPr>
              <w:rPr>
                <w:rFonts w:hint="eastAsia" w:ascii="方正仿宋_GB2312" w:hAnsi="方正仿宋_GB2312" w:eastAsia="方正仿宋_GB2312" w:cs="方正仿宋_GB2312"/>
                <w:color w:val="000000"/>
                <w:sz w:val="24"/>
                <w:szCs w:val="24"/>
                <w:highlight w:val="none"/>
              </w:rPr>
            </w:pPr>
          </w:p>
        </w:tc>
        <w:tc>
          <w:tcPr>
            <w:tcW w:w="1276" w:type="dxa"/>
            <w:noWrap w:val="0"/>
            <w:vAlign w:val="top"/>
          </w:tcPr>
          <w:p w14:paraId="03C676D4">
            <w:pPr>
              <w:rPr>
                <w:rFonts w:hint="eastAsia" w:ascii="方正仿宋_GB2312" w:hAnsi="方正仿宋_GB2312" w:eastAsia="方正仿宋_GB2312" w:cs="方正仿宋_GB2312"/>
                <w:color w:val="000000"/>
                <w:sz w:val="24"/>
                <w:szCs w:val="24"/>
                <w:highlight w:val="none"/>
              </w:rPr>
            </w:pPr>
          </w:p>
        </w:tc>
        <w:tc>
          <w:tcPr>
            <w:tcW w:w="1450" w:type="dxa"/>
            <w:noWrap w:val="0"/>
            <w:vAlign w:val="top"/>
          </w:tcPr>
          <w:p w14:paraId="3DDEDCC7">
            <w:pPr>
              <w:rPr>
                <w:rFonts w:hint="eastAsia" w:ascii="方正仿宋_GB2312" w:hAnsi="方正仿宋_GB2312" w:eastAsia="方正仿宋_GB2312" w:cs="方正仿宋_GB2312"/>
                <w:color w:val="000000"/>
                <w:sz w:val="24"/>
                <w:szCs w:val="24"/>
                <w:highlight w:val="none"/>
              </w:rPr>
            </w:pPr>
          </w:p>
        </w:tc>
        <w:tc>
          <w:tcPr>
            <w:tcW w:w="1243" w:type="dxa"/>
            <w:noWrap w:val="0"/>
            <w:vAlign w:val="top"/>
          </w:tcPr>
          <w:p w14:paraId="35968E69">
            <w:pPr>
              <w:rPr>
                <w:rFonts w:hint="eastAsia" w:ascii="方正仿宋_GB2312" w:hAnsi="方正仿宋_GB2312" w:eastAsia="方正仿宋_GB2312" w:cs="方正仿宋_GB2312"/>
                <w:color w:val="000000"/>
                <w:sz w:val="24"/>
                <w:szCs w:val="24"/>
                <w:highlight w:val="none"/>
              </w:rPr>
            </w:pPr>
          </w:p>
        </w:tc>
        <w:tc>
          <w:tcPr>
            <w:tcW w:w="1450" w:type="dxa"/>
            <w:noWrap w:val="0"/>
            <w:vAlign w:val="top"/>
          </w:tcPr>
          <w:p w14:paraId="31EA5365">
            <w:pPr>
              <w:rPr>
                <w:rFonts w:hint="eastAsia" w:ascii="方正仿宋_GB2312" w:hAnsi="方正仿宋_GB2312" w:eastAsia="方正仿宋_GB2312" w:cs="方正仿宋_GB2312"/>
                <w:color w:val="000000"/>
                <w:sz w:val="24"/>
                <w:szCs w:val="24"/>
                <w:highlight w:val="none"/>
              </w:rPr>
            </w:pPr>
          </w:p>
        </w:tc>
        <w:tc>
          <w:tcPr>
            <w:tcW w:w="1667" w:type="dxa"/>
            <w:noWrap w:val="0"/>
            <w:vAlign w:val="top"/>
          </w:tcPr>
          <w:p w14:paraId="04C24C57">
            <w:pPr>
              <w:rPr>
                <w:rFonts w:hint="eastAsia" w:ascii="方正仿宋_GB2312" w:hAnsi="方正仿宋_GB2312" w:eastAsia="方正仿宋_GB2312" w:cs="方正仿宋_GB2312"/>
                <w:color w:val="000000"/>
                <w:sz w:val="24"/>
                <w:szCs w:val="24"/>
                <w:highlight w:val="none"/>
              </w:rPr>
            </w:pPr>
          </w:p>
        </w:tc>
      </w:tr>
    </w:tbl>
    <w:p w14:paraId="5B6139AA">
      <w:pPr>
        <w:spacing w:line="440" w:lineRule="exact"/>
        <w:rPr>
          <w:rFonts w:hint="eastAsia" w:ascii="方正仿宋_GB2312" w:hAnsi="方正仿宋_GB2312" w:eastAsia="方正仿宋_GB2312" w:cs="方正仿宋_GB2312"/>
          <w:color w:val="000000"/>
          <w:sz w:val="24"/>
          <w:szCs w:val="24"/>
          <w:highlight w:val="none"/>
        </w:rPr>
      </w:pPr>
    </w:p>
    <w:p w14:paraId="72CC2718">
      <w:pPr>
        <w:spacing w:line="440" w:lineRule="exac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br w:type="page"/>
      </w:r>
      <w:r>
        <w:rPr>
          <w:rFonts w:hint="eastAsia" w:ascii="方正仿宋_GB2312" w:hAnsi="方正仿宋_GB2312" w:eastAsia="方正仿宋_GB2312" w:cs="方正仿宋_GB2312"/>
          <w:color w:val="000000"/>
          <w:sz w:val="24"/>
          <w:szCs w:val="24"/>
          <w:highlight w:val="none"/>
        </w:rPr>
        <w:t>附</w:t>
      </w:r>
      <w:bookmarkStart w:id="1242" w:name="_Toc296891267"/>
      <w:bookmarkStart w:id="1243" w:name="_Toc296503227"/>
      <w:bookmarkStart w:id="1244" w:name="_Toc296944566"/>
      <w:bookmarkStart w:id="1245" w:name="_Toc296347226"/>
      <w:bookmarkStart w:id="1246" w:name="_Toc267261698"/>
      <w:bookmarkStart w:id="1247" w:name="_Toc296346728"/>
      <w:bookmarkStart w:id="1248" w:name="_Toc296891055"/>
      <w:r>
        <w:rPr>
          <w:rFonts w:hint="eastAsia" w:ascii="方正仿宋_GB2312" w:hAnsi="方正仿宋_GB2312" w:eastAsia="方正仿宋_GB2312" w:cs="方正仿宋_GB2312"/>
          <w:color w:val="000000"/>
          <w:sz w:val="24"/>
          <w:szCs w:val="24"/>
          <w:highlight w:val="none"/>
        </w:rPr>
        <w:t>件5：</w:t>
      </w:r>
    </w:p>
    <w:bookmarkEnd w:id="1242"/>
    <w:bookmarkEnd w:id="1243"/>
    <w:bookmarkEnd w:id="1244"/>
    <w:bookmarkEnd w:id="1245"/>
    <w:bookmarkEnd w:id="1246"/>
    <w:bookmarkEnd w:id="1247"/>
    <w:bookmarkEnd w:id="1248"/>
    <w:p w14:paraId="33DA667E">
      <w:pPr>
        <w:spacing w:before="156" w:beforeLines="50" w:after="156" w:afterLines="50" w:line="440" w:lineRule="exact"/>
        <w:jc w:val="center"/>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承包人用于本工程施工的机械设备表</w:t>
      </w:r>
    </w:p>
    <w:tbl>
      <w:tblPr>
        <w:tblStyle w:val="3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09E94C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4646362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序号</w:t>
            </w:r>
          </w:p>
        </w:tc>
        <w:tc>
          <w:tcPr>
            <w:tcW w:w="1418" w:type="dxa"/>
            <w:tcBorders>
              <w:top w:val="single" w:color="auto" w:sz="12" w:space="0"/>
              <w:bottom w:val="double" w:color="auto" w:sz="6" w:space="0"/>
            </w:tcBorders>
            <w:noWrap w:val="0"/>
            <w:vAlign w:val="center"/>
          </w:tcPr>
          <w:p w14:paraId="0EC5204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机械或设备名称</w:t>
            </w:r>
          </w:p>
        </w:tc>
        <w:tc>
          <w:tcPr>
            <w:tcW w:w="850" w:type="dxa"/>
            <w:tcBorders>
              <w:top w:val="single" w:color="auto" w:sz="12" w:space="0"/>
              <w:bottom w:val="double" w:color="auto" w:sz="6" w:space="0"/>
            </w:tcBorders>
            <w:noWrap w:val="0"/>
            <w:vAlign w:val="center"/>
          </w:tcPr>
          <w:p w14:paraId="41013F2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规格型号</w:t>
            </w:r>
          </w:p>
        </w:tc>
        <w:tc>
          <w:tcPr>
            <w:tcW w:w="1058" w:type="dxa"/>
            <w:tcBorders>
              <w:top w:val="single" w:color="auto" w:sz="12" w:space="0"/>
              <w:bottom w:val="double" w:color="auto" w:sz="6" w:space="0"/>
            </w:tcBorders>
            <w:noWrap w:val="0"/>
            <w:vAlign w:val="center"/>
          </w:tcPr>
          <w:p w14:paraId="7D37A9F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数量</w:t>
            </w:r>
          </w:p>
        </w:tc>
        <w:tc>
          <w:tcPr>
            <w:tcW w:w="880" w:type="dxa"/>
            <w:tcBorders>
              <w:top w:val="single" w:color="auto" w:sz="12" w:space="0"/>
              <w:bottom w:val="double" w:color="auto" w:sz="6" w:space="0"/>
            </w:tcBorders>
            <w:noWrap w:val="0"/>
            <w:vAlign w:val="center"/>
          </w:tcPr>
          <w:p w14:paraId="3973CBF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产地</w:t>
            </w:r>
          </w:p>
        </w:tc>
        <w:tc>
          <w:tcPr>
            <w:tcW w:w="1020" w:type="dxa"/>
            <w:tcBorders>
              <w:top w:val="single" w:color="auto" w:sz="12" w:space="0"/>
              <w:bottom w:val="double" w:color="auto" w:sz="6" w:space="0"/>
            </w:tcBorders>
            <w:noWrap w:val="0"/>
            <w:vAlign w:val="center"/>
          </w:tcPr>
          <w:p w14:paraId="000F9C3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制造年份</w:t>
            </w:r>
          </w:p>
        </w:tc>
        <w:tc>
          <w:tcPr>
            <w:tcW w:w="1480" w:type="dxa"/>
            <w:tcBorders>
              <w:top w:val="single" w:color="auto" w:sz="12" w:space="0"/>
              <w:bottom w:val="double" w:color="auto" w:sz="6" w:space="0"/>
            </w:tcBorders>
            <w:noWrap w:val="0"/>
            <w:vAlign w:val="center"/>
          </w:tcPr>
          <w:p w14:paraId="1ABF939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额定功率(kW)</w:t>
            </w:r>
          </w:p>
        </w:tc>
        <w:tc>
          <w:tcPr>
            <w:tcW w:w="1020" w:type="dxa"/>
            <w:tcBorders>
              <w:top w:val="single" w:color="auto" w:sz="12" w:space="0"/>
              <w:bottom w:val="double" w:color="auto" w:sz="6" w:space="0"/>
            </w:tcBorders>
            <w:noWrap w:val="0"/>
            <w:vAlign w:val="center"/>
          </w:tcPr>
          <w:p w14:paraId="54FC82A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生产能力</w:t>
            </w:r>
          </w:p>
        </w:tc>
        <w:tc>
          <w:tcPr>
            <w:tcW w:w="921" w:type="dxa"/>
            <w:tcBorders>
              <w:top w:val="single" w:color="auto" w:sz="12" w:space="0"/>
              <w:bottom w:val="double" w:color="auto" w:sz="6" w:space="0"/>
            </w:tcBorders>
            <w:noWrap w:val="0"/>
            <w:vAlign w:val="center"/>
          </w:tcPr>
          <w:p w14:paraId="491B0DD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备注</w:t>
            </w:r>
          </w:p>
        </w:tc>
      </w:tr>
      <w:tr w14:paraId="2A3B96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3D95642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tcBorders>
              <w:top w:val="double" w:color="auto" w:sz="6" w:space="0"/>
              <w:bottom w:val="single" w:color="auto" w:sz="6" w:space="0"/>
            </w:tcBorders>
            <w:noWrap w:val="0"/>
            <w:vAlign w:val="center"/>
          </w:tcPr>
          <w:p w14:paraId="4D06DB3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0" w:type="dxa"/>
            <w:tcBorders>
              <w:top w:val="double" w:color="auto" w:sz="6" w:space="0"/>
              <w:bottom w:val="single" w:color="auto" w:sz="6" w:space="0"/>
            </w:tcBorders>
            <w:noWrap w:val="0"/>
            <w:vAlign w:val="center"/>
          </w:tcPr>
          <w:p w14:paraId="72EC9DA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58" w:type="dxa"/>
            <w:tcBorders>
              <w:top w:val="double" w:color="auto" w:sz="6" w:space="0"/>
              <w:bottom w:val="single" w:color="auto" w:sz="6" w:space="0"/>
            </w:tcBorders>
            <w:noWrap w:val="0"/>
            <w:vAlign w:val="center"/>
          </w:tcPr>
          <w:p w14:paraId="5A38168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80" w:type="dxa"/>
            <w:tcBorders>
              <w:top w:val="double" w:color="auto" w:sz="6" w:space="0"/>
              <w:bottom w:val="single" w:color="auto" w:sz="6" w:space="0"/>
            </w:tcBorders>
            <w:noWrap w:val="0"/>
            <w:vAlign w:val="center"/>
          </w:tcPr>
          <w:p w14:paraId="6E12133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20" w:type="dxa"/>
            <w:tcBorders>
              <w:top w:val="double" w:color="auto" w:sz="6" w:space="0"/>
              <w:bottom w:val="single" w:color="auto" w:sz="6" w:space="0"/>
            </w:tcBorders>
            <w:noWrap w:val="0"/>
            <w:vAlign w:val="center"/>
          </w:tcPr>
          <w:p w14:paraId="12D058D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80" w:type="dxa"/>
            <w:tcBorders>
              <w:top w:val="double" w:color="auto" w:sz="6" w:space="0"/>
              <w:bottom w:val="single" w:color="auto" w:sz="6" w:space="0"/>
            </w:tcBorders>
            <w:noWrap w:val="0"/>
            <w:vAlign w:val="center"/>
          </w:tcPr>
          <w:p w14:paraId="1E72361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20" w:type="dxa"/>
            <w:tcBorders>
              <w:top w:val="double" w:color="auto" w:sz="6" w:space="0"/>
              <w:bottom w:val="single" w:color="auto" w:sz="6" w:space="0"/>
            </w:tcBorders>
            <w:noWrap w:val="0"/>
            <w:vAlign w:val="center"/>
          </w:tcPr>
          <w:p w14:paraId="3705586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921" w:type="dxa"/>
            <w:tcBorders>
              <w:top w:val="double" w:color="auto" w:sz="6" w:space="0"/>
              <w:bottom w:val="single" w:color="auto" w:sz="6" w:space="0"/>
            </w:tcBorders>
            <w:noWrap w:val="0"/>
            <w:vAlign w:val="center"/>
          </w:tcPr>
          <w:p w14:paraId="32B30ED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730682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53BB8F7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tcBorders>
              <w:top w:val="nil"/>
            </w:tcBorders>
            <w:noWrap w:val="0"/>
            <w:vAlign w:val="center"/>
          </w:tcPr>
          <w:p w14:paraId="2E908ED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0" w:type="dxa"/>
            <w:tcBorders>
              <w:top w:val="nil"/>
            </w:tcBorders>
            <w:noWrap w:val="0"/>
            <w:vAlign w:val="center"/>
          </w:tcPr>
          <w:p w14:paraId="18A844B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58" w:type="dxa"/>
            <w:tcBorders>
              <w:top w:val="nil"/>
            </w:tcBorders>
            <w:noWrap w:val="0"/>
            <w:vAlign w:val="center"/>
          </w:tcPr>
          <w:p w14:paraId="1CEECCF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80" w:type="dxa"/>
            <w:tcBorders>
              <w:top w:val="nil"/>
            </w:tcBorders>
            <w:noWrap w:val="0"/>
            <w:vAlign w:val="center"/>
          </w:tcPr>
          <w:p w14:paraId="4DE6D1D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20" w:type="dxa"/>
            <w:tcBorders>
              <w:top w:val="nil"/>
            </w:tcBorders>
            <w:noWrap w:val="0"/>
            <w:vAlign w:val="center"/>
          </w:tcPr>
          <w:p w14:paraId="68BF70B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80" w:type="dxa"/>
            <w:tcBorders>
              <w:top w:val="nil"/>
            </w:tcBorders>
            <w:noWrap w:val="0"/>
            <w:vAlign w:val="center"/>
          </w:tcPr>
          <w:p w14:paraId="506C0C5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20" w:type="dxa"/>
            <w:tcBorders>
              <w:top w:val="nil"/>
            </w:tcBorders>
            <w:noWrap w:val="0"/>
            <w:vAlign w:val="center"/>
          </w:tcPr>
          <w:p w14:paraId="2661FCC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921" w:type="dxa"/>
            <w:tcBorders>
              <w:top w:val="nil"/>
            </w:tcBorders>
            <w:noWrap w:val="0"/>
            <w:vAlign w:val="center"/>
          </w:tcPr>
          <w:p w14:paraId="3D68FC0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2E327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FFBE3C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center"/>
          </w:tcPr>
          <w:p w14:paraId="34D325C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0" w:type="dxa"/>
            <w:noWrap w:val="0"/>
            <w:vAlign w:val="center"/>
          </w:tcPr>
          <w:p w14:paraId="0870E7B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58" w:type="dxa"/>
            <w:noWrap w:val="0"/>
            <w:vAlign w:val="center"/>
          </w:tcPr>
          <w:p w14:paraId="2B39AFC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80" w:type="dxa"/>
            <w:noWrap w:val="0"/>
            <w:vAlign w:val="center"/>
          </w:tcPr>
          <w:p w14:paraId="4EFB928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20" w:type="dxa"/>
            <w:noWrap w:val="0"/>
            <w:vAlign w:val="center"/>
          </w:tcPr>
          <w:p w14:paraId="5197889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80" w:type="dxa"/>
            <w:noWrap w:val="0"/>
            <w:vAlign w:val="center"/>
          </w:tcPr>
          <w:p w14:paraId="1AA108B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20" w:type="dxa"/>
            <w:noWrap w:val="0"/>
            <w:vAlign w:val="center"/>
          </w:tcPr>
          <w:p w14:paraId="21014D5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921" w:type="dxa"/>
            <w:noWrap w:val="0"/>
            <w:vAlign w:val="center"/>
          </w:tcPr>
          <w:p w14:paraId="6B1C743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674AFC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99B040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center"/>
          </w:tcPr>
          <w:p w14:paraId="48D5578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0" w:type="dxa"/>
            <w:noWrap w:val="0"/>
            <w:vAlign w:val="center"/>
          </w:tcPr>
          <w:p w14:paraId="02DEECD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58" w:type="dxa"/>
            <w:noWrap w:val="0"/>
            <w:vAlign w:val="center"/>
          </w:tcPr>
          <w:p w14:paraId="398C2D5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80" w:type="dxa"/>
            <w:noWrap w:val="0"/>
            <w:vAlign w:val="center"/>
          </w:tcPr>
          <w:p w14:paraId="1CD22B6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20" w:type="dxa"/>
            <w:noWrap w:val="0"/>
            <w:vAlign w:val="center"/>
          </w:tcPr>
          <w:p w14:paraId="0235652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80" w:type="dxa"/>
            <w:noWrap w:val="0"/>
            <w:vAlign w:val="center"/>
          </w:tcPr>
          <w:p w14:paraId="2C83BA1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20" w:type="dxa"/>
            <w:noWrap w:val="0"/>
            <w:vAlign w:val="center"/>
          </w:tcPr>
          <w:p w14:paraId="2B8734F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921" w:type="dxa"/>
            <w:noWrap w:val="0"/>
            <w:vAlign w:val="center"/>
          </w:tcPr>
          <w:p w14:paraId="35E1541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615C38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079E6DE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center"/>
          </w:tcPr>
          <w:p w14:paraId="0281794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0" w:type="dxa"/>
            <w:noWrap w:val="0"/>
            <w:vAlign w:val="center"/>
          </w:tcPr>
          <w:p w14:paraId="2634C6B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58" w:type="dxa"/>
            <w:noWrap w:val="0"/>
            <w:vAlign w:val="center"/>
          </w:tcPr>
          <w:p w14:paraId="60DC278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80" w:type="dxa"/>
            <w:noWrap w:val="0"/>
            <w:vAlign w:val="center"/>
          </w:tcPr>
          <w:p w14:paraId="7E8B2AF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20" w:type="dxa"/>
            <w:noWrap w:val="0"/>
            <w:vAlign w:val="center"/>
          </w:tcPr>
          <w:p w14:paraId="327FC13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80" w:type="dxa"/>
            <w:noWrap w:val="0"/>
            <w:vAlign w:val="center"/>
          </w:tcPr>
          <w:p w14:paraId="4229A40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20" w:type="dxa"/>
            <w:noWrap w:val="0"/>
            <w:vAlign w:val="center"/>
          </w:tcPr>
          <w:p w14:paraId="6D157A9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921" w:type="dxa"/>
            <w:noWrap w:val="0"/>
            <w:vAlign w:val="center"/>
          </w:tcPr>
          <w:p w14:paraId="57147CB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766B55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33A133D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center"/>
          </w:tcPr>
          <w:p w14:paraId="4FF86C2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0" w:type="dxa"/>
            <w:noWrap w:val="0"/>
            <w:vAlign w:val="center"/>
          </w:tcPr>
          <w:p w14:paraId="3C086A5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58" w:type="dxa"/>
            <w:noWrap w:val="0"/>
            <w:vAlign w:val="center"/>
          </w:tcPr>
          <w:p w14:paraId="3105917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80" w:type="dxa"/>
            <w:noWrap w:val="0"/>
            <w:vAlign w:val="center"/>
          </w:tcPr>
          <w:p w14:paraId="71245ED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20" w:type="dxa"/>
            <w:noWrap w:val="0"/>
            <w:vAlign w:val="center"/>
          </w:tcPr>
          <w:p w14:paraId="4DF668C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80" w:type="dxa"/>
            <w:noWrap w:val="0"/>
            <w:vAlign w:val="center"/>
          </w:tcPr>
          <w:p w14:paraId="13F7869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20" w:type="dxa"/>
            <w:noWrap w:val="0"/>
            <w:vAlign w:val="center"/>
          </w:tcPr>
          <w:p w14:paraId="47895A9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921" w:type="dxa"/>
            <w:noWrap w:val="0"/>
            <w:vAlign w:val="center"/>
          </w:tcPr>
          <w:p w14:paraId="6DD2B1E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10F699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0A7439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center"/>
          </w:tcPr>
          <w:p w14:paraId="79BA738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0" w:type="dxa"/>
            <w:noWrap w:val="0"/>
            <w:vAlign w:val="center"/>
          </w:tcPr>
          <w:p w14:paraId="32EBB43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58" w:type="dxa"/>
            <w:noWrap w:val="0"/>
            <w:vAlign w:val="center"/>
          </w:tcPr>
          <w:p w14:paraId="3DB916C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80" w:type="dxa"/>
            <w:noWrap w:val="0"/>
            <w:vAlign w:val="center"/>
          </w:tcPr>
          <w:p w14:paraId="3C13073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20" w:type="dxa"/>
            <w:noWrap w:val="0"/>
            <w:vAlign w:val="center"/>
          </w:tcPr>
          <w:p w14:paraId="3DB8E35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80" w:type="dxa"/>
            <w:noWrap w:val="0"/>
            <w:vAlign w:val="center"/>
          </w:tcPr>
          <w:p w14:paraId="19492F1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20" w:type="dxa"/>
            <w:noWrap w:val="0"/>
            <w:vAlign w:val="center"/>
          </w:tcPr>
          <w:p w14:paraId="34FCDAA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921" w:type="dxa"/>
            <w:noWrap w:val="0"/>
            <w:vAlign w:val="center"/>
          </w:tcPr>
          <w:p w14:paraId="0A10EBF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0D3F4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0EB8D3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center"/>
          </w:tcPr>
          <w:p w14:paraId="3CB810A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0" w:type="dxa"/>
            <w:noWrap w:val="0"/>
            <w:vAlign w:val="center"/>
          </w:tcPr>
          <w:p w14:paraId="72FE386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58" w:type="dxa"/>
            <w:noWrap w:val="0"/>
            <w:vAlign w:val="center"/>
          </w:tcPr>
          <w:p w14:paraId="0A10C89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80" w:type="dxa"/>
            <w:noWrap w:val="0"/>
            <w:vAlign w:val="center"/>
          </w:tcPr>
          <w:p w14:paraId="4090B97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20" w:type="dxa"/>
            <w:noWrap w:val="0"/>
            <w:vAlign w:val="center"/>
          </w:tcPr>
          <w:p w14:paraId="129BAC3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80" w:type="dxa"/>
            <w:noWrap w:val="0"/>
            <w:vAlign w:val="center"/>
          </w:tcPr>
          <w:p w14:paraId="75791BF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20" w:type="dxa"/>
            <w:noWrap w:val="0"/>
            <w:vAlign w:val="center"/>
          </w:tcPr>
          <w:p w14:paraId="5149B8E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921" w:type="dxa"/>
            <w:noWrap w:val="0"/>
            <w:vAlign w:val="center"/>
          </w:tcPr>
          <w:p w14:paraId="4C8EEA7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0409A5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1B2DC04">
            <w:pPr>
              <w:rPr>
                <w:rFonts w:hint="eastAsia" w:ascii="方正仿宋_GB2312" w:hAnsi="方正仿宋_GB2312" w:eastAsia="方正仿宋_GB2312" w:cs="方正仿宋_GB2312"/>
                <w:color w:val="000000"/>
                <w:sz w:val="24"/>
                <w:szCs w:val="24"/>
                <w:highlight w:val="none"/>
              </w:rPr>
            </w:pPr>
          </w:p>
        </w:tc>
        <w:tc>
          <w:tcPr>
            <w:tcW w:w="1418" w:type="dxa"/>
            <w:noWrap w:val="0"/>
            <w:vAlign w:val="top"/>
          </w:tcPr>
          <w:p w14:paraId="1229EC3A">
            <w:pPr>
              <w:rPr>
                <w:rFonts w:hint="eastAsia" w:ascii="方正仿宋_GB2312" w:hAnsi="方正仿宋_GB2312" w:eastAsia="方正仿宋_GB2312" w:cs="方正仿宋_GB2312"/>
                <w:color w:val="000000"/>
                <w:sz w:val="24"/>
                <w:szCs w:val="24"/>
                <w:highlight w:val="none"/>
              </w:rPr>
            </w:pPr>
          </w:p>
        </w:tc>
        <w:tc>
          <w:tcPr>
            <w:tcW w:w="850" w:type="dxa"/>
            <w:noWrap w:val="0"/>
            <w:vAlign w:val="top"/>
          </w:tcPr>
          <w:p w14:paraId="0E5B10E2">
            <w:pPr>
              <w:rPr>
                <w:rFonts w:hint="eastAsia" w:ascii="方正仿宋_GB2312" w:hAnsi="方正仿宋_GB2312" w:eastAsia="方正仿宋_GB2312" w:cs="方正仿宋_GB2312"/>
                <w:color w:val="000000"/>
                <w:sz w:val="24"/>
                <w:szCs w:val="24"/>
                <w:highlight w:val="none"/>
              </w:rPr>
            </w:pPr>
          </w:p>
        </w:tc>
        <w:tc>
          <w:tcPr>
            <w:tcW w:w="1058" w:type="dxa"/>
            <w:noWrap w:val="0"/>
            <w:vAlign w:val="top"/>
          </w:tcPr>
          <w:p w14:paraId="0EFCDEB5">
            <w:pPr>
              <w:rPr>
                <w:rFonts w:hint="eastAsia" w:ascii="方正仿宋_GB2312" w:hAnsi="方正仿宋_GB2312" w:eastAsia="方正仿宋_GB2312" w:cs="方正仿宋_GB2312"/>
                <w:color w:val="000000"/>
                <w:sz w:val="24"/>
                <w:szCs w:val="24"/>
                <w:highlight w:val="none"/>
              </w:rPr>
            </w:pPr>
          </w:p>
        </w:tc>
        <w:tc>
          <w:tcPr>
            <w:tcW w:w="880" w:type="dxa"/>
            <w:noWrap w:val="0"/>
            <w:vAlign w:val="top"/>
          </w:tcPr>
          <w:p w14:paraId="0B547908">
            <w:pPr>
              <w:rPr>
                <w:rFonts w:hint="eastAsia" w:ascii="方正仿宋_GB2312" w:hAnsi="方正仿宋_GB2312" w:eastAsia="方正仿宋_GB2312" w:cs="方正仿宋_GB2312"/>
                <w:color w:val="000000"/>
                <w:sz w:val="24"/>
                <w:szCs w:val="24"/>
                <w:highlight w:val="none"/>
              </w:rPr>
            </w:pPr>
          </w:p>
        </w:tc>
        <w:tc>
          <w:tcPr>
            <w:tcW w:w="1020" w:type="dxa"/>
            <w:noWrap w:val="0"/>
            <w:vAlign w:val="top"/>
          </w:tcPr>
          <w:p w14:paraId="26DFFD61">
            <w:pPr>
              <w:rPr>
                <w:rFonts w:hint="eastAsia" w:ascii="方正仿宋_GB2312" w:hAnsi="方正仿宋_GB2312" w:eastAsia="方正仿宋_GB2312" w:cs="方正仿宋_GB2312"/>
                <w:color w:val="000000"/>
                <w:sz w:val="24"/>
                <w:szCs w:val="24"/>
                <w:highlight w:val="none"/>
              </w:rPr>
            </w:pPr>
          </w:p>
        </w:tc>
        <w:tc>
          <w:tcPr>
            <w:tcW w:w="1480" w:type="dxa"/>
            <w:noWrap w:val="0"/>
            <w:vAlign w:val="top"/>
          </w:tcPr>
          <w:p w14:paraId="4B34006E">
            <w:pPr>
              <w:rPr>
                <w:rFonts w:hint="eastAsia" w:ascii="方正仿宋_GB2312" w:hAnsi="方正仿宋_GB2312" w:eastAsia="方正仿宋_GB2312" w:cs="方正仿宋_GB2312"/>
                <w:color w:val="000000"/>
                <w:sz w:val="24"/>
                <w:szCs w:val="24"/>
                <w:highlight w:val="none"/>
              </w:rPr>
            </w:pPr>
          </w:p>
        </w:tc>
        <w:tc>
          <w:tcPr>
            <w:tcW w:w="1020" w:type="dxa"/>
            <w:noWrap w:val="0"/>
            <w:vAlign w:val="top"/>
          </w:tcPr>
          <w:p w14:paraId="77B717D9">
            <w:pPr>
              <w:rPr>
                <w:rFonts w:hint="eastAsia" w:ascii="方正仿宋_GB2312" w:hAnsi="方正仿宋_GB2312" w:eastAsia="方正仿宋_GB2312" w:cs="方正仿宋_GB2312"/>
                <w:color w:val="000000"/>
                <w:sz w:val="24"/>
                <w:szCs w:val="24"/>
                <w:highlight w:val="none"/>
              </w:rPr>
            </w:pPr>
          </w:p>
        </w:tc>
        <w:tc>
          <w:tcPr>
            <w:tcW w:w="921" w:type="dxa"/>
            <w:noWrap w:val="0"/>
            <w:vAlign w:val="top"/>
          </w:tcPr>
          <w:p w14:paraId="3D869EC1">
            <w:pPr>
              <w:rPr>
                <w:rFonts w:hint="eastAsia" w:ascii="方正仿宋_GB2312" w:hAnsi="方正仿宋_GB2312" w:eastAsia="方正仿宋_GB2312" w:cs="方正仿宋_GB2312"/>
                <w:color w:val="000000"/>
                <w:sz w:val="24"/>
                <w:szCs w:val="24"/>
                <w:highlight w:val="none"/>
              </w:rPr>
            </w:pPr>
          </w:p>
        </w:tc>
      </w:tr>
      <w:tr w14:paraId="2A3862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0387438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center"/>
          </w:tcPr>
          <w:p w14:paraId="755CFC7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0" w:type="dxa"/>
            <w:noWrap w:val="0"/>
            <w:vAlign w:val="center"/>
          </w:tcPr>
          <w:p w14:paraId="5D2C94B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58" w:type="dxa"/>
            <w:noWrap w:val="0"/>
            <w:vAlign w:val="center"/>
          </w:tcPr>
          <w:p w14:paraId="3254A20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80" w:type="dxa"/>
            <w:noWrap w:val="0"/>
            <w:vAlign w:val="center"/>
          </w:tcPr>
          <w:p w14:paraId="3655C23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20" w:type="dxa"/>
            <w:noWrap w:val="0"/>
            <w:vAlign w:val="center"/>
          </w:tcPr>
          <w:p w14:paraId="2783871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80" w:type="dxa"/>
            <w:noWrap w:val="0"/>
            <w:vAlign w:val="center"/>
          </w:tcPr>
          <w:p w14:paraId="46241CC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020" w:type="dxa"/>
            <w:noWrap w:val="0"/>
            <w:vAlign w:val="center"/>
          </w:tcPr>
          <w:p w14:paraId="34FD2CE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921" w:type="dxa"/>
            <w:noWrap w:val="0"/>
            <w:vAlign w:val="center"/>
          </w:tcPr>
          <w:p w14:paraId="44DE91A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6EEC9C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5F64726">
            <w:pPr>
              <w:rPr>
                <w:rFonts w:hint="eastAsia" w:ascii="方正仿宋_GB2312" w:hAnsi="方正仿宋_GB2312" w:eastAsia="方正仿宋_GB2312" w:cs="方正仿宋_GB2312"/>
                <w:color w:val="000000"/>
                <w:sz w:val="24"/>
                <w:szCs w:val="24"/>
                <w:highlight w:val="none"/>
              </w:rPr>
            </w:pPr>
          </w:p>
        </w:tc>
        <w:tc>
          <w:tcPr>
            <w:tcW w:w="1418" w:type="dxa"/>
            <w:noWrap w:val="0"/>
            <w:vAlign w:val="top"/>
          </w:tcPr>
          <w:p w14:paraId="74E6CCA4">
            <w:pPr>
              <w:rPr>
                <w:rFonts w:hint="eastAsia" w:ascii="方正仿宋_GB2312" w:hAnsi="方正仿宋_GB2312" w:eastAsia="方正仿宋_GB2312" w:cs="方正仿宋_GB2312"/>
                <w:color w:val="000000"/>
                <w:sz w:val="24"/>
                <w:szCs w:val="24"/>
                <w:highlight w:val="none"/>
              </w:rPr>
            </w:pPr>
          </w:p>
        </w:tc>
        <w:tc>
          <w:tcPr>
            <w:tcW w:w="850" w:type="dxa"/>
            <w:noWrap w:val="0"/>
            <w:vAlign w:val="top"/>
          </w:tcPr>
          <w:p w14:paraId="37DC146F">
            <w:pPr>
              <w:rPr>
                <w:rFonts w:hint="eastAsia" w:ascii="方正仿宋_GB2312" w:hAnsi="方正仿宋_GB2312" w:eastAsia="方正仿宋_GB2312" w:cs="方正仿宋_GB2312"/>
                <w:color w:val="000000"/>
                <w:sz w:val="24"/>
                <w:szCs w:val="24"/>
                <w:highlight w:val="none"/>
              </w:rPr>
            </w:pPr>
          </w:p>
        </w:tc>
        <w:tc>
          <w:tcPr>
            <w:tcW w:w="1058" w:type="dxa"/>
            <w:noWrap w:val="0"/>
            <w:vAlign w:val="top"/>
          </w:tcPr>
          <w:p w14:paraId="4CB54F24">
            <w:pPr>
              <w:rPr>
                <w:rFonts w:hint="eastAsia" w:ascii="方正仿宋_GB2312" w:hAnsi="方正仿宋_GB2312" w:eastAsia="方正仿宋_GB2312" w:cs="方正仿宋_GB2312"/>
                <w:color w:val="000000"/>
                <w:sz w:val="24"/>
                <w:szCs w:val="24"/>
                <w:highlight w:val="none"/>
              </w:rPr>
            </w:pPr>
          </w:p>
        </w:tc>
        <w:tc>
          <w:tcPr>
            <w:tcW w:w="880" w:type="dxa"/>
            <w:noWrap w:val="0"/>
            <w:vAlign w:val="top"/>
          </w:tcPr>
          <w:p w14:paraId="4A66B87C">
            <w:pPr>
              <w:rPr>
                <w:rFonts w:hint="eastAsia" w:ascii="方正仿宋_GB2312" w:hAnsi="方正仿宋_GB2312" w:eastAsia="方正仿宋_GB2312" w:cs="方正仿宋_GB2312"/>
                <w:color w:val="000000"/>
                <w:sz w:val="24"/>
                <w:szCs w:val="24"/>
                <w:highlight w:val="none"/>
              </w:rPr>
            </w:pPr>
          </w:p>
        </w:tc>
        <w:tc>
          <w:tcPr>
            <w:tcW w:w="1020" w:type="dxa"/>
            <w:noWrap w:val="0"/>
            <w:vAlign w:val="top"/>
          </w:tcPr>
          <w:p w14:paraId="40EC0962">
            <w:pPr>
              <w:rPr>
                <w:rFonts w:hint="eastAsia" w:ascii="方正仿宋_GB2312" w:hAnsi="方正仿宋_GB2312" w:eastAsia="方正仿宋_GB2312" w:cs="方正仿宋_GB2312"/>
                <w:color w:val="000000"/>
                <w:sz w:val="24"/>
                <w:szCs w:val="24"/>
                <w:highlight w:val="none"/>
              </w:rPr>
            </w:pPr>
          </w:p>
        </w:tc>
        <w:tc>
          <w:tcPr>
            <w:tcW w:w="1480" w:type="dxa"/>
            <w:noWrap w:val="0"/>
            <w:vAlign w:val="top"/>
          </w:tcPr>
          <w:p w14:paraId="7F8DB99E">
            <w:pPr>
              <w:rPr>
                <w:rFonts w:hint="eastAsia" w:ascii="方正仿宋_GB2312" w:hAnsi="方正仿宋_GB2312" w:eastAsia="方正仿宋_GB2312" w:cs="方正仿宋_GB2312"/>
                <w:color w:val="000000"/>
                <w:sz w:val="24"/>
                <w:szCs w:val="24"/>
                <w:highlight w:val="none"/>
              </w:rPr>
            </w:pPr>
          </w:p>
        </w:tc>
        <w:tc>
          <w:tcPr>
            <w:tcW w:w="1020" w:type="dxa"/>
            <w:noWrap w:val="0"/>
            <w:vAlign w:val="top"/>
          </w:tcPr>
          <w:p w14:paraId="2953249E">
            <w:pPr>
              <w:rPr>
                <w:rFonts w:hint="eastAsia" w:ascii="方正仿宋_GB2312" w:hAnsi="方正仿宋_GB2312" w:eastAsia="方正仿宋_GB2312" w:cs="方正仿宋_GB2312"/>
                <w:color w:val="000000"/>
                <w:sz w:val="24"/>
                <w:szCs w:val="24"/>
                <w:highlight w:val="none"/>
              </w:rPr>
            </w:pPr>
          </w:p>
        </w:tc>
        <w:tc>
          <w:tcPr>
            <w:tcW w:w="921" w:type="dxa"/>
            <w:noWrap w:val="0"/>
            <w:vAlign w:val="top"/>
          </w:tcPr>
          <w:p w14:paraId="1EA7095D">
            <w:pPr>
              <w:rPr>
                <w:rFonts w:hint="eastAsia" w:ascii="方正仿宋_GB2312" w:hAnsi="方正仿宋_GB2312" w:eastAsia="方正仿宋_GB2312" w:cs="方正仿宋_GB2312"/>
                <w:color w:val="000000"/>
                <w:sz w:val="24"/>
                <w:szCs w:val="24"/>
                <w:highlight w:val="none"/>
              </w:rPr>
            </w:pPr>
          </w:p>
        </w:tc>
      </w:tr>
      <w:tr w14:paraId="6C350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73A2776">
            <w:pPr>
              <w:rPr>
                <w:rFonts w:hint="eastAsia" w:ascii="方正仿宋_GB2312" w:hAnsi="方正仿宋_GB2312" w:eastAsia="方正仿宋_GB2312" w:cs="方正仿宋_GB2312"/>
                <w:color w:val="000000"/>
                <w:sz w:val="24"/>
                <w:szCs w:val="24"/>
                <w:highlight w:val="none"/>
              </w:rPr>
            </w:pPr>
          </w:p>
        </w:tc>
        <w:tc>
          <w:tcPr>
            <w:tcW w:w="1418" w:type="dxa"/>
            <w:noWrap w:val="0"/>
            <w:vAlign w:val="top"/>
          </w:tcPr>
          <w:p w14:paraId="20990632">
            <w:pPr>
              <w:rPr>
                <w:rFonts w:hint="eastAsia" w:ascii="方正仿宋_GB2312" w:hAnsi="方正仿宋_GB2312" w:eastAsia="方正仿宋_GB2312" w:cs="方正仿宋_GB2312"/>
                <w:color w:val="000000"/>
                <w:sz w:val="24"/>
                <w:szCs w:val="24"/>
                <w:highlight w:val="none"/>
              </w:rPr>
            </w:pPr>
          </w:p>
        </w:tc>
        <w:tc>
          <w:tcPr>
            <w:tcW w:w="850" w:type="dxa"/>
            <w:noWrap w:val="0"/>
            <w:vAlign w:val="top"/>
          </w:tcPr>
          <w:p w14:paraId="012AFD6A">
            <w:pPr>
              <w:rPr>
                <w:rFonts w:hint="eastAsia" w:ascii="方正仿宋_GB2312" w:hAnsi="方正仿宋_GB2312" w:eastAsia="方正仿宋_GB2312" w:cs="方正仿宋_GB2312"/>
                <w:color w:val="000000"/>
                <w:sz w:val="24"/>
                <w:szCs w:val="24"/>
                <w:highlight w:val="none"/>
              </w:rPr>
            </w:pPr>
          </w:p>
        </w:tc>
        <w:tc>
          <w:tcPr>
            <w:tcW w:w="1058" w:type="dxa"/>
            <w:noWrap w:val="0"/>
            <w:vAlign w:val="top"/>
          </w:tcPr>
          <w:p w14:paraId="50965A7E">
            <w:pPr>
              <w:rPr>
                <w:rFonts w:hint="eastAsia" w:ascii="方正仿宋_GB2312" w:hAnsi="方正仿宋_GB2312" w:eastAsia="方正仿宋_GB2312" w:cs="方正仿宋_GB2312"/>
                <w:color w:val="000000"/>
                <w:sz w:val="24"/>
                <w:szCs w:val="24"/>
                <w:highlight w:val="none"/>
              </w:rPr>
            </w:pPr>
          </w:p>
        </w:tc>
        <w:tc>
          <w:tcPr>
            <w:tcW w:w="880" w:type="dxa"/>
            <w:noWrap w:val="0"/>
            <w:vAlign w:val="top"/>
          </w:tcPr>
          <w:p w14:paraId="72F299B2">
            <w:pPr>
              <w:rPr>
                <w:rFonts w:hint="eastAsia" w:ascii="方正仿宋_GB2312" w:hAnsi="方正仿宋_GB2312" w:eastAsia="方正仿宋_GB2312" w:cs="方正仿宋_GB2312"/>
                <w:color w:val="000000"/>
                <w:sz w:val="24"/>
                <w:szCs w:val="24"/>
                <w:highlight w:val="none"/>
              </w:rPr>
            </w:pPr>
          </w:p>
        </w:tc>
        <w:tc>
          <w:tcPr>
            <w:tcW w:w="1020" w:type="dxa"/>
            <w:noWrap w:val="0"/>
            <w:vAlign w:val="top"/>
          </w:tcPr>
          <w:p w14:paraId="77124199">
            <w:pPr>
              <w:rPr>
                <w:rFonts w:hint="eastAsia" w:ascii="方正仿宋_GB2312" w:hAnsi="方正仿宋_GB2312" w:eastAsia="方正仿宋_GB2312" w:cs="方正仿宋_GB2312"/>
                <w:color w:val="000000"/>
                <w:sz w:val="24"/>
                <w:szCs w:val="24"/>
                <w:highlight w:val="none"/>
              </w:rPr>
            </w:pPr>
          </w:p>
        </w:tc>
        <w:tc>
          <w:tcPr>
            <w:tcW w:w="1480" w:type="dxa"/>
            <w:noWrap w:val="0"/>
            <w:vAlign w:val="top"/>
          </w:tcPr>
          <w:p w14:paraId="2D643B84">
            <w:pPr>
              <w:rPr>
                <w:rFonts w:hint="eastAsia" w:ascii="方正仿宋_GB2312" w:hAnsi="方正仿宋_GB2312" w:eastAsia="方正仿宋_GB2312" w:cs="方正仿宋_GB2312"/>
                <w:color w:val="000000"/>
                <w:sz w:val="24"/>
                <w:szCs w:val="24"/>
                <w:highlight w:val="none"/>
              </w:rPr>
            </w:pPr>
          </w:p>
        </w:tc>
        <w:tc>
          <w:tcPr>
            <w:tcW w:w="1020" w:type="dxa"/>
            <w:noWrap w:val="0"/>
            <w:vAlign w:val="top"/>
          </w:tcPr>
          <w:p w14:paraId="0EB4E579">
            <w:pPr>
              <w:rPr>
                <w:rFonts w:hint="eastAsia" w:ascii="方正仿宋_GB2312" w:hAnsi="方正仿宋_GB2312" w:eastAsia="方正仿宋_GB2312" w:cs="方正仿宋_GB2312"/>
                <w:color w:val="000000"/>
                <w:sz w:val="24"/>
                <w:szCs w:val="24"/>
                <w:highlight w:val="none"/>
              </w:rPr>
            </w:pPr>
          </w:p>
        </w:tc>
        <w:tc>
          <w:tcPr>
            <w:tcW w:w="921" w:type="dxa"/>
            <w:noWrap w:val="0"/>
            <w:vAlign w:val="top"/>
          </w:tcPr>
          <w:p w14:paraId="112C86B6">
            <w:pPr>
              <w:rPr>
                <w:rFonts w:hint="eastAsia" w:ascii="方正仿宋_GB2312" w:hAnsi="方正仿宋_GB2312" w:eastAsia="方正仿宋_GB2312" w:cs="方正仿宋_GB2312"/>
                <w:color w:val="000000"/>
                <w:sz w:val="24"/>
                <w:szCs w:val="24"/>
                <w:highlight w:val="none"/>
              </w:rPr>
            </w:pPr>
          </w:p>
        </w:tc>
      </w:tr>
      <w:tr w14:paraId="0769AC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62" w:type="dxa"/>
            <w:noWrap w:val="0"/>
            <w:vAlign w:val="top"/>
          </w:tcPr>
          <w:p w14:paraId="1EC9BA9B">
            <w:pPr>
              <w:rPr>
                <w:rFonts w:hint="eastAsia" w:ascii="方正仿宋_GB2312" w:hAnsi="方正仿宋_GB2312" w:eastAsia="方正仿宋_GB2312" w:cs="方正仿宋_GB2312"/>
                <w:color w:val="000000"/>
                <w:sz w:val="24"/>
                <w:szCs w:val="24"/>
                <w:highlight w:val="none"/>
              </w:rPr>
            </w:pPr>
          </w:p>
        </w:tc>
        <w:tc>
          <w:tcPr>
            <w:tcW w:w="1418" w:type="dxa"/>
            <w:noWrap w:val="0"/>
            <w:vAlign w:val="top"/>
          </w:tcPr>
          <w:p w14:paraId="4EF959A3">
            <w:pPr>
              <w:rPr>
                <w:rFonts w:hint="eastAsia" w:ascii="方正仿宋_GB2312" w:hAnsi="方正仿宋_GB2312" w:eastAsia="方正仿宋_GB2312" w:cs="方正仿宋_GB2312"/>
                <w:color w:val="000000"/>
                <w:sz w:val="24"/>
                <w:szCs w:val="24"/>
                <w:highlight w:val="none"/>
              </w:rPr>
            </w:pPr>
          </w:p>
        </w:tc>
        <w:tc>
          <w:tcPr>
            <w:tcW w:w="850" w:type="dxa"/>
            <w:noWrap w:val="0"/>
            <w:vAlign w:val="top"/>
          </w:tcPr>
          <w:p w14:paraId="176F88DC">
            <w:pPr>
              <w:rPr>
                <w:rFonts w:hint="eastAsia" w:ascii="方正仿宋_GB2312" w:hAnsi="方正仿宋_GB2312" w:eastAsia="方正仿宋_GB2312" w:cs="方正仿宋_GB2312"/>
                <w:color w:val="000000"/>
                <w:sz w:val="24"/>
                <w:szCs w:val="24"/>
                <w:highlight w:val="none"/>
              </w:rPr>
            </w:pPr>
          </w:p>
        </w:tc>
        <w:tc>
          <w:tcPr>
            <w:tcW w:w="1058" w:type="dxa"/>
            <w:noWrap w:val="0"/>
            <w:vAlign w:val="top"/>
          </w:tcPr>
          <w:p w14:paraId="4160B7B0">
            <w:pPr>
              <w:rPr>
                <w:rFonts w:hint="eastAsia" w:ascii="方正仿宋_GB2312" w:hAnsi="方正仿宋_GB2312" w:eastAsia="方正仿宋_GB2312" w:cs="方正仿宋_GB2312"/>
                <w:color w:val="000000"/>
                <w:sz w:val="24"/>
                <w:szCs w:val="24"/>
                <w:highlight w:val="none"/>
              </w:rPr>
            </w:pPr>
          </w:p>
        </w:tc>
        <w:tc>
          <w:tcPr>
            <w:tcW w:w="880" w:type="dxa"/>
            <w:noWrap w:val="0"/>
            <w:vAlign w:val="top"/>
          </w:tcPr>
          <w:p w14:paraId="0ABAE877">
            <w:pPr>
              <w:rPr>
                <w:rFonts w:hint="eastAsia" w:ascii="方正仿宋_GB2312" w:hAnsi="方正仿宋_GB2312" w:eastAsia="方正仿宋_GB2312" w:cs="方正仿宋_GB2312"/>
                <w:color w:val="000000"/>
                <w:sz w:val="24"/>
                <w:szCs w:val="24"/>
                <w:highlight w:val="none"/>
              </w:rPr>
            </w:pPr>
          </w:p>
        </w:tc>
        <w:tc>
          <w:tcPr>
            <w:tcW w:w="1020" w:type="dxa"/>
            <w:noWrap w:val="0"/>
            <w:vAlign w:val="top"/>
          </w:tcPr>
          <w:p w14:paraId="2607187C">
            <w:pPr>
              <w:rPr>
                <w:rFonts w:hint="eastAsia" w:ascii="方正仿宋_GB2312" w:hAnsi="方正仿宋_GB2312" w:eastAsia="方正仿宋_GB2312" w:cs="方正仿宋_GB2312"/>
                <w:color w:val="000000"/>
                <w:sz w:val="24"/>
                <w:szCs w:val="24"/>
                <w:highlight w:val="none"/>
              </w:rPr>
            </w:pPr>
          </w:p>
        </w:tc>
        <w:tc>
          <w:tcPr>
            <w:tcW w:w="1480" w:type="dxa"/>
            <w:noWrap w:val="0"/>
            <w:vAlign w:val="top"/>
          </w:tcPr>
          <w:p w14:paraId="4AC2A7B7">
            <w:pPr>
              <w:rPr>
                <w:rFonts w:hint="eastAsia" w:ascii="方正仿宋_GB2312" w:hAnsi="方正仿宋_GB2312" w:eastAsia="方正仿宋_GB2312" w:cs="方正仿宋_GB2312"/>
                <w:color w:val="000000"/>
                <w:sz w:val="24"/>
                <w:szCs w:val="24"/>
                <w:highlight w:val="none"/>
              </w:rPr>
            </w:pPr>
          </w:p>
        </w:tc>
        <w:tc>
          <w:tcPr>
            <w:tcW w:w="1020" w:type="dxa"/>
            <w:noWrap w:val="0"/>
            <w:vAlign w:val="top"/>
          </w:tcPr>
          <w:p w14:paraId="2D94AE1B">
            <w:pPr>
              <w:rPr>
                <w:rFonts w:hint="eastAsia" w:ascii="方正仿宋_GB2312" w:hAnsi="方正仿宋_GB2312" w:eastAsia="方正仿宋_GB2312" w:cs="方正仿宋_GB2312"/>
                <w:color w:val="000000"/>
                <w:sz w:val="24"/>
                <w:szCs w:val="24"/>
                <w:highlight w:val="none"/>
              </w:rPr>
            </w:pPr>
          </w:p>
        </w:tc>
        <w:tc>
          <w:tcPr>
            <w:tcW w:w="921" w:type="dxa"/>
            <w:noWrap w:val="0"/>
            <w:vAlign w:val="top"/>
          </w:tcPr>
          <w:p w14:paraId="2CB89696">
            <w:pPr>
              <w:rPr>
                <w:rFonts w:hint="eastAsia" w:ascii="方正仿宋_GB2312" w:hAnsi="方正仿宋_GB2312" w:eastAsia="方正仿宋_GB2312" w:cs="方正仿宋_GB2312"/>
                <w:color w:val="000000"/>
                <w:sz w:val="24"/>
                <w:szCs w:val="24"/>
                <w:highlight w:val="none"/>
              </w:rPr>
            </w:pPr>
          </w:p>
        </w:tc>
      </w:tr>
      <w:tr w14:paraId="419AF1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03AE0C8">
            <w:pPr>
              <w:rPr>
                <w:rFonts w:hint="eastAsia" w:ascii="方正仿宋_GB2312" w:hAnsi="方正仿宋_GB2312" w:eastAsia="方正仿宋_GB2312" w:cs="方正仿宋_GB2312"/>
                <w:color w:val="000000"/>
                <w:sz w:val="24"/>
                <w:szCs w:val="24"/>
                <w:highlight w:val="none"/>
              </w:rPr>
            </w:pPr>
          </w:p>
        </w:tc>
        <w:tc>
          <w:tcPr>
            <w:tcW w:w="1418" w:type="dxa"/>
            <w:noWrap w:val="0"/>
            <w:vAlign w:val="top"/>
          </w:tcPr>
          <w:p w14:paraId="317B4B99">
            <w:pPr>
              <w:rPr>
                <w:rFonts w:hint="eastAsia" w:ascii="方正仿宋_GB2312" w:hAnsi="方正仿宋_GB2312" w:eastAsia="方正仿宋_GB2312" w:cs="方正仿宋_GB2312"/>
                <w:color w:val="000000"/>
                <w:sz w:val="24"/>
                <w:szCs w:val="24"/>
                <w:highlight w:val="none"/>
              </w:rPr>
            </w:pPr>
          </w:p>
        </w:tc>
        <w:tc>
          <w:tcPr>
            <w:tcW w:w="850" w:type="dxa"/>
            <w:noWrap w:val="0"/>
            <w:vAlign w:val="top"/>
          </w:tcPr>
          <w:p w14:paraId="38A58CE9">
            <w:pPr>
              <w:rPr>
                <w:rFonts w:hint="eastAsia" w:ascii="方正仿宋_GB2312" w:hAnsi="方正仿宋_GB2312" w:eastAsia="方正仿宋_GB2312" w:cs="方正仿宋_GB2312"/>
                <w:color w:val="000000"/>
                <w:sz w:val="24"/>
                <w:szCs w:val="24"/>
                <w:highlight w:val="none"/>
              </w:rPr>
            </w:pPr>
          </w:p>
        </w:tc>
        <w:tc>
          <w:tcPr>
            <w:tcW w:w="1058" w:type="dxa"/>
            <w:noWrap w:val="0"/>
            <w:vAlign w:val="top"/>
          </w:tcPr>
          <w:p w14:paraId="658D2A1E">
            <w:pPr>
              <w:rPr>
                <w:rFonts w:hint="eastAsia" w:ascii="方正仿宋_GB2312" w:hAnsi="方正仿宋_GB2312" w:eastAsia="方正仿宋_GB2312" w:cs="方正仿宋_GB2312"/>
                <w:color w:val="000000"/>
                <w:sz w:val="24"/>
                <w:szCs w:val="24"/>
                <w:highlight w:val="none"/>
              </w:rPr>
            </w:pPr>
          </w:p>
        </w:tc>
        <w:tc>
          <w:tcPr>
            <w:tcW w:w="880" w:type="dxa"/>
            <w:noWrap w:val="0"/>
            <w:vAlign w:val="top"/>
          </w:tcPr>
          <w:p w14:paraId="4642684F">
            <w:pPr>
              <w:rPr>
                <w:rFonts w:hint="eastAsia" w:ascii="方正仿宋_GB2312" w:hAnsi="方正仿宋_GB2312" w:eastAsia="方正仿宋_GB2312" w:cs="方正仿宋_GB2312"/>
                <w:color w:val="000000"/>
                <w:sz w:val="24"/>
                <w:szCs w:val="24"/>
                <w:highlight w:val="none"/>
              </w:rPr>
            </w:pPr>
          </w:p>
        </w:tc>
        <w:tc>
          <w:tcPr>
            <w:tcW w:w="1020" w:type="dxa"/>
            <w:noWrap w:val="0"/>
            <w:vAlign w:val="top"/>
          </w:tcPr>
          <w:p w14:paraId="51BD18FF">
            <w:pPr>
              <w:rPr>
                <w:rFonts w:hint="eastAsia" w:ascii="方正仿宋_GB2312" w:hAnsi="方正仿宋_GB2312" w:eastAsia="方正仿宋_GB2312" w:cs="方正仿宋_GB2312"/>
                <w:color w:val="000000"/>
                <w:sz w:val="24"/>
                <w:szCs w:val="24"/>
                <w:highlight w:val="none"/>
              </w:rPr>
            </w:pPr>
          </w:p>
        </w:tc>
        <w:tc>
          <w:tcPr>
            <w:tcW w:w="1480" w:type="dxa"/>
            <w:noWrap w:val="0"/>
            <w:vAlign w:val="top"/>
          </w:tcPr>
          <w:p w14:paraId="3695F5EF">
            <w:pPr>
              <w:rPr>
                <w:rFonts w:hint="eastAsia" w:ascii="方正仿宋_GB2312" w:hAnsi="方正仿宋_GB2312" w:eastAsia="方正仿宋_GB2312" w:cs="方正仿宋_GB2312"/>
                <w:color w:val="000000"/>
                <w:sz w:val="24"/>
                <w:szCs w:val="24"/>
                <w:highlight w:val="none"/>
              </w:rPr>
            </w:pPr>
          </w:p>
        </w:tc>
        <w:tc>
          <w:tcPr>
            <w:tcW w:w="1020" w:type="dxa"/>
            <w:noWrap w:val="0"/>
            <w:vAlign w:val="top"/>
          </w:tcPr>
          <w:p w14:paraId="4474BA7D">
            <w:pPr>
              <w:rPr>
                <w:rFonts w:hint="eastAsia" w:ascii="方正仿宋_GB2312" w:hAnsi="方正仿宋_GB2312" w:eastAsia="方正仿宋_GB2312" w:cs="方正仿宋_GB2312"/>
                <w:color w:val="000000"/>
                <w:sz w:val="24"/>
                <w:szCs w:val="24"/>
                <w:highlight w:val="none"/>
              </w:rPr>
            </w:pPr>
          </w:p>
        </w:tc>
        <w:tc>
          <w:tcPr>
            <w:tcW w:w="921" w:type="dxa"/>
            <w:noWrap w:val="0"/>
            <w:vAlign w:val="top"/>
          </w:tcPr>
          <w:p w14:paraId="277960A8">
            <w:pPr>
              <w:rPr>
                <w:rFonts w:hint="eastAsia" w:ascii="方正仿宋_GB2312" w:hAnsi="方正仿宋_GB2312" w:eastAsia="方正仿宋_GB2312" w:cs="方正仿宋_GB2312"/>
                <w:color w:val="000000"/>
                <w:sz w:val="24"/>
                <w:szCs w:val="24"/>
                <w:highlight w:val="none"/>
              </w:rPr>
            </w:pPr>
          </w:p>
        </w:tc>
      </w:tr>
      <w:tr w14:paraId="329E8D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3C4B912">
            <w:pPr>
              <w:rPr>
                <w:rFonts w:hint="eastAsia" w:ascii="方正仿宋_GB2312" w:hAnsi="方正仿宋_GB2312" w:eastAsia="方正仿宋_GB2312" w:cs="方正仿宋_GB2312"/>
                <w:color w:val="000000"/>
                <w:sz w:val="24"/>
                <w:szCs w:val="24"/>
                <w:highlight w:val="none"/>
              </w:rPr>
            </w:pPr>
          </w:p>
        </w:tc>
        <w:tc>
          <w:tcPr>
            <w:tcW w:w="1418" w:type="dxa"/>
            <w:noWrap w:val="0"/>
            <w:vAlign w:val="top"/>
          </w:tcPr>
          <w:p w14:paraId="4B29D71C">
            <w:pPr>
              <w:rPr>
                <w:rFonts w:hint="eastAsia" w:ascii="方正仿宋_GB2312" w:hAnsi="方正仿宋_GB2312" w:eastAsia="方正仿宋_GB2312" w:cs="方正仿宋_GB2312"/>
                <w:color w:val="000000"/>
                <w:sz w:val="24"/>
                <w:szCs w:val="24"/>
                <w:highlight w:val="none"/>
              </w:rPr>
            </w:pPr>
          </w:p>
        </w:tc>
        <w:tc>
          <w:tcPr>
            <w:tcW w:w="850" w:type="dxa"/>
            <w:noWrap w:val="0"/>
            <w:vAlign w:val="top"/>
          </w:tcPr>
          <w:p w14:paraId="6FDF1FD5">
            <w:pPr>
              <w:rPr>
                <w:rFonts w:hint="eastAsia" w:ascii="方正仿宋_GB2312" w:hAnsi="方正仿宋_GB2312" w:eastAsia="方正仿宋_GB2312" w:cs="方正仿宋_GB2312"/>
                <w:color w:val="000000"/>
                <w:sz w:val="24"/>
                <w:szCs w:val="24"/>
                <w:highlight w:val="none"/>
              </w:rPr>
            </w:pPr>
          </w:p>
        </w:tc>
        <w:tc>
          <w:tcPr>
            <w:tcW w:w="1058" w:type="dxa"/>
            <w:noWrap w:val="0"/>
            <w:vAlign w:val="top"/>
          </w:tcPr>
          <w:p w14:paraId="17A89B16">
            <w:pPr>
              <w:rPr>
                <w:rFonts w:hint="eastAsia" w:ascii="方正仿宋_GB2312" w:hAnsi="方正仿宋_GB2312" w:eastAsia="方正仿宋_GB2312" w:cs="方正仿宋_GB2312"/>
                <w:color w:val="000000"/>
                <w:sz w:val="24"/>
                <w:szCs w:val="24"/>
                <w:highlight w:val="none"/>
              </w:rPr>
            </w:pPr>
          </w:p>
        </w:tc>
        <w:tc>
          <w:tcPr>
            <w:tcW w:w="880" w:type="dxa"/>
            <w:noWrap w:val="0"/>
            <w:vAlign w:val="top"/>
          </w:tcPr>
          <w:p w14:paraId="3E76636D">
            <w:pPr>
              <w:rPr>
                <w:rFonts w:hint="eastAsia" w:ascii="方正仿宋_GB2312" w:hAnsi="方正仿宋_GB2312" w:eastAsia="方正仿宋_GB2312" w:cs="方正仿宋_GB2312"/>
                <w:color w:val="000000"/>
                <w:sz w:val="24"/>
                <w:szCs w:val="24"/>
                <w:highlight w:val="none"/>
              </w:rPr>
            </w:pPr>
          </w:p>
        </w:tc>
        <w:tc>
          <w:tcPr>
            <w:tcW w:w="1020" w:type="dxa"/>
            <w:noWrap w:val="0"/>
            <w:vAlign w:val="top"/>
          </w:tcPr>
          <w:p w14:paraId="34949703">
            <w:pPr>
              <w:rPr>
                <w:rFonts w:hint="eastAsia" w:ascii="方正仿宋_GB2312" w:hAnsi="方正仿宋_GB2312" w:eastAsia="方正仿宋_GB2312" w:cs="方正仿宋_GB2312"/>
                <w:color w:val="000000"/>
                <w:sz w:val="24"/>
                <w:szCs w:val="24"/>
                <w:highlight w:val="none"/>
              </w:rPr>
            </w:pPr>
          </w:p>
        </w:tc>
        <w:tc>
          <w:tcPr>
            <w:tcW w:w="1480" w:type="dxa"/>
            <w:noWrap w:val="0"/>
            <w:vAlign w:val="top"/>
          </w:tcPr>
          <w:p w14:paraId="7709CD2E">
            <w:pPr>
              <w:rPr>
                <w:rFonts w:hint="eastAsia" w:ascii="方正仿宋_GB2312" w:hAnsi="方正仿宋_GB2312" w:eastAsia="方正仿宋_GB2312" w:cs="方正仿宋_GB2312"/>
                <w:color w:val="000000"/>
                <w:sz w:val="24"/>
                <w:szCs w:val="24"/>
                <w:highlight w:val="none"/>
              </w:rPr>
            </w:pPr>
          </w:p>
        </w:tc>
        <w:tc>
          <w:tcPr>
            <w:tcW w:w="1020" w:type="dxa"/>
            <w:noWrap w:val="0"/>
            <w:vAlign w:val="top"/>
          </w:tcPr>
          <w:p w14:paraId="4CF950F1">
            <w:pPr>
              <w:rPr>
                <w:rFonts w:hint="eastAsia" w:ascii="方正仿宋_GB2312" w:hAnsi="方正仿宋_GB2312" w:eastAsia="方正仿宋_GB2312" w:cs="方正仿宋_GB2312"/>
                <w:color w:val="000000"/>
                <w:sz w:val="24"/>
                <w:szCs w:val="24"/>
                <w:highlight w:val="none"/>
              </w:rPr>
            </w:pPr>
          </w:p>
        </w:tc>
        <w:tc>
          <w:tcPr>
            <w:tcW w:w="921" w:type="dxa"/>
            <w:noWrap w:val="0"/>
            <w:vAlign w:val="top"/>
          </w:tcPr>
          <w:p w14:paraId="4899FD2E">
            <w:pPr>
              <w:rPr>
                <w:rFonts w:hint="eastAsia" w:ascii="方正仿宋_GB2312" w:hAnsi="方正仿宋_GB2312" w:eastAsia="方正仿宋_GB2312" w:cs="方正仿宋_GB2312"/>
                <w:color w:val="000000"/>
                <w:sz w:val="24"/>
                <w:szCs w:val="24"/>
                <w:highlight w:val="none"/>
              </w:rPr>
            </w:pPr>
          </w:p>
        </w:tc>
      </w:tr>
      <w:tr w14:paraId="1A0623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09919E5">
            <w:pPr>
              <w:rPr>
                <w:rFonts w:hint="eastAsia" w:ascii="方正仿宋_GB2312" w:hAnsi="方正仿宋_GB2312" w:eastAsia="方正仿宋_GB2312" w:cs="方正仿宋_GB2312"/>
                <w:color w:val="000000"/>
                <w:sz w:val="24"/>
                <w:szCs w:val="24"/>
                <w:highlight w:val="none"/>
              </w:rPr>
            </w:pPr>
          </w:p>
        </w:tc>
        <w:tc>
          <w:tcPr>
            <w:tcW w:w="1418" w:type="dxa"/>
            <w:noWrap w:val="0"/>
            <w:vAlign w:val="top"/>
          </w:tcPr>
          <w:p w14:paraId="68E76147">
            <w:pPr>
              <w:rPr>
                <w:rFonts w:hint="eastAsia" w:ascii="方正仿宋_GB2312" w:hAnsi="方正仿宋_GB2312" w:eastAsia="方正仿宋_GB2312" w:cs="方正仿宋_GB2312"/>
                <w:color w:val="000000"/>
                <w:sz w:val="24"/>
                <w:szCs w:val="24"/>
                <w:highlight w:val="none"/>
              </w:rPr>
            </w:pPr>
          </w:p>
        </w:tc>
        <w:tc>
          <w:tcPr>
            <w:tcW w:w="850" w:type="dxa"/>
            <w:noWrap w:val="0"/>
            <w:vAlign w:val="top"/>
          </w:tcPr>
          <w:p w14:paraId="25C21422">
            <w:pPr>
              <w:rPr>
                <w:rFonts w:hint="eastAsia" w:ascii="方正仿宋_GB2312" w:hAnsi="方正仿宋_GB2312" w:eastAsia="方正仿宋_GB2312" w:cs="方正仿宋_GB2312"/>
                <w:color w:val="000000"/>
                <w:sz w:val="24"/>
                <w:szCs w:val="24"/>
                <w:highlight w:val="none"/>
              </w:rPr>
            </w:pPr>
          </w:p>
        </w:tc>
        <w:tc>
          <w:tcPr>
            <w:tcW w:w="1058" w:type="dxa"/>
            <w:noWrap w:val="0"/>
            <w:vAlign w:val="top"/>
          </w:tcPr>
          <w:p w14:paraId="0C2C3A03">
            <w:pPr>
              <w:rPr>
                <w:rFonts w:hint="eastAsia" w:ascii="方正仿宋_GB2312" w:hAnsi="方正仿宋_GB2312" w:eastAsia="方正仿宋_GB2312" w:cs="方正仿宋_GB2312"/>
                <w:color w:val="000000"/>
                <w:sz w:val="24"/>
                <w:szCs w:val="24"/>
                <w:highlight w:val="none"/>
              </w:rPr>
            </w:pPr>
          </w:p>
        </w:tc>
        <w:tc>
          <w:tcPr>
            <w:tcW w:w="880" w:type="dxa"/>
            <w:noWrap w:val="0"/>
            <w:vAlign w:val="top"/>
          </w:tcPr>
          <w:p w14:paraId="7366EA6C">
            <w:pPr>
              <w:rPr>
                <w:rFonts w:hint="eastAsia" w:ascii="方正仿宋_GB2312" w:hAnsi="方正仿宋_GB2312" w:eastAsia="方正仿宋_GB2312" w:cs="方正仿宋_GB2312"/>
                <w:color w:val="000000"/>
                <w:sz w:val="24"/>
                <w:szCs w:val="24"/>
                <w:highlight w:val="none"/>
              </w:rPr>
            </w:pPr>
          </w:p>
        </w:tc>
        <w:tc>
          <w:tcPr>
            <w:tcW w:w="1020" w:type="dxa"/>
            <w:noWrap w:val="0"/>
            <w:vAlign w:val="top"/>
          </w:tcPr>
          <w:p w14:paraId="76AE1B69">
            <w:pPr>
              <w:rPr>
                <w:rFonts w:hint="eastAsia" w:ascii="方正仿宋_GB2312" w:hAnsi="方正仿宋_GB2312" w:eastAsia="方正仿宋_GB2312" w:cs="方正仿宋_GB2312"/>
                <w:color w:val="000000"/>
                <w:sz w:val="24"/>
                <w:szCs w:val="24"/>
                <w:highlight w:val="none"/>
              </w:rPr>
            </w:pPr>
          </w:p>
        </w:tc>
        <w:tc>
          <w:tcPr>
            <w:tcW w:w="1480" w:type="dxa"/>
            <w:noWrap w:val="0"/>
            <w:vAlign w:val="top"/>
          </w:tcPr>
          <w:p w14:paraId="20AE7371">
            <w:pPr>
              <w:rPr>
                <w:rFonts w:hint="eastAsia" w:ascii="方正仿宋_GB2312" w:hAnsi="方正仿宋_GB2312" w:eastAsia="方正仿宋_GB2312" w:cs="方正仿宋_GB2312"/>
                <w:color w:val="000000"/>
                <w:sz w:val="24"/>
                <w:szCs w:val="24"/>
                <w:highlight w:val="none"/>
              </w:rPr>
            </w:pPr>
          </w:p>
        </w:tc>
        <w:tc>
          <w:tcPr>
            <w:tcW w:w="1020" w:type="dxa"/>
            <w:noWrap w:val="0"/>
            <w:vAlign w:val="top"/>
          </w:tcPr>
          <w:p w14:paraId="1C466B8C">
            <w:pPr>
              <w:rPr>
                <w:rFonts w:hint="eastAsia" w:ascii="方正仿宋_GB2312" w:hAnsi="方正仿宋_GB2312" w:eastAsia="方正仿宋_GB2312" w:cs="方正仿宋_GB2312"/>
                <w:color w:val="000000"/>
                <w:sz w:val="24"/>
                <w:szCs w:val="24"/>
                <w:highlight w:val="none"/>
              </w:rPr>
            </w:pPr>
          </w:p>
        </w:tc>
        <w:tc>
          <w:tcPr>
            <w:tcW w:w="921" w:type="dxa"/>
            <w:noWrap w:val="0"/>
            <w:vAlign w:val="top"/>
          </w:tcPr>
          <w:p w14:paraId="6509FF58">
            <w:pPr>
              <w:rPr>
                <w:rFonts w:hint="eastAsia" w:ascii="方正仿宋_GB2312" w:hAnsi="方正仿宋_GB2312" w:eastAsia="方正仿宋_GB2312" w:cs="方正仿宋_GB2312"/>
                <w:color w:val="000000"/>
                <w:sz w:val="24"/>
                <w:szCs w:val="24"/>
                <w:highlight w:val="none"/>
              </w:rPr>
            </w:pPr>
          </w:p>
        </w:tc>
      </w:tr>
      <w:tr w14:paraId="561A82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4962B61">
            <w:pPr>
              <w:rPr>
                <w:rFonts w:hint="eastAsia" w:ascii="方正仿宋_GB2312" w:hAnsi="方正仿宋_GB2312" w:eastAsia="方正仿宋_GB2312" w:cs="方正仿宋_GB2312"/>
                <w:color w:val="000000"/>
                <w:sz w:val="24"/>
                <w:szCs w:val="24"/>
                <w:highlight w:val="none"/>
              </w:rPr>
            </w:pPr>
          </w:p>
        </w:tc>
        <w:tc>
          <w:tcPr>
            <w:tcW w:w="1418" w:type="dxa"/>
            <w:noWrap w:val="0"/>
            <w:vAlign w:val="top"/>
          </w:tcPr>
          <w:p w14:paraId="1724249C">
            <w:pPr>
              <w:rPr>
                <w:rFonts w:hint="eastAsia" w:ascii="方正仿宋_GB2312" w:hAnsi="方正仿宋_GB2312" w:eastAsia="方正仿宋_GB2312" w:cs="方正仿宋_GB2312"/>
                <w:color w:val="000000"/>
                <w:sz w:val="24"/>
                <w:szCs w:val="24"/>
                <w:highlight w:val="none"/>
              </w:rPr>
            </w:pPr>
          </w:p>
        </w:tc>
        <w:tc>
          <w:tcPr>
            <w:tcW w:w="850" w:type="dxa"/>
            <w:noWrap w:val="0"/>
            <w:vAlign w:val="top"/>
          </w:tcPr>
          <w:p w14:paraId="3302E5B0">
            <w:pPr>
              <w:rPr>
                <w:rFonts w:hint="eastAsia" w:ascii="方正仿宋_GB2312" w:hAnsi="方正仿宋_GB2312" w:eastAsia="方正仿宋_GB2312" w:cs="方正仿宋_GB2312"/>
                <w:color w:val="000000"/>
                <w:sz w:val="24"/>
                <w:szCs w:val="24"/>
                <w:highlight w:val="none"/>
              </w:rPr>
            </w:pPr>
          </w:p>
        </w:tc>
        <w:tc>
          <w:tcPr>
            <w:tcW w:w="1058" w:type="dxa"/>
            <w:noWrap w:val="0"/>
            <w:vAlign w:val="top"/>
          </w:tcPr>
          <w:p w14:paraId="56924CB4">
            <w:pPr>
              <w:rPr>
                <w:rFonts w:hint="eastAsia" w:ascii="方正仿宋_GB2312" w:hAnsi="方正仿宋_GB2312" w:eastAsia="方正仿宋_GB2312" w:cs="方正仿宋_GB2312"/>
                <w:color w:val="000000"/>
                <w:sz w:val="24"/>
                <w:szCs w:val="24"/>
                <w:highlight w:val="none"/>
              </w:rPr>
            </w:pPr>
          </w:p>
        </w:tc>
        <w:tc>
          <w:tcPr>
            <w:tcW w:w="880" w:type="dxa"/>
            <w:noWrap w:val="0"/>
            <w:vAlign w:val="top"/>
          </w:tcPr>
          <w:p w14:paraId="4C084634">
            <w:pPr>
              <w:rPr>
                <w:rFonts w:hint="eastAsia" w:ascii="方正仿宋_GB2312" w:hAnsi="方正仿宋_GB2312" w:eastAsia="方正仿宋_GB2312" w:cs="方正仿宋_GB2312"/>
                <w:color w:val="000000"/>
                <w:sz w:val="24"/>
                <w:szCs w:val="24"/>
                <w:highlight w:val="none"/>
              </w:rPr>
            </w:pPr>
          </w:p>
        </w:tc>
        <w:tc>
          <w:tcPr>
            <w:tcW w:w="1020" w:type="dxa"/>
            <w:noWrap w:val="0"/>
            <w:vAlign w:val="top"/>
          </w:tcPr>
          <w:p w14:paraId="647B57E2">
            <w:pPr>
              <w:rPr>
                <w:rFonts w:hint="eastAsia" w:ascii="方正仿宋_GB2312" w:hAnsi="方正仿宋_GB2312" w:eastAsia="方正仿宋_GB2312" w:cs="方正仿宋_GB2312"/>
                <w:color w:val="000000"/>
                <w:sz w:val="24"/>
                <w:szCs w:val="24"/>
                <w:highlight w:val="none"/>
              </w:rPr>
            </w:pPr>
          </w:p>
        </w:tc>
        <w:tc>
          <w:tcPr>
            <w:tcW w:w="1480" w:type="dxa"/>
            <w:noWrap w:val="0"/>
            <w:vAlign w:val="top"/>
          </w:tcPr>
          <w:p w14:paraId="7053D168">
            <w:pPr>
              <w:rPr>
                <w:rFonts w:hint="eastAsia" w:ascii="方正仿宋_GB2312" w:hAnsi="方正仿宋_GB2312" w:eastAsia="方正仿宋_GB2312" w:cs="方正仿宋_GB2312"/>
                <w:color w:val="000000"/>
                <w:sz w:val="24"/>
                <w:szCs w:val="24"/>
                <w:highlight w:val="none"/>
              </w:rPr>
            </w:pPr>
          </w:p>
        </w:tc>
        <w:tc>
          <w:tcPr>
            <w:tcW w:w="1020" w:type="dxa"/>
            <w:noWrap w:val="0"/>
            <w:vAlign w:val="top"/>
          </w:tcPr>
          <w:p w14:paraId="6A944214">
            <w:pPr>
              <w:rPr>
                <w:rFonts w:hint="eastAsia" w:ascii="方正仿宋_GB2312" w:hAnsi="方正仿宋_GB2312" w:eastAsia="方正仿宋_GB2312" w:cs="方正仿宋_GB2312"/>
                <w:color w:val="000000"/>
                <w:sz w:val="24"/>
                <w:szCs w:val="24"/>
                <w:highlight w:val="none"/>
              </w:rPr>
            </w:pPr>
          </w:p>
        </w:tc>
        <w:tc>
          <w:tcPr>
            <w:tcW w:w="921" w:type="dxa"/>
            <w:noWrap w:val="0"/>
            <w:vAlign w:val="top"/>
          </w:tcPr>
          <w:p w14:paraId="56B08C61">
            <w:pPr>
              <w:rPr>
                <w:rFonts w:hint="eastAsia" w:ascii="方正仿宋_GB2312" w:hAnsi="方正仿宋_GB2312" w:eastAsia="方正仿宋_GB2312" w:cs="方正仿宋_GB2312"/>
                <w:color w:val="000000"/>
                <w:sz w:val="24"/>
                <w:szCs w:val="24"/>
                <w:highlight w:val="none"/>
              </w:rPr>
            </w:pPr>
          </w:p>
        </w:tc>
      </w:tr>
      <w:tr w14:paraId="3E7552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724F417">
            <w:pPr>
              <w:rPr>
                <w:rFonts w:hint="eastAsia" w:ascii="方正仿宋_GB2312" w:hAnsi="方正仿宋_GB2312" w:eastAsia="方正仿宋_GB2312" w:cs="方正仿宋_GB2312"/>
                <w:color w:val="000000"/>
                <w:sz w:val="24"/>
                <w:szCs w:val="24"/>
                <w:highlight w:val="none"/>
              </w:rPr>
            </w:pPr>
          </w:p>
        </w:tc>
        <w:tc>
          <w:tcPr>
            <w:tcW w:w="1418" w:type="dxa"/>
            <w:noWrap w:val="0"/>
            <w:vAlign w:val="top"/>
          </w:tcPr>
          <w:p w14:paraId="7DAE8DFF">
            <w:pPr>
              <w:rPr>
                <w:rFonts w:hint="eastAsia" w:ascii="方正仿宋_GB2312" w:hAnsi="方正仿宋_GB2312" w:eastAsia="方正仿宋_GB2312" w:cs="方正仿宋_GB2312"/>
                <w:color w:val="000000"/>
                <w:sz w:val="24"/>
                <w:szCs w:val="24"/>
                <w:highlight w:val="none"/>
              </w:rPr>
            </w:pPr>
          </w:p>
        </w:tc>
        <w:tc>
          <w:tcPr>
            <w:tcW w:w="850" w:type="dxa"/>
            <w:noWrap w:val="0"/>
            <w:vAlign w:val="top"/>
          </w:tcPr>
          <w:p w14:paraId="2A6A3399">
            <w:pPr>
              <w:rPr>
                <w:rFonts w:hint="eastAsia" w:ascii="方正仿宋_GB2312" w:hAnsi="方正仿宋_GB2312" w:eastAsia="方正仿宋_GB2312" w:cs="方正仿宋_GB2312"/>
                <w:color w:val="000000"/>
                <w:sz w:val="24"/>
                <w:szCs w:val="24"/>
                <w:highlight w:val="none"/>
              </w:rPr>
            </w:pPr>
          </w:p>
        </w:tc>
        <w:tc>
          <w:tcPr>
            <w:tcW w:w="1058" w:type="dxa"/>
            <w:noWrap w:val="0"/>
            <w:vAlign w:val="top"/>
          </w:tcPr>
          <w:p w14:paraId="27FC142A">
            <w:pPr>
              <w:rPr>
                <w:rFonts w:hint="eastAsia" w:ascii="方正仿宋_GB2312" w:hAnsi="方正仿宋_GB2312" w:eastAsia="方正仿宋_GB2312" w:cs="方正仿宋_GB2312"/>
                <w:color w:val="000000"/>
                <w:sz w:val="24"/>
                <w:szCs w:val="24"/>
                <w:highlight w:val="none"/>
              </w:rPr>
            </w:pPr>
          </w:p>
        </w:tc>
        <w:tc>
          <w:tcPr>
            <w:tcW w:w="880" w:type="dxa"/>
            <w:noWrap w:val="0"/>
            <w:vAlign w:val="top"/>
          </w:tcPr>
          <w:p w14:paraId="51E619AE">
            <w:pPr>
              <w:rPr>
                <w:rFonts w:hint="eastAsia" w:ascii="方正仿宋_GB2312" w:hAnsi="方正仿宋_GB2312" w:eastAsia="方正仿宋_GB2312" w:cs="方正仿宋_GB2312"/>
                <w:color w:val="000000"/>
                <w:sz w:val="24"/>
                <w:szCs w:val="24"/>
                <w:highlight w:val="none"/>
              </w:rPr>
            </w:pPr>
          </w:p>
        </w:tc>
        <w:tc>
          <w:tcPr>
            <w:tcW w:w="1020" w:type="dxa"/>
            <w:noWrap w:val="0"/>
            <w:vAlign w:val="top"/>
          </w:tcPr>
          <w:p w14:paraId="4F30BFBD">
            <w:pPr>
              <w:rPr>
                <w:rFonts w:hint="eastAsia" w:ascii="方正仿宋_GB2312" w:hAnsi="方正仿宋_GB2312" w:eastAsia="方正仿宋_GB2312" w:cs="方正仿宋_GB2312"/>
                <w:color w:val="000000"/>
                <w:sz w:val="24"/>
                <w:szCs w:val="24"/>
                <w:highlight w:val="none"/>
              </w:rPr>
            </w:pPr>
          </w:p>
        </w:tc>
        <w:tc>
          <w:tcPr>
            <w:tcW w:w="1480" w:type="dxa"/>
            <w:noWrap w:val="0"/>
            <w:vAlign w:val="top"/>
          </w:tcPr>
          <w:p w14:paraId="3C845BC0">
            <w:pPr>
              <w:rPr>
                <w:rFonts w:hint="eastAsia" w:ascii="方正仿宋_GB2312" w:hAnsi="方正仿宋_GB2312" w:eastAsia="方正仿宋_GB2312" w:cs="方正仿宋_GB2312"/>
                <w:color w:val="000000"/>
                <w:sz w:val="24"/>
                <w:szCs w:val="24"/>
                <w:highlight w:val="none"/>
              </w:rPr>
            </w:pPr>
          </w:p>
        </w:tc>
        <w:tc>
          <w:tcPr>
            <w:tcW w:w="1020" w:type="dxa"/>
            <w:noWrap w:val="0"/>
            <w:vAlign w:val="top"/>
          </w:tcPr>
          <w:p w14:paraId="0CFF092F">
            <w:pPr>
              <w:rPr>
                <w:rFonts w:hint="eastAsia" w:ascii="方正仿宋_GB2312" w:hAnsi="方正仿宋_GB2312" w:eastAsia="方正仿宋_GB2312" w:cs="方正仿宋_GB2312"/>
                <w:color w:val="000000"/>
                <w:sz w:val="24"/>
                <w:szCs w:val="24"/>
                <w:highlight w:val="none"/>
              </w:rPr>
            </w:pPr>
          </w:p>
        </w:tc>
        <w:tc>
          <w:tcPr>
            <w:tcW w:w="921" w:type="dxa"/>
            <w:noWrap w:val="0"/>
            <w:vAlign w:val="top"/>
          </w:tcPr>
          <w:p w14:paraId="259C999F">
            <w:pPr>
              <w:rPr>
                <w:rFonts w:hint="eastAsia" w:ascii="方正仿宋_GB2312" w:hAnsi="方正仿宋_GB2312" w:eastAsia="方正仿宋_GB2312" w:cs="方正仿宋_GB2312"/>
                <w:color w:val="000000"/>
                <w:sz w:val="24"/>
                <w:szCs w:val="24"/>
                <w:highlight w:val="none"/>
              </w:rPr>
            </w:pPr>
          </w:p>
        </w:tc>
      </w:tr>
      <w:tr w14:paraId="49539C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1EB6632">
            <w:pPr>
              <w:rPr>
                <w:rFonts w:hint="eastAsia" w:ascii="方正仿宋_GB2312" w:hAnsi="方正仿宋_GB2312" w:eastAsia="方正仿宋_GB2312" w:cs="方正仿宋_GB2312"/>
                <w:color w:val="000000"/>
                <w:sz w:val="24"/>
                <w:szCs w:val="24"/>
                <w:highlight w:val="none"/>
              </w:rPr>
            </w:pPr>
          </w:p>
        </w:tc>
        <w:tc>
          <w:tcPr>
            <w:tcW w:w="1418" w:type="dxa"/>
            <w:noWrap w:val="0"/>
            <w:vAlign w:val="top"/>
          </w:tcPr>
          <w:p w14:paraId="4621F5B7">
            <w:pPr>
              <w:rPr>
                <w:rFonts w:hint="eastAsia" w:ascii="方正仿宋_GB2312" w:hAnsi="方正仿宋_GB2312" w:eastAsia="方正仿宋_GB2312" w:cs="方正仿宋_GB2312"/>
                <w:color w:val="000000"/>
                <w:sz w:val="24"/>
                <w:szCs w:val="24"/>
                <w:highlight w:val="none"/>
              </w:rPr>
            </w:pPr>
          </w:p>
        </w:tc>
        <w:tc>
          <w:tcPr>
            <w:tcW w:w="850" w:type="dxa"/>
            <w:noWrap w:val="0"/>
            <w:vAlign w:val="top"/>
          </w:tcPr>
          <w:p w14:paraId="70B432B0">
            <w:pPr>
              <w:rPr>
                <w:rFonts w:hint="eastAsia" w:ascii="方正仿宋_GB2312" w:hAnsi="方正仿宋_GB2312" w:eastAsia="方正仿宋_GB2312" w:cs="方正仿宋_GB2312"/>
                <w:color w:val="000000"/>
                <w:sz w:val="24"/>
                <w:szCs w:val="24"/>
                <w:highlight w:val="none"/>
              </w:rPr>
            </w:pPr>
          </w:p>
        </w:tc>
        <w:tc>
          <w:tcPr>
            <w:tcW w:w="1058" w:type="dxa"/>
            <w:noWrap w:val="0"/>
            <w:vAlign w:val="top"/>
          </w:tcPr>
          <w:p w14:paraId="1AE6B502">
            <w:pPr>
              <w:rPr>
                <w:rFonts w:hint="eastAsia" w:ascii="方正仿宋_GB2312" w:hAnsi="方正仿宋_GB2312" w:eastAsia="方正仿宋_GB2312" w:cs="方正仿宋_GB2312"/>
                <w:color w:val="000000"/>
                <w:sz w:val="24"/>
                <w:szCs w:val="24"/>
                <w:highlight w:val="none"/>
              </w:rPr>
            </w:pPr>
          </w:p>
        </w:tc>
        <w:tc>
          <w:tcPr>
            <w:tcW w:w="880" w:type="dxa"/>
            <w:noWrap w:val="0"/>
            <w:vAlign w:val="top"/>
          </w:tcPr>
          <w:p w14:paraId="04A997C6">
            <w:pPr>
              <w:rPr>
                <w:rFonts w:hint="eastAsia" w:ascii="方正仿宋_GB2312" w:hAnsi="方正仿宋_GB2312" w:eastAsia="方正仿宋_GB2312" w:cs="方正仿宋_GB2312"/>
                <w:color w:val="000000"/>
                <w:sz w:val="24"/>
                <w:szCs w:val="24"/>
                <w:highlight w:val="none"/>
              </w:rPr>
            </w:pPr>
          </w:p>
        </w:tc>
        <w:tc>
          <w:tcPr>
            <w:tcW w:w="1020" w:type="dxa"/>
            <w:noWrap w:val="0"/>
            <w:vAlign w:val="top"/>
          </w:tcPr>
          <w:p w14:paraId="595109BA">
            <w:pPr>
              <w:rPr>
                <w:rFonts w:hint="eastAsia" w:ascii="方正仿宋_GB2312" w:hAnsi="方正仿宋_GB2312" w:eastAsia="方正仿宋_GB2312" w:cs="方正仿宋_GB2312"/>
                <w:color w:val="000000"/>
                <w:sz w:val="24"/>
                <w:szCs w:val="24"/>
                <w:highlight w:val="none"/>
              </w:rPr>
            </w:pPr>
          </w:p>
        </w:tc>
        <w:tc>
          <w:tcPr>
            <w:tcW w:w="1480" w:type="dxa"/>
            <w:noWrap w:val="0"/>
            <w:vAlign w:val="top"/>
          </w:tcPr>
          <w:p w14:paraId="7057D95F">
            <w:pPr>
              <w:rPr>
                <w:rFonts w:hint="eastAsia" w:ascii="方正仿宋_GB2312" w:hAnsi="方正仿宋_GB2312" w:eastAsia="方正仿宋_GB2312" w:cs="方正仿宋_GB2312"/>
                <w:color w:val="000000"/>
                <w:sz w:val="24"/>
                <w:szCs w:val="24"/>
                <w:highlight w:val="none"/>
              </w:rPr>
            </w:pPr>
          </w:p>
        </w:tc>
        <w:tc>
          <w:tcPr>
            <w:tcW w:w="1020" w:type="dxa"/>
            <w:noWrap w:val="0"/>
            <w:vAlign w:val="top"/>
          </w:tcPr>
          <w:p w14:paraId="3B0E62C5">
            <w:pPr>
              <w:rPr>
                <w:rFonts w:hint="eastAsia" w:ascii="方正仿宋_GB2312" w:hAnsi="方正仿宋_GB2312" w:eastAsia="方正仿宋_GB2312" w:cs="方正仿宋_GB2312"/>
                <w:color w:val="000000"/>
                <w:sz w:val="24"/>
                <w:szCs w:val="24"/>
                <w:highlight w:val="none"/>
              </w:rPr>
            </w:pPr>
          </w:p>
        </w:tc>
        <w:tc>
          <w:tcPr>
            <w:tcW w:w="921" w:type="dxa"/>
            <w:noWrap w:val="0"/>
            <w:vAlign w:val="top"/>
          </w:tcPr>
          <w:p w14:paraId="3FDCDC82">
            <w:pPr>
              <w:rPr>
                <w:rFonts w:hint="eastAsia" w:ascii="方正仿宋_GB2312" w:hAnsi="方正仿宋_GB2312" w:eastAsia="方正仿宋_GB2312" w:cs="方正仿宋_GB2312"/>
                <w:color w:val="000000"/>
                <w:sz w:val="24"/>
                <w:szCs w:val="24"/>
                <w:highlight w:val="none"/>
              </w:rPr>
            </w:pPr>
          </w:p>
        </w:tc>
      </w:tr>
    </w:tbl>
    <w:p w14:paraId="6CD0E935">
      <w:pPr>
        <w:spacing w:line="440" w:lineRule="exac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附</w:t>
      </w:r>
      <w:bookmarkStart w:id="1249" w:name="_Toc296347227"/>
      <w:bookmarkStart w:id="1250" w:name="_Toc267261699"/>
      <w:bookmarkStart w:id="1251" w:name="_Toc296944567"/>
      <w:bookmarkStart w:id="1252" w:name="_Toc296346729"/>
      <w:bookmarkStart w:id="1253" w:name="_Toc296891268"/>
      <w:bookmarkStart w:id="1254" w:name="_Toc296891056"/>
      <w:bookmarkStart w:id="1255" w:name="_Toc296503228"/>
      <w:r>
        <w:rPr>
          <w:rFonts w:hint="eastAsia" w:ascii="方正仿宋_GB2312" w:hAnsi="方正仿宋_GB2312" w:eastAsia="方正仿宋_GB2312" w:cs="方正仿宋_GB2312"/>
          <w:color w:val="000000"/>
          <w:sz w:val="24"/>
          <w:szCs w:val="24"/>
          <w:highlight w:val="none"/>
        </w:rPr>
        <w:t>件6：</w:t>
      </w:r>
    </w:p>
    <w:bookmarkEnd w:id="1249"/>
    <w:bookmarkEnd w:id="1250"/>
    <w:bookmarkEnd w:id="1251"/>
    <w:bookmarkEnd w:id="1252"/>
    <w:bookmarkEnd w:id="1253"/>
    <w:bookmarkEnd w:id="1254"/>
    <w:bookmarkEnd w:id="1255"/>
    <w:p w14:paraId="1AF9E74F">
      <w:pPr>
        <w:spacing w:before="156" w:beforeLines="50" w:after="156" w:afterLines="50" w:line="440" w:lineRule="exact"/>
        <w:jc w:val="center"/>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承包人主要施工管理人员表</w:t>
      </w:r>
    </w:p>
    <w:tbl>
      <w:tblPr>
        <w:tblStyle w:val="3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0DF5E3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17A57B3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名    称</w:t>
            </w:r>
          </w:p>
        </w:tc>
        <w:tc>
          <w:tcPr>
            <w:tcW w:w="1418" w:type="dxa"/>
            <w:tcBorders>
              <w:top w:val="single" w:color="auto" w:sz="12" w:space="0"/>
              <w:bottom w:val="double" w:color="auto" w:sz="6" w:space="0"/>
            </w:tcBorders>
            <w:noWrap w:val="0"/>
            <w:vAlign w:val="center"/>
          </w:tcPr>
          <w:p w14:paraId="10BFB45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姓名</w:t>
            </w:r>
          </w:p>
        </w:tc>
        <w:tc>
          <w:tcPr>
            <w:tcW w:w="1134" w:type="dxa"/>
            <w:tcBorders>
              <w:top w:val="single" w:color="auto" w:sz="12" w:space="0"/>
              <w:bottom w:val="double" w:color="auto" w:sz="6" w:space="0"/>
            </w:tcBorders>
            <w:noWrap w:val="0"/>
            <w:vAlign w:val="center"/>
          </w:tcPr>
          <w:p w14:paraId="4712CEA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职务</w:t>
            </w:r>
          </w:p>
        </w:tc>
        <w:tc>
          <w:tcPr>
            <w:tcW w:w="1134" w:type="dxa"/>
            <w:tcBorders>
              <w:top w:val="single" w:color="auto" w:sz="12" w:space="0"/>
              <w:bottom w:val="double" w:color="auto" w:sz="6" w:space="0"/>
            </w:tcBorders>
            <w:noWrap w:val="0"/>
            <w:vAlign w:val="center"/>
          </w:tcPr>
          <w:p w14:paraId="6AE2E08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职称</w:t>
            </w:r>
          </w:p>
        </w:tc>
        <w:tc>
          <w:tcPr>
            <w:tcW w:w="4252" w:type="dxa"/>
            <w:tcBorders>
              <w:top w:val="single" w:color="auto" w:sz="12" w:space="0"/>
              <w:bottom w:val="double" w:color="auto" w:sz="6" w:space="0"/>
            </w:tcBorders>
            <w:noWrap w:val="0"/>
            <w:vAlign w:val="center"/>
          </w:tcPr>
          <w:p w14:paraId="62EDF16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主要资历、经验及承担过的项目</w:t>
            </w:r>
          </w:p>
        </w:tc>
      </w:tr>
      <w:tr w14:paraId="5B0180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65DA6BB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一、总部人员</w:t>
            </w:r>
          </w:p>
        </w:tc>
      </w:tr>
      <w:tr w14:paraId="6E70F0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08636DD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项目主管</w:t>
            </w:r>
          </w:p>
        </w:tc>
        <w:tc>
          <w:tcPr>
            <w:tcW w:w="1418" w:type="dxa"/>
            <w:tcBorders>
              <w:top w:val="nil"/>
            </w:tcBorders>
            <w:noWrap w:val="0"/>
            <w:vAlign w:val="center"/>
          </w:tcPr>
          <w:p w14:paraId="7E0C30E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tcBorders>
              <w:top w:val="nil"/>
            </w:tcBorders>
            <w:noWrap w:val="0"/>
            <w:vAlign w:val="center"/>
          </w:tcPr>
          <w:p w14:paraId="24DC2D5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tcBorders>
              <w:top w:val="nil"/>
            </w:tcBorders>
            <w:noWrap w:val="0"/>
            <w:vAlign w:val="center"/>
          </w:tcPr>
          <w:p w14:paraId="78B9355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252" w:type="dxa"/>
            <w:tcBorders>
              <w:top w:val="nil"/>
            </w:tcBorders>
            <w:noWrap w:val="0"/>
            <w:vAlign w:val="center"/>
          </w:tcPr>
          <w:p w14:paraId="5FD4BBC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35278C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0B10D4E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center"/>
          </w:tcPr>
          <w:p w14:paraId="15B3C92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4B7D121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3BDB368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252" w:type="dxa"/>
            <w:noWrap w:val="0"/>
            <w:vAlign w:val="center"/>
          </w:tcPr>
          <w:p w14:paraId="5550615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66F892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845C40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其他人员</w:t>
            </w:r>
          </w:p>
        </w:tc>
        <w:tc>
          <w:tcPr>
            <w:tcW w:w="1418" w:type="dxa"/>
            <w:noWrap w:val="0"/>
            <w:vAlign w:val="center"/>
          </w:tcPr>
          <w:p w14:paraId="290F301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7FCC4FA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7BECDCE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252" w:type="dxa"/>
            <w:noWrap w:val="0"/>
            <w:vAlign w:val="center"/>
          </w:tcPr>
          <w:p w14:paraId="7F73E78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6A02DA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6CD843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center"/>
          </w:tcPr>
          <w:p w14:paraId="0B32D8E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425C592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04A9BD1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252" w:type="dxa"/>
            <w:noWrap w:val="0"/>
            <w:vAlign w:val="center"/>
          </w:tcPr>
          <w:p w14:paraId="1E0E43B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26B1EF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4EC44EE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二、现场人员</w:t>
            </w:r>
          </w:p>
        </w:tc>
      </w:tr>
      <w:tr w14:paraId="781A9C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C0AD14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项目经理</w:t>
            </w:r>
          </w:p>
        </w:tc>
        <w:tc>
          <w:tcPr>
            <w:tcW w:w="1418" w:type="dxa"/>
            <w:noWrap w:val="0"/>
            <w:vAlign w:val="center"/>
          </w:tcPr>
          <w:p w14:paraId="1E039C1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79B2E21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1D5B140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252" w:type="dxa"/>
            <w:noWrap w:val="0"/>
            <w:vAlign w:val="center"/>
          </w:tcPr>
          <w:p w14:paraId="2662DF8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2A370E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8B04A0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项目副经理</w:t>
            </w:r>
          </w:p>
        </w:tc>
        <w:tc>
          <w:tcPr>
            <w:tcW w:w="1418" w:type="dxa"/>
            <w:noWrap w:val="0"/>
            <w:vAlign w:val="center"/>
          </w:tcPr>
          <w:p w14:paraId="1984C47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415ACF5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4D44531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252" w:type="dxa"/>
            <w:noWrap w:val="0"/>
            <w:vAlign w:val="center"/>
          </w:tcPr>
          <w:p w14:paraId="27C1EE1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6E518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9C14AF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技术负责人</w:t>
            </w:r>
          </w:p>
        </w:tc>
        <w:tc>
          <w:tcPr>
            <w:tcW w:w="1418" w:type="dxa"/>
            <w:noWrap w:val="0"/>
            <w:vAlign w:val="center"/>
          </w:tcPr>
          <w:p w14:paraId="08FFB0B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1E5EC38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3120CFC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252" w:type="dxa"/>
            <w:noWrap w:val="0"/>
            <w:vAlign w:val="center"/>
          </w:tcPr>
          <w:p w14:paraId="7075CF4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7E8172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B129B4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造价管理</w:t>
            </w:r>
          </w:p>
        </w:tc>
        <w:tc>
          <w:tcPr>
            <w:tcW w:w="1418" w:type="dxa"/>
            <w:noWrap w:val="0"/>
            <w:vAlign w:val="center"/>
          </w:tcPr>
          <w:p w14:paraId="32119E7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32B8DDB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166D8B9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252" w:type="dxa"/>
            <w:noWrap w:val="0"/>
            <w:vAlign w:val="center"/>
          </w:tcPr>
          <w:p w14:paraId="6903447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6539C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489F89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质量管理</w:t>
            </w:r>
          </w:p>
        </w:tc>
        <w:tc>
          <w:tcPr>
            <w:tcW w:w="1418" w:type="dxa"/>
            <w:noWrap w:val="0"/>
            <w:vAlign w:val="center"/>
          </w:tcPr>
          <w:p w14:paraId="61E10D3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6CF2A89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56208DB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252" w:type="dxa"/>
            <w:noWrap w:val="0"/>
            <w:vAlign w:val="center"/>
          </w:tcPr>
          <w:p w14:paraId="24CB91F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5898AD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591429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材料管理</w:t>
            </w:r>
          </w:p>
        </w:tc>
        <w:tc>
          <w:tcPr>
            <w:tcW w:w="1418" w:type="dxa"/>
            <w:noWrap w:val="0"/>
            <w:vAlign w:val="center"/>
          </w:tcPr>
          <w:p w14:paraId="6CE738C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3135CC2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08C7FE8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252" w:type="dxa"/>
            <w:noWrap w:val="0"/>
            <w:vAlign w:val="center"/>
          </w:tcPr>
          <w:p w14:paraId="6C4EE23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31772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FE0FA8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计划管理</w:t>
            </w:r>
          </w:p>
        </w:tc>
        <w:tc>
          <w:tcPr>
            <w:tcW w:w="1418" w:type="dxa"/>
            <w:noWrap w:val="0"/>
            <w:vAlign w:val="center"/>
          </w:tcPr>
          <w:p w14:paraId="0FAB499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744A721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410DEA9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252" w:type="dxa"/>
            <w:noWrap w:val="0"/>
            <w:vAlign w:val="center"/>
          </w:tcPr>
          <w:p w14:paraId="7B5A731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516B2F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DDBB69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安全管理</w:t>
            </w:r>
          </w:p>
        </w:tc>
        <w:tc>
          <w:tcPr>
            <w:tcW w:w="1418" w:type="dxa"/>
            <w:noWrap w:val="0"/>
            <w:vAlign w:val="center"/>
          </w:tcPr>
          <w:p w14:paraId="13E97BF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5C19984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083F223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252" w:type="dxa"/>
            <w:noWrap w:val="0"/>
            <w:vAlign w:val="center"/>
          </w:tcPr>
          <w:p w14:paraId="4515B4D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243488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0AD7D55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其他人员</w:t>
            </w:r>
          </w:p>
        </w:tc>
        <w:tc>
          <w:tcPr>
            <w:tcW w:w="1418" w:type="dxa"/>
            <w:noWrap w:val="0"/>
            <w:vAlign w:val="center"/>
          </w:tcPr>
          <w:p w14:paraId="27EE2B6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6DC19EE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6197E3B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252" w:type="dxa"/>
            <w:noWrap w:val="0"/>
            <w:vAlign w:val="center"/>
          </w:tcPr>
          <w:p w14:paraId="4AFD9E4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22768E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E71FE6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tcBorders>
              <w:bottom w:val="nil"/>
            </w:tcBorders>
            <w:noWrap w:val="0"/>
            <w:vAlign w:val="center"/>
          </w:tcPr>
          <w:p w14:paraId="6567FCC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tcBorders>
              <w:bottom w:val="nil"/>
            </w:tcBorders>
            <w:noWrap w:val="0"/>
            <w:vAlign w:val="center"/>
          </w:tcPr>
          <w:p w14:paraId="4F5116D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tcBorders>
              <w:bottom w:val="nil"/>
            </w:tcBorders>
            <w:noWrap w:val="0"/>
            <w:vAlign w:val="center"/>
          </w:tcPr>
          <w:p w14:paraId="11525FB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252" w:type="dxa"/>
            <w:tcBorders>
              <w:bottom w:val="nil"/>
            </w:tcBorders>
            <w:noWrap w:val="0"/>
            <w:vAlign w:val="center"/>
          </w:tcPr>
          <w:p w14:paraId="3FF0B86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624D38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761215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center"/>
          </w:tcPr>
          <w:p w14:paraId="39D5AC9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58038C2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77AD6D6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252" w:type="dxa"/>
            <w:noWrap w:val="0"/>
            <w:vAlign w:val="center"/>
          </w:tcPr>
          <w:p w14:paraId="2143E4E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79C9AB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EA500E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center"/>
          </w:tcPr>
          <w:p w14:paraId="4AB79ED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048E2A5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633EFFA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252" w:type="dxa"/>
            <w:noWrap w:val="0"/>
            <w:vAlign w:val="center"/>
          </w:tcPr>
          <w:p w14:paraId="5FD9AD5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47F116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0D6D2D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center"/>
          </w:tcPr>
          <w:p w14:paraId="01E6D98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6A3BC82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517EE10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252" w:type="dxa"/>
            <w:noWrap w:val="0"/>
            <w:vAlign w:val="center"/>
          </w:tcPr>
          <w:p w14:paraId="22A8F6A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752523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79F45EE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tcBorders>
              <w:bottom w:val="single" w:color="auto" w:sz="12" w:space="0"/>
            </w:tcBorders>
            <w:noWrap w:val="0"/>
            <w:vAlign w:val="center"/>
          </w:tcPr>
          <w:p w14:paraId="236EC08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tcBorders>
              <w:bottom w:val="single" w:color="auto" w:sz="12" w:space="0"/>
            </w:tcBorders>
            <w:noWrap w:val="0"/>
            <w:vAlign w:val="center"/>
          </w:tcPr>
          <w:p w14:paraId="1CF87C9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tcBorders>
              <w:bottom w:val="single" w:color="auto" w:sz="12" w:space="0"/>
            </w:tcBorders>
            <w:noWrap w:val="0"/>
            <w:vAlign w:val="center"/>
          </w:tcPr>
          <w:p w14:paraId="1F8E75B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252" w:type="dxa"/>
            <w:tcBorders>
              <w:bottom w:val="single" w:color="auto" w:sz="12" w:space="0"/>
            </w:tcBorders>
            <w:noWrap w:val="0"/>
            <w:vAlign w:val="center"/>
          </w:tcPr>
          <w:p w14:paraId="2DEEFF7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bl>
    <w:p w14:paraId="47B45822">
      <w:pPr>
        <w:spacing w:line="440" w:lineRule="exac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br w:type="page"/>
      </w:r>
      <w:r>
        <w:rPr>
          <w:rFonts w:hint="eastAsia" w:ascii="方正仿宋_GB2312" w:hAnsi="方正仿宋_GB2312" w:eastAsia="方正仿宋_GB2312" w:cs="方正仿宋_GB2312"/>
          <w:color w:val="000000"/>
          <w:sz w:val="24"/>
          <w:szCs w:val="24"/>
          <w:highlight w:val="none"/>
        </w:rPr>
        <w:t>附</w:t>
      </w:r>
      <w:bookmarkStart w:id="1256" w:name="_Toc296503229"/>
      <w:bookmarkStart w:id="1257" w:name="_Toc296944568"/>
      <w:bookmarkStart w:id="1258" w:name="_Toc296891057"/>
      <w:bookmarkStart w:id="1259" w:name="_Toc296347228"/>
      <w:bookmarkStart w:id="1260" w:name="_Toc296346730"/>
      <w:bookmarkStart w:id="1261" w:name="_Toc296891269"/>
      <w:r>
        <w:rPr>
          <w:rFonts w:hint="eastAsia" w:ascii="方正仿宋_GB2312" w:hAnsi="方正仿宋_GB2312" w:eastAsia="方正仿宋_GB2312" w:cs="方正仿宋_GB2312"/>
          <w:color w:val="000000"/>
          <w:sz w:val="24"/>
          <w:szCs w:val="24"/>
          <w:highlight w:val="none"/>
        </w:rPr>
        <w:t>件7：</w:t>
      </w:r>
    </w:p>
    <w:bookmarkEnd w:id="1256"/>
    <w:bookmarkEnd w:id="1257"/>
    <w:bookmarkEnd w:id="1258"/>
    <w:bookmarkEnd w:id="1259"/>
    <w:bookmarkEnd w:id="1260"/>
    <w:bookmarkEnd w:id="1261"/>
    <w:p w14:paraId="6A070C54">
      <w:pPr>
        <w:spacing w:before="156" w:beforeLines="50" w:after="156" w:afterLines="50" w:line="440" w:lineRule="exact"/>
        <w:jc w:val="center"/>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分包人主要施工管理人员表</w:t>
      </w:r>
    </w:p>
    <w:tbl>
      <w:tblPr>
        <w:tblStyle w:val="3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620E13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61F5622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名    称</w:t>
            </w:r>
          </w:p>
        </w:tc>
        <w:tc>
          <w:tcPr>
            <w:tcW w:w="1418" w:type="dxa"/>
            <w:tcBorders>
              <w:top w:val="single" w:color="auto" w:sz="12" w:space="0"/>
              <w:bottom w:val="double" w:color="auto" w:sz="6" w:space="0"/>
            </w:tcBorders>
            <w:noWrap w:val="0"/>
            <w:vAlign w:val="center"/>
          </w:tcPr>
          <w:p w14:paraId="1F80AA0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姓名</w:t>
            </w:r>
          </w:p>
        </w:tc>
        <w:tc>
          <w:tcPr>
            <w:tcW w:w="1134" w:type="dxa"/>
            <w:tcBorders>
              <w:top w:val="single" w:color="auto" w:sz="12" w:space="0"/>
              <w:bottom w:val="double" w:color="auto" w:sz="6" w:space="0"/>
            </w:tcBorders>
            <w:noWrap w:val="0"/>
            <w:vAlign w:val="center"/>
          </w:tcPr>
          <w:p w14:paraId="6743328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职务</w:t>
            </w:r>
          </w:p>
        </w:tc>
        <w:tc>
          <w:tcPr>
            <w:tcW w:w="1134" w:type="dxa"/>
            <w:tcBorders>
              <w:top w:val="single" w:color="auto" w:sz="12" w:space="0"/>
              <w:bottom w:val="double" w:color="auto" w:sz="6" w:space="0"/>
            </w:tcBorders>
            <w:noWrap w:val="0"/>
            <w:vAlign w:val="center"/>
          </w:tcPr>
          <w:p w14:paraId="3B24A6B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职称</w:t>
            </w:r>
          </w:p>
        </w:tc>
        <w:tc>
          <w:tcPr>
            <w:tcW w:w="4252" w:type="dxa"/>
            <w:tcBorders>
              <w:top w:val="single" w:color="auto" w:sz="12" w:space="0"/>
              <w:bottom w:val="double" w:color="auto" w:sz="6" w:space="0"/>
            </w:tcBorders>
            <w:noWrap w:val="0"/>
            <w:vAlign w:val="center"/>
          </w:tcPr>
          <w:p w14:paraId="4C03311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主要资历、经验及承担过的项目</w:t>
            </w:r>
          </w:p>
        </w:tc>
      </w:tr>
      <w:tr w14:paraId="6A0E15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7636916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一、总部人员</w:t>
            </w:r>
          </w:p>
        </w:tc>
      </w:tr>
      <w:tr w14:paraId="019E55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4F4D2B7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项目主管</w:t>
            </w:r>
          </w:p>
        </w:tc>
        <w:tc>
          <w:tcPr>
            <w:tcW w:w="1418" w:type="dxa"/>
            <w:tcBorders>
              <w:top w:val="nil"/>
            </w:tcBorders>
            <w:noWrap w:val="0"/>
            <w:vAlign w:val="center"/>
          </w:tcPr>
          <w:p w14:paraId="553B5DD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tcBorders>
              <w:top w:val="nil"/>
            </w:tcBorders>
            <w:noWrap w:val="0"/>
            <w:vAlign w:val="center"/>
          </w:tcPr>
          <w:p w14:paraId="1A69726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tcBorders>
              <w:top w:val="nil"/>
            </w:tcBorders>
            <w:noWrap w:val="0"/>
            <w:vAlign w:val="center"/>
          </w:tcPr>
          <w:p w14:paraId="7B668F4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252" w:type="dxa"/>
            <w:tcBorders>
              <w:top w:val="nil"/>
            </w:tcBorders>
            <w:noWrap w:val="0"/>
            <w:vAlign w:val="center"/>
          </w:tcPr>
          <w:p w14:paraId="1FFF74F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4B96EA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7AD06E8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center"/>
          </w:tcPr>
          <w:p w14:paraId="009BAAC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66CB9A3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4A0B3D5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252" w:type="dxa"/>
            <w:noWrap w:val="0"/>
            <w:vAlign w:val="center"/>
          </w:tcPr>
          <w:p w14:paraId="218864F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4286B5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1288FE9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其他人员</w:t>
            </w:r>
          </w:p>
        </w:tc>
        <w:tc>
          <w:tcPr>
            <w:tcW w:w="1418" w:type="dxa"/>
            <w:noWrap w:val="0"/>
            <w:vAlign w:val="center"/>
          </w:tcPr>
          <w:p w14:paraId="280389D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662535F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0C04B70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252" w:type="dxa"/>
            <w:noWrap w:val="0"/>
            <w:vAlign w:val="center"/>
          </w:tcPr>
          <w:p w14:paraId="2F7DA11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148FD5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291852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center"/>
          </w:tcPr>
          <w:p w14:paraId="7D18A2E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3665AAF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503DBDA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252" w:type="dxa"/>
            <w:noWrap w:val="0"/>
            <w:vAlign w:val="center"/>
          </w:tcPr>
          <w:p w14:paraId="5CCAD05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67ED03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2B6EB81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二、现场人员</w:t>
            </w:r>
          </w:p>
        </w:tc>
      </w:tr>
      <w:tr w14:paraId="0ACDD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DBAE2B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项目经理</w:t>
            </w:r>
          </w:p>
        </w:tc>
        <w:tc>
          <w:tcPr>
            <w:tcW w:w="1418" w:type="dxa"/>
            <w:noWrap w:val="0"/>
            <w:vAlign w:val="center"/>
          </w:tcPr>
          <w:p w14:paraId="33E73B7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1171124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6C45E37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252" w:type="dxa"/>
            <w:noWrap w:val="0"/>
            <w:vAlign w:val="center"/>
          </w:tcPr>
          <w:p w14:paraId="708FE9E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0BE772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0CB78A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项目副经理</w:t>
            </w:r>
          </w:p>
        </w:tc>
        <w:tc>
          <w:tcPr>
            <w:tcW w:w="1418" w:type="dxa"/>
            <w:noWrap w:val="0"/>
            <w:vAlign w:val="center"/>
          </w:tcPr>
          <w:p w14:paraId="7A1B2F8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7789C1D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4F66284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252" w:type="dxa"/>
            <w:noWrap w:val="0"/>
            <w:vAlign w:val="center"/>
          </w:tcPr>
          <w:p w14:paraId="7E2AA10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1A4C9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0799D0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技术负责人</w:t>
            </w:r>
          </w:p>
        </w:tc>
        <w:tc>
          <w:tcPr>
            <w:tcW w:w="1418" w:type="dxa"/>
            <w:noWrap w:val="0"/>
            <w:vAlign w:val="center"/>
          </w:tcPr>
          <w:p w14:paraId="259A52D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1B453E4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4942EDE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252" w:type="dxa"/>
            <w:noWrap w:val="0"/>
            <w:vAlign w:val="center"/>
          </w:tcPr>
          <w:p w14:paraId="60525E7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764270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CBBAB7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造价管理</w:t>
            </w:r>
          </w:p>
        </w:tc>
        <w:tc>
          <w:tcPr>
            <w:tcW w:w="1418" w:type="dxa"/>
            <w:noWrap w:val="0"/>
            <w:vAlign w:val="center"/>
          </w:tcPr>
          <w:p w14:paraId="63BB254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7460376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6E935BE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252" w:type="dxa"/>
            <w:noWrap w:val="0"/>
            <w:vAlign w:val="center"/>
          </w:tcPr>
          <w:p w14:paraId="44C6518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688B07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A63E21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质量管理</w:t>
            </w:r>
          </w:p>
        </w:tc>
        <w:tc>
          <w:tcPr>
            <w:tcW w:w="1418" w:type="dxa"/>
            <w:noWrap w:val="0"/>
            <w:vAlign w:val="center"/>
          </w:tcPr>
          <w:p w14:paraId="3772412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0DC1576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7D1012B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252" w:type="dxa"/>
            <w:noWrap w:val="0"/>
            <w:vAlign w:val="center"/>
          </w:tcPr>
          <w:p w14:paraId="41E1873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77B7C3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5A33EC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材料管理</w:t>
            </w:r>
          </w:p>
        </w:tc>
        <w:tc>
          <w:tcPr>
            <w:tcW w:w="1418" w:type="dxa"/>
            <w:noWrap w:val="0"/>
            <w:vAlign w:val="center"/>
          </w:tcPr>
          <w:p w14:paraId="5F6ACF0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66755A9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37E948C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252" w:type="dxa"/>
            <w:noWrap w:val="0"/>
            <w:vAlign w:val="center"/>
          </w:tcPr>
          <w:p w14:paraId="1AA65D9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5FE03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0EC831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计划管理</w:t>
            </w:r>
          </w:p>
        </w:tc>
        <w:tc>
          <w:tcPr>
            <w:tcW w:w="1418" w:type="dxa"/>
            <w:noWrap w:val="0"/>
            <w:vAlign w:val="center"/>
          </w:tcPr>
          <w:p w14:paraId="2F1453C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5F5C7A8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304FAF1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252" w:type="dxa"/>
            <w:noWrap w:val="0"/>
            <w:vAlign w:val="center"/>
          </w:tcPr>
          <w:p w14:paraId="46B80E3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31A9D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5A9C3E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安全管理</w:t>
            </w:r>
          </w:p>
        </w:tc>
        <w:tc>
          <w:tcPr>
            <w:tcW w:w="1418" w:type="dxa"/>
            <w:noWrap w:val="0"/>
            <w:vAlign w:val="center"/>
          </w:tcPr>
          <w:p w14:paraId="671CE15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22F82FA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5013442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252" w:type="dxa"/>
            <w:noWrap w:val="0"/>
            <w:vAlign w:val="center"/>
          </w:tcPr>
          <w:p w14:paraId="0B43AD7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765DD6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1F2CF91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其他人员</w:t>
            </w:r>
          </w:p>
        </w:tc>
        <w:tc>
          <w:tcPr>
            <w:tcW w:w="1418" w:type="dxa"/>
            <w:noWrap w:val="0"/>
            <w:vAlign w:val="center"/>
          </w:tcPr>
          <w:p w14:paraId="71A4F7D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34EC81C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73CE8E4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252" w:type="dxa"/>
            <w:noWrap w:val="0"/>
            <w:vAlign w:val="center"/>
          </w:tcPr>
          <w:p w14:paraId="62790B1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2C7DD6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010EC3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tcBorders>
              <w:bottom w:val="nil"/>
            </w:tcBorders>
            <w:noWrap w:val="0"/>
            <w:vAlign w:val="center"/>
          </w:tcPr>
          <w:p w14:paraId="39F453A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tcBorders>
              <w:bottom w:val="nil"/>
            </w:tcBorders>
            <w:noWrap w:val="0"/>
            <w:vAlign w:val="center"/>
          </w:tcPr>
          <w:p w14:paraId="4154625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tcBorders>
              <w:bottom w:val="nil"/>
            </w:tcBorders>
            <w:noWrap w:val="0"/>
            <w:vAlign w:val="center"/>
          </w:tcPr>
          <w:p w14:paraId="663C884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252" w:type="dxa"/>
            <w:tcBorders>
              <w:bottom w:val="nil"/>
            </w:tcBorders>
            <w:noWrap w:val="0"/>
            <w:vAlign w:val="center"/>
          </w:tcPr>
          <w:p w14:paraId="1F93360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5905E7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ABDC6A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center"/>
          </w:tcPr>
          <w:p w14:paraId="0645E9A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4F96657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5BAFAFC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252" w:type="dxa"/>
            <w:noWrap w:val="0"/>
            <w:vAlign w:val="center"/>
          </w:tcPr>
          <w:p w14:paraId="3422D09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440195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810033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center"/>
          </w:tcPr>
          <w:p w14:paraId="0E9DD72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7CA79DD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1B20C09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252" w:type="dxa"/>
            <w:noWrap w:val="0"/>
            <w:vAlign w:val="center"/>
          </w:tcPr>
          <w:p w14:paraId="04FDD5B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37B0E3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C8792C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center"/>
          </w:tcPr>
          <w:p w14:paraId="0021154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2FD0CB8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noWrap w:val="0"/>
            <w:vAlign w:val="center"/>
          </w:tcPr>
          <w:p w14:paraId="3A20BDB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252" w:type="dxa"/>
            <w:noWrap w:val="0"/>
            <w:vAlign w:val="center"/>
          </w:tcPr>
          <w:p w14:paraId="5879F9C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02AA8F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15A0CBE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tcBorders>
              <w:bottom w:val="single" w:color="auto" w:sz="12" w:space="0"/>
            </w:tcBorders>
            <w:noWrap w:val="0"/>
            <w:vAlign w:val="center"/>
          </w:tcPr>
          <w:p w14:paraId="316E696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tcBorders>
              <w:bottom w:val="single" w:color="auto" w:sz="12" w:space="0"/>
            </w:tcBorders>
            <w:noWrap w:val="0"/>
            <w:vAlign w:val="center"/>
          </w:tcPr>
          <w:p w14:paraId="1D0FFBF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134" w:type="dxa"/>
            <w:tcBorders>
              <w:bottom w:val="single" w:color="auto" w:sz="12" w:space="0"/>
            </w:tcBorders>
            <w:noWrap w:val="0"/>
            <w:vAlign w:val="center"/>
          </w:tcPr>
          <w:p w14:paraId="15A02AF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252" w:type="dxa"/>
            <w:tcBorders>
              <w:bottom w:val="single" w:color="auto" w:sz="12" w:space="0"/>
            </w:tcBorders>
            <w:noWrap w:val="0"/>
            <w:vAlign w:val="center"/>
          </w:tcPr>
          <w:p w14:paraId="62B384D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bl>
    <w:p w14:paraId="4AA06A5F">
      <w:pPr>
        <w:spacing w:line="440" w:lineRule="exac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br w:type="page"/>
      </w:r>
      <w:bookmarkStart w:id="1262" w:name="_Toc267261701"/>
      <w:r>
        <w:rPr>
          <w:rFonts w:hint="eastAsia" w:ascii="方正仿宋_GB2312" w:hAnsi="方正仿宋_GB2312" w:eastAsia="方正仿宋_GB2312" w:cs="方正仿宋_GB2312"/>
          <w:color w:val="000000"/>
          <w:sz w:val="24"/>
          <w:szCs w:val="24"/>
          <w:highlight w:val="none"/>
        </w:rPr>
        <w:t>附</w:t>
      </w:r>
      <w:bookmarkStart w:id="1263" w:name="_Toc296503231"/>
      <w:bookmarkStart w:id="1264" w:name="_Toc296347230"/>
      <w:bookmarkStart w:id="1265" w:name="_Toc296346732"/>
      <w:bookmarkStart w:id="1266" w:name="_Toc296944570"/>
      <w:bookmarkStart w:id="1267" w:name="_Toc296891059"/>
      <w:bookmarkStart w:id="1268" w:name="_Toc296891271"/>
      <w:r>
        <w:rPr>
          <w:rFonts w:hint="eastAsia" w:ascii="方正仿宋_GB2312" w:hAnsi="方正仿宋_GB2312" w:eastAsia="方正仿宋_GB2312" w:cs="方正仿宋_GB2312"/>
          <w:color w:val="000000"/>
          <w:sz w:val="24"/>
          <w:szCs w:val="24"/>
          <w:highlight w:val="none"/>
        </w:rPr>
        <w:t>件8：</w:t>
      </w:r>
      <w:bookmarkEnd w:id="1262"/>
      <w:bookmarkEnd w:id="1263"/>
      <w:bookmarkEnd w:id="1264"/>
      <w:bookmarkEnd w:id="1265"/>
      <w:bookmarkEnd w:id="1266"/>
      <w:bookmarkEnd w:id="1267"/>
      <w:bookmarkEnd w:id="1268"/>
      <w:r>
        <w:rPr>
          <w:rFonts w:hint="eastAsia" w:ascii="方正仿宋_GB2312" w:hAnsi="方正仿宋_GB2312" w:eastAsia="方正仿宋_GB2312" w:cs="方正仿宋_GB2312"/>
          <w:color w:val="000000"/>
          <w:sz w:val="24"/>
          <w:szCs w:val="24"/>
          <w:highlight w:val="none"/>
          <w:lang w:val="en-US" w:eastAsia="zh-CN"/>
        </w:rPr>
        <w:t xml:space="preserve">                              </w:t>
      </w:r>
      <w:r>
        <w:rPr>
          <w:rFonts w:hint="eastAsia" w:ascii="方正仿宋_GB2312" w:hAnsi="方正仿宋_GB2312" w:eastAsia="方正仿宋_GB2312" w:cs="方正仿宋_GB2312"/>
          <w:color w:val="000000"/>
          <w:sz w:val="24"/>
          <w:szCs w:val="24"/>
          <w:highlight w:val="none"/>
        </w:rPr>
        <w:t>履约担保</w:t>
      </w:r>
    </w:p>
    <w:p w14:paraId="4F17BE92">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u w:val="single"/>
        </w:rPr>
        <w:tab/>
      </w:r>
      <w:r>
        <w:rPr>
          <w:rFonts w:hint="eastAsia" w:ascii="方正仿宋_GB2312" w:hAnsi="方正仿宋_GB2312" w:eastAsia="方正仿宋_GB2312" w:cs="方正仿宋_GB2312"/>
          <w:color w:val="000000"/>
          <w:sz w:val="24"/>
          <w:szCs w:val="24"/>
          <w:highlight w:val="none"/>
        </w:rPr>
        <w:t>（发包人名称）：</w:t>
      </w:r>
    </w:p>
    <w:p w14:paraId="66D4610F">
      <w:pPr>
        <w:keepNext w:val="0"/>
        <w:keepLines w:val="0"/>
        <w:pageBreakBefore w:val="0"/>
        <w:widowControl w:val="0"/>
        <w:kinsoku/>
        <w:wordWrap/>
        <w:overflowPunct/>
        <w:topLinePunct w:val="0"/>
        <w:autoSpaceDE/>
        <w:autoSpaceDN/>
        <w:bidi w:val="0"/>
        <w:adjustRightInd/>
        <w:snapToGrid/>
        <w:spacing w:line="120" w:lineRule="auto"/>
        <w:ind w:firstLine="480" w:firstLineChars="200"/>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鉴于</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（发包人名称，以下简称“发包人”）与</w:t>
      </w:r>
    </w:p>
    <w:p w14:paraId="2E746982">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 xml:space="preserve"> </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（承包人名称）（以下称“承包人”）于</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年</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月</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日就</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 xml:space="preserve">（工程名称）施工及有关事项协商一致共同签订《建设工程施工合同》。我方愿意无条件地、不可撤销地就承包人履行与你方签订的合同，向你方提供连带责任担保。 </w:t>
      </w:r>
    </w:p>
    <w:p w14:paraId="4E452A05">
      <w:pPr>
        <w:keepNext w:val="0"/>
        <w:keepLines w:val="0"/>
        <w:pageBreakBefore w:val="0"/>
        <w:widowControl w:val="0"/>
        <w:kinsoku/>
        <w:wordWrap/>
        <w:overflowPunct/>
        <w:topLinePunct w:val="0"/>
        <w:autoSpaceDE/>
        <w:autoSpaceDN/>
        <w:bidi w:val="0"/>
        <w:adjustRightInd/>
        <w:snapToGrid/>
        <w:spacing w:line="120" w:lineRule="auto"/>
        <w:ind w:firstLine="480" w:firstLineChars="200"/>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 担保金额人民币（大写）</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元（¥</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45D5D602">
      <w:pPr>
        <w:keepNext w:val="0"/>
        <w:keepLines w:val="0"/>
        <w:pageBreakBefore w:val="0"/>
        <w:widowControl w:val="0"/>
        <w:kinsoku/>
        <w:wordWrap/>
        <w:overflowPunct/>
        <w:topLinePunct w:val="0"/>
        <w:autoSpaceDE/>
        <w:autoSpaceDN/>
        <w:bidi w:val="0"/>
        <w:adjustRightInd/>
        <w:snapToGrid/>
        <w:spacing w:line="120" w:lineRule="auto"/>
        <w:ind w:firstLine="480" w:firstLineChars="200"/>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 担保有效期自你方与承包人签订的合同生效之日起至你方签发或应签发工程接收证书之日止。</w:t>
      </w:r>
    </w:p>
    <w:p w14:paraId="245EAE84">
      <w:pPr>
        <w:keepNext w:val="0"/>
        <w:keepLines w:val="0"/>
        <w:pageBreakBefore w:val="0"/>
        <w:widowControl w:val="0"/>
        <w:kinsoku/>
        <w:wordWrap/>
        <w:overflowPunct/>
        <w:topLinePunct w:val="0"/>
        <w:autoSpaceDE/>
        <w:autoSpaceDN/>
        <w:bidi w:val="0"/>
        <w:adjustRightInd/>
        <w:snapToGrid/>
        <w:spacing w:line="120" w:lineRule="auto"/>
        <w:ind w:firstLine="480" w:firstLineChars="200"/>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3. 在本担保有效期内，因承包人违反合同约定的义务给你方造成经济损失时，我方在收到你方以书面形式提出的在担保金额内的赔偿要求后，在7天内无条件支付。</w:t>
      </w:r>
    </w:p>
    <w:p w14:paraId="4944269F">
      <w:pPr>
        <w:keepNext w:val="0"/>
        <w:keepLines w:val="0"/>
        <w:pageBreakBefore w:val="0"/>
        <w:widowControl w:val="0"/>
        <w:kinsoku/>
        <w:wordWrap/>
        <w:overflowPunct/>
        <w:topLinePunct w:val="0"/>
        <w:autoSpaceDE/>
        <w:autoSpaceDN/>
        <w:bidi w:val="0"/>
        <w:adjustRightInd/>
        <w:snapToGrid/>
        <w:spacing w:line="120" w:lineRule="auto"/>
        <w:ind w:firstLine="480" w:firstLineChars="200"/>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4. 你方和承包人按合同约定变更合同时，我方承担本担保规定的义务不变。</w:t>
      </w:r>
    </w:p>
    <w:p w14:paraId="38C586BF">
      <w:pPr>
        <w:keepNext w:val="0"/>
        <w:keepLines w:val="0"/>
        <w:pageBreakBefore w:val="0"/>
        <w:widowControl w:val="0"/>
        <w:kinsoku/>
        <w:wordWrap/>
        <w:overflowPunct/>
        <w:topLinePunct w:val="0"/>
        <w:autoSpaceDE/>
        <w:autoSpaceDN/>
        <w:bidi w:val="0"/>
        <w:adjustRightInd/>
        <w:snapToGrid/>
        <w:spacing w:line="120" w:lineRule="auto"/>
        <w:ind w:firstLine="480" w:firstLineChars="200"/>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5. 因本保函发生的纠纷，可由双方协商解决，协商不成的，任何一方均可提请</w:t>
      </w:r>
      <w:r>
        <w:rPr>
          <w:rFonts w:hint="eastAsia" w:ascii="方正仿宋_GB2312" w:hAnsi="方正仿宋_GB2312" w:eastAsia="方正仿宋_GB2312" w:cs="方正仿宋_GB2312"/>
          <w:color w:val="000000"/>
          <w:sz w:val="24"/>
          <w:szCs w:val="24"/>
          <w:highlight w:val="none"/>
          <w:u w:val="single"/>
          <w:lang w:val="en-US" w:eastAsia="zh-CN"/>
        </w:rPr>
        <w:t xml:space="preserve">  </w:t>
      </w:r>
      <w:r>
        <w:rPr>
          <w:rFonts w:hint="eastAsia" w:ascii="方正仿宋_GB2312" w:hAnsi="方正仿宋_GB2312" w:eastAsia="方正仿宋_GB2312" w:cs="方正仿宋_GB2312"/>
          <w:color w:val="000000"/>
          <w:sz w:val="24"/>
          <w:szCs w:val="24"/>
          <w:highlight w:val="none"/>
        </w:rPr>
        <w:t>仲裁委员会仲裁。</w:t>
      </w:r>
    </w:p>
    <w:p w14:paraId="0CA09F8D">
      <w:pPr>
        <w:keepNext w:val="0"/>
        <w:keepLines w:val="0"/>
        <w:pageBreakBefore w:val="0"/>
        <w:widowControl w:val="0"/>
        <w:kinsoku/>
        <w:wordWrap/>
        <w:overflowPunct/>
        <w:topLinePunct w:val="0"/>
        <w:autoSpaceDE/>
        <w:autoSpaceDN/>
        <w:bidi w:val="0"/>
        <w:adjustRightInd/>
        <w:snapToGrid/>
        <w:spacing w:line="120" w:lineRule="auto"/>
        <w:ind w:firstLine="480" w:firstLineChars="200"/>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6. 本保函自我方法定代表人（或其授权代理人）签字并加盖公章之日起生效。</w:t>
      </w:r>
    </w:p>
    <w:p w14:paraId="3C2F447B">
      <w:pPr>
        <w:keepNext w:val="0"/>
        <w:keepLines w:val="0"/>
        <w:pageBreakBefore w:val="0"/>
        <w:widowControl w:val="0"/>
        <w:kinsoku/>
        <w:wordWrap/>
        <w:overflowPunct/>
        <w:topLinePunct w:val="0"/>
        <w:autoSpaceDE/>
        <w:autoSpaceDN/>
        <w:bidi w:val="0"/>
        <w:adjustRightInd/>
        <w:snapToGrid/>
        <w:spacing w:line="120" w:lineRule="auto"/>
        <w:ind w:firstLine="1200" w:firstLineChars="5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担 保 人：</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（盖单位章）</w:t>
      </w:r>
    </w:p>
    <w:p w14:paraId="5F6F672C">
      <w:pPr>
        <w:keepNext w:val="0"/>
        <w:keepLines w:val="0"/>
        <w:pageBreakBefore w:val="0"/>
        <w:widowControl w:val="0"/>
        <w:kinsoku/>
        <w:wordWrap/>
        <w:overflowPunct/>
        <w:topLinePunct w:val="0"/>
        <w:autoSpaceDE/>
        <w:autoSpaceDN/>
        <w:bidi w:val="0"/>
        <w:adjustRightInd/>
        <w:snapToGrid/>
        <w:spacing w:line="120" w:lineRule="auto"/>
        <w:ind w:firstLine="1200" w:firstLineChars="5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法定代表人或其委托代理人：</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（签字）</w:t>
      </w:r>
    </w:p>
    <w:p w14:paraId="37E5AA64">
      <w:pPr>
        <w:keepNext w:val="0"/>
        <w:keepLines w:val="0"/>
        <w:pageBreakBefore w:val="0"/>
        <w:widowControl w:val="0"/>
        <w:kinsoku/>
        <w:wordWrap/>
        <w:overflowPunct/>
        <w:topLinePunct w:val="0"/>
        <w:autoSpaceDE/>
        <w:autoSpaceDN/>
        <w:bidi w:val="0"/>
        <w:adjustRightInd/>
        <w:snapToGrid/>
        <w:spacing w:line="120" w:lineRule="auto"/>
        <w:ind w:firstLine="1200" w:firstLineChars="5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地    址：</w:t>
      </w:r>
      <w:r>
        <w:rPr>
          <w:rFonts w:hint="eastAsia" w:ascii="方正仿宋_GB2312" w:hAnsi="方正仿宋_GB2312" w:eastAsia="方正仿宋_GB2312" w:cs="方正仿宋_GB2312"/>
          <w:color w:val="000000"/>
          <w:sz w:val="24"/>
          <w:szCs w:val="24"/>
          <w:highlight w:val="none"/>
          <w:u w:val="single"/>
        </w:rPr>
        <w:t xml:space="preserve">                                      </w:t>
      </w:r>
    </w:p>
    <w:p w14:paraId="52076A5A">
      <w:pPr>
        <w:keepNext w:val="0"/>
        <w:keepLines w:val="0"/>
        <w:pageBreakBefore w:val="0"/>
        <w:widowControl w:val="0"/>
        <w:kinsoku/>
        <w:wordWrap/>
        <w:overflowPunct/>
        <w:topLinePunct w:val="0"/>
        <w:autoSpaceDE/>
        <w:autoSpaceDN/>
        <w:bidi w:val="0"/>
        <w:adjustRightInd/>
        <w:snapToGrid/>
        <w:spacing w:line="120" w:lineRule="auto"/>
        <w:ind w:firstLine="1200" w:firstLineChars="5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邮政编码：</w:t>
      </w:r>
      <w:r>
        <w:rPr>
          <w:rFonts w:hint="eastAsia" w:ascii="方正仿宋_GB2312" w:hAnsi="方正仿宋_GB2312" w:eastAsia="方正仿宋_GB2312" w:cs="方正仿宋_GB2312"/>
          <w:color w:val="000000"/>
          <w:sz w:val="24"/>
          <w:szCs w:val="24"/>
          <w:highlight w:val="none"/>
          <w:u w:val="single"/>
        </w:rPr>
        <w:t xml:space="preserve">                                      </w:t>
      </w:r>
    </w:p>
    <w:p w14:paraId="19F7D342">
      <w:pPr>
        <w:keepNext w:val="0"/>
        <w:keepLines w:val="0"/>
        <w:pageBreakBefore w:val="0"/>
        <w:widowControl w:val="0"/>
        <w:kinsoku/>
        <w:wordWrap/>
        <w:overflowPunct/>
        <w:topLinePunct w:val="0"/>
        <w:autoSpaceDE/>
        <w:autoSpaceDN/>
        <w:bidi w:val="0"/>
        <w:adjustRightInd/>
        <w:snapToGrid/>
        <w:spacing w:line="120" w:lineRule="auto"/>
        <w:ind w:firstLine="1200" w:firstLineChars="500"/>
        <w:jc w:val="left"/>
        <w:textAlignment w:val="auto"/>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rPr>
        <w:t>电    话：</w:t>
      </w:r>
      <w:r>
        <w:rPr>
          <w:rFonts w:hint="eastAsia" w:ascii="方正仿宋_GB2312" w:hAnsi="方正仿宋_GB2312" w:eastAsia="方正仿宋_GB2312" w:cs="方正仿宋_GB2312"/>
          <w:color w:val="000000"/>
          <w:sz w:val="24"/>
          <w:szCs w:val="24"/>
          <w:highlight w:val="none"/>
          <w:u w:val="single"/>
        </w:rPr>
        <w:t xml:space="preserve">                                      </w:t>
      </w:r>
    </w:p>
    <w:p w14:paraId="0D16ECE7">
      <w:pPr>
        <w:keepNext w:val="0"/>
        <w:keepLines w:val="0"/>
        <w:pageBreakBefore w:val="0"/>
        <w:widowControl w:val="0"/>
        <w:kinsoku/>
        <w:wordWrap/>
        <w:overflowPunct/>
        <w:topLinePunct w:val="0"/>
        <w:autoSpaceDE/>
        <w:autoSpaceDN/>
        <w:bidi w:val="0"/>
        <w:adjustRightInd/>
        <w:snapToGrid/>
        <w:spacing w:line="120" w:lineRule="auto"/>
        <w:ind w:firstLine="1200" w:firstLineChars="500"/>
        <w:jc w:val="left"/>
        <w:textAlignment w:val="auto"/>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rPr>
        <w:t>传    真：</w:t>
      </w:r>
      <w:r>
        <w:rPr>
          <w:rFonts w:hint="eastAsia" w:ascii="方正仿宋_GB2312" w:hAnsi="方正仿宋_GB2312" w:eastAsia="方正仿宋_GB2312" w:cs="方正仿宋_GB2312"/>
          <w:color w:val="000000"/>
          <w:sz w:val="24"/>
          <w:szCs w:val="24"/>
          <w:highlight w:val="none"/>
          <w:u w:val="single"/>
        </w:rPr>
        <w:t xml:space="preserve">                                      </w:t>
      </w:r>
    </w:p>
    <w:p w14:paraId="7D80A9D4">
      <w:pPr>
        <w:keepNext w:val="0"/>
        <w:keepLines w:val="0"/>
        <w:pageBreakBefore w:val="0"/>
        <w:widowControl w:val="0"/>
        <w:kinsoku/>
        <w:wordWrap/>
        <w:overflowPunct/>
        <w:topLinePunct w:val="0"/>
        <w:autoSpaceDE/>
        <w:autoSpaceDN/>
        <w:bidi w:val="0"/>
        <w:adjustRightInd/>
        <w:snapToGrid/>
        <w:spacing w:line="120" w:lineRule="auto"/>
        <w:ind w:left="1899" w:hanging="1519" w:hangingChars="633"/>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 xml:space="preserve">           </w:t>
      </w:r>
      <w:r>
        <w:rPr>
          <w:rFonts w:hint="eastAsia" w:ascii="方正仿宋_GB2312" w:hAnsi="方正仿宋_GB2312" w:eastAsia="方正仿宋_GB2312" w:cs="方正仿宋_GB2312"/>
          <w:color w:val="000000"/>
          <w:sz w:val="24"/>
          <w:szCs w:val="24"/>
          <w:highlight w:val="none"/>
          <w:lang w:val="en-US" w:eastAsia="zh-CN"/>
        </w:rPr>
        <w:t xml:space="preserve">     </w:t>
      </w:r>
      <w:r>
        <w:rPr>
          <w:rFonts w:hint="eastAsia" w:ascii="方正仿宋_GB2312" w:hAnsi="方正仿宋_GB2312" w:eastAsia="方正仿宋_GB2312" w:cs="方正仿宋_GB2312"/>
          <w:color w:val="000000"/>
          <w:sz w:val="24"/>
          <w:szCs w:val="24"/>
          <w:highlight w:val="none"/>
        </w:rPr>
        <w:t xml:space="preserve">    </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年</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月</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日</w:t>
      </w:r>
    </w:p>
    <w:p w14:paraId="0E9D58D1">
      <w:pPr>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br w:type="page"/>
      </w:r>
    </w:p>
    <w:p w14:paraId="0CD16394">
      <w:pPr>
        <w:spacing w:line="360" w:lineRule="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附</w:t>
      </w:r>
      <w:bookmarkStart w:id="1269" w:name="_Toc296503232"/>
      <w:bookmarkStart w:id="1270" w:name="_Toc296346733"/>
      <w:bookmarkStart w:id="1271" w:name="_Toc296944571"/>
      <w:bookmarkStart w:id="1272" w:name="_Toc296891272"/>
      <w:bookmarkStart w:id="1273" w:name="_Toc296347231"/>
      <w:bookmarkStart w:id="1274" w:name="_Toc267261702"/>
      <w:bookmarkStart w:id="1275" w:name="_Toc296891060"/>
      <w:r>
        <w:rPr>
          <w:rFonts w:hint="eastAsia" w:ascii="方正仿宋_GB2312" w:hAnsi="方正仿宋_GB2312" w:eastAsia="方正仿宋_GB2312" w:cs="方正仿宋_GB2312"/>
          <w:color w:val="000000"/>
          <w:sz w:val="24"/>
          <w:szCs w:val="24"/>
          <w:highlight w:val="none"/>
        </w:rPr>
        <w:t>件9 ：</w:t>
      </w:r>
    </w:p>
    <w:bookmarkEnd w:id="1269"/>
    <w:bookmarkEnd w:id="1270"/>
    <w:bookmarkEnd w:id="1271"/>
    <w:bookmarkEnd w:id="1272"/>
    <w:bookmarkEnd w:id="1273"/>
    <w:bookmarkEnd w:id="1274"/>
    <w:bookmarkEnd w:id="1275"/>
    <w:p w14:paraId="0E912586">
      <w:pPr>
        <w:spacing w:before="156" w:beforeLines="50" w:after="156" w:afterLines="50" w:line="440" w:lineRule="exact"/>
        <w:jc w:val="center"/>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预付款担保</w:t>
      </w:r>
    </w:p>
    <w:p w14:paraId="35335F21">
      <w:pPr>
        <w:spacing w:line="360" w:lineRule="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u w:val="single"/>
        </w:rPr>
        <w:tab/>
      </w:r>
      <w:r>
        <w:rPr>
          <w:rFonts w:hint="eastAsia" w:ascii="方正仿宋_GB2312" w:hAnsi="方正仿宋_GB2312" w:eastAsia="方正仿宋_GB2312" w:cs="方正仿宋_GB2312"/>
          <w:color w:val="000000"/>
          <w:sz w:val="24"/>
          <w:szCs w:val="24"/>
          <w:highlight w:val="none"/>
          <w:u w:val="single"/>
        </w:rPr>
        <w:tab/>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 xml:space="preserve"> （发包人名称）：</w:t>
      </w:r>
    </w:p>
    <w:p w14:paraId="008878DB">
      <w:pPr>
        <w:spacing w:line="360" w:lineRule="auto"/>
        <w:rPr>
          <w:rFonts w:hint="eastAsia" w:ascii="方正仿宋_GB2312" w:hAnsi="方正仿宋_GB2312" w:eastAsia="方正仿宋_GB2312" w:cs="方正仿宋_GB2312"/>
          <w:color w:val="000000"/>
          <w:sz w:val="24"/>
          <w:szCs w:val="24"/>
          <w:highlight w:val="none"/>
        </w:rPr>
      </w:pPr>
    </w:p>
    <w:p w14:paraId="52B9FC08">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根据</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（承包人名称）（以下称“承包人”）与</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（发包人名称）（以下简称“发包人”）</w:t>
      </w:r>
    </w:p>
    <w:p w14:paraId="6EA067EF">
      <w:pPr>
        <w:spacing w:line="360" w:lineRule="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于</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年</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月</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日签订的</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00F501E7">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 担保金额人民币（大写）</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元（¥</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25BD4C2B">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 担保有效期自预付款支付给承包人起生效，至你方签发的进度款支付证书说明已完全扣清止。</w:t>
      </w:r>
    </w:p>
    <w:p w14:paraId="5F8DEB2F">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50FD7EAD">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4. 你方和承包人按合同约定变更合同时，我方承担本保函规定的义务不变。</w:t>
      </w:r>
    </w:p>
    <w:p w14:paraId="20835CD1">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5. 因本保函发生的纠纷，可由双方协商解决，协商不成的，任何一方均可提请</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仲裁委员会仲裁。</w:t>
      </w:r>
    </w:p>
    <w:p w14:paraId="2FA9971C">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6. 本保函自我方法定代表人（或其授权代理人）签字并加盖公章之日起生效。</w:t>
      </w:r>
    </w:p>
    <w:p w14:paraId="027D6682">
      <w:pPr>
        <w:spacing w:line="360" w:lineRule="auto"/>
        <w:rPr>
          <w:rFonts w:hint="eastAsia" w:ascii="方正仿宋_GB2312" w:hAnsi="方正仿宋_GB2312" w:eastAsia="方正仿宋_GB2312" w:cs="方正仿宋_GB2312"/>
          <w:color w:val="000000"/>
          <w:sz w:val="24"/>
          <w:szCs w:val="24"/>
          <w:highlight w:val="none"/>
        </w:rPr>
      </w:pPr>
    </w:p>
    <w:p w14:paraId="23B78FD9">
      <w:pPr>
        <w:spacing w:line="360" w:lineRule="auto"/>
        <w:rPr>
          <w:rFonts w:hint="eastAsia" w:ascii="方正仿宋_GB2312" w:hAnsi="方正仿宋_GB2312" w:eastAsia="方正仿宋_GB2312" w:cs="方正仿宋_GB2312"/>
          <w:color w:val="000000"/>
          <w:sz w:val="24"/>
          <w:szCs w:val="24"/>
          <w:highlight w:val="none"/>
        </w:rPr>
      </w:pPr>
    </w:p>
    <w:p w14:paraId="6A3AB8F7">
      <w:pPr>
        <w:spacing w:line="360" w:lineRule="auto"/>
        <w:jc w:val="righ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担保人：</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（盖单位章）</w:t>
      </w:r>
    </w:p>
    <w:p w14:paraId="03991C6B">
      <w:pPr>
        <w:spacing w:line="360" w:lineRule="auto"/>
        <w:jc w:val="righ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法定代表人或其委托代理人：</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（签字）</w:t>
      </w:r>
    </w:p>
    <w:p w14:paraId="170EDF2D">
      <w:pPr>
        <w:spacing w:line="360" w:lineRule="auto"/>
        <w:jc w:val="righ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地    址：</w:t>
      </w:r>
      <w:r>
        <w:rPr>
          <w:rFonts w:hint="eastAsia" w:ascii="方正仿宋_GB2312" w:hAnsi="方正仿宋_GB2312" w:eastAsia="方正仿宋_GB2312" w:cs="方正仿宋_GB2312"/>
          <w:color w:val="000000"/>
          <w:sz w:val="24"/>
          <w:szCs w:val="24"/>
          <w:highlight w:val="none"/>
          <w:u w:val="single"/>
        </w:rPr>
        <w:tab/>
      </w:r>
      <w:r>
        <w:rPr>
          <w:rFonts w:hint="eastAsia" w:ascii="方正仿宋_GB2312" w:hAnsi="方正仿宋_GB2312" w:eastAsia="方正仿宋_GB2312" w:cs="方正仿宋_GB2312"/>
          <w:color w:val="000000"/>
          <w:sz w:val="24"/>
          <w:szCs w:val="24"/>
          <w:highlight w:val="none"/>
          <w:u w:val="single"/>
        </w:rPr>
        <w:tab/>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u w:val="single"/>
        </w:rPr>
        <w:tab/>
      </w:r>
      <w:r>
        <w:rPr>
          <w:rFonts w:hint="eastAsia" w:ascii="方正仿宋_GB2312" w:hAnsi="方正仿宋_GB2312" w:eastAsia="方正仿宋_GB2312" w:cs="方正仿宋_GB2312"/>
          <w:color w:val="000000"/>
          <w:sz w:val="24"/>
          <w:szCs w:val="24"/>
          <w:highlight w:val="none"/>
          <w:u w:val="single"/>
        </w:rPr>
        <w:tab/>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u w:val="single"/>
        </w:rPr>
        <w:tab/>
      </w:r>
      <w:r>
        <w:rPr>
          <w:rFonts w:hint="eastAsia" w:ascii="方正仿宋_GB2312" w:hAnsi="方正仿宋_GB2312" w:eastAsia="方正仿宋_GB2312" w:cs="方正仿宋_GB2312"/>
          <w:color w:val="000000"/>
          <w:sz w:val="24"/>
          <w:szCs w:val="24"/>
          <w:highlight w:val="none"/>
          <w:u w:val="single"/>
        </w:rPr>
        <w:tab/>
      </w:r>
      <w:r>
        <w:rPr>
          <w:rFonts w:hint="eastAsia" w:ascii="方正仿宋_GB2312" w:hAnsi="方正仿宋_GB2312" w:eastAsia="方正仿宋_GB2312" w:cs="方正仿宋_GB2312"/>
          <w:color w:val="000000"/>
          <w:sz w:val="24"/>
          <w:szCs w:val="24"/>
          <w:highlight w:val="none"/>
          <w:u w:val="single"/>
        </w:rPr>
        <w:tab/>
      </w:r>
    </w:p>
    <w:p w14:paraId="54D2AE08">
      <w:pPr>
        <w:spacing w:line="360" w:lineRule="auto"/>
        <w:jc w:val="right"/>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rPr>
        <w:t>邮政编码：</w:t>
      </w:r>
      <w:r>
        <w:rPr>
          <w:rFonts w:hint="eastAsia" w:ascii="方正仿宋_GB2312" w:hAnsi="方正仿宋_GB2312" w:eastAsia="方正仿宋_GB2312" w:cs="方正仿宋_GB2312"/>
          <w:color w:val="000000"/>
          <w:sz w:val="24"/>
          <w:szCs w:val="24"/>
          <w:highlight w:val="none"/>
          <w:u w:val="single"/>
        </w:rPr>
        <w:tab/>
      </w:r>
      <w:r>
        <w:rPr>
          <w:rFonts w:hint="eastAsia" w:ascii="方正仿宋_GB2312" w:hAnsi="方正仿宋_GB2312" w:eastAsia="方正仿宋_GB2312" w:cs="方正仿宋_GB2312"/>
          <w:color w:val="000000"/>
          <w:sz w:val="24"/>
          <w:szCs w:val="24"/>
          <w:highlight w:val="none"/>
          <w:u w:val="single"/>
        </w:rPr>
        <w:tab/>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u w:val="single"/>
        </w:rPr>
        <w:tab/>
      </w:r>
      <w:r>
        <w:rPr>
          <w:rFonts w:hint="eastAsia" w:ascii="方正仿宋_GB2312" w:hAnsi="方正仿宋_GB2312" w:eastAsia="方正仿宋_GB2312" w:cs="方正仿宋_GB2312"/>
          <w:color w:val="000000"/>
          <w:sz w:val="24"/>
          <w:szCs w:val="24"/>
          <w:highlight w:val="none"/>
          <w:u w:val="single"/>
        </w:rPr>
        <w:tab/>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u w:val="single"/>
        </w:rPr>
        <w:tab/>
      </w:r>
      <w:r>
        <w:rPr>
          <w:rFonts w:hint="eastAsia" w:ascii="方正仿宋_GB2312" w:hAnsi="方正仿宋_GB2312" w:eastAsia="方正仿宋_GB2312" w:cs="方正仿宋_GB2312"/>
          <w:color w:val="000000"/>
          <w:sz w:val="24"/>
          <w:szCs w:val="24"/>
          <w:highlight w:val="none"/>
          <w:u w:val="single"/>
        </w:rPr>
        <w:tab/>
      </w:r>
      <w:r>
        <w:rPr>
          <w:rFonts w:hint="eastAsia" w:ascii="方正仿宋_GB2312" w:hAnsi="方正仿宋_GB2312" w:eastAsia="方正仿宋_GB2312" w:cs="方正仿宋_GB2312"/>
          <w:color w:val="000000"/>
          <w:sz w:val="24"/>
          <w:szCs w:val="24"/>
          <w:highlight w:val="none"/>
          <w:u w:val="single"/>
        </w:rPr>
        <w:tab/>
      </w:r>
    </w:p>
    <w:p w14:paraId="70DB480E">
      <w:pPr>
        <w:spacing w:line="360" w:lineRule="auto"/>
        <w:jc w:val="right"/>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rPr>
        <w:t>电    话：</w:t>
      </w:r>
      <w:r>
        <w:rPr>
          <w:rFonts w:hint="eastAsia" w:ascii="方正仿宋_GB2312" w:hAnsi="方正仿宋_GB2312" w:eastAsia="方正仿宋_GB2312" w:cs="方正仿宋_GB2312"/>
          <w:color w:val="000000"/>
          <w:sz w:val="24"/>
          <w:szCs w:val="24"/>
          <w:highlight w:val="none"/>
          <w:u w:val="single"/>
        </w:rPr>
        <w:tab/>
      </w:r>
      <w:r>
        <w:rPr>
          <w:rFonts w:hint="eastAsia" w:ascii="方正仿宋_GB2312" w:hAnsi="方正仿宋_GB2312" w:eastAsia="方正仿宋_GB2312" w:cs="方正仿宋_GB2312"/>
          <w:color w:val="000000"/>
          <w:sz w:val="24"/>
          <w:szCs w:val="24"/>
          <w:highlight w:val="none"/>
          <w:u w:val="single"/>
        </w:rPr>
        <w:tab/>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u w:val="single"/>
        </w:rPr>
        <w:tab/>
      </w:r>
      <w:r>
        <w:rPr>
          <w:rFonts w:hint="eastAsia" w:ascii="方正仿宋_GB2312" w:hAnsi="方正仿宋_GB2312" w:eastAsia="方正仿宋_GB2312" w:cs="方正仿宋_GB2312"/>
          <w:color w:val="000000"/>
          <w:sz w:val="24"/>
          <w:szCs w:val="24"/>
          <w:highlight w:val="none"/>
          <w:u w:val="single"/>
        </w:rPr>
        <w:tab/>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u w:val="single"/>
        </w:rPr>
        <w:tab/>
      </w:r>
      <w:r>
        <w:rPr>
          <w:rFonts w:hint="eastAsia" w:ascii="方正仿宋_GB2312" w:hAnsi="方正仿宋_GB2312" w:eastAsia="方正仿宋_GB2312" w:cs="方正仿宋_GB2312"/>
          <w:color w:val="000000"/>
          <w:sz w:val="24"/>
          <w:szCs w:val="24"/>
          <w:highlight w:val="none"/>
          <w:u w:val="single"/>
        </w:rPr>
        <w:tab/>
      </w:r>
      <w:r>
        <w:rPr>
          <w:rFonts w:hint="eastAsia" w:ascii="方正仿宋_GB2312" w:hAnsi="方正仿宋_GB2312" w:eastAsia="方正仿宋_GB2312" w:cs="方正仿宋_GB2312"/>
          <w:color w:val="000000"/>
          <w:sz w:val="24"/>
          <w:szCs w:val="24"/>
          <w:highlight w:val="none"/>
          <w:u w:val="single"/>
        </w:rPr>
        <w:tab/>
      </w:r>
    </w:p>
    <w:p w14:paraId="01773D45">
      <w:pPr>
        <w:spacing w:line="360" w:lineRule="auto"/>
        <w:jc w:val="right"/>
        <w:rPr>
          <w:rFonts w:hint="eastAsia" w:ascii="方正仿宋_GB2312" w:hAnsi="方正仿宋_GB2312" w:eastAsia="方正仿宋_GB2312" w:cs="方正仿宋_GB2312"/>
          <w:color w:val="000000"/>
          <w:sz w:val="24"/>
          <w:szCs w:val="24"/>
          <w:highlight w:val="none"/>
          <w:u w:val="single"/>
        </w:rPr>
      </w:pPr>
      <w:r>
        <w:rPr>
          <w:rFonts w:hint="eastAsia" w:ascii="方正仿宋_GB2312" w:hAnsi="方正仿宋_GB2312" w:eastAsia="方正仿宋_GB2312" w:cs="方正仿宋_GB2312"/>
          <w:color w:val="000000"/>
          <w:sz w:val="24"/>
          <w:szCs w:val="24"/>
          <w:highlight w:val="none"/>
        </w:rPr>
        <w:t>传    真：</w:t>
      </w:r>
      <w:r>
        <w:rPr>
          <w:rFonts w:hint="eastAsia" w:ascii="方正仿宋_GB2312" w:hAnsi="方正仿宋_GB2312" w:eastAsia="方正仿宋_GB2312" w:cs="方正仿宋_GB2312"/>
          <w:color w:val="000000"/>
          <w:sz w:val="24"/>
          <w:szCs w:val="24"/>
          <w:highlight w:val="none"/>
          <w:u w:val="single"/>
        </w:rPr>
        <w:tab/>
      </w:r>
      <w:r>
        <w:rPr>
          <w:rFonts w:hint="eastAsia" w:ascii="方正仿宋_GB2312" w:hAnsi="方正仿宋_GB2312" w:eastAsia="方正仿宋_GB2312" w:cs="方正仿宋_GB2312"/>
          <w:color w:val="000000"/>
          <w:sz w:val="24"/>
          <w:szCs w:val="24"/>
          <w:highlight w:val="none"/>
          <w:u w:val="single"/>
        </w:rPr>
        <w:tab/>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u w:val="single"/>
        </w:rPr>
        <w:tab/>
      </w:r>
      <w:r>
        <w:rPr>
          <w:rFonts w:hint="eastAsia" w:ascii="方正仿宋_GB2312" w:hAnsi="方正仿宋_GB2312" w:eastAsia="方正仿宋_GB2312" w:cs="方正仿宋_GB2312"/>
          <w:color w:val="000000"/>
          <w:sz w:val="24"/>
          <w:szCs w:val="24"/>
          <w:highlight w:val="none"/>
          <w:u w:val="single"/>
        </w:rPr>
        <w:tab/>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u w:val="single"/>
        </w:rPr>
        <w:tab/>
      </w:r>
      <w:r>
        <w:rPr>
          <w:rFonts w:hint="eastAsia" w:ascii="方正仿宋_GB2312" w:hAnsi="方正仿宋_GB2312" w:eastAsia="方正仿宋_GB2312" w:cs="方正仿宋_GB2312"/>
          <w:color w:val="000000"/>
          <w:sz w:val="24"/>
          <w:szCs w:val="24"/>
          <w:highlight w:val="none"/>
          <w:u w:val="single"/>
        </w:rPr>
        <w:tab/>
      </w:r>
      <w:r>
        <w:rPr>
          <w:rFonts w:hint="eastAsia" w:ascii="方正仿宋_GB2312" w:hAnsi="方正仿宋_GB2312" w:eastAsia="方正仿宋_GB2312" w:cs="方正仿宋_GB2312"/>
          <w:color w:val="000000"/>
          <w:sz w:val="24"/>
          <w:szCs w:val="24"/>
          <w:highlight w:val="none"/>
          <w:u w:val="single"/>
        </w:rPr>
        <w:tab/>
      </w:r>
    </w:p>
    <w:p w14:paraId="4033F5FC">
      <w:pPr>
        <w:spacing w:line="360" w:lineRule="auto"/>
        <w:jc w:val="righ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 xml:space="preserve">  </w:t>
      </w:r>
    </w:p>
    <w:p w14:paraId="1A4F7F5D">
      <w:pPr>
        <w:spacing w:line="360" w:lineRule="auto"/>
        <w:jc w:val="right"/>
        <w:rPr>
          <w:rFonts w:hint="eastAsia" w:ascii="方正仿宋_GB2312" w:hAnsi="方正仿宋_GB2312" w:eastAsia="方正仿宋_GB2312" w:cs="方正仿宋_GB2312"/>
          <w:color w:val="000000"/>
          <w:sz w:val="24"/>
          <w:szCs w:val="24"/>
          <w:highlight w:val="none"/>
          <w:u w:val="single"/>
        </w:rPr>
      </w:pPr>
    </w:p>
    <w:p w14:paraId="3033199F">
      <w:pPr>
        <w:spacing w:line="360" w:lineRule="auto"/>
        <w:jc w:val="righ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 xml:space="preserve">            </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年</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月</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日</w:t>
      </w:r>
    </w:p>
    <w:p w14:paraId="76B518A8">
      <w:pPr>
        <w:spacing w:line="440" w:lineRule="exac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b/>
          <w:color w:val="000000"/>
          <w:sz w:val="24"/>
          <w:szCs w:val="24"/>
          <w:highlight w:val="none"/>
        </w:rPr>
        <w:br w:type="page"/>
      </w:r>
      <w:r>
        <w:rPr>
          <w:rFonts w:hint="eastAsia" w:ascii="方正仿宋_GB2312" w:hAnsi="方正仿宋_GB2312" w:eastAsia="方正仿宋_GB2312" w:cs="方正仿宋_GB2312"/>
          <w:color w:val="000000"/>
          <w:sz w:val="24"/>
          <w:szCs w:val="24"/>
          <w:highlight w:val="none"/>
        </w:rPr>
        <w:t>附</w:t>
      </w:r>
      <w:bookmarkStart w:id="1276" w:name="_Toc296347232"/>
      <w:bookmarkStart w:id="1277" w:name="_Toc296891061"/>
      <w:bookmarkStart w:id="1278" w:name="_Toc296944572"/>
      <w:bookmarkStart w:id="1279" w:name="_Toc296503233"/>
      <w:bookmarkStart w:id="1280" w:name="_Toc296891273"/>
      <w:bookmarkStart w:id="1281" w:name="_Toc296346734"/>
      <w:r>
        <w:rPr>
          <w:rFonts w:hint="eastAsia" w:ascii="方正仿宋_GB2312" w:hAnsi="方正仿宋_GB2312" w:eastAsia="方正仿宋_GB2312" w:cs="方正仿宋_GB2312"/>
          <w:color w:val="000000"/>
          <w:sz w:val="24"/>
          <w:szCs w:val="24"/>
          <w:highlight w:val="none"/>
        </w:rPr>
        <w:t xml:space="preserve">件10:  </w:t>
      </w:r>
    </w:p>
    <w:bookmarkEnd w:id="1276"/>
    <w:bookmarkEnd w:id="1277"/>
    <w:bookmarkEnd w:id="1278"/>
    <w:bookmarkEnd w:id="1279"/>
    <w:bookmarkEnd w:id="1280"/>
    <w:bookmarkEnd w:id="1281"/>
    <w:p w14:paraId="26E0FA9A">
      <w:pPr>
        <w:spacing w:before="156" w:beforeLines="50" w:after="156" w:afterLines="50" w:line="440" w:lineRule="exact"/>
        <w:jc w:val="center"/>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支付担保</w:t>
      </w:r>
    </w:p>
    <w:p w14:paraId="6099D96C">
      <w:pPr>
        <w:spacing w:line="440" w:lineRule="exact"/>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（承包人）：</w:t>
      </w:r>
    </w:p>
    <w:p w14:paraId="7CA0B841">
      <w:pPr>
        <w:spacing w:line="440" w:lineRule="exact"/>
        <w:jc w:val="left"/>
        <w:rPr>
          <w:rFonts w:hint="eastAsia" w:ascii="方正仿宋_GB2312" w:hAnsi="方正仿宋_GB2312" w:eastAsia="方正仿宋_GB2312" w:cs="方正仿宋_GB2312"/>
          <w:color w:val="000000"/>
          <w:sz w:val="24"/>
          <w:szCs w:val="24"/>
          <w:highlight w:val="none"/>
        </w:rPr>
      </w:pPr>
    </w:p>
    <w:p w14:paraId="3E7197E1">
      <w:pPr>
        <w:spacing w:line="360" w:lineRule="auto"/>
        <w:ind w:firstLine="480" w:firstLineChars="200"/>
        <w:jc w:val="lef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鉴于你方作为承包人已经与</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（发包人名称）（以下称“发包人”）于</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年</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月</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日签订了</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（工程名称）《建设工程施工合同》（以下称“主合同”），应发包人的申请，我方愿就发包人履行主合同约定的工程款支付义务以保证的方式向你方提供如下担保：</w:t>
      </w:r>
    </w:p>
    <w:p w14:paraId="0F7B4E69">
      <w:pPr>
        <w:spacing w:line="360" w:lineRule="auto"/>
        <w:ind w:firstLine="480" w:firstLineChars="200"/>
        <w:jc w:val="lef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一、保证的范围及保证金额</w:t>
      </w:r>
    </w:p>
    <w:p w14:paraId="2CF3D6E8">
      <w:pPr>
        <w:spacing w:line="360" w:lineRule="auto"/>
        <w:ind w:firstLine="480" w:firstLineChars="200"/>
        <w:jc w:val="lef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 我方的保证范围是主合同约定的工程款。</w:t>
      </w:r>
    </w:p>
    <w:p w14:paraId="07F0AA11">
      <w:pPr>
        <w:spacing w:line="360" w:lineRule="auto"/>
        <w:ind w:firstLine="480" w:firstLineChars="200"/>
        <w:jc w:val="lef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 本保函所称主合同约定的工程款是指主合同约定的除工程质量保证金以外的合同价款。</w:t>
      </w:r>
    </w:p>
    <w:p w14:paraId="208D5959">
      <w:pPr>
        <w:spacing w:line="360" w:lineRule="auto"/>
        <w:ind w:firstLine="480" w:firstLineChars="200"/>
        <w:jc w:val="lef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3. 我方保证的金额是主合同约定的工程款的</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%，数额最高不超过人民币元（大写：</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w:t>
      </w:r>
    </w:p>
    <w:p w14:paraId="51434F4E">
      <w:pPr>
        <w:spacing w:line="360" w:lineRule="auto"/>
        <w:ind w:firstLine="480" w:firstLineChars="200"/>
        <w:jc w:val="lef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二、保证的方式及保证期间</w:t>
      </w:r>
    </w:p>
    <w:p w14:paraId="721A9A21">
      <w:pPr>
        <w:spacing w:line="360" w:lineRule="auto"/>
        <w:ind w:firstLine="480" w:firstLineChars="200"/>
        <w:jc w:val="lef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 我方保证的方式为：连带责任保证。</w:t>
      </w:r>
    </w:p>
    <w:p w14:paraId="0B5E2247">
      <w:pPr>
        <w:spacing w:line="360" w:lineRule="auto"/>
        <w:ind w:firstLine="480" w:firstLineChars="200"/>
        <w:jc w:val="lef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 我方保证的期间为：自本合同生效之日起至主合同约定的工程款支付完毕之日后</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日内。</w:t>
      </w:r>
    </w:p>
    <w:p w14:paraId="59477B5D">
      <w:pPr>
        <w:spacing w:line="360" w:lineRule="auto"/>
        <w:ind w:firstLine="480" w:firstLineChars="200"/>
        <w:jc w:val="lef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3. 你方与发包人协议变更工程款支付日期的，经我方书面同意后，保证期间按照变更后的支付日期做相应调整。</w:t>
      </w:r>
    </w:p>
    <w:p w14:paraId="6D765626">
      <w:pPr>
        <w:spacing w:line="360" w:lineRule="auto"/>
        <w:ind w:firstLine="480" w:firstLineChars="200"/>
        <w:jc w:val="lef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三、承担保证责任的形式</w:t>
      </w:r>
    </w:p>
    <w:p w14:paraId="63D3CAAF">
      <w:pPr>
        <w:spacing w:line="360" w:lineRule="auto"/>
        <w:ind w:firstLine="480" w:firstLineChars="200"/>
        <w:jc w:val="lef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我方承担保证责任的形式是代为支付。发包人未按主合同约定向你方支付工程款的，由我方在保证金额内代为支付。</w:t>
      </w:r>
    </w:p>
    <w:p w14:paraId="0DA6FA0E">
      <w:pPr>
        <w:spacing w:line="360" w:lineRule="auto"/>
        <w:ind w:firstLine="480" w:firstLineChars="200"/>
        <w:jc w:val="lef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四、代偿的安排</w:t>
      </w:r>
    </w:p>
    <w:p w14:paraId="57725E7C">
      <w:pPr>
        <w:spacing w:line="360" w:lineRule="auto"/>
        <w:ind w:firstLine="480" w:firstLineChars="200"/>
        <w:jc w:val="lef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 你方要求我方承担保证责任的，应向我方发出书面索赔通知及发包人未支付主合同约定工程款的证明材料。索赔通知应写明要求索赔的金额，支付款项应到达的账号。</w:t>
      </w:r>
    </w:p>
    <w:p w14:paraId="0DD119BF">
      <w:pPr>
        <w:spacing w:line="360" w:lineRule="auto"/>
        <w:ind w:firstLine="480" w:firstLineChars="200"/>
        <w:jc w:val="lef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7870B8AB">
      <w:pPr>
        <w:spacing w:line="360" w:lineRule="auto"/>
        <w:ind w:firstLine="480" w:firstLineChars="200"/>
        <w:jc w:val="lef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3. 我方收到你方的书面索赔通知及相应的证明材料后７天内无条件支付。</w:t>
      </w:r>
    </w:p>
    <w:p w14:paraId="1A457467">
      <w:pPr>
        <w:spacing w:line="360" w:lineRule="auto"/>
        <w:ind w:firstLine="480" w:firstLineChars="200"/>
        <w:jc w:val="lef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五、保证责任的解除</w:t>
      </w:r>
    </w:p>
    <w:p w14:paraId="7D172C51">
      <w:pPr>
        <w:spacing w:line="360" w:lineRule="auto"/>
        <w:ind w:firstLine="480" w:firstLineChars="200"/>
        <w:jc w:val="lef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 在本保函承诺的保证期间内，你方未书面向我方主张保证责任的，自保证期间届满次日起，我方保证责任解除。</w:t>
      </w:r>
    </w:p>
    <w:p w14:paraId="09CE0337">
      <w:pPr>
        <w:spacing w:line="360" w:lineRule="auto"/>
        <w:ind w:firstLine="480" w:firstLineChars="200"/>
        <w:jc w:val="lef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 发包人按主合同约定履行了工程款的全部支付义务的，自本保函承诺的保证期间届满次日起，我方保证责任解除。</w:t>
      </w:r>
    </w:p>
    <w:p w14:paraId="35B40730">
      <w:pPr>
        <w:spacing w:line="360" w:lineRule="auto"/>
        <w:ind w:firstLine="480" w:firstLineChars="200"/>
        <w:jc w:val="lef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3. 我方按照本保函向你方履行保证责任所支付金额达到本保函保证金额时，自我方向你方支付（支付款项从我方账户划出）之日起，保证责任即解除。</w:t>
      </w:r>
    </w:p>
    <w:p w14:paraId="198807CE">
      <w:pPr>
        <w:spacing w:line="360" w:lineRule="auto"/>
        <w:ind w:firstLine="480" w:firstLineChars="200"/>
        <w:jc w:val="lef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4. 按照法律法规的规定或出现应解除我方保证责任的其他情形的，我方在本保函项下的保证责任亦解除。</w:t>
      </w:r>
    </w:p>
    <w:p w14:paraId="3C541602">
      <w:pPr>
        <w:spacing w:line="360" w:lineRule="auto"/>
        <w:ind w:firstLine="480" w:firstLineChars="200"/>
        <w:jc w:val="lef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5. 我方解除保证责任后，你方应自我方保证责任解除之日起</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个工作日内，将本保函原件返还我方。</w:t>
      </w:r>
    </w:p>
    <w:p w14:paraId="5D800330">
      <w:pPr>
        <w:spacing w:line="360" w:lineRule="auto"/>
        <w:ind w:firstLine="480" w:firstLineChars="200"/>
        <w:jc w:val="lef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六、免责条款</w:t>
      </w:r>
    </w:p>
    <w:p w14:paraId="12D278BA">
      <w:pPr>
        <w:spacing w:line="360" w:lineRule="auto"/>
        <w:ind w:firstLine="480" w:firstLineChars="200"/>
        <w:jc w:val="lef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 因你方违约致使发包人不能履行义务的，我方不承担保证责任。</w:t>
      </w:r>
    </w:p>
    <w:p w14:paraId="4681EF2D">
      <w:pPr>
        <w:spacing w:line="360" w:lineRule="auto"/>
        <w:ind w:firstLine="480" w:firstLineChars="200"/>
        <w:jc w:val="lef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 依照法律法规的规定或你方与发包人的另行约定，免除发包人部分或全部义务的，我方亦免除其相应的保证责任。</w:t>
      </w:r>
    </w:p>
    <w:p w14:paraId="18934E50">
      <w:pPr>
        <w:spacing w:line="360" w:lineRule="auto"/>
        <w:ind w:firstLine="480" w:firstLineChars="200"/>
        <w:jc w:val="lef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67076A6A">
      <w:pPr>
        <w:spacing w:line="360" w:lineRule="auto"/>
        <w:ind w:firstLine="480" w:firstLineChars="200"/>
        <w:jc w:val="lef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4. 因不可抗力造成发包人不能履行义务的，我方不承担保证责任。</w:t>
      </w:r>
    </w:p>
    <w:p w14:paraId="75C52446">
      <w:pPr>
        <w:spacing w:line="360" w:lineRule="auto"/>
        <w:ind w:firstLine="480" w:firstLineChars="200"/>
        <w:jc w:val="lef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七、争议解决</w:t>
      </w:r>
    </w:p>
    <w:p w14:paraId="3791021F">
      <w:pPr>
        <w:spacing w:after="120" w:line="360" w:lineRule="auto"/>
        <w:ind w:firstLine="480" w:firstLineChars="200"/>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因本保函或本保函相关事项发生的纠纷，可由双方协商解决，协商不成的，按下列第</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种方式解决：</w:t>
      </w:r>
    </w:p>
    <w:p w14:paraId="496FA480">
      <w:pPr>
        <w:spacing w:line="360" w:lineRule="auto"/>
        <w:ind w:firstLine="480" w:firstLineChars="200"/>
        <w:jc w:val="lef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（1）向</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仲裁委员会申请仲裁；</w:t>
      </w:r>
    </w:p>
    <w:p w14:paraId="16923682">
      <w:pPr>
        <w:spacing w:line="360" w:lineRule="auto"/>
        <w:ind w:firstLine="480" w:firstLineChars="200"/>
        <w:jc w:val="lef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（2）向</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人民法院起诉。</w:t>
      </w:r>
    </w:p>
    <w:p w14:paraId="636B8727">
      <w:pPr>
        <w:spacing w:line="360" w:lineRule="auto"/>
        <w:ind w:firstLine="480" w:firstLineChars="200"/>
        <w:jc w:val="lef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八、保函的生效</w:t>
      </w:r>
    </w:p>
    <w:p w14:paraId="06E68052">
      <w:pPr>
        <w:spacing w:line="360" w:lineRule="auto"/>
        <w:ind w:firstLine="480" w:firstLineChars="200"/>
        <w:jc w:val="lef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本保函自我方法定代表人（或其授权代理人）签字并加盖公章之日起生效。</w:t>
      </w:r>
    </w:p>
    <w:p w14:paraId="46C12839">
      <w:pPr>
        <w:spacing w:line="360" w:lineRule="auto"/>
        <w:ind w:right="600"/>
        <w:jc w:val="left"/>
        <w:outlineLvl w:val="9"/>
        <w:rPr>
          <w:rFonts w:hint="eastAsia" w:ascii="方正仿宋_GB2312" w:hAnsi="方正仿宋_GB2312" w:eastAsia="方正仿宋_GB2312" w:cs="方正仿宋_GB2312"/>
          <w:color w:val="000000"/>
          <w:sz w:val="24"/>
          <w:szCs w:val="24"/>
          <w:highlight w:val="none"/>
        </w:rPr>
      </w:pPr>
    </w:p>
    <w:p w14:paraId="6F8CED7F">
      <w:pPr>
        <w:spacing w:line="360" w:lineRule="auto"/>
        <w:ind w:right="600"/>
        <w:jc w:val="lef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担保人：</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（盖章）</w:t>
      </w:r>
    </w:p>
    <w:p w14:paraId="39C76D70">
      <w:pPr>
        <w:spacing w:line="360" w:lineRule="auto"/>
        <w:ind w:right="1200"/>
        <w:jc w:val="lef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法定代表人或委托代理人：</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（签字）</w:t>
      </w:r>
    </w:p>
    <w:p w14:paraId="24CB2EA3">
      <w:pPr>
        <w:spacing w:line="360" w:lineRule="auto"/>
        <w:jc w:val="lef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地    址：</w:t>
      </w:r>
      <w:r>
        <w:rPr>
          <w:rFonts w:hint="eastAsia" w:ascii="方正仿宋_GB2312" w:hAnsi="方正仿宋_GB2312" w:eastAsia="方正仿宋_GB2312" w:cs="方正仿宋_GB2312"/>
          <w:color w:val="000000"/>
          <w:sz w:val="24"/>
          <w:szCs w:val="24"/>
          <w:highlight w:val="none"/>
          <w:u w:val="single"/>
        </w:rPr>
        <w:t xml:space="preserve">                                        </w:t>
      </w:r>
    </w:p>
    <w:p w14:paraId="59321BF0">
      <w:pPr>
        <w:spacing w:line="360" w:lineRule="auto"/>
        <w:jc w:val="lef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邮政编码：</w:t>
      </w:r>
      <w:r>
        <w:rPr>
          <w:rFonts w:hint="eastAsia" w:ascii="方正仿宋_GB2312" w:hAnsi="方正仿宋_GB2312" w:eastAsia="方正仿宋_GB2312" w:cs="方正仿宋_GB2312"/>
          <w:color w:val="000000"/>
          <w:sz w:val="24"/>
          <w:szCs w:val="24"/>
          <w:highlight w:val="none"/>
          <w:u w:val="single"/>
        </w:rPr>
        <w:t xml:space="preserve">                                        </w:t>
      </w:r>
    </w:p>
    <w:p w14:paraId="1378F898">
      <w:pPr>
        <w:spacing w:line="360" w:lineRule="auto"/>
        <w:jc w:val="lef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传    真：</w:t>
      </w:r>
      <w:r>
        <w:rPr>
          <w:rFonts w:hint="eastAsia" w:ascii="方正仿宋_GB2312" w:hAnsi="方正仿宋_GB2312" w:eastAsia="方正仿宋_GB2312" w:cs="方正仿宋_GB2312"/>
          <w:color w:val="000000"/>
          <w:sz w:val="24"/>
          <w:szCs w:val="24"/>
          <w:highlight w:val="none"/>
          <w:u w:val="single"/>
        </w:rPr>
        <w:t xml:space="preserve">                                        </w:t>
      </w:r>
    </w:p>
    <w:p w14:paraId="00868247">
      <w:pPr>
        <w:spacing w:line="360" w:lineRule="auto"/>
        <w:ind w:right="150" w:firstLine="480" w:firstLineChars="200"/>
        <w:jc w:val="left"/>
        <w:outlineLvl w:val="9"/>
        <w:rPr>
          <w:rFonts w:hint="eastAsia" w:ascii="方正仿宋_GB2312" w:hAnsi="方正仿宋_GB2312" w:eastAsia="方正仿宋_GB2312" w:cs="方正仿宋_GB2312"/>
          <w:color w:val="000000"/>
          <w:sz w:val="24"/>
          <w:szCs w:val="24"/>
          <w:highlight w:val="none"/>
          <w:u w:val="single"/>
        </w:rPr>
      </w:pPr>
    </w:p>
    <w:p w14:paraId="19007378">
      <w:pPr>
        <w:spacing w:line="360" w:lineRule="auto"/>
        <w:ind w:right="150" w:firstLine="480" w:firstLineChars="200"/>
        <w:jc w:val="left"/>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 xml:space="preserve">             </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年</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月</w:t>
      </w:r>
      <w:r>
        <w:rPr>
          <w:rFonts w:hint="eastAsia" w:ascii="方正仿宋_GB2312" w:hAnsi="方正仿宋_GB2312" w:eastAsia="方正仿宋_GB2312" w:cs="方正仿宋_GB2312"/>
          <w:color w:val="000000"/>
          <w:sz w:val="24"/>
          <w:szCs w:val="24"/>
          <w:highlight w:val="none"/>
          <w:u w:val="single"/>
        </w:rPr>
        <w:t xml:space="preserve">      </w:t>
      </w:r>
      <w:r>
        <w:rPr>
          <w:rFonts w:hint="eastAsia" w:ascii="方正仿宋_GB2312" w:hAnsi="方正仿宋_GB2312" w:eastAsia="方正仿宋_GB2312" w:cs="方正仿宋_GB2312"/>
          <w:color w:val="000000"/>
          <w:sz w:val="24"/>
          <w:szCs w:val="24"/>
          <w:highlight w:val="none"/>
        </w:rPr>
        <w:t>日</w:t>
      </w:r>
    </w:p>
    <w:p w14:paraId="5CED3731">
      <w:pPr>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br w:type="page"/>
      </w:r>
    </w:p>
    <w:p w14:paraId="18622345">
      <w:pPr>
        <w:spacing w:line="440" w:lineRule="exac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附件11：</w:t>
      </w:r>
    </w:p>
    <w:p w14:paraId="16C4E946">
      <w:pPr>
        <w:spacing w:before="156" w:beforeLines="50" w:after="156" w:afterLines="50" w:line="440" w:lineRule="exact"/>
        <w:jc w:val="center"/>
        <w:outlineLvl w:val="9"/>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11-1：材料暂估价表</w:t>
      </w:r>
    </w:p>
    <w:tbl>
      <w:tblPr>
        <w:tblStyle w:val="39"/>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6626A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4DF693F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序号</w:t>
            </w:r>
          </w:p>
        </w:tc>
        <w:tc>
          <w:tcPr>
            <w:tcW w:w="1984" w:type="dxa"/>
            <w:tcBorders>
              <w:top w:val="single" w:color="auto" w:sz="12" w:space="0"/>
              <w:bottom w:val="double" w:color="auto" w:sz="6" w:space="0"/>
            </w:tcBorders>
            <w:noWrap w:val="0"/>
            <w:vAlign w:val="top"/>
          </w:tcPr>
          <w:p w14:paraId="39933DF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名称</w:t>
            </w:r>
          </w:p>
        </w:tc>
        <w:tc>
          <w:tcPr>
            <w:tcW w:w="851" w:type="dxa"/>
            <w:tcBorders>
              <w:top w:val="single" w:color="auto" w:sz="12" w:space="0"/>
              <w:bottom w:val="double" w:color="auto" w:sz="6" w:space="0"/>
            </w:tcBorders>
            <w:noWrap w:val="0"/>
            <w:vAlign w:val="top"/>
          </w:tcPr>
          <w:p w14:paraId="070DD05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单位</w:t>
            </w:r>
          </w:p>
        </w:tc>
        <w:tc>
          <w:tcPr>
            <w:tcW w:w="774" w:type="dxa"/>
            <w:tcBorders>
              <w:top w:val="single" w:color="auto" w:sz="12" w:space="0"/>
              <w:bottom w:val="double" w:color="auto" w:sz="6" w:space="0"/>
            </w:tcBorders>
            <w:noWrap w:val="0"/>
            <w:vAlign w:val="top"/>
          </w:tcPr>
          <w:p w14:paraId="0550714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数量</w:t>
            </w:r>
          </w:p>
        </w:tc>
        <w:tc>
          <w:tcPr>
            <w:tcW w:w="1352" w:type="dxa"/>
            <w:tcBorders>
              <w:top w:val="single" w:color="auto" w:sz="12" w:space="0"/>
              <w:bottom w:val="double" w:color="auto" w:sz="6" w:space="0"/>
            </w:tcBorders>
            <w:noWrap w:val="0"/>
            <w:vAlign w:val="top"/>
          </w:tcPr>
          <w:p w14:paraId="2AF9DA1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单价（元）</w:t>
            </w:r>
          </w:p>
        </w:tc>
        <w:tc>
          <w:tcPr>
            <w:tcW w:w="1418" w:type="dxa"/>
            <w:tcBorders>
              <w:top w:val="single" w:color="auto" w:sz="12" w:space="0"/>
              <w:bottom w:val="double" w:color="auto" w:sz="6" w:space="0"/>
            </w:tcBorders>
            <w:noWrap w:val="0"/>
            <w:vAlign w:val="top"/>
          </w:tcPr>
          <w:p w14:paraId="2521876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合价（元）</w:t>
            </w:r>
          </w:p>
        </w:tc>
        <w:tc>
          <w:tcPr>
            <w:tcW w:w="1701" w:type="dxa"/>
            <w:tcBorders>
              <w:top w:val="single" w:color="auto" w:sz="12" w:space="0"/>
              <w:bottom w:val="double" w:color="auto" w:sz="6" w:space="0"/>
            </w:tcBorders>
            <w:noWrap w:val="0"/>
            <w:vAlign w:val="top"/>
          </w:tcPr>
          <w:p w14:paraId="143FF90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备注</w:t>
            </w:r>
          </w:p>
        </w:tc>
      </w:tr>
      <w:tr w14:paraId="7C47D3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0876665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tcBorders>
              <w:top w:val="double" w:color="auto" w:sz="6" w:space="0"/>
              <w:bottom w:val="single" w:color="auto" w:sz="6" w:space="0"/>
            </w:tcBorders>
            <w:noWrap w:val="0"/>
            <w:vAlign w:val="top"/>
          </w:tcPr>
          <w:p w14:paraId="2448DFD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tcBorders>
              <w:top w:val="double" w:color="auto" w:sz="6" w:space="0"/>
              <w:bottom w:val="single" w:color="auto" w:sz="6" w:space="0"/>
            </w:tcBorders>
            <w:noWrap w:val="0"/>
            <w:vAlign w:val="top"/>
          </w:tcPr>
          <w:p w14:paraId="40CF2FE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tcBorders>
              <w:top w:val="double" w:color="auto" w:sz="6" w:space="0"/>
              <w:bottom w:val="single" w:color="auto" w:sz="6" w:space="0"/>
            </w:tcBorders>
            <w:noWrap w:val="0"/>
            <w:vAlign w:val="top"/>
          </w:tcPr>
          <w:p w14:paraId="7C5D497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tcBorders>
              <w:top w:val="double" w:color="auto" w:sz="6" w:space="0"/>
              <w:bottom w:val="single" w:color="auto" w:sz="6" w:space="0"/>
            </w:tcBorders>
            <w:noWrap w:val="0"/>
            <w:vAlign w:val="top"/>
          </w:tcPr>
          <w:p w14:paraId="289816D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tcBorders>
              <w:top w:val="double" w:color="auto" w:sz="6" w:space="0"/>
              <w:bottom w:val="single" w:color="auto" w:sz="6" w:space="0"/>
            </w:tcBorders>
            <w:noWrap w:val="0"/>
            <w:vAlign w:val="top"/>
          </w:tcPr>
          <w:p w14:paraId="4BFCA11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tcBorders>
              <w:top w:val="double" w:color="auto" w:sz="6" w:space="0"/>
              <w:bottom w:val="single" w:color="auto" w:sz="6" w:space="0"/>
            </w:tcBorders>
            <w:noWrap w:val="0"/>
            <w:vAlign w:val="top"/>
          </w:tcPr>
          <w:p w14:paraId="2E6BC46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103A8C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282DC72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tcBorders>
              <w:top w:val="nil"/>
            </w:tcBorders>
            <w:noWrap w:val="0"/>
            <w:vAlign w:val="top"/>
          </w:tcPr>
          <w:p w14:paraId="656554E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tcBorders>
              <w:top w:val="nil"/>
            </w:tcBorders>
            <w:noWrap w:val="0"/>
            <w:vAlign w:val="top"/>
          </w:tcPr>
          <w:p w14:paraId="4B9375F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tcBorders>
              <w:top w:val="nil"/>
            </w:tcBorders>
            <w:noWrap w:val="0"/>
            <w:vAlign w:val="top"/>
          </w:tcPr>
          <w:p w14:paraId="78002D2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tcBorders>
              <w:top w:val="nil"/>
            </w:tcBorders>
            <w:noWrap w:val="0"/>
            <w:vAlign w:val="top"/>
          </w:tcPr>
          <w:p w14:paraId="31AF3AA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tcBorders>
              <w:top w:val="nil"/>
            </w:tcBorders>
            <w:noWrap w:val="0"/>
            <w:vAlign w:val="top"/>
          </w:tcPr>
          <w:p w14:paraId="664AFD4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tcBorders>
              <w:top w:val="nil"/>
            </w:tcBorders>
            <w:noWrap w:val="0"/>
            <w:vAlign w:val="top"/>
          </w:tcPr>
          <w:p w14:paraId="70836BF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2F18F4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F71A61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28820B8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7F6FB54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1A7474B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28D0158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6E65C65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784F8AE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168A0C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B07E9F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532A647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134560D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2856A66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3180874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17722B4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711A77B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35509B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CE252A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2C347D9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06F15FB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1439971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24F0405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22CE9D2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10FB28A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40AD7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35FD8E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496E92A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14A0D2C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19B7CEE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314C993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5085443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34ED9BF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7AF225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553737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04223A9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46206A5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019CEA1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6B4D325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14EABC9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096F403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743AA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A7EF12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0B29CAE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5AC9520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02FD06F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3AE8BC1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16452DE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0947586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452942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1376BA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7FF31C4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2877371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2F53666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61B9BC5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0978939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709C56B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3A5953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B97C4C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414CF6E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5B5574D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664DA7C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556F22A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224CAD3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313B85F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263360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F43066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1AEAB10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25908A5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77B7952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7B8AD21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0385531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623F1F7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691B0B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CC24B2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72B8483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3275374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37A6591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0AEF74E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32F83E8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26EA2EE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1C68A2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14310E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2C04CD9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375E86E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4B563DF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08E8C00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4F3033B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25ADB10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2A8470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BD8182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7C5CE54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1CE81C9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35A702C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764BCC5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7A58FCF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126AAA5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5B40B6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7F6A76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37FE415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5A877F1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1D5CB8A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5FF92BA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491C8F4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0AEA734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5E5AC7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92AFC4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3ED9233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6241EC2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4974542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588CA52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082C655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2CECF3A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72C92F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2FDEEF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3E00DF7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21C0B11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23E555A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7AFA065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342C86E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2B1C632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110A51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127AA9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213C27C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6D63E70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37B3835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142F416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739C3C1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693A761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212EFE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DAA00F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21B973C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7DD3C2F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589D48C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0E03909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644D776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51C8191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27780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1B5EED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1E35AE2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0723595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7176104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02F5C64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50D5325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20A3DAA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177F27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812922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7DE6F52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048E28C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1184F17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6035FB6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1DAE32C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43244F2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4810CA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EC1DBF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5A6FF53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582CA42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3526DE1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10B3F04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0F0BF88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602B810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78107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98E83B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2B25F92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6DD27B6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0AE1751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5564E00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78B5E44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33EE45B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01CB4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6B61D9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5667CD4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47BD70B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6F5580E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4F0A6D7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5E0AE06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3D1A742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09CFD5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B4316F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14FCD0C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287AC11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554BF89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29FE272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5B6FC39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2F83527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bl>
    <w:p w14:paraId="5297A957">
      <w:pPr>
        <w:spacing w:before="156" w:beforeLines="50" w:after="156" w:afterLines="50" w:line="440" w:lineRule="exact"/>
        <w:rPr>
          <w:rFonts w:hint="eastAsia" w:ascii="方正仿宋_GB2312" w:hAnsi="方正仿宋_GB2312" w:eastAsia="方正仿宋_GB2312" w:cs="方正仿宋_GB2312"/>
          <w:color w:val="000000"/>
          <w:sz w:val="24"/>
          <w:szCs w:val="24"/>
          <w:highlight w:val="none"/>
        </w:rPr>
      </w:pPr>
    </w:p>
    <w:p w14:paraId="15C8D1DC">
      <w:pPr>
        <w:spacing w:before="156" w:beforeLines="50" w:after="156" w:afterLines="50" w:line="440" w:lineRule="exact"/>
        <w:jc w:val="center"/>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11-2：工程设备暂估价表</w:t>
      </w:r>
    </w:p>
    <w:tbl>
      <w:tblPr>
        <w:tblStyle w:val="39"/>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1303CA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2089A98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序号</w:t>
            </w:r>
          </w:p>
        </w:tc>
        <w:tc>
          <w:tcPr>
            <w:tcW w:w="1984" w:type="dxa"/>
            <w:tcBorders>
              <w:top w:val="single" w:color="auto" w:sz="12" w:space="0"/>
              <w:bottom w:val="double" w:color="auto" w:sz="6" w:space="0"/>
            </w:tcBorders>
            <w:noWrap w:val="0"/>
            <w:vAlign w:val="top"/>
          </w:tcPr>
          <w:p w14:paraId="6962AAB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名称</w:t>
            </w:r>
          </w:p>
        </w:tc>
        <w:tc>
          <w:tcPr>
            <w:tcW w:w="851" w:type="dxa"/>
            <w:tcBorders>
              <w:top w:val="single" w:color="auto" w:sz="12" w:space="0"/>
              <w:bottom w:val="double" w:color="auto" w:sz="6" w:space="0"/>
            </w:tcBorders>
            <w:noWrap w:val="0"/>
            <w:vAlign w:val="top"/>
          </w:tcPr>
          <w:p w14:paraId="13B97E5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单位</w:t>
            </w:r>
          </w:p>
        </w:tc>
        <w:tc>
          <w:tcPr>
            <w:tcW w:w="774" w:type="dxa"/>
            <w:tcBorders>
              <w:top w:val="single" w:color="auto" w:sz="12" w:space="0"/>
              <w:bottom w:val="double" w:color="auto" w:sz="6" w:space="0"/>
            </w:tcBorders>
            <w:noWrap w:val="0"/>
            <w:vAlign w:val="top"/>
          </w:tcPr>
          <w:p w14:paraId="4F52BD3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数量</w:t>
            </w:r>
          </w:p>
        </w:tc>
        <w:tc>
          <w:tcPr>
            <w:tcW w:w="1352" w:type="dxa"/>
            <w:tcBorders>
              <w:top w:val="single" w:color="auto" w:sz="12" w:space="0"/>
              <w:bottom w:val="double" w:color="auto" w:sz="6" w:space="0"/>
            </w:tcBorders>
            <w:noWrap w:val="0"/>
            <w:vAlign w:val="top"/>
          </w:tcPr>
          <w:p w14:paraId="5C58954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单价（元）</w:t>
            </w:r>
          </w:p>
        </w:tc>
        <w:tc>
          <w:tcPr>
            <w:tcW w:w="1418" w:type="dxa"/>
            <w:tcBorders>
              <w:top w:val="single" w:color="auto" w:sz="12" w:space="0"/>
              <w:bottom w:val="double" w:color="auto" w:sz="6" w:space="0"/>
            </w:tcBorders>
            <w:noWrap w:val="0"/>
            <w:vAlign w:val="top"/>
          </w:tcPr>
          <w:p w14:paraId="213F90D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合价（元）</w:t>
            </w:r>
          </w:p>
        </w:tc>
        <w:tc>
          <w:tcPr>
            <w:tcW w:w="1701" w:type="dxa"/>
            <w:tcBorders>
              <w:top w:val="single" w:color="auto" w:sz="12" w:space="0"/>
              <w:bottom w:val="double" w:color="auto" w:sz="6" w:space="0"/>
            </w:tcBorders>
            <w:noWrap w:val="0"/>
            <w:vAlign w:val="top"/>
          </w:tcPr>
          <w:p w14:paraId="4B3F492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备注</w:t>
            </w:r>
          </w:p>
        </w:tc>
      </w:tr>
      <w:tr w14:paraId="3CE07B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7AA18EA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tcBorders>
              <w:top w:val="double" w:color="auto" w:sz="6" w:space="0"/>
              <w:bottom w:val="single" w:color="auto" w:sz="6" w:space="0"/>
            </w:tcBorders>
            <w:noWrap w:val="0"/>
            <w:vAlign w:val="top"/>
          </w:tcPr>
          <w:p w14:paraId="2230AB9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tcBorders>
              <w:top w:val="double" w:color="auto" w:sz="6" w:space="0"/>
              <w:bottom w:val="single" w:color="auto" w:sz="6" w:space="0"/>
            </w:tcBorders>
            <w:noWrap w:val="0"/>
            <w:vAlign w:val="top"/>
          </w:tcPr>
          <w:p w14:paraId="57B18CE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tcBorders>
              <w:top w:val="double" w:color="auto" w:sz="6" w:space="0"/>
              <w:bottom w:val="single" w:color="auto" w:sz="6" w:space="0"/>
            </w:tcBorders>
            <w:noWrap w:val="0"/>
            <w:vAlign w:val="top"/>
          </w:tcPr>
          <w:p w14:paraId="1EF457A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tcBorders>
              <w:top w:val="double" w:color="auto" w:sz="6" w:space="0"/>
              <w:bottom w:val="single" w:color="auto" w:sz="6" w:space="0"/>
            </w:tcBorders>
            <w:noWrap w:val="0"/>
            <w:vAlign w:val="top"/>
          </w:tcPr>
          <w:p w14:paraId="6EC2297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tcBorders>
              <w:top w:val="double" w:color="auto" w:sz="6" w:space="0"/>
              <w:bottom w:val="single" w:color="auto" w:sz="6" w:space="0"/>
            </w:tcBorders>
            <w:noWrap w:val="0"/>
            <w:vAlign w:val="top"/>
          </w:tcPr>
          <w:p w14:paraId="0BBF037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tcBorders>
              <w:top w:val="double" w:color="auto" w:sz="6" w:space="0"/>
              <w:bottom w:val="single" w:color="auto" w:sz="6" w:space="0"/>
            </w:tcBorders>
            <w:noWrap w:val="0"/>
            <w:vAlign w:val="top"/>
          </w:tcPr>
          <w:p w14:paraId="5F12494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03CFED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4F0FBF9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tcBorders>
              <w:top w:val="nil"/>
            </w:tcBorders>
            <w:noWrap w:val="0"/>
            <w:vAlign w:val="top"/>
          </w:tcPr>
          <w:p w14:paraId="2F91282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tcBorders>
              <w:top w:val="nil"/>
            </w:tcBorders>
            <w:noWrap w:val="0"/>
            <w:vAlign w:val="top"/>
          </w:tcPr>
          <w:p w14:paraId="3D5B8BD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tcBorders>
              <w:top w:val="nil"/>
            </w:tcBorders>
            <w:noWrap w:val="0"/>
            <w:vAlign w:val="top"/>
          </w:tcPr>
          <w:p w14:paraId="167829F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tcBorders>
              <w:top w:val="nil"/>
            </w:tcBorders>
            <w:noWrap w:val="0"/>
            <w:vAlign w:val="top"/>
          </w:tcPr>
          <w:p w14:paraId="58B60FA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tcBorders>
              <w:top w:val="nil"/>
            </w:tcBorders>
            <w:noWrap w:val="0"/>
            <w:vAlign w:val="top"/>
          </w:tcPr>
          <w:p w14:paraId="0010EB2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tcBorders>
              <w:top w:val="nil"/>
            </w:tcBorders>
            <w:noWrap w:val="0"/>
            <w:vAlign w:val="top"/>
          </w:tcPr>
          <w:p w14:paraId="5319CAE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066E2E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0B1C45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1E9122F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256CEB5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7A91F8C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67C18B7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13A1EDA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27C9409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4047D1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82C199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2C6CBDD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0C36791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239D6A3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7470B91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0450E58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40BBE36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0CCE98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0C9894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422DDEA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2D1A1EE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59A2F93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49A91F7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7D836EC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3662AFC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41617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35395E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1814691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75B9BC5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4DB366A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489A979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64662A7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0F064E2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149C11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7DFA0E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6FDC5F1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7F467D6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6FA6B62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00EFFDB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46BBBE2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4D42D38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090D64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2E7520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0FE6BE8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2B3E3B7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2CC84C9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2B6B084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69CF4B7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3C0C51F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6E8B1D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AC961B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3DDA938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1DE72E6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2DF5C3F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45C0183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5424C56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7C0ECCB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6D0591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B5263C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44C6627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588CA63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2A002F3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2DC75E0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0C15B20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05A4E1E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3C4D78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7289EF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7C34BFB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7550D78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0B22023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2E3E450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4DF0F70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5763CC7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53E814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B19A1A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0857375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703272A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77D7341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6177910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52D05D0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27BAD6A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64BB10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A9EB6B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2E8903B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3726F7F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2B702D0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1225D7D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34EE263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6BAF2A6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107D8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CB9328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2B2A000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3D664F0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2527AF2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7243F43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6AEACE1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3868DE3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1C022B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2F6F9B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5A8335C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037B013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46730A4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77ABDF5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648F5A7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2A3EC6E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630A8F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53EC6C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4ACD7EA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6480639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35BF494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029A03D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3D493B2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3EBFD40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0BF842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F0045F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358E9FA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27B18FB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4CB0E00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0B553D4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3AC2F34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7DBD5F2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237A45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393743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65D8012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2183706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1C29F8A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4993CD1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6C10A3B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33981DD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62CDEB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43D28C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42A8E92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7121B04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145AA95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4A04D05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72BE7E1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4065B90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62D1BD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35DCD6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731A4BB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586C59B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2D1DFDE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32CC7E7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3E83146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7A4D1F6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36FFDE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55CD58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0CC8EC5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689002D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5C644CB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4BDE997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4D74330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73EA68A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249A55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88A800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1B2338F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3D7E280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573ABE7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484FB1A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3EC297C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1520724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3B1942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B39F8E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789C9BC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5CA2347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255316E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1FE6029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3583E8B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537C2BC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3108C7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64E038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618E8EC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3BEE27B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3744A19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4FD4618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5B47C80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5803219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2C9F32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45478B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315CB2E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851" w:type="dxa"/>
            <w:noWrap w:val="0"/>
            <w:vAlign w:val="top"/>
          </w:tcPr>
          <w:p w14:paraId="7AD1ED7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774" w:type="dxa"/>
            <w:noWrap w:val="0"/>
            <w:vAlign w:val="top"/>
          </w:tcPr>
          <w:p w14:paraId="3999F86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352" w:type="dxa"/>
            <w:noWrap w:val="0"/>
            <w:vAlign w:val="top"/>
          </w:tcPr>
          <w:p w14:paraId="0BD0C5F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418" w:type="dxa"/>
            <w:noWrap w:val="0"/>
            <w:vAlign w:val="top"/>
          </w:tcPr>
          <w:p w14:paraId="61A307A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701" w:type="dxa"/>
            <w:noWrap w:val="0"/>
            <w:vAlign w:val="top"/>
          </w:tcPr>
          <w:p w14:paraId="4772517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bl>
    <w:p w14:paraId="4F9AE105">
      <w:pPr>
        <w:spacing w:line="440" w:lineRule="exact"/>
        <w:rPr>
          <w:rFonts w:hint="eastAsia" w:ascii="方正仿宋_GB2312" w:hAnsi="方正仿宋_GB2312" w:eastAsia="方正仿宋_GB2312" w:cs="方正仿宋_GB2312"/>
          <w:color w:val="000000"/>
          <w:sz w:val="24"/>
          <w:szCs w:val="24"/>
          <w:highlight w:val="none"/>
        </w:rPr>
      </w:pPr>
    </w:p>
    <w:p w14:paraId="30E29132">
      <w:pPr>
        <w:spacing w:before="156" w:beforeLines="50" w:after="156" w:afterLines="50" w:line="440" w:lineRule="exact"/>
        <w:jc w:val="center"/>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br w:type="page"/>
      </w:r>
      <w:r>
        <w:rPr>
          <w:rFonts w:hint="eastAsia" w:ascii="方正仿宋_GB2312" w:hAnsi="方正仿宋_GB2312" w:eastAsia="方正仿宋_GB2312" w:cs="方正仿宋_GB2312"/>
          <w:color w:val="000000"/>
          <w:sz w:val="24"/>
          <w:szCs w:val="24"/>
          <w:highlight w:val="none"/>
        </w:rPr>
        <w:t>11-3：专业工程暂估价表</w:t>
      </w:r>
    </w:p>
    <w:tbl>
      <w:tblPr>
        <w:tblStyle w:val="3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705F0C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14:paraId="5D18B31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序号</w:t>
            </w:r>
          </w:p>
        </w:tc>
        <w:tc>
          <w:tcPr>
            <w:tcW w:w="1984" w:type="dxa"/>
            <w:tcBorders>
              <w:top w:val="single" w:color="auto" w:sz="12" w:space="0"/>
              <w:bottom w:val="double" w:color="auto" w:sz="6" w:space="0"/>
            </w:tcBorders>
            <w:noWrap w:val="0"/>
            <w:vAlign w:val="top"/>
          </w:tcPr>
          <w:p w14:paraId="360BD5F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专业工程名称</w:t>
            </w:r>
          </w:p>
        </w:tc>
        <w:tc>
          <w:tcPr>
            <w:tcW w:w="4678" w:type="dxa"/>
            <w:tcBorders>
              <w:top w:val="single" w:color="auto" w:sz="12" w:space="0"/>
              <w:bottom w:val="double" w:color="auto" w:sz="6" w:space="0"/>
            </w:tcBorders>
            <w:noWrap w:val="0"/>
            <w:vAlign w:val="top"/>
          </w:tcPr>
          <w:p w14:paraId="5BED051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工程内容</w:t>
            </w:r>
          </w:p>
        </w:tc>
        <w:tc>
          <w:tcPr>
            <w:tcW w:w="1276" w:type="dxa"/>
            <w:tcBorders>
              <w:top w:val="single" w:color="auto" w:sz="12" w:space="0"/>
              <w:bottom w:val="double" w:color="auto" w:sz="6" w:space="0"/>
            </w:tcBorders>
            <w:noWrap w:val="0"/>
            <w:vAlign w:val="top"/>
          </w:tcPr>
          <w:p w14:paraId="505CECB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金额</w:t>
            </w:r>
          </w:p>
        </w:tc>
      </w:tr>
      <w:tr w14:paraId="024ED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14:paraId="6CCE78B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tcBorders>
              <w:top w:val="double" w:color="auto" w:sz="6" w:space="0"/>
              <w:bottom w:val="single" w:color="auto" w:sz="6" w:space="0"/>
            </w:tcBorders>
            <w:noWrap w:val="0"/>
            <w:vAlign w:val="top"/>
          </w:tcPr>
          <w:p w14:paraId="3734748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678" w:type="dxa"/>
            <w:tcBorders>
              <w:top w:val="double" w:color="auto" w:sz="6" w:space="0"/>
              <w:bottom w:val="single" w:color="auto" w:sz="6" w:space="0"/>
            </w:tcBorders>
            <w:noWrap w:val="0"/>
            <w:vAlign w:val="top"/>
          </w:tcPr>
          <w:p w14:paraId="37368AF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76" w:type="dxa"/>
            <w:tcBorders>
              <w:top w:val="double" w:color="auto" w:sz="6" w:space="0"/>
              <w:bottom w:val="single" w:color="auto" w:sz="6" w:space="0"/>
            </w:tcBorders>
            <w:noWrap w:val="0"/>
            <w:vAlign w:val="top"/>
          </w:tcPr>
          <w:p w14:paraId="407B258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77F0A1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61AA139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tcBorders>
              <w:top w:val="nil"/>
            </w:tcBorders>
            <w:noWrap w:val="0"/>
            <w:vAlign w:val="top"/>
          </w:tcPr>
          <w:p w14:paraId="23A59CA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678" w:type="dxa"/>
            <w:tcBorders>
              <w:top w:val="nil"/>
            </w:tcBorders>
            <w:noWrap w:val="0"/>
            <w:vAlign w:val="top"/>
          </w:tcPr>
          <w:p w14:paraId="0A09650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76" w:type="dxa"/>
            <w:tcBorders>
              <w:top w:val="nil"/>
            </w:tcBorders>
            <w:noWrap w:val="0"/>
            <w:vAlign w:val="top"/>
          </w:tcPr>
          <w:p w14:paraId="1B48507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354F75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3EC654F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tcBorders>
              <w:top w:val="nil"/>
            </w:tcBorders>
            <w:noWrap w:val="0"/>
            <w:vAlign w:val="top"/>
          </w:tcPr>
          <w:p w14:paraId="31D5FE4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678" w:type="dxa"/>
            <w:tcBorders>
              <w:top w:val="nil"/>
            </w:tcBorders>
            <w:noWrap w:val="0"/>
            <w:vAlign w:val="top"/>
          </w:tcPr>
          <w:p w14:paraId="0130D2D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76" w:type="dxa"/>
            <w:tcBorders>
              <w:top w:val="nil"/>
            </w:tcBorders>
            <w:noWrap w:val="0"/>
            <w:vAlign w:val="top"/>
          </w:tcPr>
          <w:p w14:paraId="0233FBA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5EE90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9C29F4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105949D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678" w:type="dxa"/>
            <w:noWrap w:val="0"/>
            <w:vAlign w:val="top"/>
          </w:tcPr>
          <w:p w14:paraId="4BEB017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76" w:type="dxa"/>
            <w:noWrap w:val="0"/>
            <w:vAlign w:val="top"/>
          </w:tcPr>
          <w:p w14:paraId="37F4C4C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7A33AC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793109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07B361A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678" w:type="dxa"/>
            <w:noWrap w:val="0"/>
            <w:vAlign w:val="top"/>
          </w:tcPr>
          <w:p w14:paraId="14E7CFB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76" w:type="dxa"/>
            <w:noWrap w:val="0"/>
            <w:vAlign w:val="top"/>
          </w:tcPr>
          <w:p w14:paraId="69B8819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24980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74D53D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4BF7B11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678" w:type="dxa"/>
            <w:noWrap w:val="0"/>
            <w:vAlign w:val="top"/>
          </w:tcPr>
          <w:p w14:paraId="14A5AFF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76" w:type="dxa"/>
            <w:noWrap w:val="0"/>
            <w:vAlign w:val="top"/>
          </w:tcPr>
          <w:p w14:paraId="06DF1BE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0EAD5C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E6640A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5C21ED7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678" w:type="dxa"/>
            <w:noWrap w:val="0"/>
            <w:vAlign w:val="top"/>
          </w:tcPr>
          <w:p w14:paraId="0D36CB1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76" w:type="dxa"/>
            <w:noWrap w:val="0"/>
            <w:vAlign w:val="top"/>
          </w:tcPr>
          <w:p w14:paraId="3683668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2B5CD0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9D76E6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47D4ACD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678" w:type="dxa"/>
            <w:noWrap w:val="0"/>
            <w:vAlign w:val="top"/>
          </w:tcPr>
          <w:p w14:paraId="3862681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76" w:type="dxa"/>
            <w:noWrap w:val="0"/>
            <w:vAlign w:val="top"/>
          </w:tcPr>
          <w:p w14:paraId="2607068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5CE4BD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AE22C7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70E5F70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678" w:type="dxa"/>
            <w:noWrap w:val="0"/>
            <w:vAlign w:val="top"/>
          </w:tcPr>
          <w:p w14:paraId="7C4B5A4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76" w:type="dxa"/>
            <w:noWrap w:val="0"/>
            <w:vAlign w:val="top"/>
          </w:tcPr>
          <w:p w14:paraId="09E259B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10BB0E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FC5939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4FF9EF8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678" w:type="dxa"/>
            <w:noWrap w:val="0"/>
            <w:vAlign w:val="top"/>
          </w:tcPr>
          <w:p w14:paraId="79BEEE0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76" w:type="dxa"/>
            <w:noWrap w:val="0"/>
            <w:vAlign w:val="top"/>
          </w:tcPr>
          <w:p w14:paraId="7CC95A8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178E97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26B89A8">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3B9AEF5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678" w:type="dxa"/>
            <w:noWrap w:val="0"/>
            <w:vAlign w:val="top"/>
          </w:tcPr>
          <w:p w14:paraId="2B28574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76" w:type="dxa"/>
            <w:noWrap w:val="0"/>
            <w:vAlign w:val="top"/>
          </w:tcPr>
          <w:p w14:paraId="52EA46E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496C2D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A87633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436DDFF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678" w:type="dxa"/>
            <w:noWrap w:val="0"/>
            <w:vAlign w:val="top"/>
          </w:tcPr>
          <w:p w14:paraId="1863319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76" w:type="dxa"/>
            <w:noWrap w:val="0"/>
            <w:vAlign w:val="top"/>
          </w:tcPr>
          <w:p w14:paraId="2A54DF3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4271DD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334D3C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2A0A810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678" w:type="dxa"/>
            <w:noWrap w:val="0"/>
            <w:vAlign w:val="top"/>
          </w:tcPr>
          <w:p w14:paraId="6D4DA3C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76" w:type="dxa"/>
            <w:noWrap w:val="0"/>
            <w:vAlign w:val="top"/>
          </w:tcPr>
          <w:p w14:paraId="6977EA2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43E41F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F09041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4696BD4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678" w:type="dxa"/>
            <w:noWrap w:val="0"/>
            <w:vAlign w:val="top"/>
          </w:tcPr>
          <w:p w14:paraId="22DA930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76" w:type="dxa"/>
            <w:noWrap w:val="0"/>
            <w:vAlign w:val="top"/>
          </w:tcPr>
          <w:p w14:paraId="127E68BD">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1CBF22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9D6760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02BBD00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678" w:type="dxa"/>
            <w:noWrap w:val="0"/>
            <w:vAlign w:val="top"/>
          </w:tcPr>
          <w:p w14:paraId="76D6E68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76" w:type="dxa"/>
            <w:noWrap w:val="0"/>
            <w:vAlign w:val="top"/>
          </w:tcPr>
          <w:p w14:paraId="1356CDC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2B4A13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0720CE4">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63709D7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678" w:type="dxa"/>
            <w:noWrap w:val="0"/>
            <w:vAlign w:val="top"/>
          </w:tcPr>
          <w:p w14:paraId="47BE198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76" w:type="dxa"/>
            <w:noWrap w:val="0"/>
            <w:vAlign w:val="top"/>
          </w:tcPr>
          <w:p w14:paraId="64BE7AA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0D7C34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08EE1A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4EDFBAB5">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678" w:type="dxa"/>
            <w:noWrap w:val="0"/>
            <w:vAlign w:val="top"/>
          </w:tcPr>
          <w:p w14:paraId="5914219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76" w:type="dxa"/>
            <w:noWrap w:val="0"/>
            <w:vAlign w:val="top"/>
          </w:tcPr>
          <w:p w14:paraId="57ACAF5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5BAE2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140815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309FFBE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678" w:type="dxa"/>
            <w:noWrap w:val="0"/>
            <w:vAlign w:val="top"/>
          </w:tcPr>
          <w:p w14:paraId="3F645219">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76" w:type="dxa"/>
            <w:noWrap w:val="0"/>
            <w:vAlign w:val="top"/>
          </w:tcPr>
          <w:p w14:paraId="79B1B79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0E5551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7FF233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3EAC4FA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678" w:type="dxa"/>
            <w:noWrap w:val="0"/>
            <w:vAlign w:val="top"/>
          </w:tcPr>
          <w:p w14:paraId="69BC10C0">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76" w:type="dxa"/>
            <w:noWrap w:val="0"/>
            <w:vAlign w:val="top"/>
          </w:tcPr>
          <w:p w14:paraId="2A81B2A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29A6DC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722A7A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01FA13C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678" w:type="dxa"/>
            <w:noWrap w:val="0"/>
            <w:vAlign w:val="top"/>
          </w:tcPr>
          <w:p w14:paraId="5E558E3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76" w:type="dxa"/>
            <w:noWrap w:val="0"/>
            <w:vAlign w:val="top"/>
          </w:tcPr>
          <w:p w14:paraId="1657F96A">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2C0789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B98E23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7114A5CB">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678" w:type="dxa"/>
            <w:noWrap w:val="0"/>
            <w:vAlign w:val="top"/>
          </w:tcPr>
          <w:p w14:paraId="3C25C1D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76" w:type="dxa"/>
            <w:noWrap w:val="0"/>
            <w:vAlign w:val="top"/>
          </w:tcPr>
          <w:p w14:paraId="14A7DC9E">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5AEF79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1DC3E3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5BB113D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678" w:type="dxa"/>
            <w:noWrap w:val="0"/>
            <w:vAlign w:val="top"/>
          </w:tcPr>
          <w:p w14:paraId="2793C56C">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76" w:type="dxa"/>
            <w:noWrap w:val="0"/>
            <w:vAlign w:val="top"/>
          </w:tcPr>
          <w:p w14:paraId="0B47DA37">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4E307C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9FE60EF">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984" w:type="dxa"/>
            <w:noWrap w:val="0"/>
            <w:vAlign w:val="top"/>
          </w:tcPr>
          <w:p w14:paraId="74571452">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4678" w:type="dxa"/>
            <w:noWrap w:val="0"/>
            <w:vAlign w:val="top"/>
          </w:tcPr>
          <w:p w14:paraId="25220011">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c>
          <w:tcPr>
            <w:tcW w:w="1276" w:type="dxa"/>
            <w:noWrap w:val="0"/>
            <w:vAlign w:val="top"/>
          </w:tcPr>
          <w:p w14:paraId="66BAC003">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p>
        </w:tc>
      </w:tr>
      <w:tr w14:paraId="131A78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noWrap w:val="0"/>
            <w:vAlign w:val="top"/>
          </w:tcPr>
          <w:p w14:paraId="11ACB246">
            <w:pPr>
              <w:pStyle w:val="17"/>
              <w:keepNext/>
              <w:spacing w:after="0" w:line="440" w:lineRule="exact"/>
              <w:ind w:left="63" w:right="63"/>
              <w:rPr>
                <w:rFonts w:hint="eastAsia" w:ascii="方正仿宋_GB2312" w:hAnsi="方正仿宋_GB2312" w:eastAsia="方正仿宋_GB2312" w:cs="方正仿宋_GB2312"/>
                <w:color w:val="000000"/>
                <w:kern w:val="2"/>
                <w:sz w:val="24"/>
                <w:szCs w:val="24"/>
                <w:highlight w:val="none"/>
                <w:lang w:val="en-US" w:eastAsia="zh-CN"/>
              </w:rPr>
            </w:pPr>
            <w:r>
              <w:rPr>
                <w:rFonts w:hint="eastAsia" w:ascii="方正仿宋_GB2312" w:hAnsi="方正仿宋_GB2312" w:eastAsia="方正仿宋_GB2312" w:cs="方正仿宋_GB2312"/>
                <w:color w:val="000000"/>
                <w:kern w:val="2"/>
                <w:sz w:val="24"/>
                <w:szCs w:val="24"/>
                <w:highlight w:val="none"/>
                <w:lang w:val="en-US" w:eastAsia="zh-CN"/>
              </w:rPr>
              <w:t>小计：</w:t>
            </w:r>
          </w:p>
        </w:tc>
      </w:tr>
    </w:tbl>
    <w:p w14:paraId="1EDDD829">
      <w:pPr>
        <w:rPr>
          <w:rFonts w:hint="eastAsia" w:ascii="宋体" w:hAnsi="宋体" w:cs="宋体"/>
          <w:sz w:val="24"/>
          <w:szCs w:val="24"/>
          <w:highlight w:val="none"/>
        </w:rPr>
      </w:pPr>
    </w:p>
    <w:p w14:paraId="6028B8E0">
      <w:pPr>
        <w:rPr>
          <w:rFonts w:hint="eastAsia" w:ascii="宋体" w:hAnsi="宋体" w:cs="宋体"/>
          <w:b/>
          <w:bCs/>
          <w:color w:val="auto"/>
          <w:spacing w:val="0"/>
          <w:position w:val="0"/>
          <w:sz w:val="28"/>
          <w:szCs w:val="28"/>
          <w:highlight w:val="none"/>
          <w:lang w:val="en-US" w:eastAsia="zh-CN"/>
        </w:rPr>
      </w:pPr>
      <w:r>
        <w:rPr>
          <w:rFonts w:hint="eastAsia" w:ascii="宋体" w:hAnsi="宋体" w:cs="宋体"/>
          <w:b/>
          <w:bCs/>
          <w:color w:val="auto"/>
          <w:spacing w:val="0"/>
          <w:position w:val="0"/>
          <w:sz w:val="28"/>
          <w:szCs w:val="28"/>
          <w:highlight w:val="none"/>
          <w:lang w:val="en-US" w:eastAsia="zh-CN"/>
        </w:rPr>
        <w:br w:type="page"/>
      </w:r>
    </w:p>
    <w:p w14:paraId="69E7E04C">
      <w:pPr>
        <w:numPr>
          <w:ilvl w:val="0"/>
          <w:numId w:val="4"/>
        </w:numPr>
        <w:ind w:left="0" w:leftChars="0" w:firstLine="0" w:firstLineChars="0"/>
        <w:jc w:val="center"/>
        <w:outlineLvl w:val="0"/>
        <w:rPr>
          <w:rFonts w:hint="eastAsia" w:ascii="宋体" w:hAnsi="宋体" w:cs="宋体"/>
          <w:b/>
          <w:bCs/>
          <w:color w:val="auto"/>
          <w:spacing w:val="0"/>
          <w:position w:val="0"/>
          <w:sz w:val="28"/>
          <w:szCs w:val="28"/>
          <w:highlight w:val="none"/>
          <w:lang w:val="en-US" w:eastAsia="zh-CN"/>
        </w:rPr>
      </w:pPr>
      <w:r>
        <w:rPr>
          <w:rFonts w:hint="eastAsia" w:ascii="宋体" w:hAnsi="宋体" w:cs="宋体"/>
          <w:b/>
          <w:bCs/>
          <w:color w:val="auto"/>
          <w:spacing w:val="0"/>
          <w:position w:val="0"/>
          <w:sz w:val="28"/>
          <w:szCs w:val="28"/>
          <w:highlight w:val="none"/>
          <w:lang w:val="en-US" w:eastAsia="zh-CN"/>
        </w:rPr>
        <w:t xml:space="preserve"> </w:t>
      </w:r>
      <w:bookmarkStart w:id="1282" w:name="_Toc2981"/>
      <w:r>
        <w:rPr>
          <w:rFonts w:hint="eastAsia" w:ascii="宋体" w:hAnsi="宋体" w:cs="宋体"/>
          <w:b/>
          <w:bCs/>
          <w:color w:val="auto"/>
          <w:spacing w:val="0"/>
          <w:position w:val="0"/>
          <w:sz w:val="28"/>
          <w:szCs w:val="28"/>
          <w:highlight w:val="none"/>
          <w:lang w:val="en-US" w:eastAsia="zh-CN"/>
        </w:rPr>
        <w:t>采购需求</w:t>
      </w:r>
      <w:bookmarkEnd w:id="1282"/>
    </w:p>
    <w:p w14:paraId="5B33AB53">
      <w:pPr>
        <w:pageBreakBefore w:val="0"/>
        <w:widowControl w:val="0"/>
        <w:pBdr>
          <w:bottom w:val="none" w:color="auto" w:sz="0" w:space="0"/>
        </w:pBdr>
        <w:tabs>
          <w:tab w:val="center" w:pos="4153"/>
          <w:tab w:val="right" w:pos="8306"/>
        </w:tabs>
        <w:kinsoku/>
        <w:wordWrap/>
        <w:overflowPunct/>
        <w:bidi w:val="0"/>
        <w:snapToGrid w:val="0"/>
        <w:spacing w:line="560" w:lineRule="exact"/>
        <w:jc w:val="both"/>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一、项目名称：</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甘泉堡经开区2025年市政道路及附属设施维护项目</w:t>
      </w:r>
    </w:p>
    <w:p w14:paraId="5A10CD5A">
      <w:pPr>
        <w:pageBreakBefore w:val="0"/>
        <w:widowControl w:val="0"/>
        <w:kinsoku/>
        <w:wordWrap/>
        <w:overflowPunct/>
        <w:bidi w:val="0"/>
        <w:snapToGrid w:val="0"/>
        <w:spacing w:line="560" w:lineRule="exact"/>
        <w:textAlignment w:val="auto"/>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二、项目预算金额：</w:t>
      </w:r>
      <w:r>
        <w:rPr>
          <w:rFonts w:hint="eastAsia" w:ascii="宋体" w:hAnsi="宋体" w:eastAsia="宋体" w:cs="宋体"/>
          <w:color w:val="000000" w:themeColor="text1"/>
          <w:sz w:val="24"/>
          <w:szCs w:val="24"/>
          <w:highlight w:val="none"/>
          <w14:textFill>
            <w14:solidFill>
              <w14:schemeClr w14:val="tx1"/>
            </w14:solidFill>
          </w14:textFill>
        </w:rPr>
        <w:t>人民币</w:t>
      </w:r>
      <w:r>
        <w:rPr>
          <w:rFonts w:hint="eastAsia" w:ascii="宋体" w:hAnsi="宋体" w:eastAsia="宋体" w:cs="宋体"/>
          <w:color w:val="000000" w:themeColor="text1"/>
          <w:sz w:val="24"/>
          <w:szCs w:val="24"/>
          <w:highlight w:val="none"/>
          <w:lang w:val="en-US" w:eastAsia="zh-CN"/>
          <w14:textFill>
            <w14:solidFill>
              <w14:schemeClr w14:val="tx1"/>
            </w14:solidFill>
          </w14:textFill>
        </w:rPr>
        <w:t>1000</w:t>
      </w:r>
      <w:r>
        <w:rPr>
          <w:rFonts w:hint="eastAsia" w:ascii="宋体" w:hAnsi="宋体" w:eastAsia="宋体" w:cs="宋体"/>
          <w:color w:val="000000" w:themeColor="text1"/>
          <w:sz w:val="24"/>
          <w:szCs w:val="24"/>
          <w:highlight w:val="none"/>
          <w14:textFill>
            <w14:solidFill>
              <w14:schemeClr w14:val="tx1"/>
            </w14:solidFill>
          </w14:textFill>
        </w:rPr>
        <w:t>万元，财政资金，资金已到位。</w:t>
      </w:r>
    </w:p>
    <w:p w14:paraId="5A6B6104">
      <w:pPr>
        <w:pageBreakBefore w:val="0"/>
        <w:widowControl w:val="0"/>
        <w:kinsoku/>
        <w:wordWrap/>
        <w:overflowPunct/>
        <w:autoSpaceDE w:val="0"/>
        <w:autoSpaceDN w:val="0"/>
        <w:bidi w:val="0"/>
        <w:snapToGrid w:val="0"/>
        <w:spacing w:line="560" w:lineRule="exact"/>
        <w:jc w:val="left"/>
        <w:textAlignment w:val="auto"/>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三、项目实施地点</w:t>
      </w:r>
      <w:r>
        <w:rPr>
          <w:rFonts w:hint="eastAsia" w:ascii="宋体" w:hAnsi="宋体" w:eastAsia="宋体" w:cs="宋体"/>
          <w:color w:val="000000" w:themeColor="text1"/>
          <w:sz w:val="24"/>
          <w:szCs w:val="22"/>
          <w:highlight w:val="none"/>
          <w14:textFill>
            <w14:solidFill>
              <w14:schemeClr w14:val="tx1"/>
            </w14:solidFill>
          </w14:textFill>
        </w:rPr>
        <w:t>：采购人指定地点。</w:t>
      </w:r>
    </w:p>
    <w:p w14:paraId="3752E28A">
      <w:pPr>
        <w:pageBreakBefore w:val="0"/>
        <w:widowControl w:val="0"/>
        <w:pBdr>
          <w:bottom w:val="none" w:color="auto" w:sz="0" w:space="0"/>
        </w:pBdr>
        <w:tabs>
          <w:tab w:val="center" w:pos="4153"/>
          <w:tab w:val="right" w:pos="8306"/>
        </w:tabs>
        <w:kinsoku/>
        <w:wordWrap/>
        <w:overflowPunct/>
        <w:bidi w:val="0"/>
        <w:snapToGrid w:val="0"/>
        <w:spacing w:line="560" w:lineRule="exact"/>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四、</w:t>
      </w:r>
      <w:bookmarkStart w:id="1283" w:name="_Toc9288"/>
      <w:bookmarkStart w:id="1284" w:name="_Toc485147127"/>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合同履约期</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bookmarkEnd w:id="1283"/>
      <w:bookmarkEnd w:id="1284"/>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一标段：自合同签订之日起30个日历日；二标段：自合同签订之日起20个日历日。（具体时间以合同签订为准）</w:t>
      </w:r>
    </w:p>
    <w:p w14:paraId="32047436">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2"/>
          <w:highlight w:val="none"/>
          <w:lang w:val="en-US" w:eastAsia="zh-CN"/>
          <w14:textFill>
            <w14:solidFill>
              <w14:schemeClr w14:val="tx1"/>
            </w14:solidFill>
          </w14:textFill>
        </w:rPr>
        <w:t>五</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 、采购内容：</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对甘泉堡经济技术开发区（工业区）行政区域范围内市政道路进行维护，对路面翻浆问题严重路段采用“混凝土+沥青”的方式进行维护，对其余病害问题按照“即坏即修的方式进行维护”</w:t>
      </w:r>
      <w:r>
        <w:rPr>
          <w:rFonts w:hint="eastAsia" w:ascii="宋体" w:hAnsi="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具体内容详见工程量清单。</w:t>
      </w:r>
    </w:p>
    <w:p w14:paraId="7926E158">
      <w:pPr>
        <w:pageBreakBefore w:val="0"/>
        <w:widowControl w:val="0"/>
        <w:numPr>
          <w:ilvl w:val="0"/>
          <w:numId w:val="0"/>
        </w:numPr>
        <w:kinsoku/>
        <w:wordWrap/>
        <w:overflowPunct/>
        <w:bidi w:val="0"/>
        <w:spacing w:line="560" w:lineRule="exact"/>
        <w:ind w:right="-353" w:rightChars="-168"/>
        <w:textAlignment w:val="auto"/>
        <w:rPr>
          <w:rFonts w:hint="eastAsia" w:ascii="宋体" w:hAnsi="宋体" w:eastAsia="宋体" w:cs="宋体"/>
          <w:b/>
          <w:bCs/>
          <w:color w:val="000000" w:themeColor="text1"/>
          <w:sz w:val="24"/>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2"/>
          <w:highlight w:val="none"/>
          <w:lang w:val="en-US" w:eastAsia="zh-CN"/>
          <w14:textFill>
            <w14:solidFill>
              <w14:schemeClr w14:val="tx1"/>
            </w14:solidFill>
          </w14:textFill>
        </w:rPr>
        <w:t>六、采购要求：</w:t>
      </w:r>
    </w:p>
    <w:p w14:paraId="1FDE7885">
      <w:pPr>
        <w:pageBreakBefore w:val="0"/>
        <w:widowControl w:val="0"/>
        <w:numPr>
          <w:ilvl w:val="0"/>
          <w:numId w:val="0"/>
        </w:numPr>
        <w:kinsoku/>
        <w:wordWrap/>
        <w:overflowPunct/>
        <w:bidi w:val="0"/>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1.总体要求：投标人（承包人）必须严格按照本项目招标文件中采购人要求的工期内完成施工并通过五方验收合格。</w:t>
      </w:r>
    </w:p>
    <w:p w14:paraId="7F225E2E">
      <w:pPr>
        <w:pageBreakBefore w:val="0"/>
        <w:widowControl w:val="0"/>
        <w:numPr>
          <w:ilvl w:val="0"/>
          <w:numId w:val="0"/>
        </w:numPr>
        <w:kinsoku/>
        <w:wordWrap/>
        <w:overflowPunct/>
        <w:bidi w:val="0"/>
        <w:spacing w:line="560" w:lineRule="exact"/>
        <w:ind w:firstLine="480" w:firstLineChars="200"/>
        <w:textAlignment w:val="auto"/>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本项目质保期：2年，投标人需严格按照本项目质保要求进行工程质保。其中：（1）采取“路基混凝土浇筑+路面沥青罩面”方式进行处理的路段2年内不能出现二次损坏，如确有损坏的由维承包单位自行修复，采购人不承担任何责任。（2）“即坏即修”方式进行维护的市政道路沥青油面在2年内不得出现麻面、塌陷、下沉、翻浆、坑槽等病害，如出现则由维护单位自行修复，采购人不承担任何责任。（3）承包人应做好新旧路面搭接区域的维护工作，如在质保期内出现路面破损，则由承包人自行修复，采购人不承担任何责任。</w:t>
      </w:r>
    </w:p>
    <w:p w14:paraId="5FB6B0CB">
      <w:pPr>
        <w:pageBreakBefore w:val="0"/>
        <w:widowControl w:val="0"/>
        <w:numPr>
          <w:ilvl w:val="0"/>
          <w:numId w:val="0"/>
        </w:numPr>
        <w:kinsoku/>
        <w:wordWrap/>
        <w:overflowPunct/>
        <w:bidi w:val="0"/>
        <w:spacing w:line="56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质量要求:（1）采购人应委托第三方质量检测单位和监理单位对施工材料、施工质量进行全过程管理。如出现沥青粘层油播撒不到位、材料不达标、质量不合格、工期拖延等问题，采购人可按照50万元/次的标准对承包人进行处罚（处罚金额原则上从合同金额扣除，上不封顶）。（2）在开展临时应急修补作业时，承包人应按照采购人要求，在规定工期内完成作业。如未完成，则一次性扣除服务金额的5%，施工工期由采购人下达的正式工作通知单为准。</w:t>
      </w:r>
    </w:p>
    <w:p w14:paraId="67943F18">
      <w:pPr>
        <w:pageBreakBefore w:val="0"/>
        <w:widowControl w:val="0"/>
        <w:numPr>
          <w:ilvl w:val="0"/>
          <w:numId w:val="0"/>
        </w:numPr>
        <w:kinsoku/>
        <w:wordWrap/>
        <w:overflowPunct/>
        <w:bidi w:val="0"/>
        <w:spacing w:line="56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工程量核算：采购人应在采购文件和合同条款中明确修补工程单价，承包人如响应采购文件则视为认可采购人发布价格。工程量清单需由采购人、承包人、监理人三方签字盖章确认才具备效力，否则不具备任何法律效率，承包人也不能将未生效的道路修补工程量确认单作为民事诉讼依据。</w:t>
      </w:r>
    </w:p>
    <w:p w14:paraId="5563DD16">
      <w:pPr>
        <w:pageBreakBefore w:val="0"/>
        <w:widowControl w:val="0"/>
        <w:numPr>
          <w:ilvl w:val="0"/>
          <w:numId w:val="0"/>
        </w:numPr>
        <w:kinsoku/>
        <w:wordWrap/>
        <w:overflowPunct/>
        <w:bidi w:val="0"/>
        <w:spacing w:line="560" w:lineRule="exact"/>
        <w:ind w:leftChars="0" w:firstLine="480" w:firstLineChars="200"/>
        <w:textAlignment w:val="auto"/>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5.总作评价：道路维护服务期结束后，采购人应对年度工作开展情况进行评价，主要从施工质量、工作开展满意度、成本控制三个方面对承包单位进行考核，标准为不合格、合格、优秀三种。考核为优秀，则发包人100%支付承包单位工程款；考核为合格，则扣减承包人10%合同款；考核为不合格，则扣减承包人30%合同款。 </w:t>
      </w:r>
    </w:p>
    <w:p w14:paraId="0FB162E3">
      <w:pPr>
        <w:pageBreakBefore w:val="0"/>
        <w:widowControl w:val="0"/>
        <w:numPr>
          <w:ilvl w:val="0"/>
          <w:numId w:val="0"/>
        </w:numPr>
        <w:kinsoku/>
        <w:wordWrap/>
        <w:overflowPunct/>
        <w:bidi w:val="0"/>
        <w:spacing w:line="56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6、安全生产：承包人必须严格按照施工流程及工艺、规范进行施工作业，保证本工程质量要求。同时必须严格保证施工安全，杜绝施工安全事故，因中标方（即承包人）施工过程中产生的安全事故由承包人负全部责任，采购人不承担任何责任。 </w:t>
      </w:r>
    </w:p>
    <w:p w14:paraId="755224FF">
      <w:pPr>
        <w:pageBreakBefore w:val="0"/>
        <w:widowControl w:val="0"/>
        <w:numPr>
          <w:ilvl w:val="0"/>
          <w:numId w:val="0"/>
        </w:numPr>
        <w:kinsoku/>
        <w:wordWrap/>
        <w:overflowPunct/>
        <w:bidi w:val="0"/>
        <w:spacing w:line="560" w:lineRule="exact"/>
        <w:ind w:leftChars="0" w:firstLine="480" w:firstLineChars="200"/>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资金支付：项目开工并经甲方审核同意后支付第一次进度款（合同金额的40%），项目竣工验收并经甲方审核同意后支付第二次进度款（合同金额的30%），审计结算报告出具后支付至审计结算金额的97%，预留3%作为质保金。</w:t>
      </w:r>
    </w:p>
    <w:p w14:paraId="4A3E5517">
      <w:pPr>
        <w:pageBreakBefore w:val="0"/>
        <w:widowControl w:val="0"/>
        <w:numPr>
          <w:ilvl w:val="0"/>
          <w:numId w:val="0"/>
        </w:numPr>
        <w:kinsoku/>
        <w:wordWrap/>
        <w:overflowPunct/>
        <w:bidi w:val="0"/>
        <w:spacing w:line="560" w:lineRule="exact"/>
        <w:ind w:leftChars="0" w:firstLine="480" w:firstLineChars="200"/>
        <w:textAlignment w:val="auto"/>
        <w:rPr>
          <w:rFonts w:hint="eastAsia" w:ascii="宋体" w:hAnsi="宋体" w:cs="宋体"/>
          <w:sz w:val="24"/>
          <w:szCs w:val="24"/>
          <w:highlight w:val="none"/>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8.本项目工程量清单以附件形式提供。</w:t>
      </w:r>
      <w:r>
        <w:rPr>
          <w:rFonts w:hint="eastAsia" w:ascii="宋体" w:hAnsi="宋体" w:cs="宋体"/>
          <w:sz w:val="24"/>
          <w:szCs w:val="24"/>
          <w:highlight w:val="none"/>
        </w:rPr>
        <w:br w:type="page"/>
      </w:r>
    </w:p>
    <w:p w14:paraId="72AA52A1">
      <w:pPr>
        <w:spacing w:line="520" w:lineRule="exact"/>
        <w:rPr>
          <w:rFonts w:hint="eastAsia" w:ascii="宋体" w:hAnsi="宋体" w:cs="宋体"/>
          <w:sz w:val="24"/>
          <w:szCs w:val="24"/>
          <w:highlight w:val="none"/>
        </w:rPr>
      </w:pPr>
      <w:r>
        <w:rPr>
          <w:rFonts w:hint="eastAsia" w:ascii="宋体" w:hAnsi="宋体" w:cs="宋体"/>
          <w:sz w:val="24"/>
          <w:szCs w:val="24"/>
          <w:highlight w:val="none"/>
        </w:rPr>
        <w:t xml:space="preserve">     </w:t>
      </w:r>
    </w:p>
    <w:p w14:paraId="31DDB2AB">
      <w:pPr>
        <w:rPr>
          <w:highlight w:val="none"/>
        </w:rPr>
      </w:pPr>
    </w:p>
    <w:p w14:paraId="13E4DE19">
      <w:pPr>
        <w:tabs>
          <w:tab w:val="left" w:pos="821"/>
        </w:tabs>
        <w:jc w:val="left"/>
        <w:rPr>
          <w:highlight w:val="none"/>
        </w:rPr>
      </w:pPr>
    </w:p>
    <w:p w14:paraId="570A2033">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eastAsia="宋体" w:cs="宋体"/>
          <w:b/>
          <w:bCs/>
          <w:color w:val="auto"/>
          <w:spacing w:val="0"/>
          <w:position w:val="0"/>
          <w:sz w:val="28"/>
          <w:szCs w:val="28"/>
          <w:highlight w:val="none"/>
          <w:lang w:val="en-US" w:eastAsia="zh-CN"/>
        </w:rPr>
      </w:pPr>
      <w:bookmarkStart w:id="1285" w:name="_Toc3253"/>
      <w:r>
        <w:rPr>
          <w:rFonts w:hint="eastAsia" w:ascii="宋体" w:hAnsi="宋体" w:eastAsia="宋体" w:cs="宋体"/>
          <w:b/>
          <w:bCs/>
          <w:color w:val="auto"/>
          <w:spacing w:val="0"/>
          <w:position w:val="0"/>
          <w:sz w:val="28"/>
          <w:szCs w:val="28"/>
          <w:highlight w:val="none"/>
          <w:lang w:val="en-US" w:eastAsia="zh-CN"/>
        </w:rPr>
        <w:t>第</w:t>
      </w:r>
      <w:r>
        <w:rPr>
          <w:rFonts w:hint="eastAsia" w:ascii="宋体" w:hAnsi="宋体" w:cs="宋体"/>
          <w:b/>
          <w:bCs/>
          <w:color w:val="auto"/>
          <w:spacing w:val="0"/>
          <w:position w:val="0"/>
          <w:sz w:val="28"/>
          <w:szCs w:val="28"/>
          <w:highlight w:val="none"/>
          <w:lang w:val="en-US" w:eastAsia="zh-CN"/>
        </w:rPr>
        <w:t>六</w:t>
      </w:r>
      <w:r>
        <w:rPr>
          <w:rFonts w:hint="eastAsia" w:ascii="宋体" w:hAnsi="宋体" w:eastAsia="宋体" w:cs="宋体"/>
          <w:b/>
          <w:bCs/>
          <w:color w:val="auto"/>
          <w:spacing w:val="0"/>
          <w:position w:val="0"/>
          <w:sz w:val="28"/>
          <w:szCs w:val="28"/>
          <w:highlight w:val="none"/>
          <w:lang w:val="en-US" w:eastAsia="zh-CN"/>
        </w:rPr>
        <w:t>章 工程量清单</w:t>
      </w:r>
      <w:bookmarkEnd w:id="1285"/>
    </w:p>
    <w:p w14:paraId="125E7D6A">
      <w:pPr>
        <w:kinsoku/>
        <w:wordWrap/>
        <w:overflowPunct/>
        <w:bidi w:val="0"/>
        <w:rPr>
          <w:rFonts w:hint="eastAsia" w:ascii="宋体" w:hAnsi="宋体" w:eastAsia="宋体" w:cs="宋体"/>
          <w:color w:val="auto"/>
          <w:highlight w:val="none"/>
        </w:rPr>
      </w:pPr>
    </w:p>
    <w:p w14:paraId="4D5E5DB5">
      <w:pPr>
        <w:kinsoku/>
        <w:wordWrap/>
        <w:overflowPunct/>
        <w:bidi w:val="0"/>
        <w:jc w:val="center"/>
        <w:rPr>
          <w:rFonts w:hint="eastAsia" w:ascii="宋体" w:hAnsi="宋体" w:eastAsia="宋体" w:cs="宋体"/>
          <w:b/>
          <w:bCs/>
          <w:color w:val="auto"/>
          <w:spacing w:val="0"/>
          <w:position w:val="0"/>
          <w:sz w:val="28"/>
          <w:szCs w:val="28"/>
          <w:highlight w:val="none"/>
          <w:lang w:eastAsia="zh-CN"/>
        </w:rPr>
      </w:pPr>
      <w:r>
        <w:rPr>
          <w:rFonts w:hint="eastAsia" w:ascii="宋体" w:hAnsi="宋体" w:eastAsia="宋体" w:cs="宋体"/>
          <w:b/>
          <w:bCs/>
          <w:color w:val="auto"/>
          <w:spacing w:val="0"/>
          <w:position w:val="0"/>
          <w:sz w:val="28"/>
          <w:szCs w:val="28"/>
          <w:highlight w:val="none"/>
          <w:lang w:eastAsia="zh-CN"/>
        </w:rPr>
        <w:t>另附，与招标文件同时下载</w:t>
      </w:r>
    </w:p>
    <w:p w14:paraId="416D74F5">
      <w:pPr>
        <w:pStyle w:val="11"/>
        <w:kinsoku/>
        <w:wordWrap/>
        <w:overflowPunct/>
        <w:bidi w:val="0"/>
        <w:rPr>
          <w:rFonts w:hint="eastAsia" w:ascii="宋体" w:hAnsi="宋体" w:eastAsia="宋体" w:cs="宋体"/>
          <w:b/>
          <w:bCs/>
          <w:color w:val="auto"/>
          <w:spacing w:val="0"/>
          <w:position w:val="0"/>
          <w:sz w:val="28"/>
          <w:szCs w:val="28"/>
          <w:highlight w:val="none"/>
        </w:rPr>
      </w:pPr>
    </w:p>
    <w:p w14:paraId="38E331A2">
      <w:pPr>
        <w:pStyle w:val="11"/>
        <w:kinsoku/>
        <w:wordWrap/>
        <w:overflowPunct/>
        <w:bidi w:val="0"/>
        <w:rPr>
          <w:rFonts w:hint="eastAsia" w:ascii="宋体" w:hAnsi="宋体" w:eastAsia="宋体" w:cs="宋体"/>
          <w:b/>
          <w:bCs/>
          <w:color w:val="auto"/>
          <w:spacing w:val="0"/>
          <w:position w:val="0"/>
          <w:sz w:val="28"/>
          <w:szCs w:val="28"/>
          <w:highlight w:val="none"/>
        </w:rPr>
      </w:pPr>
    </w:p>
    <w:p w14:paraId="349C3352">
      <w:pPr>
        <w:pStyle w:val="11"/>
        <w:kinsoku/>
        <w:wordWrap/>
        <w:overflowPunct/>
        <w:bidi w:val="0"/>
        <w:rPr>
          <w:rFonts w:hint="eastAsia" w:ascii="宋体" w:hAnsi="宋体" w:eastAsia="宋体" w:cs="宋体"/>
          <w:b/>
          <w:bCs/>
          <w:color w:val="auto"/>
          <w:spacing w:val="0"/>
          <w:position w:val="0"/>
          <w:sz w:val="28"/>
          <w:szCs w:val="28"/>
          <w:highlight w:val="none"/>
        </w:rPr>
      </w:pPr>
    </w:p>
    <w:p w14:paraId="39AA674B">
      <w:pPr>
        <w:pStyle w:val="11"/>
        <w:kinsoku/>
        <w:wordWrap/>
        <w:overflowPunct/>
        <w:bidi w:val="0"/>
        <w:rPr>
          <w:rFonts w:hint="eastAsia" w:ascii="宋体" w:hAnsi="宋体" w:eastAsia="宋体" w:cs="宋体"/>
          <w:b/>
          <w:bCs/>
          <w:color w:val="auto"/>
          <w:spacing w:val="0"/>
          <w:position w:val="0"/>
          <w:sz w:val="28"/>
          <w:szCs w:val="28"/>
          <w:highlight w:val="none"/>
        </w:rPr>
      </w:pPr>
    </w:p>
    <w:p w14:paraId="249BE998">
      <w:pPr>
        <w:pStyle w:val="11"/>
        <w:kinsoku/>
        <w:wordWrap/>
        <w:overflowPunct/>
        <w:bidi w:val="0"/>
        <w:rPr>
          <w:rFonts w:hint="eastAsia" w:ascii="宋体" w:hAnsi="宋体" w:eastAsia="宋体" w:cs="宋体"/>
          <w:b/>
          <w:bCs/>
          <w:color w:val="auto"/>
          <w:spacing w:val="0"/>
          <w:position w:val="0"/>
          <w:sz w:val="28"/>
          <w:szCs w:val="28"/>
          <w:highlight w:val="none"/>
        </w:rPr>
      </w:pPr>
    </w:p>
    <w:p w14:paraId="0CD7A808">
      <w:pPr>
        <w:pStyle w:val="11"/>
        <w:kinsoku/>
        <w:wordWrap/>
        <w:overflowPunct/>
        <w:bidi w:val="0"/>
        <w:rPr>
          <w:rFonts w:hint="eastAsia" w:ascii="宋体" w:hAnsi="宋体" w:eastAsia="宋体" w:cs="宋体"/>
          <w:b/>
          <w:bCs/>
          <w:color w:val="auto"/>
          <w:spacing w:val="0"/>
          <w:position w:val="0"/>
          <w:sz w:val="28"/>
          <w:szCs w:val="28"/>
          <w:highlight w:val="none"/>
        </w:rPr>
      </w:pPr>
    </w:p>
    <w:p w14:paraId="73D1A39A">
      <w:pPr>
        <w:pStyle w:val="11"/>
        <w:kinsoku/>
        <w:wordWrap/>
        <w:overflowPunct/>
        <w:bidi w:val="0"/>
        <w:rPr>
          <w:rFonts w:hint="eastAsia" w:ascii="宋体" w:hAnsi="宋体" w:eastAsia="宋体" w:cs="宋体"/>
          <w:b/>
          <w:bCs/>
          <w:color w:val="auto"/>
          <w:spacing w:val="0"/>
          <w:position w:val="0"/>
          <w:sz w:val="28"/>
          <w:szCs w:val="28"/>
          <w:highlight w:val="none"/>
        </w:rPr>
      </w:pPr>
    </w:p>
    <w:p w14:paraId="64084B78">
      <w:pPr>
        <w:pStyle w:val="11"/>
        <w:kinsoku/>
        <w:wordWrap/>
        <w:overflowPunct/>
        <w:bidi w:val="0"/>
        <w:rPr>
          <w:rFonts w:hint="eastAsia" w:ascii="宋体" w:hAnsi="宋体" w:eastAsia="宋体" w:cs="宋体"/>
          <w:b/>
          <w:bCs/>
          <w:color w:val="auto"/>
          <w:spacing w:val="0"/>
          <w:position w:val="0"/>
          <w:sz w:val="28"/>
          <w:szCs w:val="28"/>
          <w:highlight w:val="none"/>
        </w:rPr>
      </w:pPr>
    </w:p>
    <w:p w14:paraId="65002520">
      <w:pPr>
        <w:pStyle w:val="11"/>
        <w:kinsoku/>
        <w:wordWrap/>
        <w:overflowPunct/>
        <w:bidi w:val="0"/>
        <w:rPr>
          <w:rFonts w:hint="eastAsia" w:ascii="宋体" w:hAnsi="宋体" w:eastAsia="宋体" w:cs="宋体"/>
          <w:b/>
          <w:bCs/>
          <w:color w:val="auto"/>
          <w:spacing w:val="0"/>
          <w:position w:val="0"/>
          <w:sz w:val="28"/>
          <w:szCs w:val="28"/>
          <w:highlight w:val="none"/>
        </w:rPr>
      </w:pPr>
    </w:p>
    <w:p w14:paraId="22545344">
      <w:pPr>
        <w:pStyle w:val="11"/>
        <w:kinsoku/>
        <w:wordWrap/>
        <w:overflowPunct/>
        <w:bidi w:val="0"/>
        <w:rPr>
          <w:rFonts w:hint="eastAsia" w:ascii="宋体" w:hAnsi="宋体" w:eastAsia="宋体" w:cs="宋体"/>
          <w:b/>
          <w:bCs/>
          <w:color w:val="auto"/>
          <w:spacing w:val="0"/>
          <w:position w:val="0"/>
          <w:sz w:val="28"/>
          <w:szCs w:val="28"/>
          <w:highlight w:val="none"/>
        </w:rPr>
      </w:pPr>
    </w:p>
    <w:p w14:paraId="2A64F359">
      <w:pPr>
        <w:pStyle w:val="11"/>
        <w:kinsoku/>
        <w:wordWrap/>
        <w:overflowPunct/>
        <w:bidi w:val="0"/>
        <w:rPr>
          <w:rFonts w:hint="eastAsia" w:ascii="宋体" w:hAnsi="宋体" w:eastAsia="宋体" w:cs="宋体"/>
          <w:b/>
          <w:bCs/>
          <w:color w:val="auto"/>
          <w:spacing w:val="0"/>
          <w:position w:val="0"/>
          <w:sz w:val="28"/>
          <w:szCs w:val="28"/>
          <w:highlight w:val="none"/>
        </w:rPr>
      </w:pPr>
    </w:p>
    <w:p w14:paraId="1F03F0AE">
      <w:pPr>
        <w:pStyle w:val="11"/>
        <w:kinsoku/>
        <w:wordWrap/>
        <w:overflowPunct/>
        <w:bidi w:val="0"/>
        <w:rPr>
          <w:rFonts w:hint="eastAsia" w:ascii="宋体" w:hAnsi="宋体" w:eastAsia="宋体" w:cs="宋体"/>
          <w:b/>
          <w:bCs/>
          <w:color w:val="auto"/>
          <w:spacing w:val="0"/>
          <w:position w:val="0"/>
          <w:sz w:val="28"/>
          <w:szCs w:val="28"/>
          <w:highlight w:val="none"/>
        </w:rPr>
      </w:pPr>
    </w:p>
    <w:p w14:paraId="73D974C3">
      <w:pPr>
        <w:pStyle w:val="11"/>
        <w:kinsoku/>
        <w:wordWrap/>
        <w:overflowPunct/>
        <w:bidi w:val="0"/>
        <w:rPr>
          <w:rFonts w:hint="eastAsia" w:ascii="宋体" w:hAnsi="宋体" w:eastAsia="宋体" w:cs="宋体"/>
          <w:b/>
          <w:bCs/>
          <w:color w:val="auto"/>
          <w:spacing w:val="0"/>
          <w:position w:val="0"/>
          <w:sz w:val="28"/>
          <w:szCs w:val="28"/>
          <w:highlight w:val="none"/>
        </w:rPr>
      </w:pPr>
    </w:p>
    <w:p w14:paraId="7BACD069">
      <w:pPr>
        <w:pStyle w:val="11"/>
        <w:kinsoku/>
        <w:wordWrap/>
        <w:overflowPunct/>
        <w:bidi w:val="0"/>
        <w:rPr>
          <w:rFonts w:hint="eastAsia" w:ascii="宋体" w:hAnsi="宋体" w:eastAsia="宋体" w:cs="宋体"/>
          <w:b/>
          <w:bCs/>
          <w:color w:val="auto"/>
          <w:spacing w:val="0"/>
          <w:position w:val="0"/>
          <w:sz w:val="28"/>
          <w:szCs w:val="28"/>
          <w:highlight w:val="none"/>
        </w:rPr>
      </w:pPr>
    </w:p>
    <w:p w14:paraId="6CA15D95">
      <w:pPr>
        <w:pStyle w:val="11"/>
        <w:kinsoku/>
        <w:wordWrap/>
        <w:overflowPunct/>
        <w:bidi w:val="0"/>
        <w:ind w:left="0" w:leftChars="0" w:firstLine="0" w:firstLineChars="0"/>
        <w:rPr>
          <w:rFonts w:hint="eastAsia" w:ascii="宋体" w:hAnsi="宋体" w:eastAsia="宋体" w:cs="宋体"/>
          <w:b/>
          <w:bCs/>
          <w:color w:val="auto"/>
          <w:spacing w:val="0"/>
          <w:position w:val="0"/>
          <w:sz w:val="28"/>
          <w:szCs w:val="28"/>
          <w:highlight w:val="none"/>
        </w:rPr>
      </w:pPr>
    </w:p>
    <w:p w14:paraId="366766C5">
      <w:pPr>
        <w:pStyle w:val="11"/>
        <w:kinsoku/>
        <w:wordWrap/>
        <w:overflowPunct/>
        <w:bidi w:val="0"/>
        <w:rPr>
          <w:rFonts w:hint="eastAsia" w:ascii="宋体" w:hAnsi="宋体" w:eastAsia="宋体" w:cs="宋体"/>
          <w:b/>
          <w:bCs/>
          <w:color w:val="auto"/>
          <w:spacing w:val="0"/>
          <w:position w:val="0"/>
          <w:sz w:val="28"/>
          <w:szCs w:val="28"/>
          <w:highlight w:val="none"/>
        </w:rPr>
      </w:pPr>
    </w:p>
    <w:p w14:paraId="30E2BA12">
      <w:pPr>
        <w:pStyle w:val="11"/>
        <w:kinsoku/>
        <w:wordWrap/>
        <w:overflowPunct/>
        <w:bidi w:val="0"/>
        <w:rPr>
          <w:rFonts w:hint="eastAsia" w:ascii="宋体" w:hAnsi="宋体" w:eastAsia="宋体" w:cs="宋体"/>
          <w:b/>
          <w:bCs/>
          <w:color w:val="auto"/>
          <w:spacing w:val="0"/>
          <w:position w:val="0"/>
          <w:sz w:val="28"/>
          <w:szCs w:val="28"/>
          <w:highlight w:val="none"/>
        </w:rPr>
      </w:pPr>
    </w:p>
    <w:p w14:paraId="4D2C66E9">
      <w:pPr>
        <w:pStyle w:val="11"/>
        <w:kinsoku/>
        <w:wordWrap/>
        <w:overflowPunct/>
        <w:bidi w:val="0"/>
        <w:ind w:left="0" w:leftChars="0" w:firstLine="0" w:firstLineChars="0"/>
        <w:rPr>
          <w:rFonts w:hint="eastAsia" w:ascii="宋体" w:hAnsi="宋体" w:eastAsia="宋体" w:cs="宋体"/>
          <w:b/>
          <w:bCs/>
          <w:color w:val="auto"/>
          <w:spacing w:val="0"/>
          <w:position w:val="0"/>
          <w:sz w:val="28"/>
          <w:szCs w:val="28"/>
          <w:highlight w:val="none"/>
        </w:rPr>
      </w:pPr>
    </w:p>
    <w:p w14:paraId="47418964">
      <w:pPr>
        <w:pStyle w:val="2"/>
        <w:pageBreakBefore/>
        <w:kinsoku/>
        <w:wordWrap/>
        <w:overflowPunct/>
        <w:bidi w:val="0"/>
        <w:rPr>
          <w:rFonts w:hint="eastAsia" w:ascii="宋体" w:hAnsi="宋体" w:eastAsia="宋体" w:cs="宋体"/>
          <w:color w:val="auto"/>
          <w:spacing w:val="0"/>
          <w:position w:val="0"/>
          <w:sz w:val="28"/>
          <w:szCs w:val="28"/>
          <w:highlight w:val="none"/>
        </w:rPr>
      </w:pPr>
      <w:bookmarkStart w:id="1286" w:name="_Toc19086"/>
      <w:r>
        <w:rPr>
          <w:rFonts w:hint="eastAsia" w:ascii="宋体" w:hAnsi="宋体" w:eastAsia="宋体" w:cs="宋体"/>
          <w:b/>
          <w:bCs/>
          <w:color w:val="auto"/>
          <w:spacing w:val="0"/>
          <w:position w:val="0"/>
          <w:sz w:val="28"/>
          <w:szCs w:val="28"/>
          <w:highlight w:val="none"/>
        </w:rPr>
        <w:t>第</w:t>
      </w:r>
      <w:r>
        <w:rPr>
          <w:rFonts w:hint="eastAsia" w:ascii="宋体" w:hAnsi="宋体" w:cs="宋体"/>
          <w:b/>
          <w:bCs/>
          <w:color w:val="auto"/>
          <w:spacing w:val="0"/>
          <w:position w:val="0"/>
          <w:sz w:val="28"/>
          <w:szCs w:val="28"/>
          <w:highlight w:val="none"/>
          <w:lang w:eastAsia="zh-CN"/>
        </w:rPr>
        <w:t>七</w:t>
      </w:r>
      <w:r>
        <w:rPr>
          <w:rFonts w:hint="eastAsia" w:ascii="宋体" w:hAnsi="宋体" w:eastAsia="宋体" w:cs="宋体"/>
          <w:b/>
          <w:bCs/>
          <w:color w:val="auto"/>
          <w:spacing w:val="0"/>
          <w:position w:val="0"/>
          <w:sz w:val="28"/>
          <w:szCs w:val="28"/>
          <w:highlight w:val="none"/>
        </w:rPr>
        <w:t>章</w:t>
      </w:r>
      <w:r>
        <w:rPr>
          <w:rFonts w:hint="eastAsia" w:ascii="宋体" w:hAnsi="宋体" w:eastAsia="宋体" w:cs="宋体"/>
          <w:color w:val="auto"/>
          <w:spacing w:val="0"/>
          <w:position w:val="0"/>
          <w:sz w:val="28"/>
          <w:szCs w:val="28"/>
          <w:highlight w:val="none"/>
        </w:rPr>
        <w:t xml:space="preserve"> 响应文件格式</w:t>
      </w:r>
      <w:bookmarkEnd w:id="1286"/>
    </w:p>
    <w:p w14:paraId="65ABE41A">
      <w:pPr>
        <w:pStyle w:val="3"/>
        <w:kinsoku/>
        <w:wordWrap/>
        <w:overflowPunct/>
        <w:bidi w:val="0"/>
        <w:rPr>
          <w:rFonts w:hint="eastAsia" w:ascii="宋体" w:hAnsi="宋体" w:eastAsia="宋体" w:cs="宋体"/>
          <w:color w:val="auto"/>
          <w:spacing w:val="0"/>
          <w:position w:val="0"/>
          <w:highlight w:val="none"/>
        </w:rPr>
      </w:pPr>
      <w:bookmarkStart w:id="1287" w:name="_Toc507582926"/>
      <w:bookmarkStart w:id="1288" w:name="_Toc30166"/>
      <w:bookmarkStart w:id="1289" w:name="_Toc6664"/>
      <w:r>
        <w:rPr>
          <w:rFonts w:hint="eastAsia" w:ascii="宋体" w:hAnsi="宋体" w:eastAsia="宋体" w:cs="宋体"/>
          <w:color w:val="auto"/>
          <w:spacing w:val="0"/>
          <w:position w:val="0"/>
          <w:highlight w:val="none"/>
          <w:lang w:eastAsia="zh-CN"/>
        </w:rPr>
        <w:t>响应文件</w:t>
      </w:r>
      <w:r>
        <w:rPr>
          <w:rFonts w:hint="eastAsia" w:ascii="宋体" w:hAnsi="宋体" w:eastAsia="宋体" w:cs="宋体"/>
          <w:color w:val="auto"/>
          <w:spacing w:val="0"/>
          <w:position w:val="0"/>
          <w:highlight w:val="none"/>
        </w:rPr>
        <w:t>封面</w:t>
      </w:r>
      <w:bookmarkEnd w:id="1287"/>
      <w:bookmarkEnd w:id="1288"/>
      <w:bookmarkEnd w:id="1289"/>
    </w:p>
    <w:p w14:paraId="1E130684">
      <w:pPr>
        <w:pStyle w:val="71"/>
        <w:kinsoku/>
        <w:wordWrap/>
        <w:overflowPunct/>
        <w:bidi w:val="0"/>
        <w:spacing w:line="360" w:lineRule="auto"/>
        <w:rPr>
          <w:rFonts w:hint="eastAsia" w:ascii="宋体" w:hAnsi="宋体" w:eastAsia="宋体" w:cs="宋体"/>
          <w:b/>
          <w:color w:val="auto"/>
          <w:spacing w:val="0"/>
          <w:position w:val="0"/>
          <w:sz w:val="24"/>
          <w:highlight w:val="none"/>
        </w:rPr>
      </w:pPr>
    </w:p>
    <w:p w14:paraId="05190646">
      <w:pPr>
        <w:pStyle w:val="71"/>
        <w:kinsoku/>
        <w:wordWrap/>
        <w:overflowPunct/>
        <w:bidi w:val="0"/>
        <w:spacing w:line="360" w:lineRule="auto"/>
        <w:jc w:val="center"/>
        <w:rPr>
          <w:rFonts w:hint="eastAsia" w:ascii="宋体" w:hAnsi="宋体" w:eastAsia="宋体" w:cs="宋体"/>
          <w:color w:val="auto"/>
          <w:spacing w:val="0"/>
          <w:position w:val="0"/>
          <w:sz w:val="24"/>
          <w:highlight w:val="none"/>
        </w:rPr>
      </w:pPr>
    </w:p>
    <w:p w14:paraId="4E2B2C30">
      <w:pPr>
        <w:pStyle w:val="71"/>
        <w:kinsoku/>
        <w:wordWrap/>
        <w:overflowPunct/>
        <w:bidi w:val="0"/>
        <w:spacing w:line="360" w:lineRule="auto"/>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 xml:space="preserve">                </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（项目名称）</w:t>
      </w:r>
    </w:p>
    <w:p w14:paraId="5491791E">
      <w:pPr>
        <w:pStyle w:val="71"/>
        <w:kinsoku/>
        <w:wordWrap/>
        <w:overflowPunct/>
        <w:bidi w:val="0"/>
        <w:spacing w:line="360" w:lineRule="auto"/>
        <w:jc w:val="center"/>
        <w:rPr>
          <w:rFonts w:hint="eastAsia" w:ascii="宋体" w:hAnsi="宋体" w:eastAsia="宋体" w:cs="宋体"/>
          <w:color w:val="auto"/>
          <w:spacing w:val="0"/>
          <w:position w:val="0"/>
          <w:sz w:val="28"/>
          <w:szCs w:val="28"/>
          <w:highlight w:val="none"/>
        </w:rPr>
      </w:pPr>
    </w:p>
    <w:p w14:paraId="2420DAF2">
      <w:pPr>
        <w:pStyle w:val="71"/>
        <w:kinsoku/>
        <w:wordWrap/>
        <w:overflowPunct/>
        <w:bidi w:val="0"/>
        <w:spacing w:line="360" w:lineRule="auto"/>
        <w:ind w:firstLine="1680" w:firstLineChars="600"/>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 xml:space="preserve">     </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lang w:eastAsia="zh-CN"/>
        </w:rPr>
        <w:t>标项名称</w:t>
      </w:r>
      <w:r>
        <w:rPr>
          <w:rFonts w:hint="eastAsia" w:ascii="宋体" w:hAnsi="宋体" w:eastAsia="宋体" w:cs="宋体"/>
          <w:color w:val="auto"/>
          <w:spacing w:val="0"/>
          <w:position w:val="0"/>
          <w:sz w:val="28"/>
          <w:szCs w:val="28"/>
          <w:highlight w:val="none"/>
        </w:rPr>
        <w:t>）</w:t>
      </w:r>
    </w:p>
    <w:p w14:paraId="767775A7">
      <w:pPr>
        <w:pStyle w:val="71"/>
        <w:kinsoku/>
        <w:wordWrap/>
        <w:overflowPunct/>
        <w:bidi w:val="0"/>
        <w:spacing w:line="360" w:lineRule="auto"/>
        <w:jc w:val="center"/>
        <w:rPr>
          <w:rFonts w:hint="eastAsia" w:ascii="宋体" w:hAnsi="宋体" w:eastAsia="宋体" w:cs="宋体"/>
          <w:color w:val="auto"/>
          <w:spacing w:val="0"/>
          <w:position w:val="0"/>
          <w:sz w:val="24"/>
          <w:highlight w:val="none"/>
        </w:rPr>
      </w:pPr>
    </w:p>
    <w:p w14:paraId="75DE1D61">
      <w:pPr>
        <w:pStyle w:val="71"/>
        <w:kinsoku/>
        <w:wordWrap/>
        <w:overflowPunct/>
        <w:bidi w:val="0"/>
        <w:spacing w:line="360" w:lineRule="auto"/>
        <w:jc w:val="center"/>
        <w:rPr>
          <w:rFonts w:hint="eastAsia" w:ascii="宋体" w:hAnsi="宋体" w:eastAsia="宋体" w:cs="宋体"/>
          <w:color w:val="auto"/>
          <w:spacing w:val="0"/>
          <w:position w:val="0"/>
          <w:sz w:val="24"/>
          <w:highlight w:val="none"/>
        </w:rPr>
      </w:pPr>
    </w:p>
    <w:p w14:paraId="415B3C1F">
      <w:pPr>
        <w:pStyle w:val="71"/>
        <w:kinsoku/>
        <w:wordWrap/>
        <w:overflowPunct/>
        <w:bidi w:val="0"/>
        <w:spacing w:line="360" w:lineRule="auto"/>
        <w:jc w:val="center"/>
        <w:rPr>
          <w:rFonts w:hint="eastAsia" w:ascii="宋体" w:hAnsi="宋体" w:eastAsia="宋体" w:cs="宋体"/>
          <w:b/>
          <w:color w:val="auto"/>
          <w:spacing w:val="0"/>
          <w:position w:val="0"/>
          <w:sz w:val="52"/>
          <w:szCs w:val="52"/>
          <w:highlight w:val="none"/>
          <w:lang w:eastAsia="zh-CN"/>
        </w:rPr>
      </w:pPr>
      <w:r>
        <w:rPr>
          <w:rFonts w:hint="eastAsia" w:ascii="宋体" w:hAnsi="宋体" w:eastAsia="宋体" w:cs="宋体"/>
          <w:b/>
          <w:color w:val="auto"/>
          <w:spacing w:val="0"/>
          <w:position w:val="0"/>
          <w:sz w:val="52"/>
          <w:szCs w:val="52"/>
          <w:highlight w:val="none"/>
          <w:lang w:eastAsia="zh-CN"/>
        </w:rPr>
        <w:t>响应文件</w:t>
      </w:r>
    </w:p>
    <w:p w14:paraId="238B5141">
      <w:pPr>
        <w:pStyle w:val="71"/>
        <w:kinsoku/>
        <w:wordWrap/>
        <w:overflowPunct/>
        <w:bidi w:val="0"/>
        <w:spacing w:line="360" w:lineRule="auto"/>
        <w:jc w:val="center"/>
        <w:rPr>
          <w:rFonts w:hint="eastAsia" w:ascii="宋体" w:hAnsi="宋体" w:eastAsia="宋体" w:cs="宋体"/>
          <w:color w:val="auto"/>
          <w:spacing w:val="0"/>
          <w:position w:val="0"/>
          <w:sz w:val="24"/>
          <w:highlight w:val="none"/>
        </w:rPr>
      </w:pPr>
    </w:p>
    <w:p w14:paraId="698D4B91">
      <w:pPr>
        <w:pStyle w:val="71"/>
        <w:kinsoku/>
        <w:wordWrap/>
        <w:overflowPunct/>
        <w:bidi w:val="0"/>
        <w:spacing w:line="360" w:lineRule="auto"/>
        <w:jc w:val="center"/>
        <w:rPr>
          <w:rFonts w:hint="eastAsia" w:ascii="宋体" w:hAnsi="宋体" w:eastAsia="宋体" w:cs="宋体"/>
          <w:color w:val="auto"/>
          <w:spacing w:val="0"/>
          <w:position w:val="0"/>
          <w:sz w:val="24"/>
          <w:highlight w:val="none"/>
        </w:rPr>
      </w:pPr>
    </w:p>
    <w:p w14:paraId="05A17BB9">
      <w:pPr>
        <w:pStyle w:val="71"/>
        <w:kinsoku/>
        <w:wordWrap/>
        <w:overflowPunct/>
        <w:bidi w:val="0"/>
        <w:spacing w:line="360" w:lineRule="auto"/>
        <w:jc w:val="center"/>
        <w:rPr>
          <w:rFonts w:hint="eastAsia" w:ascii="宋体" w:hAnsi="宋体" w:eastAsia="宋体" w:cs="宋体"/>
          <w:b/>
          <w:color w:val="auto"/>
          <w:spacing w:val="0"/>
          <w:position w:val="0"/>
          <w:sz w:val="24"/>
          <w:highlight w:val="none"/>
        </w:rPr>
      </w:pPr>
    </w:p>
    <w:p w14:paraId="2EFCE3C6">
      <w:pPr>
        <w:pStyle w:val="71"/>
        <w:kinsoku/>
        <w:wordWrap/>
        <w:overflowPunct/>
        <w:bidi w:val="0"/>
        <w:spacing w:line="360" w:lineRule="auto"/>
        <w:jc w:val="center"/>
        <w:rPr>
          <w:rFonts w:hint="eastAsia" w:ascii="宋体" w:hAnsi="宋体" w:eastAsia="宋体" w:cs="宋体"/>
          <w:b/>
          <w:color w:val="auto"/>
          <w:spacing w:val="0"/>
          <w:position w:val="0"/>
          <w:sz w:val="24"/>
          <w:highlight w:val="none"/>
        </w:rPr>
      </w:pPr>
    </w:p>
    <w:p w14:paraId="05CB31D4">
      <w:pPr>
        <w:pStyle w:val="71"/>
        <w:kinsoku/>
        <w:wordWrap/>
        <w:overflowPunct/>
        <w:bidi w:val="0"/>
        <w:spacing w:line="360" w:lineRule="auto"/>
        <w:jc w:val="center"/>
        <w:rPr>
          <w:rFonts w:hint="eastAsia" w:ascii="宋体" w:hAnsi="宋体" w:eastAsia="宋体" w:cs="宋体"/>
          <w:b/>
          <w:color w:val="auto"/>
          <w:spacing w:val="0"/>
          <w:position w:val="0"/>
          <w:sz w:val="24"/>
          <w:highlight w:val="none"/>
        </w:rPr>
      </w:pPr>
    </w:p>
    <w:p w14:paraId="515A463C">
      <w:pPr>
        <w:pStyle w:val="71"/>
        <w:kinsoku/>
        <w:wordWrap/>
        <w:overflowPunct/>
        <w:bidi w:val="0"/>
        <w:spacing w:line="360" w:lineRule="auto"/>
        <w:jc w:val="center"/>
        <w:rPr>
          <w:rFonts w:hint="eastAsia" w:ascii="宋体" w:hAnsi="宋体" w:eastAsia="宋体" w:cs="宋体"/>
          <w:b/>
          <w:color w:val="auto"/>
          <w:spacing w:val="0"/>
          <w:position w:val="0"/>
          <w:sz w:val="24"/>
          <w:highlight w:val="none"/>
        </w:rPr>
      </w:pPr>
    </w:p>
    <w:p w14:paraId="0C5F7AF1">
      <w:pPr>
        <w:pStyle w:val="71"/>
        <w:kinsoku/>
        <w:wordWrap/>
        <w:overflowPunct/>
        <w:bidi w:val="0"/>
        <w:spacing w:line="360" w:lineRule="auto"/>
        <w:jc w:val="center"/>
        <w:rPr>
          <w:rFonts w:hint="eastAsia" w:ascii="宋体" w:hAnsi="宋体" w:eastAsia="宋体" w:cs="宋体"/>
          <w:b/>
          <w:color w:val="auto"/>
          <w:spacing w:val="0"/>
          <w:position w:val="0"/>
          <w:sz w:val="24"/>
          <w:highlight w:val="none"/>
        </w:rPr>
      </w:pPr>
    </w:p>
    <w:p w14:paraId="7C9B7FA6">
      <w:pPr>
        <w:pStyle w:val="71"/>
        <w:kinsoku/>
        <w:wordWrap/>
        <w:overflowPunct/>
        <w:bidi w:val="0"/>
        <w:spacing w:line="360" w:lineRule="auto"/>
        <w:jc w:val="center"/>
        <w:rPr>
          <w:rFonts w:hint="eastAsia" w:ascii="宋体" w:hAnsi="宋体" w:eastAsia="宋体" w:cs="宋体"/>
          <w:b/>
          <w:color w:val="auto"/>
          <w:spacing w:val="0"/>
          <w:position w:val="0"/>
          <w:sz w:val="24"/>
          <w:highlight w:val="none"/>
        </w:rPr>
      </w:pPr>
    </w:p>
    <w:p w14:paraId="300CE177">
      <w:pPr>
        <w:pStyle w:val="71"/>
        <w:kinsoku/>
        <w:wordWrap/>
        <w:overflowPunct/>
        <w:bidi w:val="0"/>
        <w:spacing w:line="360" w:lineRule="auto"/>
        <w:jc w:val="center"/>
        <w:rPr>
          <w:rFonts w:hint="eastAsia" w:ascii="宋体" w:hAnsi="宋体" w:eastAsia="宋体" w:cs="宋体"/>
          <w:color w:val="auto"/>
          <w:spacing w:val="0"/>
          <w:position w:val="0"/>
          <w:sz w:val="28"/>
          <w:szCs w:val="28"/>
          <w:highlight w:val="none"/>
          <w:u w:val="single"/>
        </w:rPr>
      </w:pPr>
      <w:r>
        <w:rPr>
          <w:rFonts w:hint="eastAsia" w:ascii="宋体" w:hAnsi="宋体" w:eastAsia="宋体" w:cs="宋体"/>
          <w:color w:val="auto"/>
          <w:spacing w:val="0"/>
          <w:position w:val="0"/>
          <w:sz w:val="28"/>
          <w:szCs w:val="28"/>
          <w:highlight w:val="none"/>
          <w:lang w:eastAsia="zh-CN"/>
        </w:rPr>
        <w:t>供应商</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（电子签章）</w:t>
      </w:r>
    </w:p>
    <w:p w14:paraId="374B08E4">
      <w:pPr>
        <w:pStyle w:val="71"/>
        <w:kinsoku/>
        <w:wordWrap/>
        <w:overflowPunct/>
        <w:bidi w:val="0"/>
        <w:spacing w:line="360" w:lineRule="auto"/>
        <w:ind w:firstLine="1400" w:firstLineChars="500"/>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法定代表人</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（电子签章）</w:t>
      </w:r>
    </w:p>
    <w:p w14:paraId="330D622F">
      <w:pPr>
        <w:pStyle w:val="71"/>
        <w:kinsoku/>
        <w:wordWrap/>
        <w:overflowPunct/>
        <w:bidi w:val="0"/>
        <w:spacing w:line="360" w:lineRule="auto"/>
        <w:jc w:val="center"/>
        <w:rPr>
          <w:rFonts w:hint="eastAsia" w:ascii="宋体" w:hAnsi="宋体" w:eastAsia="宋体" w:cs="宋体"/>
          <w:color w:val="auto"/>
          <w:spacing w:val="0"/>
          <w:position w:val="0"/>
          <w:sz w:val="28"/>
          <w:szCs w:val="28"/>
          <w:highlight w:val="none"/>
          <w:u w:val="single"/>
        </w:rPr>
      </w:pPr>
      <w:r>
        <w:rPr>
          <w:rFonts w:hint="eastAsia" w:ascii="宋体" w:hAnsi="宋体" w:eastAsia="宋体" w:cs="宋体"/>
          <w:color w:val="auto"/>
          <w:spacing w:val="0"/>
          <w:position w:val="0"/>
          <w:sz w:val="28"/>
          <w:szCs w:val="28"/>
          <w:highlight w:val="none"/>
        </w:rPr>
        <w:t>日期</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（年/月/日）</w:t>
      </w:r>
    </w:p>
    <w:p w14:paraId="664A3B27">
      <w:pPr>
        <w:kinsoku/>
        <w:wordWrap/>
        <w:overflowPunct/>
        <w:bidi w:val="0"/>
        <w:spacing w:line="360" w:lineRule="auto"/>
        <w:rPr>
          <w:rFonts w:hint="eastAsia" w:ascii="宋体" w:hAnsi="宋体" w:eastAsia="宋体" w:cs="宋体"/>
          <w:color w:val="auto"/>
          <w:spacing w:val="0"/>
          <w:position w:val="0"/>
          <w:highlight w:val="none"/>
        </w:rPr>
      </w:pPr>
    </w:p>
    <w:p w14:paraId="045895EC">
      <w:pPr>
        <w:kinsoku/>
        <w:wordWrap/>
        <w:overflowPunct/>
        <w:bidi w:val="0"/>
        <w:rPr>
          <w:rFonts w:hint="eastAsia" w:ascii="宋体" w:hAnsi="宋体" w:eastAsia="宋体" w:cs="宋体"/>
          <w:color w:val="auto"/>
          <w:spacing w:val="0"/>
          <w:position w:val="0"/>
          <w:highlight w:val="none"/>
          <w:lang w:val="en-US" w:eastAsia="zh-CN"/>
        </w:rPr>
      </w:pPr>
    </w:p>
    <w:p w14:paraId="74E9DC13">
      <w:pPr>
        <w:pStyle w:val="17"/>
        <w:kinsoku/>
        <w:wordWrap/>
        <w:overflowPunct/>
        <w:bidi w:val="0"/>
        <w:rPr>
          <w:rFonts w:hint="eastAsia" w:ascii="宋体" w:hAnsi="宋体" w:eastAsia="宋体" w:cs="宋体"/>
          <w:color w:val="auto"/>
          <w:spacing w:val="0"/>
          <w:position w:val="0"/>
          <w:highlight w:val="none"/>
          <w:lang w:val="en-US" w:eastAsia="zh-CN"/>
        </w:rPr>
      </w:pPr>
    </w:p>
    <w:p w14:paraId="7F823A50">
      <w:pPr>
        <w:pStyle w:val="18"/>
        <w:kinsoku/>
        <w:wordWrap/>
        <w:overflowPunct/>
        <w:bidi w:val="0"/>
        <w:rPr>
          <w:rFonts w:hint="eastAsia" w:ascii="宋体" w:hAnsi="宋体" w:eastAsia="宋体" w:cs="宋体"/>
          <w:color w:val="auto"/>
          <w:highlight w:val="none"/>
          <w:lang w:val="en-US" w:eastAsia="zh-CN"/>
        </w:rPr>
      </w:pPr>
    </w:p>
    <w:p w14:paraId="18683F8E">
      <w:pPr>
        <w:pStyle w:val="11"/>
        <w:kinsoku/>
        <w:wordWrap/>
        <w:overflowPunct/>
        <w:bidi w:val="0"/>
        <w:ind w:left="0" w:leftChars="0" w:firstLine="0" w:firstLineChars="0"/>
        <w:rPr>
          <w:rFonts w:hint="eastAsia" w:ascii="宋体" w:hAnsi="宋体" w:eastAsia="宋体" w:cs="宋体"/>
          <w:color w:val="auto"/>
          <w:spacing w:val="0"/>
          <w:position w:val="0"/>
          <w:highlight w:val="none"/>
        </w:rPr>
      </w:pPr>
    </w:p>
    <w:p w14:paraId="635B6BBA">
      <w:pPr>
        <w:kinsoku/>
        <w:wordWrap/>
        <w:overflowPunct/>
        <w:bidi w:val="0"/>
        <w:spacing w:after="312" w:afterLines="100" w:line="360" w:lineRule="auto"/>
        <w:jc w:val="center"/>
        <w:rPr>
          <w:rFonts w:hint="eastAsia" w:ascii="宋体" w:hAnsi="宋体" w:eastAsia="宋体" w:cs="宋体"/>
          <w:b/>
          <w:bCs/>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目 录</w:t>
      </w:r>
    </w:p>
    <w:p w14:paraId="1901EAB0">
      <w:pPr>
        <w:kinsoku/>
        <w:wordWrap/>
        <w:overflowPunct/>
        <w:autoSpaceDE w:val="0"/>
        <w:autoSpaceDN w:val="0"/>
        <w:bidi w:val="0"/>
        <w:adjustRightInd w:val="0"/>
        <w:spacing w:line="360" w:lineRule="auto"/>
        <w:ind w:firstLine="480" w:firstLineChars="200"/>
        <w:jc w:val="left"/>
        <w:rPr>
          <w:rFonts w:hint="eastAsia" w:ascii="宋体" w:hAnsi="宋体" w:eastAsia="宋体" w:cs="宋体"/>
          <w:color w:val="auto"/>
          <w:spacing w:val="0"/>
          <w:position w:val="0"/>
          <w:sz w:val="24"/>
          <w:highlight w:val="none"/>
          <w:lang w:val="zh-CN"/>
        </w:rPr>
      </w:pPr>
      <w:r>
        <w:rPr>
          <w:rFonts w:hint="eastAsia" w:ascii="宋体" w:hAnsi="宋体" w:eastAsia="宋体" w:cs="宋体"/>
          <w:color w:val="auto"/>
          <w:spacing w:val="0"/>
          <w:position w:val="0"/>
          <w:sz w:val="24"/>
          <w:highlight w:val="none"/>
          <w:lang w:val="en-US" w:eastAsia="zh-CN"/>
        </w:rPr>
        <w:t>一</w:t>
      </w:r>
      <w:r>
        <w:rPr>
          <w:rFonts w:hint="eastAsia" w:ascii="宋体" w:hAnsi="宋体" w:eastAsia="宋体" w:cs="宋体"/>
          <w:color w:val="auto"/>
          <w:spacing w:val="0"/>
          <w:position w:val="0"/>
          <w:sz w:val="24"/>
          <w:highlight w:val="none"/>
          <w:lang w:val="zh-CN"/>
        </w:rPr>
        <w:t>、</w:t>
      </w:r>
      <w:r>
        <w:rPr>
          <w:rFonts w:hint="eastAsia" w:ascii="宋体" w:hAnsi="宋体" w:eastAsia="宋体" w:cs="宋体"/>
          <w:color w:val="auto"/>
          <w:spacing w:val="0"/>
          <w:position w:val="0"/>
          <w:sz w:val="24"/>
          <w:highlight w:val="none"/>
          <w:lang w:val="en-US" w:eastAsia="zh-CN"/>
        </w:rPr>
        <w:t>资格审查文件</w:t>
      </w:r>
    </w:p>
    <w:p w14:paraId="2DD85E87">
      <w:pPr>
        <w:kinsoku/>
        <w:wordWrap/>
        <w:overflowPunct/>
        <w:autoSpaceDE w:val="0"/>
        <w:autoSpaceDN w:val="0"/>
        <w:bidi w:val="0"/>
        <w:adjustRightInd w:val="0"/>
        <w:spacing w:line="360" w:lineRule="auto"/>
        <w:ind w:firstLine="480" w:firstLineChars="200"/>
        <w:jc w:val="left"/>
        <w:rPr>
          <w:rFonts w:hint="eastAsia" w:ascii="宋体" w:hAnsi="宋体" w:eastAsia="宋体" w:cs="宋体"/>
          <w:color w:val="auto"/>
          <w:spacing w:val="0"/>
          <w:position w:val="0"/>
          <w:sz w:val="24"/>
          <w:highlight w:val="none"/>
          <w:lang w:val="zh-CN"/>
        </w:rPr>
      </w:pPr>
      <w:r>
        <w:rPr>
          <w:rFonts w:hint="eastAsia" w:ascii="宋体" w:hAnsi="宋体" w:eastAsia="宋体" w:cs="宋体"/>
          <w:color w:val="auto"/>
          <w:spacing w:val="0"/>
          <w:position w:val="0"/>
          <w:sz w:val="24"/>
          <w:highlight w:val="none"/>
          <w:lang w:val="en-US" w:eastAsia="zh-CN"/>
        </w:rPr>
        <w:t>二</w:t>
      </w:r>
      <w:r>
        <w:rPr>
          <w:rFonts w:hint="eastAsia" w:ascii="宋体" w:hAnsi="宋体" w:eastAsia="宋体" w:cs="宋体"/>
          <w:color w:val="auto"/>
          <w:spacing w:val="0"/>
          <w:position w:val="0"/>
          <w:sz w:val="24"/>
          <w:highlight w:val="none"/>
        </w:rPr>
        <w:t>、</w:t>
      </w:r>
      <w:r>
        <w:rPr>
          <w:rFonts w:hint="eastAsia" w:ascii="宋体" w:hAnsi="宋体" w:eastAsia="宋体" w:cs="宋体"/>
          <w:color w:val="auto"/>
          <w:spacing w:val="0"/>
          <w:position w:val="0"/>
          <w:sz w:val="24"/>
          <w:highlight w:val="none"/>
          <w:lang w:val="en-US" w:eastAsia="zh-CN"/>
        </w:rPr>
        <w:t>商务文件</w:t>
      </w:r>
    </w:p>
    <w:p w14:paraId="58E30B43">
      <w:pPr>
        <w:kinsoku/>
        <w:wordWrap/>
        <w:overflowPunct/>
        <w:autoSpaceDE w:val="0"/>
        <w:autoSpaceDN w:val="0"/>
        <w:bidi w:val="0"/>
        <w:adjustRightInd w:val="0"/>
        <w:spacing w:line="360" w:lineRule="auto"/>
        <w:ind w:firstLine="480" w:firstLineChars="200"/>
        <w:rPr>
          <w:rFonts w:hint="eastAsia" w:ascii="宋体" w:hAnsi="宋体" w:cs="宋体"/>
          <w:color w:val="auto"/>
          <w:spacing w:val="0"/>
          <w:position w:val="0"/>
          <w:sz w:val="24"/>
          <w:highlight w:val="none"/>
          <w:lang w:val="zh-CN"/>
        </w:rPr>
      </w:pPr>
      <w:r>
        <w:rPr>
          <w:rFonts w:hint="eastAsia" w:ascii="宋体" w:hAnsi="宋体" w:eastAsia="宋体" w:cs="宋体"/>
          <w:color w:val="auto"/>
          <w:spacing w:val="0"/>
          <w:position w:val="0"/>
          <w:sz w:val="24"/>
          <w:highlight w:val="none"/>
          <w:lang w:val="en-US" w:eastAsia="zh-CN"/>
        </w:rPr>
        <w:t>三</w:t>
      </w:r>
      <w:r>
        <w:rPr>
          <w:rFonts w:hint="eastAsia" w:ascii="宋体" w:hAnsi="宋体" w:eastAsia="宋体" w:cs="宋体"/>
          <w:color w:val="auto"/>
          <w:spacing w:val="0"/>
          <w:position w:val="0"/>
          <w:sz w:val="24"/>
          <w:highlight w:val="none"/>
          <w:lang w:val="zh-CN"/>
        </w:rPr>
        <w:t>、</w:t>
      </w:r>
      <w:r>
        <w:rPr>
          <w:rFonts w:hint="eastAsia" w:ascii="宋体" w:hAnsi="宋体" w:cs="宋体"/>
          <w:color w:val="auto"/>
          <w:spacing w:val="0"/>
          <w:position w:val="0"/>
          <w:sz w:val="24"/>
          <w:highlight w:val="none"/>
          <w:lang w:val="zh-CN"/>
        </w:rPr>
        <w:t>经济部分</w:t>
      </w:r>
    </w:p>
    <w:p w14:paraId="05703274">
      <w:pPr>
        <w:kinsoku/>
        <w:wordWrap/>
        <w:overflowPunct/>
        <w:autoSpaceDE w:val="0"/>
        <w:autoSpaceDN w:val="0"/>
        <w:bidi w:val="0"/>
        <w:adjustRightInd w:val="0"/>
        <w:spacing w:line="360" w:lineRule="auto"/>
        <w:ind w:firstLine="480" w:firstLineChars="200"/>
        <w:rPr>
          <w:rFonts w:hint="eastAsia"/>
          <w:highlight w:val="none"/>
          <w:lang w:val="en-US" w:eastAsia="zh-CN"/>
        </w:rPr>
      </w:pPr>
      <w:r>
        <w:rPr>
          <w:rFonts w:hint="eastAsia" w:ascii="宋体" w:hAnsi="宋体" w:cs="宋体"/>
          <w:color w:val="auto"/>
          <w:spacing w:val="0"/>
          <w:position w:val="0"/>
          <w:sz w:val="24"/>
          <w:highlight w:val="none"/>
          <w:lang w:val="zh-CN"/>
        </w:rPr>
        <w:t>四、技术部分</w:t>
      </w:r>
    </w:p>
    <w:p w14:paraId="784B5556">
      <w:pPr>
        <w:pStyle w:val="18"/>
        <w:kinsoku/>
        <w:wordWrap/>
        <w:overflowPunct/>
        <w:bidi w:val="0"/>
        <w:rPr>
          <w:rFonts w:hint="eastAsia" w:ascii="宋体" w:hAnsi="宋体" w:eastAsia="宋体" w:cs="宋体"/>
          <w:color w:val="auto"/>
          <w:spacing w:val="0"/>
          <w:position w:val="0"/>
          <w:highlight w:val="none"/>
        </w:rPr>
      </w:pPr>
    </w:p>
    <w:p w14:paraId="379D2F6E">
      <w:pPr>
        <w:kinsoku/>
        <w:wordWrap/>
        <w:overflowPunct/>
        <w:bidi w:val="0"/>
        <w:spacing w:line="360" w:lineRule="auto"/>
        <w:rPr>
          <w:rFonts w:hint="eastAsia" w:ascii="宋体" w:hAnsi="宋体" w:eastAsia="宋体" w:cs="宋体"/>
          <w:color w:val="auto"/>
          <w:spacing w:val="0"/>
          <w:position w:val="0"/>
          <w:highlight w:val="none"/>
        </w:rPr>
      </w:pPr>
    </w:p>
    <w:p w14:paraId="45064EE7">
      <w:pPr>
        <w:pStyle w:val="3"/>
        <w:kinsoku/>
        <w:wordWrap/>
        <w:overflowPunct/>
        <w:bidi w:val="0"/>
        <w:jc w:val="center"/>
        <w:rPr>
          <w:rStyle w:val="48"/>
          <w:rFonts w:hint="eastAsia" w:ascii="宋体" w:hAnsi="宋体" w:eastAsia="宋体" w:cs="宋体"/>
          <w:b/>
          <w:bCs/>
          <w:color w:val="auto"/>
          <w:spacing w:val="0"/>
          <w:position w:val="0"/>
          <w:sz w:val="32"/>
          <w:szCs w:val="32"/>
          <w:highlight w:val="none"/>
        </w:rPr>
      </w:pPr>
      <w:r>
        <w:rPr>
          <w:rFonts w:hint="eastAsia" w:ascii="宋体" w:hAnsi="宋体" w:eastAsia="宋体" w:cs="宋体"/>
          <w:color w:val="auto"/>
          <w:spacing w:val="0"/>
          <w:position w:val="0"/>
          <w:highlight w:val="none"/>
        </w:rPr>
        <w:br w:type="page"/>
      </w:r>
      <w:bookmarkStart w:id="1290" w:name="_Toc29316"/>
      <w:bookmarkStart w:id="1291" w:name="_Toc3507"/>
      <w:r>
        <w:rPr>
          <w:rStyle w:val="48"/>
          <w:rFonts w:hint="eastAsia" w:ascii="宋体" w:hAnsi="宋体" w:eastAsia="宋体" w:cs="宋体"/>
          <w:b/>
          <w:bCs/>
          <w:color w:val="auto"/>
          <w:spacing w:val="0"/>
          <w:position w:val="0"/>
          <w:sz w:val="32"/>
          <w:szCs w:val="32"/>
          <w:highlight w:val="none"/>
          <w:lang w:val="en-US" w:eastAsia="zh-CN"/>
        </w:rPr>
        <w:t>一</w:t>
      </w:r>
      <w:r>
        <w:rPr>
          <w:rStyle w:val="48"/>
          <w:rFonts w:hint="eastAsia" w:ascii="宋体" w:hAnsi="宋体" w:eastAsia="宋体" w:cs="宋体"/>
          <w:b/>
          <w:bCs/>
          <w:color w:val="auto"/>
          <w:spacing w:val="0"/>
          <w:position w:val="0"/>
          <w:sz w:val="32"/>
          <w:szCs w:val="32"/>
          <w:highlight w:val="none"/>
        </w:rPr>
        <w:t>、</w:t>
      </w:r>
      <w:r>
        <w:rPr>
          <w:rStyle w:val="48"/>
          <w:rFonts w:hint="eastAsia" w:ascii="宋体" w:hAnsi="宋体" w:eastAsia="宋体" w:cs="宋体"/>
          <w:b/>
          <w:bCs/>
          <w:color w:val="auto"/>
          <w:spacing w:val="0"/>
          <w:position w:val="0"/>
          <w:sz w:val="32"/>
          <w:szCs w:val="32"/>
          <w:highlight w:val="none"/>
          <w:lang w:eastAsia="zh-CN"/>
        </w:rPr>
        <w:t>资格审查</w:t>
      </w:r>
      <w:r>
        <w:rPr>
          <w:rStyle w:val="48"/>
          <w:rFonts w:hint="eastAsia" w:ascii="宋体" w:hAnsi="宋体" w:eastAsia="宋体" w:cs="宋体"/>
          <w:b/>
          <w:bCs/>
          <w:color w:val="auto"/>
          <w:spacing w:val="0"/>
          <w:position w:val="0"/>
          <w:sz w:val="32"/>
          <w:szCs w:val="32"/>
          <w:highlight w:val="none"/>
        </w:rPr>
        <w:t>文件</w:t>
      </w:r>
      <w:bookmarkEnd w:id="1290"/>
      <w:bookmarkEnd w:id="1291"/>
    </w:p>
    <w:p w14:paraId="392AC2F6">
      <w:pPr>
        <w:pStyle w:val="96"/>
        <w:pageBreakBefore w:val="0"/>
        <w:widowControl/>
        <w:kinsoku/>
        <w:wordWrap/>
        <w:overflowPunct/>
        <w:topLinePunct w:val="0"/>
        <w:autoSpaceDE/>
        <w:autoSpaceDN/>
        <w:bidi w:val="0"/>
        <w:adjustRightInd/>
        <w:snapToGrid/>
        <w:spacing w:beforeAutospacing="0" w:afterAutospacing="0" w:line="440" w:lineRule="exact"/>
        <w:jc w:val="both"/>
        <w:textAlignment w:val="baseline"/>
        <w:rPr>
          <w:rStyle w:val="56"/>
          <w:rFonts w:hint="eastAsia" w:ascii="宋体" w:hAnsi="宋体" w:eastAsia="宋体" w:cs="宋体"/>
          <w:b/>
          <w:i w:val="0"/>
          <w:caps w:val="0"/>
          <w:color w:val="auto"/>
          <w:spacing w:val="0"/>
          <w:w w:val="100"/>
          <w:position w:val="0"/>
          <w:sz w:val="24"/>
          <w:szCs w:val="24"/>
          <w:highlight w:val="none"/>
          <w:lang w:bidi="ar-SA"/>
        </w:rPr>
      </w:pPr>
      <w:r>
        <w:rPr>
          <w:rStyle w:val="56"/>
          <w:rFonts w:hint="eastAsia" w:ascii="宋体" w:hAnsi="宋体" w:eastAsia="宋体" w:cs="宋体"/>
          <w:b/>
          <w:i w:val="0"/>
          <w:caps w:val="0"/>
          <w:color w:val="auto"/>
          <w:spacing w:val="0"/>
          <w:w w:val="100"/>
          <w:position w:val="0"/>
          <w:sz w:val="24"/>
          <w:szCs w:val="24"/>
          <w:highlight w:val="none"/>
          <w:lang w:val="en-US" w:eastAsia="zh-CN" w:bidi="ar-SA"/>
        </w:rPr>
        <w:t>1.1</w:t>
      </w:r>
      <w:r>
        <w:rPr>
          <w:rStyle w:val="56"/>
          <w:rFonts w:hint="eastAsia" w:ascii="宋体" w:hAnsi="宋体" w:eastAsia="宋体" w:cs="宋体"/>
          <w:b/>
          <w:i w:val="0"/>
          <w:caps w:val="0"/>
          <w:color w:val="auto"/>
          <w:spacing w:val="0"/>
          <w:w w:val="100"/>
          <w:position w:val="0"/>
          <w:sz w:val="24"/>
          <w:szCs w:val="24"/>
          <w:highlight w:val="none"/>
          <w:lang w:bidi="ar-SA"/>
        </w:rPr>
        <w:t>《中华人民共和国政府采购法》第二十二条应当具备的条件；</w:t>
      </w:r>
    </w:p>
    <w:p w14:paraId="629E6D08">
      <w:pPr>
        <w:pStyle w:val="97"/>
        <w:pageBreakBefore w:val="0"/>
        <w:kinsoku/>
        <w:wordWrap/>
        <w:overflowPunct/>
        <w:topLinePunct w:val="0"/>
        <w:autoSpaceDE/>
        <w:autoSpaceDN/>
        <w:bidi w:val="0"/>
        <w:adjustRightInd/>
        <w:snapToGrid/>
        <w:spacing w:beforeAutospacing="0" w:afterAutospacing="0" w:line="440" w:lineRule="exact"/>
        <w:jc w:val="both"/>
        <w:textAlignment w:val="baseline"/>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t>①具有独立承担民事责任的能力；</w:t>
      </w:r>
    </w:p>
    <w:p w14:paraId="10918499">
      <w:pPr>
        <w:pStyle w:val="97"/>
        <w:pageBreakBefore w:val="0"/>
        <w:kinsoku/>
        <w:wordWrap/>
        <w:overflowPunct/>
        <w:topLinePunct w:val="0"/>
        <w:autoSpaceDE/>
        <w:autoSpaceDN/>
        <w:bidi w:val="0"/>
        <w:adjustRightInd/>
        <w:snapToGrid/>
        <w:spacing w:beforeAutospacing="0" w:afterAutospacing="0" w:line="440" w:lineRule="exact"/>
        <w:jc w:val="both"/>
        <w:textAlignment w:val="baseline"/>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t>②具有良好的商业信誉和健全的财务会计制度；</w:t>
      </w:r>
    </w:p>
    <w:p w14:paraId="7895C1BC">
      <w:pPr>
        <w:pStyle w:val="97"/>
        <w:pageBreakBefore w:val="0"/>
        <w:kinsoku/>
        <w:wordWrap/>
        <w:overflowPunct/>
        <w:topLinePunct w:val="0"/>
        <w:autoSpaceDE/>
        <w:autoSpaceDN/>
        <w:bidi w:val="0"/>
        <w:adjustRightInd/>
        <w:snapToGrid/>
        <w:spacing w:beforeAutospacing="0" w:afterAutospacing="0" w:line="440" w:lineRule="exact"/>
        <w:jc w:val="both"/>
        <w:textAlignment w:val="baseline"/>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t>③具有履行合同所必需的设备和专业技术能力；</w:t>
      </w:r>
    </w:p>
    <w:p w14:paraId="333F6D51">
      <w:pPr>
        <w:pStyle w:val="97"/>
        <w:pageBreakBefore w:val="0"/>
        <w:kinsoku/>
        <w:wordWrap/>
        <w:overflowPunct/>
        <w:topLinePunct w:val="0"/>
        <w:autoSpaceDE/>
        <w:autoSpaceDN/>
        <w:bidi w:val="0"/>
        <w:adjustRightInd/>
        <w:snapToGrid/>
        <w:spacing w:beforeAutospacing="0" w:afterAutospacing="0" w:line="440" w:lineRule="exact"/>
        <w:jc w:val="both"/>
        <w:textAlignment w:val="baseline"/>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t>④有依法缴纳税收和社会保障资金的良好记录；</w:t>
      </w:r>
    </w:p>
    <w:p w14:paraId="6DFDE0F2">
      <w:pPr>
        <w:pStyle w:val="97"/>
        <w:pageBreakBefore w:val="0"/>
        <w:kinsoku/>
        <w:wordWrap/>
        <w:overflowPunct/>
        <w:topLinePunct w:val="0"/>
        <w:autoSpaceDE/>
        <w:autoSpaceDN/>
        <w:bidi w:val="0"/>
        <w:adjustRightInd/>
        <w:snapToGrid/>
        <w:spacing w:beforeAutospacing="0" w:afterAutospacing="0" w:line="440" w:lineRule="exact"/>
        <w:jc w:val="both"/>
        <w:textAlignment w:val="baseline"/>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t>⑤参加政府采购活动前三年内，在经营活动中没有重大违法记录；</w:t>
      </w:r>
    </w:p>
    <w:p w14:paraId="3492910B">
      <w:pPr>
        <w:pStyle w:val="97"/>
        <w:pageBreakBefore w:val="0"/>
        <w:kinsoku/>
        <w:wordWrap/>
        <w:overflowPunct/>
        <w:topLinePunct w:val="0"/>
        <w:autoSpaceDE/>
        <w:autoSpaceDN/>
        <w:bidi w:val="0"/>
        <w:adjustRightInd/>
        <w:snapToGrid/>
        <w:spacing w:beforeAutospacing="0" w:afterAutospacing="0" w:line="440" w:lineRule="exact"/>
        <w:jc w:val="both"/>
        <w:textAlignment w:val="baseline"/>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t>⑥</w:t>
      </w:r>
      <w:r>
        <w:rPr>
          <w:rStyle w:val="56"/>
          <w:rFonts w:hint="eastAsia" w:ascii="宋体" w:hAnsi="宋体" w:eastAsia="宋体" w:cs="宋体"/>
          <w:b w:val="0"/>
          <w:i w:val="0"/>
          <w:caps w:val="0"/>
          <w:color w:val="auto"/>
          <w:spacing w:val="0"/>
          <w:w w:val="100"/>
          <w:kern w:val="2"/>
          <w:position w:val="0"/>
          <w:sz w:val="24"/>
          <w:szCs w:val="24"/>
          <w:highlight w:val="none"/>
          <w:lang w:val="en-US" w:eastAsia="zh-CN" w:bidi="ar-SA"/>
        </w:rPr>
        <w:t>法律、行政法规规定的其他条件;</w:t>
      </w:r>
    </w:p>
    <w:p w14:paraId="52FB05A2">
      <w:pPr>
        <w:pStyle w:val="99"/>
        <w:pageBreakBefore w:val="0"/>
        <w:widowControl/>
        <w:kinsoku/>
        <w:wordWrap/>
        <w:overflowPunct/>
        <w:topLinePunct w:val="0"/>
        <w:autoSpaceDE/>
        <w:autoSpaceDN/>
        <w:bidi w:val="0"/>
        <w:adjustRightInd/>
        <w:snapToGrid/>
        <w:spacing w:beforeAutospacing="0" w:afterAutospacing="0" w:line="440" w:lineRule="exact"/>
        <w:jc w:val="left"/>
        <w:textAlignment w:val="baseline"/>
        <w:rPr>
          <w:rStyle w:val="56"/>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56"/>
          <w:rFonts w:hint="eastAsia" w:ascii="宋体" w:hAnsi="宋体" w:eastAsia="宋体" w:cs="宋体"/>
          <w:b/>
          <w:bCs/>
          <w:i w:val="0"/>
          <w:caps w:val="0"/>
          <w:color w:val="auto"/>
          <w:spacing w:val="0"/>
          <w:w w:val="100"/>
          <w:kern w:val="0"/>
          <w:position w:val="0"/>
          <w:sz w:val="24"/>
          <w:szCs w:val="24"/>
          <w:highlight w:val="none"/>
          <w:lang w:val="en-US" w:eastAsia="zh-CN" w:bidi="ar-SA"/>
        </w:rPr>
        <w:t>须提供以下资料：</w:t>
      </w:r>
    </w:p>
    <w:p w14:paraId="74AAD370">
      <w:pPr>
        <w:pStyle w:val="100"/>
        <w:pageBreakBefore w:val="0"/>
        <w:widowControl/>
        <w:kinsoku/>
        <w:wordWrap/>
        <w:overflowPunct/>
        <w:topLinePunct w:val="0"/>
        <w:autoSpaceDE/>
        <w:autoSpaceDN/>
        <w:bidi w:val="0"/>
        <w:adjustRightInd/>
        <w:snapToGrid/>
        <w:spacing w:beforeAutospacing="0" w:afterAutospacing="0" w:line="440" w:lineRule="exact"/>
        <w:jc w:val="both"/>
        <w:textAlignment w:val="baseline"/>
        <w:rPr>
          <w:rStyle w:val="56"/>
          <w:rFonts w:hint="eastAsia" w:ascii="宋体" w:hAnsi="宋体" w:eastAsia="宋体" w:cs="宋体"/>
          <w:b/>
          <w:bCs/>
          <w:i w:val="0"/>
          <w:caps w:val="0"/>
          <w:color w:val="auto"/>
          <w:spacing w:val="0"/>
          <w:w w:val="100"/>
          <w:kern w:val="2"/>
          <w:position w:val="0"/>
          <w:sz w:val="24"/>
          <w:szCs w:val="24"/>
          <w:highlight w:val="none"/>
          <w:lang w:val="en-US" w:eastAsia="zh-CN" w:bidi="ar-SA"/>
        </w:rPr>
      </w:pPr>
    </w:p>
    <w:p w14:paraId="6ACFE62E">
      <w:pPr>
        <w:pStyle w:val="100"/>
        <w:pageBreakBefore w:val="0"/>
        <w:widowControl/>
        <w:kinsoku/>
        <w:wordWrap/>
        <w:overflowPunct/>
        <w:topLinePunct w:val="0"/>
        <w:autoSpaceDE/>
        <w:autoSpaceDN/>
        <w:bidi w:val="0"/>
        <w:adjustRightInd/>
        <w:snapToGrid/>
        <w:spacing w:beforeAutospacing="0" w:afterAutospacing="0" w:line="440" w:lineRule="exact"/>
        <w:jc w:val="both"/>
        <w:textAlignment w:val="baseline"/>
        <w:rPr>
          <w:rStyle w:val="56"/>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56"/>
          <w:rFonts w:hint="eastAsia" w:ascii="宋体" w:hAnsi="宋体" w:eastAsia="宋体" w:cs="宋体"/>
          <w:b/>
          <w:bCs/>
          <w:i w:val="0"/>
          <w:caps w:val="0"/>
          <w:color w:val="auto"/>
          <w:spacing w:val="0"/>
          <w:w w:val="100"/>
          <w:kern w:val="2"/>
          <w:position w:val="0"/>
          <w:sz w:val="24"/>
          <w:szCs w:val="24"/>
          <w:highlight w:val="none"/>
          <w:lang w:val="en-US" w:eastAsia="zh-CN" w:bidi="ar-SA"/>
        </w:rPr>
        <w:t>1.1.1、具有独立承担民事责任的能力；须提供相关证明材料，其中：</w:t>
      </w:r>
    </w:p>
    <w:p w14:paraId="486A47BB">
      <w:pPr>
        <w:pStyle w:val="101"/>
        <w:pageBreakBefore w:val="0"/>
        <w:widowControl/>
        <w:kinsoku/>
        <w:wordWrap/>
        <w:overflowPunct/>
        <w:topLinePunct w:val="0"/>
        <w:autoSpaceDE/>
        <w:autoSpaceDN/>
        <w:bidi w:val="0"/>
        <w:adjustRightInd/>
        <w:snapToGrid w:val="0"/>
        <w:spacing w:beforeAutospacing="0" w:afterAutospacing="0" w:line="440" w:lineRule="exact"/>
        <w:jc w:val="left"/>
        <w:textAlignment w:val="baseline"/>
        <w:rPr>
          <w:rStyle w:val="56"/>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6"/>
          <w:rFonts w:hint="eastAsia" w:ascii="宋体" w:hAnsi="宋体" w:eastAsia="宋体" w:cs="宋体"/>
          <w:b/>
          <w:bCs/>
          <w:i w:val="0"/>
          <w:caps w:val="0"/>
          <w:color w:val="auto"/>
          <w:spacing w:val="0"/>
          <w:w w:val="100"/>
          <w:kern w:val="2"/>
          <w:position w:val="0"/>
          <w:sz w:val="24"/>
          <w:szCs w:val="24"/>
          <w:highlight w:val="none"/>
          <w:lang w:val="en-US" w:eastAsia="zh-CN" w:bidi="ar-SA"/>
        </w:rPr>
        <w:t>供应商是企业（包括合伙企业）的，</w:t>
      </w:r>
      <w:r>
        <w:rPr>
          <w:rStyle w:val="56"/>
          <w:rFonts w:hint="eastAsia" w:ascii="宋体" w:hAnsi="宋体" w:eastAsia="宋体" w:cs="宋体"/>
          <w:b w:val="0"/>
          <w:i w:val="0"/>
          <w:caps w:val="0"/>
          <w:color w:val="auto"/>
          <w:spacing w:val="0"/>
          <w:w w:val="100"/>
          <w:kern w:val="2"/>
          <w:position w:val="0"/>
          <w:sz w:val="24"/>
          <w:szCs w:val="24"/>
          <w:highlight w:val="none"/>
          <w:lang w:val="en-US" w:eastAsia="zh-CN" w:bidi="ar-SA"/>
        </w:rPr>
        <w:t>须提供其在工商部门注册的有效“营业执照”的复印件（如 “三证合一”须提供工商行政管理部门核发加载统一社会信用代码的营业执照；如未“三证合一”则须提供供应商的营业执照、税务登记证书及组织机构代码证）；</w:t>
      </w:r>
    </w:p>
    <w:p w14:paraId="6096ABF0">
      <w:pPr>
        <w:pStyle w:val="101"/>
        <w:pageBreakBefore w:val="0"/>
        <w:widowControl/>
        <w:kinsoku/>
        <w:wordWrap/>
        <w:overflowPunct/>
        <w:topLinePunct w:val="0"/>
        <w:autoSpaceDE/>
        <w:autoSpaceDN/>
        <w:bidi w:val="0"/>
        <w:adjustRightInd/>
        <w:snapToGrid w:val="0"/>
        <w:spacing w:beforeAutospacing="0" w:afterAutospacing="0" w:line="440" w:lineRule="exact"/>
        <w:jc w:val="left"/>
        <w:textAlignment w:val="baseline"/>
        <w:rPr>
          <w:rStyle w:val="56"/>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6"/>
          <w:rFonts w:hint="eastAsia" w:ascii="宋体" w:hAnsi="宋体" w:eastAsia="宋体" w:cs="宋体"/>
          <w:b/>
          <w:bCs/>
          <w:i w:val="0"/>
          <w:caps w:val="0"/>
          <w:color w:val="auto"/>
          <w:spacing w:val="0"/>
          <w:w w:val="100"/>
          <w:kern w:val="2"/>
          <w:position w:val="0"/>
          <w:sz w:val="24"/>
          <w:szCs w:val="24"/>
          <w:highlight w:val="none"/>
          <w:lang w:val="en-US" w:eastAsia="zh-CN" w:bidi="ar-SA"/>
        </w:rPr>
        <w:t>供应商是事业单位的</w:t>
      </w:r>
      <w:r>
        <w:rPr>
          <w:rStyle w:val="56"/>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，须提供其有效的“事业单位法人证书”复印件；</w:t>
      </w:r>
    </w:p>
    <w:p w14:paraId="577B8D68">
      <w:pPr>
        <w:pStyle w:val="101"/>
        <w:pageBreakBefore w:val="0"/>
        <w:widowControl/>
        <w:kinsoku/>
        <w:wordWrap/>
        <w:overflowPunct/>
        <w:topLinePunct w:val="0"/>
        <w:autoSpaceDE/>
        <w:autoSpaceDN/>
        <w:bidi w:val="0"/>
        <w:adjustRightInd/>
        <w:snapToGrid w:val="0"/>
        <w:spacing w:beforeAutospacing="0" w:afterAutospacing="0" w:line="440" w:lineRule="exact"/>
        <w:jc w:val="left"/>
        <w:textAlignment w:val="baseline"/>
        <w:rPr>
          <w:rStyle w:val="56"/>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6"/>
          <w:rFonts w:hint="eastAsia" w:ascii="宋体" w:hAnsi="宋体" w:eastAsia="宋体" w:cs="宋体"/>
          <w:b/>
          <w:bCs/>
          <w:i w:val="0"/>
          <w:caps w:val="0"/>
          <w:color w:val="auto"/>
          <w:spacing w:val="0"/>
          <w:w w:val="100"/>
          <w:kern w:val="2"/>
          <w:position w:val="0"/>
          <w:sz w:val="24"/>
          <w:szCs w:val="24"/>
          <w:highlight w:val="none"/>
          <w:lang w:val="en-US" w:eastAsia="zh-CN" w:bidi="ar-SA"/>
        </w:rPr>
        <w:t>供应商是非企业专业服务机构的，</w:t>
      </w:r>
      <w:r>
        <w:rPr>
          <w:rStyle w:val="56"/>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须提供其有效的执业许可证复印件；</w:t>
      </w:r>
    </w:p>
    <w:p w14:paraId="3F84508F">
      <w:pPr>
        <w:pStyle w:val="101"/>
        <w:pageBreakBefore w:val="0"/>
        <w:widowControl/>
        <w:kinsoku/>
        <w:wordWrap/>
        <w:overflowPunct/>
        <w:topLinePunct w:val="0"/>
        <w:autoSpaceDE/>
        <w:autoSpaceDN/>
        <w:bidi w:val="0"/>
        <w:adjustRightInd/>
        <w:snapToGrid w:val="0"/>
        <w:spacing w:beforeAutospacing="0" w:afterAutospacing="0" w:line="440" w:lineRule="exact"/>
        <w:jc w:val="left"/>
        <w:textAlignment w:val="baseline"/>
        <w:rPr>
          <w:rStyle w:val="56"/>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6"/>
          <w:rFonts w:hint="eastAsia" w:ascii="宋体" w:hAnsi="宋体" w:eastAsia="宋体" w:cs="宋体"/>
          <w:b/>
          <w:bCs/>
          <w:i w:val="0"/>
          <w:caps w:val="0"/>
          <w:color w:val="auto"/>
          <w:spacing w:val="0"/>
          <w:w w:val="100"/>
          <w:kern w:val="2"/>
          <w:position w:val="0"/>
          <w:sz w:val="24"/>
          <w:szCs w:val="24"/>
          <w:highlight w:val="none"/>
          <w:lang w:val="en-US" w:eastAsia="zh-CN" w:bidi="ar-SA"/>
        </w:rPr>
        <w:t>供应商是个体工商户的，</w:t>
      </w:r>
      <w:r>
        <w:rPr>
          <w:rStyle w:val="56"/>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须提供其有效的“个体工商户营业执照” 复印件；</w:t>
      </w:r>
    </w:p>
    <w:p w14:paraId="143DEC08">
      <w:pPr>
        <w:pStyle w:val="101"/>
        <w:pageBreakBefore w:val="0"/>
        <w:widowControl/>
        <w:kinsoku/>
        <w:wordWrap/>
        <w:overflowPunct/>
        <w:topLinePunct w:val="0"/>
        <w:autoSpaceDE/>
        <w:autoSpaceDN/>
        <w:bidi w:val="0"/>
        <w:adjustRightInd/>
        <w:snapToGrid w:val="0"/>
        <w:spacing w:beforeAutospacing="0" w:afterAutospacing="0" w:line="440" w:lineRule="exact"/>
        <w:jc w:val="left"/>
        <w:textAlignment w:val="baseline"/>
        <w:rPr>
          <w:rStyle w:val="56"/>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6"/>
          <w:rFonts w:hint="eastAsia" w:ascii="宋体" w:hAnsi="宋体" w:eastAsia="宋体" w:cs="宋体"/>
          <w:b w:val="0"/>
          <w:i w:val="0"/>
          <w:caps w:val="0"/>
          <w:color w:val="auto"/>
          <w:spacing w:val="0"/>
          <w:w w:val="100"/>
          <w:kern w:val="2"/>
          <w:position w:val="0"/>
          <w:sz w:val="24"/>
          <w:szCs w:val="24"/>
          <w:highlight w:val="none"/>
          <w:lang w:val="en-US" w:eastAsia="zh-CN" w:bidi="ar-SA"/>
        </w:rPr>
        <w:t>以上复印件须加盖供应商公章。</w:t>
      </w:r>
    </w:p>
    <w:p w14:paraId="1DCCD98D">
      <w:pPr>
        <w:pStyle w:val="101"/>
        <w:pageBreakBefore w:val="0"/>
        <w:widowControl/>
        <w:kinsoku/>
        <w:wordWrap/>
        <w:overflowPunct/>
        <w:topLinePunct w:val="0"/>
        <w:autoSpaceDE/>
        <w:autoSpaceDN/>
        <w:bidi w:val="0"/>
        <w:adjustRightInd/>
        <w:snapToGrid w:val="0"/>
        <w:spacing w:beforeAutospacing="0" w:afterAutospacing="0" w:line="440" w:lineRule="exact"/>
        <w:jc w:val="left"/>
        <w:textAlignment w:val="baseline"/>
        <w:rPr>
          <w:rStyle w:val="56"/>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6"/>
          <w:rFonts w:hint="eastAsia" w:ascii="宋体" w:hAnsi="宋体" w:eastAsia="宋体" w:cs="宋体"/>
          <w:b/>
          <w:bCs/>
          <w:i w:val="0"/>
          <w:caps w:val="0"/>
          <w:color w:val="auto"/>
          <w:spacing w:val="0"/>
          <w:w w:val="100"/>
          <w:kern w:val="2"/>
          <w:position w:val="0"/>
          <w:sz w:val="24"/>
          <w:szCs w:val="24"/>
          <w:highlight w:val="none"/>
          <w:lang w:val="en-US" w:eastAsia="zh-CN" w:bidi="ar-SA"/>
        </w:rPr>
        <w:t>供应商是自然人的，</w:t>
      </w:r>
      <w:r>
        <w:rPr>
          <w:rStyle w:val="56"/>
          <w:rFonts w:hint="eastAsia" w:ascii="宋体" w:hAnsi="宋体" w:eastAsia="宋体" w:cs="宋体"/>
          <w:b w:val="0"/>
          <w:i w:val="0"/>
          <w:caps w:val="0"/>
          <w:color w:val="auto"/>
          <w:spacing w:val="0"/>
          <w:w w:val="100"/>
          <w:kern w:val="2"/>
          <w:position w:val="0"/>
          <w:sz w:val="24"/>
          <w:szCs w:val="24"/>
          <w:highlight w:val="none"/>
          <w:lang w:val="en-US" w:eastAsia="zh-CN" w:bidi="ar-SA"/>
        </w:rPr>
        <w:t>应提供其有效的自然人身份证明；</w:t>
      </w:r>
    </w:p>
    <w:p w14:paraId="793139A4">
      <w:pPr>
        <w:pStyle w:val="100"/>
        <w:pageBreakBefore w:val="0"/>
        <w:widowControl/>
        <w:kinsoku/>
        <w:wordWrap/>
        <w:overflowPunct/>
        <w:topLinePunct w:val="0"/>
        <w:autoSpaceDE/>
        <w:autoSpaceDN/>
        <w:bidi w:val="0"/>
        <w:adjustRightInd/>
        <w:snapToGrid/>
        <w:spacing w:beforeAutospacing="0" w:afterAutospacing="0" w:line="440" w:lineRule="exact"/>
        <w:jc w:val="both"/>
        <w:textAlignment w:val="baseline"/>
        <w:rPr>
          <w:rStyle w:val="56"/>
          <w:rFonts w:hint="eastAsia" w:ascii="宋体" w:hAnsi="宋体" w:eastAsia="宋体" w:cs="宋体"/>
          <w:b/>
          <w:bCs/>
          <w:i w:val="0"/>
          <w:caps w:val="0"/>
          <w:color w:val="auto"/>
          <w:spacing w:val="0"/>
          <w:w w:val="100"/>
          <w:kern w:val="2"/>
          <w:position w:val="0"/>
          <w:sz w:val="24"/>
          <w:szCs w:val="24"/>
          <w:highlight w:val="none"/>
          <w:lang w:val="en-US" w:eastAsia="zh-CN" w:bidi="ar-SA"/>
        </w:rPr>
      </w:pPr>
    </w:p>
    <w:p w14:paraId="7D3D0EB1">
      <w:pPr>
        <w:pStyle w:val="100"/>
        <w:pageBreakBefore w:val="0"/>
        <w:widowControl/>
        <w:kinsoku/>
        <w:wordWrap/>
        <w:overflowPunct/>
        <w:topLinePunct w:val="0"/>
        <w:autoSpaceDE/>
        <w:autoSpaceDN/>
        <w:bidi w:val="0"/>
        <w:adjustRightInd/>
        <w:snapToGrid/>
        <w:spacing w:beforeAutospacing="0" w:afterAutospacing="0" w:line="440" w:lineRule="exact"/>
        <w:jc w:val="both"/>
        <w:textAlignment w:val="baseline"/>
        <w:rPr>
          <w:rStyle w:val="56"/>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56"/>
          <w:rFonts w:hint="eastAsia" w:ascii="宋体" w:hAnsi="宋体" w:eastAsia="宋体" w:cs="宋体"/>
          <w:b/>
          <w:bCs/>
          <w:i w:val="0"/>
          <w:caps w:val="0"/>
          <w:color w:val="auto"/>
          <w:spacing w:val="0"/>
          <w:w w:val="100"/>
          <w:kern w:val="2"/>
          <w:position w:val="0"/>
          <w:sz w:val="24"/>
          <w:szCs w:val="24"/>
          <w:highlight w:val="none"/>
          <w:lang w:val="en-US" w:eastAsia="zh-CN" w:bidi="ar-SA"/>
        </w:rPr>
        <w:t>1.1.2、具有良好的商业信誉和健全的财务会计制度；须提供相关证明材料，其中：</w:t>
      </w:r>
    </w:p>
    <w:p w14:paraId="573004C4">
      <w:pPr>
        <w:pStyle w:val="101"/>
        <w:pageBreakBefore w:val="0"/>
        <w:widowControl/>
        <w:kinsoku/>
        <w:wordWrap/>
        <w:overflowPunct/>
        <w:topLinePunct w:val="0"/>
        <w:autoSpaceDE/>
        <w:autoSpaceDN/>
        <w:bidi w:val="0"/>
        <w:adjustRightInd/>
        <w:snapToGrid w:val="0"/>
        <w:spacing w:beforeAutospacing="0" w:afterAutospacing="0" w:line="440" w:lineRule="exact"/>
        <w:jc w:val="left"/>
        <w:textAlignment w:val="baseline"/>
        <w:rPr>
          <w:rStyle w:val="56"/>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6"/>
          <w:rFonts w:hint="eastAsia" w:ascii="宋体" w:hAnsi="宋体" w:eastAsia="宋体" w:cs="宋体"/>
          <w:b/>
          <w:bCs/>
          <w:i w:val="0"/>
          <w:caps w:val="0"/>
          <w:color w:val="auto"/>
          <w:spacing w:val="0"/>
          <w:w w:val="100"/>
          <w:kern w:val="2"/>
          <w:position w:val="0"/>
          <w:sz w:val="24"/>
          <w:szCs w:val="24"/>
          <w:highlight w:val="none"/>
          <w:lang w:val="en-US" w:eastAsia="zh-CN" w:bidi="ar-SA"/>
        </w:rPr>
        <w:t>供应商是法人的，</w:t>
      </w:r>
      <w:r>
        <w:rPr>
          <w:rStyle w:val="56"/>
          <w:rFonts w:hint="eastAsia" w:ascii="宋体" w:hAnsi="宋体" w:eastAsia="宋体" w:cs="宋体"/>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须提供近两年度（任意一年）经审计的财务审计报告复印件（报告中须包括资产负债表、利润表、现金流量表等），或其基本银行在开标日期前三个月内开具的资信证明</w:t>
      </w:r>
      <w:r>
        <w:rPr>
          <w:rStyle w:val="56"/>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0700A539">
      <w:pPr>
        <w:pStyle w:val="101"/>
        <w:pageBreakBefore w:val="0"/>
        <w:widowControl/>
        <w:kinsoku/>
        <w:wordWrap/>
        <w:overflowPunct/>
        <w:topLinePunct w:val="0"/>
        <w:autoSpaceDE/>
        <w:autoSpaceDN/>
        <w:bidi w:val="0"/>
        <w:adjustRightInd/>
        <w:snapToGrid w:val="0"/>
        <w:spacing w:beforeAutospacing="0" w:afterAutospacing="0" w:line="440" w:lineRule="exact"/>
        <w:jc w:val="left"/>
        <w:textAlignment w:val="baseline"/>
        <w:rPr>
          <w:rStyle w:val="56"/>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6"/>
          <w:rFonts w:hint="eastAsia" w:ascii="宋体" w:hAnsi="宋体" w:eastAsia="宋体" w:cs="宋体"/>
          <w:b/>
          <w:bCs/>
          <w:i w:val="0"/>
          <w:caps w:val="0"/>
          <w:color w:val="auto"/>
          <w:spacing w:val="0"/>
          <w:w w:val="100"/>
          <w:kern w:val="2"/>
          <w:position w:val="0"/>
          <w:sz w:val="24"/>
          <w:szCs w:val="24"/>
          <w:highlight w:val="none"/>
          <w:lang w:val="en-US" w:eastAsia="zh-CN" w:bidi="ar-SA"/>
        </w:rPr>
        <w:t>供应商是其他组织或自然人的，</w:t>
      </w:r>
      <w:r>
        <w:rPr>
          <w:rStyle w:val="56"/>
          <w:rFonts w:hint="eastAsia" w:ascii="宋体" w:hAnsi="宋体" w:eastAsia="宋体" w:cs="宋体"/>
          <w:b w:val="0"/>
          <w:i w:val="0"/>
          <w:caps w:val="0"/>
          <w:color w:val="auto"/>
          <w:spacing w:val="0"/>
          <w:w w:val="100"/>
          <w:kern w:val="2"/>
          <w:position w:val="0"/>
          <w:sz w:val="24"/>
          <w:szCs w:val="24"/>
          <w:highlight w:val="none"/>
          <w:lang w:val="en-US" w:eastAsia="zh-CN" w:bidi="ar-SA"/>
        </w:rPr>
        <w:t>须提供银行出具的资信证明原件；</w:t>
      </w:r>
    </w:p>
    <w:p w14:paraId="71F4DC4F">
      <w:pPr>
        <w:pStyle w:val="100"/>
        <w:pageBreakBefore w:val="0"/>
        <w:widowControl/>
        <w:kinsoku/>
        <w:wordWrap/>
        <w:overflowPunct/>
        <w:topLinePunct w:val="0"/>
        <w:autoSpaceDE/>
        <w:autoSpaceDN/>
        <w:bidi w:val="0"/>
        <w:adjustRightInd/>
        <w:snapToGrid/>
        <w:spacing w:beforeAutospacing="0" w:afterAutospacing="0" w:line="440" w:lineRule="exact"/>
        <w:jc w:val="both"/>
        <w:textAlignment w:val="baseline"/>
        <w:rPr>
          <w:rStyle w:val="56"/>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6"/>
          <w:rFonts w:hint="eastAsia" w:ascii="宋体" w:hAnsi="宋体" w:eastAsia="宋体" w:cs="宋体"/>
          <w:b w:val="0"/>
          <w:i w:val="0"/>
          <w:caps w:val="0"/>
          <w:color w:val="auto"/>
          <w:spacing w:val="0"/>
          <w:w w:val="100"/>
          <w:kern w:val="2"/>
          <w:position w:val="0"/>
          <w:sz w:val="24"/>
          <w:szCs w:val="24"/>
          <w:highlight w:val="none"/>
          <w:lang w:val="en-US" w:eastAsia="zh-CN" w:bidi="ar-SA"/>
        </w:rPr>
        <w:t>银行资信证明无收受人和项目的限制，银行资信证明可以是复印件，评标委员会保留审核原件的权利。资信证明的开具银行明确规定复印无效的，须提交原件；</w:t>
      </w:r>
    </w:p>
    <w:p w14:paraId="0C87AD5F">
      <w:pPr>
        <w:pStyle w:val="101"/>
        <w:pageBreakBefore w:val="0"/>
        <w:widowControl/>
        <w:kinsoku/>
        <w:wordWrap/>
        <w:overflowPunct/>
        <w:topLinePunct w:val="0"/>
        <w:autoSpaceDE/>
        <w:autoSpaceDN/>
        <w:bidi w:val="0"/>
        <w:adjustRightInd/>
        <w:snapToGrid w:val="0"/>
        <w:spacing w:beforeAutospacing="0" w:afterAutospacing="0" w:line="440" w:lineRule="exact"/>
        <w:jc w:val="left"/>
        <w:textAlignment w:val="baseline"/>
        <w:rPr>
          <w:rStyle w:val="56"/>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6"/>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w:t>
      </w:r>
    </w:p>
    <w:p w14:paraId="02CA2223">
      <w:pPr>
        <w:pStyle w:val="101"/>
        <w:pageBreakBefore w:val="0"/>
        <w:widowControl/>
        <w:kinsoku/>
        <w:wordWrap/>
        <w:overflowPunct/>
        <w:topLinePunct w:val="0"/>
        <w:autoSpaceDE/>
        <w:autoSpaceDN/>
        <w:bidi w:val="0"/>
        <w:adjustRightInd/>
        <w:snapToGrid w:val="0"/>
        <w:spacing w:beforeAutospacing="0" w:afterAutospacing="0" w:line="440" w:lineRule="exact"/>
        <w:jc w:val="left"/>
        <w:textAlignment w:val="baseline"/>
        <w:rPr>
          <w:rStyle w:val="56"/>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56"/>
          <w:rFonts w:hint="eastAsia" w:ascii="宋体" w:hAnsi="宋体" w:eastAsia="宋体" w:cs="宋体"/>
          <w:b/>
          <w:bCs/>
          <w:i w:val="0"/>
          <w:caps w:val="0"/>
          <w:color w:val="auto"/>
          <w:spacing w:val="0"/>
          <w:w w:val="100"/>
          <w:kern w:val="2"/>
          <w:position w:val="0"/>
          <w:sz w:val="24"/>
          <w:szCs w:val="24"/>
          <w:highlight w:val="none"/>
          <w:lang w:val="en-US" w:eastAsia="zh-CN" w:bidi="ar-SA"/>
        </w:rPr>
        <w:t>1.1.3、具有履行合同所必需的设备和专业技术能力；须附相关证明材料或书面声明</w:t>
      </w:r>
    </w:p>
    <w:p w14:paraId="64D6EF9F">
      <w:pPr>
        <w:pStyle w:val="99"/>
        <w:pageBreakBefore w:val="0"/>
        <w:widowControl/>
        <w:kinsoku/>
        <w:wordWrap/>
        <w:overflowPunct/>
        <w:topLinePunct w:val="0"/>
        <w:autoSpaceDE/>
        <w:autoSpaceDN/>
        <w:bidi w:val="0"/>
        <w:adjustRightInd/>
        <w:snapToGrid/>
        <w:spacing w:beforeAutospacing="0" w:afterAutospacing="0" w:line="440" w:lineRule="exact"/>
        <w:jc w:val="left"/>
        <w:textAlignment w:val="baseline"/>
        <w:rPr>
          <w:rStyle w:val="56"/>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56"/>
          <w:rFonts w:hint="eastAsia" w:ascii="宋体" w:hAnsi="宋体" w:eastAsia="宋体" w:cs="宋体"/>
          <w:b w:val="0"/>
          <w:bCs w:val="0"/>
          <w:i w:val="0"/>
          <w:caps w:val="0"/>
          <w:color w:val="auto"/>
          <w:spacing w:val="0"/>
          <w:w w:val="100"/>
          <w:kern w:val="0"/>
          <w:position w:val="0"/>
          <w:sz w:val="24"/>
          <w:szCs w:val="24"/>
          <w:highlight w:val="none"/>
          <w:lang w:val="en-US" w:eastAsia="zh-CN" w:bidi="ar-SA"/>
        </w:rPr>
        <w:t>书面声明格式：</w:t>
      </w:r>
    </w:p>
    <w:p w14:paraId="0034E92D">
      <w:pPr>
        <w:pStyle w:val="102"/>
        <w:pageBreakBefore w:val="0"/>
        <w:kinsoku/>
        <w:wordWrap/>
        <w:overflowPunct/>
        <w:topLinePunct w:val="0"/>
        <w:autoSpaceDE/>
        <w:autoSpaceDN/>
        <w:bidi w:val="0"/>
        <w:adjustRightInd/>
        <w:snapToGrid/>
        <w:spacing w:beforeAutospacing="0" w:afterAutospacing="0" w:line="440" w:lineRule="exact"/>
        <w:jc w:val="both"/>
        <w:textAlignment w:val="baseline"/>
        <w:rPr>
          <w:rStyle w:val="56"/>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6"/>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w:t>
      </w:r>
    </w:p>
    <w:p w14:paraId="5265B8AD">
      <w:pPr>
        <w:pStyle w:val="99"/>
        <w:pageBreakBefore w:val="0"/>
        <w:widowControl/>
        <w:kinsoku/>
        <w:wordWrap/>
        <w:overflowPunct/>
        <w:topLinePunct w:val="0"/>
        <w:autoSpaceDE/>
        <w:autoSpaceDN/>
        <w:bidi w:val="0"/>
        <w:adjustRightInd/>
        <w:snapToGrid/>
        <w:spacing w:beforeAutospacing="0" w:afterAutospacing="0" w:line="440" w:lineRule="exact"/>
        <w:jc w:val="left"/>
        <w:textAlignment w:val="baseline"/>
        <w:rPr>
          <w:rStyle w:val="56"/>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56"/>
          <w:rFonts w:hint="eastAsia" w:ascii="宋体" w:hAnsi="宋体" w:eastAsia="宋体" w:cs="宋体"/>
          <w:b w:val="0"/>
          <w:bCs w:val="0"/>
          <w:i w:val="0"/>
          <w:caps w:val="0"/>
          <w:color w:val="auto"/>
          <w:spacing w:val="0"/>
          <w:w w:val="100"/>
          <w:kern w:val="0"/>
          <w:position w:val="0"/>
          <w:sz w:val="24"/>
          <w:szCs w:val="24"/>
          <w:highlight w:val="none"/>
          <w:lang w:val="en-US" w:eastAsia="zh-CN" w:bidi="ar-SA"/>
        </w:rPr>
        <w:t>本供应商郑重声明：</w:t>
      </w:r>
    </w:p>
    <w:p w14:paraId="6CD80762">
      <w:pPr>
        <w:pStyle w:val="99"/>
        <w:pageBreakBefore w:val="0"/>
        <w:widowControl/>
        <w:kinsoku/>
        <w:wordWrap/>
        <w:overflowPunct/>
        <w:topLinePunct w:val="0"/>
        <w:autoSpaceDE/>
        <w:autoSpaceDN/>
        <w:bidi w:val="0"/>
        <w:adjustRightInd/>
        <w:snapToGrid/>
        <w:spacing w:beforeAutospacing="0" w:afterAutospacing="0" w:line="440" w:lineRule="exact"/>
        <w:ind w:firstLine="480" w:firstLineChars="200"/>
        <w:jc w:val="left"/>
        <w:textAlignment w:val="baseline"/>
        <w:rPr>
          <w:rStyle w:val="56"/>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56"/>
          <w:rFonts w:hint="eastAsia" w:ascii="宋体" w:hAnsi="宋体" w:eastAsia="宋体" w:cs="宋体"/>
          <w:b w:val="0"/>
          <w:bCs w:val="0"/>
          <w:i w:val="0"/>
          <w:caps w:val="0"/>
          <w:color w:val="auto"/>
          <w:spacing w:val="0"/>
          <w:w w:val="100"/>
          <w:kern w:val="0"/>
          <w:position w:val="0"/>
          <w:sz w:val="24"/>
          <w:szCs w:val="24"/>
          <w:highlight w:val="none"/>
          <w:lang w:val="en-US" w:eastAsia="zh-CN" w:bidi="ar-SA"/>
        </w:rPr>
        <w:t>本公司（或单位）具备本项目履行合同所必需的设备和专业技术能力，特此声明。</w:t>
      </w:r>
    </w:p>
    <w:p w14:paraId="312DCB03">
      <w:pPr>
        <w:pStyle w:val="100"/>
        <w:pageBreakBefore w:val="0"/>
        <w:widowControl/>
        <w:kinsoku/>
        <w:wordWrap/>
        <w:overflowPunct/>
        <w:topLinePunct w:val="0"/>
        <w:autoSpaceDE/>
        <w:autoSpaceDN/>
        <w:bidi w:val="0"/>
        <w:adjustRightInd/>
        <w:snapToGrid w:val="0"/>
        <w:spacing w:beforeAutospacing="0" w:afterAutospacing="0" w:line="440" w:lineRule="exact"/>
        <w:jc w:val="both"/>
        <w:textAlignment w:val="baseline"/>
        <w:rPr>
          <w:rStyle w:val="56"/>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56"/>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5BB24B8F">
      <w:pPr>
        <w:pStyle w:val="100"/>
        <w:pageBreakBefore w:val="0"/>
        <w:widowControl/>
        <w:kinsoku/>
        <w:wordWrap/>
        <w:overflowPunct/>
        <w:topLinePunct w:val="0"/>
        <w:autoSpaceDE/>
        <w:autoSpaceDN/>
        <w:bidi w:val="0"/>
        <w:adjustRightInd/>
        <w:snapToGrid w:val="0"/>
        <w:spacing w:beforeAutospacing="0" w:afterAutospacing="0" w:line="440" w:lineRule="exact"/>
        <w:jc w:val="both"/>
        <w:textAlignment w:val="baseline"/>
        <w:rPr>
          <w:rStyle w:val="56"/>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56"/>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16411869">
      <w:pPr>
        <w:pStyle w:val="101"/>
        <w:pageBreakBefore w:val="0"/>
        <w:widowControl/>
        <w:kinsoku/>
        <w:wordWrap/>
        <w:overflowPunct/>
        <w:topLinePunct w:val="0"/>
        <w:autoSpaceDE/>
        <w:autoSpaceDN/>
        <w:bidi w:val="0"/>
        <w:adjustRightInd/>
        <w:snapToGrid w:val="0"/>
        <w:spacing w:beforeAutospacing="0" w:afterAutospacing="0" w:line="440" w:lineRule="exact"/>
        <w:jc w:val="both"/>
        <w:textAlignment w:val="baseline"/>
        <w:rPr>
          <w:rStyle w:val="56"/>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6"/>
          <w:rFonts w:hint="eastAsia" w:ascii="宋体" w:hAnsi="宋体" w:eastAsia="宋体" w:cs="宋体"/>
          <w:b w:val="0"/>
          <w:i w:val="0"/>
          <w:caps w:val="0"/>
          <w:color w:val="auto"/>
          <w:spacing w:val="0"/>
          <w:w w:val="100"/>
          <w:kern w:val="2"/>
          <w:position w:val="0"/>
          <w:sz w:val="24"/>
          <w:szCs w:val="24"/>
          <w:highlight w:val="none"/>
          <w:lang w:val="en-US" w:eastAsia="zh-CN" w:bidi="ar-SA"/>
        </w:rPr>
        <w:t>日期：   年   月   日</w:t>
      </w:r>
    </w:p>
    <w:p w14:paraId="18DA26B3">
      <w:pPr>
        <w:pStyle w:val="99"/>
        <w:pageBreakBefore w:val="0"/>
        <w:widowControl/>
        <w:kinsoku/>
        <w:wordWrap/>
        <w:overflowPunct/>
        <w:topLinePunct w:val="0"/>
        <w:autoSpaceDE/>
        <w:autoSpaceDN/>
        <w:bidi w:val="0"/>
        <w:adjustRightInd/>
        <w:snapToGrid/>
        <w:spacing w:beforeAutospacing="0" w:afterAutospacing="0" w:line="440" w:lineRule="exact"/>
        <w:jc w:val="left"/>
        <w:textAlignment w:val="baseline"/>
        <w:rPr>
          <w:rStyle w:val="56"/>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56"/>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14:paraId="01BC8BC0">
      <w:pPr>
        <w:pStyle w:val="101"/>
        <w:pageBreakBefore w:val="0"/>
        <w:widowControl/>
        <w:kinsoku/>
        <w:wordWrap/>
        <w:overflowPunct/>
        <w:topLinePunct w:val="0"/>
        <w:autoSpaceDE/>
        <w:autoSpaceDN/>
        <w:bidi w:val="0"/>
        <w:adjustRightInd/>
        <w:snapToGrid w:val="0"/>
        <w:spacing w:beforeAutospacing="0" w:afterAutospacing="0" w:line="440" w:lineRule="exact"/>
        <w:jc w:val="left"/>
        <w:textAlignment w:val="baseline"/>
        <w:rPr>
          <w:rStyle w:val="56"/>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6"/>
          <w:rFonts w:hint="eastAsia" w:ascii="宋体" w:hAnsi="宋体" w:eastAsia="宋体" w:cs="宋体"/>
          <w:b/>
          <w:bCs/>
          <w:i w:val="0"/>
          <w:caps w:val="0"/>
          <w:color w:val="auto"/>
          <w:spacing w:val="0"/>
          <w:w w:val="100"/>
          <w:kern w:val="2"/>
          <w:position w:val="0"/>
          <w:sz w:val="24"/>
          <w:szCs w:val="24"/>
          <w:highlight w:val="none"/>
          <w:lang w:val="en-US" w:eastAsia="zh-CN" w:bidi="ar-SA"/>
        </w:rPr>
        <w:t>1.1.4、有依法缴纳税收和社会保障资金的良好记录；须提供</w:t>
      </w:r>
      <w:r>
        <w:rPr>
          <w:rStyle w:val="56"/>
          <w:rFonts w:hint="eastAsia" w:ascii="宋体" w:hAnsi="宋体" w:eastAsia="宋体" w:cs="宋体"/>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56"/>
          <w:rFonts w:hint="eastAsia" w:ascii="宋体" w:hAnsi="宋体" w:eastAsia="宋体" w:cs="宋体"/>
          <w:b w:val="0"/>
          <w:bCs/>
          <w:i w:val="0"/>
          <w:caps w:val="0"/>
          <w:color w:val="auto"/>
          <w:spacing w:val="0"/>
          <w:w w:val="100"/>
          <w:position w:val="0"/>
          <w:sz w:val="24"/>
          <w:szCs w:val="24"/>
          <w:highlight w:val="none"/>
          <w:lang w:bidi="ar-SA"/>
        </w:rPr>
        <w:t>（依法免税的应提供相应文件说明）</w:t>
      </w:r>
      <w:r>
        <w:rPr>
          <w:rStyle w:val="56"/>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3B0F943F">
      <w:pPr>
        <w:pStyle w:val="99"/>
        <w:pageBreakBefore w:val="0"/>
        <w:widowControl/>
        <w:kinsoku/>
        <w:wordWrap/>
        <w:overflowPunct/>
        <w:topLinePunct w:val="0"/>
        <w:autoSpaceDE/>
        <w:autoSpaceDN/>
        <w:bidi w:val="0"/>
        <w:adjustRightInd/>
        <w:snapToGrid/>
        <w:spacing w:beforeAutospacing="0" w:afterAutospacing="0" w:line="440" w:lineRule="exact"/>
        <w:jc w:val="left"/>
        <w:textAlignment w:val="baseline"/>
        <w:rPr>
          <w:rStyle w:val="56"/>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56"/>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14:paraId="5836520B">
      <w:pPr>
        <w:pStyle w:val="99"/>
        <w:pageBreakBefore w:val="0"/>
        <w:widowControl/>
        <w:kinsoku/>
        <w:wordWrap/>
        <w:overflowPunct/>
        <w:topLinePunct w:val="0"/>
        <w:autoSpaceDE/>
        <w:autoSpaceDN/>
        <w:bidi w:val="0"/>
        <w:adjustRightInd/>
        <w:snapToGrid/>
        <w:spacing w:beforeAutospacing="0" w:afterAutospacing="0" w:line="440" w:lineRule="exact"/>
        <w:jc w:val="left"/>
        <w:textAlignment w:val="baseline"/>
        <w:rPr>
          <w:rStyle w:val="56"/>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56"/>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14:paraId="10EC448E">
      <w:pPr>
        <w:pStyle w:val="99"/>
        <w:pageBreakBefore w:val="0"/>
        <w:widowControl/>
        <w:kinsoku/>
        <w:wordWrap/>
        <w:overflowPunct/>
        <w:topLinePunct w:val="0"/>
        <w:autoSpaceDE/>
        <w:autoSpaceDN/>
        <w:bidi w:val="0"/>
        <w:adjustRightInd/>
        <w:snapToGrid/>
        <w:spacing w:beforeAutospacing="0" w:afterAutospacing="0" w:line="440" w:lineRule="exact"/>
        <w:jc w:val="left"/>
        <w:textAlignment w:val="baseline"/>
        <w:rPr>
          <w:rStyle w:val="56"/>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56"/>
          <w:rFonts w:hint="eastAsia" w:ascii="宋体" w:hAnsi="宋体" w:eastAsia="宋体" w:cs="宋体"/>
          <w:b/>
          <w:bCs/>
          <w:i w:val="0"/>
          <w:caps w:val="0"/>
          <w:color w:val="auto"/>
          <w:spacing w:val="0"/>
          <w:w w:val="100"/>
          <w:kern w:val="2"/>
          <w:position w:val="0"/>
          <w:sz w:val="24"/>
          <w:szCs w:val="24"/>
          <w:highlight w:val="none"/>
          <w:lang w:val="en-US" w:eastAsia="zh-CN" w:bidi="ar-SA"/>
        </w:rPr>
        <w:t>1.1.</w:t>
      </w:r>
      <w:r>
        <w:rPr>
          <w:rStyle w:val="56"/>
          <w:rFonts w:hint="eastAsia" w:ascii="宋体" w:hAnsi="宋体" w:eastAsia="宋体" w:cs="宋体"/>
          <w:b/>
          <w:bCs/>
          <w:i w:val="0"/>
          <w:caps w:val="0"/>
          <w:color w:val="auto"/>
          <w:spacing w:val="0"/>
          <w:w w:val="100"/>
          <w:kern w:val="0"/>
          <w:position w:val="0"/>
          <w:sz w:val="24"/>
          <w:szCs w:val="24"/>
          <w:highlight w:val="none"/>
          <w:lang w:val="en-US" w:eastAsia="zh-CN" w:bidi="ar-SA"/>
        </w:rPr>
        <w:t>5、参加政府采购活动前三年内，在经营活动中没有重大违法记录；须提供书面声明</w:t>
      </w:r>
    </w:p>
    <w:p w14:paraId="5CDC7C47">
      <w:pPr>
        <w:pStyle w:val="99"/>
        <w:pageBreakBefore w:val="0"/>
        <w:widowControl/>
        <w:kinsoku/>
        <w:wordWrap/>
        <w:overflowPunct/>
        <w:topLinePunct w:val="0"/>
        <w:autoSpaceDE/>
        <w:autoSpaceDN/>
        <w:bidi w:val="0"/>
        <w:adjustRightInd/>
        <w:snapToGrid/>
        <w:spacing w:beforeAutospacing="0" w:afterAutospacing="0" w:line="440" w:lineRule="exact"/>
        <w:jc w:val="left"/>
        <w:textAlignment w:val="baseline"/>
        <w:rPr>
          <w:rStyle w:val="56"/>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56"/>
          <w:rFonts w:hint="eastAsia" w:ascii="宋体" w:hAnsi="宋体" w:eastAsia="宋体" w:cs="宋体"/>
          <w:b/>
          <w:bCs/>
          <w:i w:val="0"/>
          <w:caps w:val="0"/>
          <w:color w:val="auto"/>
          <w:spacing w:val="0"/>
          <w:w w:val="100"/>
          <w:kern w:val="0"/>
          <w:position w:val="0"/>
          <w:sz w:val="24"/>
          <w:szCs w:val="24"/>
          <w:highlight w:val="none"/>
          <w:lang w:val="en-US" w:eastAsia="zh-CN" w:bidi="ar-SA"/>
        </w:rPr>
        <w:t xml:space="preserve"> </w:t>
      </w:r>
    </w:p>
    <w:p w14:paraId="286880DB">
      <w:pPr>
        <w:pStyle w:val="100"/>
        <w:pageBreakBefore w:val="0"/>
        <w:widowControl/>
        <w:kinsoku/>
        <w:wordWrap/>
        <w:overflowPunct/>
        <w:topLinePunct w:val="0"/>
        <w:autoSpaceDE/>
        <w:autoSpaceDN/>
        <w:bidi w:val="0"/>
        <w:adjustRightInd/>
        <w:snapToGrid/>
        <w:spacing w:beforeAutospacing="0" w:afterAutospacing="0" w:line="440" w:lineRule="exact"/>
        <w:jc w:val="both"/>
        <w:textAlignment w:val="baseline"/>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我单位郑重声明： </w:t>
      </w:r>
    </w:p>
    <w:p w14:paraId="5BD5F80B">
      <w:pPr>
        <w:pStyle w:val="100"/>
        <w:pageBreakBefore w:val="0"/>
        <w:widowControl/>
        <w:kinsoku/>
        <w:wordWrap/>
        <w:overflowPunct/>
        <w:topLinePunct w:val="0"/>
        <w:autoSpaceDE/>
        <w:autoSpaceDN/>
        <w:bidi w:val="0"/>
        <w:adjustRightInd/>
        <w:snapToGrid/>
        <w:spacing w:beforeAutospacing="0" w:afterAutospacing="0" w:line="440" w:lineRule="exact"/>
        <w:ind w:firstLine="480" w:firstLineChars="200"/>
        <w:jc w:val="both"/>
        <w:textAlignment w:val="baseline"/>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29D46C90">
      <w:pPr>
        <w:pStyle w:val="100"/>
        <w:pageBreakBefore w:val="0"/>
        <w:widowControl/>
        <w:kinsoku/>
        <w:wordWrap/>
        <w:overflowPunct/>
        <w:topLinePunct w:val="0"/>
        <w:autoSpaceDE/>
        <w:autoSpaceDN/>
        <w:bidi w:val="0"/>
        <w:adjustRightInd/>
        <w:snapToGrid/>
        <w:spacing w:beforeAutospacing="0" w:afterAutospacing="0" w:line="440" w:lineRule="exact"/>
        <w:ind w:firstLine="480" w:firstLineChars="200"/>
        <w:jc w:val="both"/>
        <w:textAlignment w:val="baseline"/>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如我公司声明与实际不符，我公司将承担因此引起的一切后果。 </w:t>
      </w:r>
    </w:p>
    <w:p w14:paraId="01C2AEFE">
      <w:pPr>
        <w:pStyle w:val="101"/>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both"/>
        <w:textAlignment w:val="baseline"/>
        <w:rPr>
          <w:rStyle w:val="56"/>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6"/>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w:t>
      </w:r>
    </w:p>
    <w:p w14:paraId="1EEADDAE">
      <w:pPr>
        <w:pStyle w:val="100"/>
        <w:pageBreakBefore w:val="0"/>
        <w:widowControl/>
        <w:kinsoku/>
        <w:wordWrap/>
        <w:overflowPunct/>
        <w:topLinePunct w:val="0"/>
        <w:autoSpaceDE/>
        <w:autoSpaceDN/>
        <w:bidi w:val="0"/>
        <w:adjustRightInd/>
        <w:snapToGrid w:val="0"/>
        <w:spacing w:beforeAutospacing="0" w:afterAutospacing="0" w:line="440" w:lineRule="exact"/>
        <w:jc w:val="both"/>
        <w:textAlignment w:val="baseline"/>
        <w:rPr>
          <w:rStyle w:val="56"/>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56"/>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762347CC">
      <w:pPr>
        <w:pStyle w:val="100"/>
        <w:pageBreakBefore w:val="0"/>
        <w:widowControl/>
        <w:kinsoku/>
        <w:wordWrap/>
        <w:overflowPunct/>
        <w:topLinePunct w:val="0"/>
        <w:autoSpaceDE/>
        <w:autoSpaceDN/>
        <w:bidi w:val="0"/>
        <w:adjustRightInd/>
        <w:snapToGrid w:val="0"/>
        <w:spacing w:beforeAutospacing="0" w:afterAutospacing="0" w:line="440" w:lineRule="exact"/>
        <w:jc w:val="both"/>
        <w:textAlignment w:val="baseline"/>
        <w:rPr>
          <w:rStyle w:val="56"/>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56"/>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1AC16981">
      <w:pPr>
        <w:pStyle w:val="101"/>
        <w:pageBreakBefore w:val="0"/>
        <w:widowControl/>
        <w:kinsoku/>
        <w:wordWrap/>
        <w:overflowPunct/>
        <w:topLinePunct w:val="0"/>
        <w:autoSpaceDE/>
        <w:autoSpaceDN/>
        <w:bidi w:val="0"/>
        <w:adjustRightInd/>
        <w:snapToGrid w:val="0"/>
        <w:spacing w:beforeAutospacing="0" w:afterAutospacing="0" w:line="440" w:lineRule="exact"/>
        <w:jc w:val="both"/>
        <w:textAlignment w:val="baseline"/>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6"/>
          <w:rFonts w:hint="eastAsia" w:ascii="宋体" w:hAnsi="宋体" w:eastAsia="宋体" w:cs="宋体"/>
          <w:b w:val="0"/>
          <w:i w:val="0"/>
          <w:caps w:val="0"/>
          <w:color w:val="auto"/>
          <w:spacing w:val="0"/>
          <w:w w:val="100"/>
          <w:kern w:val="0"/>
          <w:position w:val="0"/>
          <w:sz w:val="24"/>
          <w:szCs w:val="24"/>
          <w:highlight w:val="none"/>
          <w:lang w:val="en-US" w:eastAsia="zh-CN" w:bidi="ar-SA"/>
        </w:rPr>
        <w:t>日期：   年   月   日</w:t>
      </w:r>
    </w:p>
    <w:p w14:paraId="3C8B63EC">
      <w:pPr>
        <w:pStyle w:val="103"/>
        <w:pageBreakBefore w:val="0"/>
        <w:widowControl/>
        <w:kinsoku/>
        <w:wordWrap/>
        <w:overflowPunct/>
        <w:topLinePunct w:val="0"/>
        <w:autoSpaceDE/>
        <w:autoSpaceDN/>
        <w:bidi w:val="0"/>
        <w:adjustRightInd/>
        <w:snapToGrid/>
        <w:spacing w:beforeAutospacing="0" w:afterAutospacing="0" w:line="440" w:lineRule="exact"/>
        <w:jc w:val="both"/>
        <w:textAlignment w:val="baseline"/>
        <w:rPr>
          <w:rStyle w:val="56"/>
          <w:rFonts w:hint="eastAsia" w:ascii="宋体" w:hAnsi="宋体" w:eastAsia="宋体" w:cs="宋体"/>
          <w:b/>
          <w:bCs/>
          <w:i w:val="0"/>
          <w:caps w:val="0"/>
          <w:color w:val="auto"/>
          <w:spacing w:val="0"/>
          <w:w w:val="100"/>
          <w:kern w:val="0"/>
          <w:position w:val="0"/>
          <w:sz w:val="24"/>
          <w:szCs w:val="24"/>
          <w:highlight w:val="none"/>
          <w:lang w:val="en-US" w:eastAsia="zh-CN" w:bidi="ar-SA"/>
        </w:rPr>
      </w:pPr>
    </w:p>
    <w:p w14:paraId="04089321">
      <w:pPr>
        <w:pStyle w:val="103"/>
        <w:pageBreakBefore w:val="0"/>
        <w:widowControl/>
        <w:kinsoku/>
        <w:wordWrap/>
        <w:overflowPunct/>
        <w:topLinePunct w:val="0"/>
        <w:autoSpaceDE/>
        <w:autoSpaceDN/>
        <w:bidi w:val="0"/>
        <w:adjustRightInd/>
        <w:snapToGrid/>
        <w:spacing w:beforeAutospacing="0" w:afterAutospacing="0" w:line="440" w:lineRule="exact"/>
        <w:jc w:val="both"/>
        <w:textAlignment w:val="baseline"/>
        <w:rPr>
          <w:rStyle w:val="56"/>
          <w:rFonts w:hint="eastAsia" w:ascii="宋体" w:hAnsi="宋体" w:eastAsia="宋体" w:cs="宋体"/>
          <w:b/>
          <w:bCs/>
          <w:i w:val="0"/>
          <w:caps w:val="0"/>
          <w:color w:val="auto"/>
          <w:spacing w:val="0"/>
          <w:w w:val="100"/>
          <w:kern w:val="0"/>
          <w:position w:val="0"/>
          <w:sz w:val="24"/>
          <w:szCs w:val="24"/>
          <w:highlight w:val="none"/>
          <w:lang w:val="en-US" w:eastAsia="zh-CN" w:bidi="ar-SA"/>
        </w:rPr>
      </w:pPr>
    </w:p>
    <w:p w14:paraId="5606F6A3">
      <w:pPr>
        <w:pStyle w:val="103"/>
        <w:pageBreakBefore w:val="0"/>
        <w:widowControl/>
        <w:kinsoku/>
        <w:wordWrap/>
        <w:overflowPunct/>
        <w:topLinePunct w:val="0"/>
        <w:autoSpaceDE/>
        <w:autoSpaceDN/>
        <w:bidi w:val="0"/>
        <w:adjustRightInd/>
        <w:snapToGrid/>
        <w:spacing w:beforeAutospacing="0" w:afterAutospacing="0" w:line="440" w:lineRule="exact"/>
        <w:jc w:val="both"/>
        <w:textAlignment w:val="baseline"/>
        <w:rPr>
          <w:rStyle w:val="56"/>
          <w:rFonts w:hint="eastAsia" w:ascii="宋体" w:hAnsi="宋体" w:eastAsia="宋体" w:cs="宋体"/>
          <w:b/>
          <w:bCs/>
          <w:i w:val="0"/>
          <w:caps w:val="0"/>
          <w:color w:val="auto"/>
          <w:spacing w:val="0"/>
          <w:w w:val="100"/>
          <w:kern w:val="0"/>
          <w:position w:val="0"/>
          <w:sz w:val="24"/>
          <w:szCs w:val="24"/>
          <w:highlight w:val="none"/>
          <w:lang w:val="en-US" w:eastAsia="zh-CN" w:bidi="ar-SA"/>
        </w:rPr>
      </w:pPr>
    </w:p>
    <w:p w14:paraId="0AE9F923">
      <w:pPr>
        <w:pStyle w:val="103"/>
        <w:pageBreakBefore w:val="0"/>
        <w:widowControl/>
        <w:kinsoku/>
        <w:wordWrap/>
        <w:overflowPunct/>
        <w:topLinePunct w:val="0"/>
        <w:autoSpaceDE/>
        <w:autoSpaceDN/>
        <w:bidi w:val="0"/>
        <w:adjustRightInd/>
        <w:snapToGrid/>
        <w:spacing w:beforeAutospacing="0" w:afterAutospacing="0" w:line="440" w:lineRule="exact"/>
        <w:jc w:val="both"/>
        <w:textAlignment w:val="baseline"/>
        <w:rPr>
          <w:rStyle w:val="56"/>
          <w:rFonts w:hint="eastAsia" w:ascii="宋体" w:hAnsi="宋体" w:eastAsia="宋体" w:cs="宋体"/>
          <w:b/>
          <w:bCs/>
          <w:i w:val="0"/>
          <w:caps w:val="0"/>
          <w:color w:val="auto"/>
          <w:spacing w:val="0"/>
          <w:w w:val="100"/>
          <w:kern w:val="0"/>
          <w:position w:val="0"/>
          <w:sz w:val="24"/>
          <w:szCs w:val="24"/>
          <w:highlight w:val="none"/>
          <w:lang w:val="en-US" w:eastAsia="zh-CN" w:bidi="ar-SA"/>
        </w:rPr>
      </w:pPr>
    </w:p>
    <w:p w14:paraId="6A927B55">
      <w:pPr>
        <w:pStyle w:val="103"/>
        <w:pageBreakBefore w:val="0"/>
        <w:widowControl/>
        <w:kinsoku/>
        <w:wordWrap/>
        <w:overflowPunct/>
        <w:topLinePunct w:val="0"/>
        <w:autoSpaceDE/>
        <w:autoSpaceDN/>
        <w:bidi w:val="0"/>
        <w:adjustRightInd/>
        <w:snapToGrid/>
        <w:spacing w:beforeAutospacing="0" w:afterAutospacing="0" w:line="440" w:lineRule="exact"/>
        <w:jc w:val="both"/>
        <w:textAlignment w:val="baseline"/>
        <w:rPr>
          <w:rStyle w:val="56"/>
          <w:rFonts w:hint="eastAsia" w:ascii="宋体" w:hAnsi="宋体" w:eastAsia="宋体" w:cs="宋体"/>
          <w:b/>
          <w:bCs/>
          <w:i w:val="0"/>
          <w:caps w:val="0"/>
          <w:color w:val="auto"/>
          <w:spacing w:val="0"/>
          <w:w w:val="100"/>
          <w:kern w:val="0"/>
          <w:position w:val="0"/>
          <w:sz w:val="24"/>
          <w:szCs w:val="24"/>
          <w:highlight w:val="none"/>
          <w:lang w:val="en-US" w:eastAsia="zh-CN" w:bidi="ar-SA"/>
        </w:rPr>
      </w:pPr>
    </w:p>
    <w:p w14:paraId="7391501D">
      <w:pPr>
        <w:pStyle w:val="103"/>
        <w:pageBreakBefore w:val="0"/>
        <w:widowControl/>
        <w:kinsoku/>
        <w:wordWrap/>
        <w:overflowPunct/>
        <w:topLinePunct w:val="0"/>
        <w:autoSpaceDE/>
        <w:autoSpaceDN/>
        <w:bidi w:val="0"/>
        <w:adjustRightInd/>
        <w:snapToGrid/>
        <w:spacing w:beforeAutospacing="0" w:afterAutospacing="0" w:line="440" w:lineRule="exact"/>
        <w:jc w:val="both"/>
        <w:textAlignment w:val="baseline"/>
        <w:rPr>
          <w:rStyle w:val="56"/>
          <w:rFonts w:hint="eastAsia" w:ascii="宋体" w:hAnsi="宋体" w:eastAsia="宋体" w:cs="宋体"/>
          <w:b/>
          <w:bCs/>
          <w:i w:val="0"/>
          <w:caps w:val="0"/>
          <w:color w:val="auto"/>
          <w:spacing w:val="0"/>
          <w:w w:val="100"/>
          <w:kern w:val="0"/>
          <w:position w:val="0"/>
          <w:sz w:val="24"/>
          <w:szCs w:val="24"/>
          <w:highlight w:val="none"/>
          <w:lang w:val="en-US" w:eastAsia="zh-CN" w:bidi="ar-SA"/>
        </w:rPr>
      </w:pPr>
    </w:p>
    <w:p w14:paraId="573FC692">
      <w:pPr>
        <w:pStyle w:val="103"/>
        <w:pageBreakBefore w:val="0"/>
        <w:widowControl/>
        <w:kinsoku/>
        <w:wordWrap/>
        <w:overflowPunct/>
        <w:topLinePunct w:val="0"/>
        <w:autoSpaceDE/>
        <w:autoSpaceDN/>
        <w:bidi w:val="0"/>
        <w:adjustRightInd/>
        <w:snapToGrid/>
        <w:spacing w:beforeAutospacing="0" w:afterAutospacing="0" w:line="440" w:lineRule="exact"/>
        <w:jc w:val="both"/>
        <w:textAlignment w:val="baseline"/>
        <w:rPr>
          <w:rStyle w:val="56"/>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56"/>
          <w:rFonts w:hint="eastAsia" w:ascii="宋体" w:hAnsi="宋体" w:eastAsia="宋体" w:cs="宋体"/>
          <w:b/>
          <w:bCs/>
          <w:i w:val="0"/>
          <w:caps w:val="0"/>
          <w:color w:val="auto"/>
          <w:spacing w:val="0"/>
          <w:w w:val="100"/>
          <w:kern w:val="2"/>
          <w:position w:val="0"/>
          <w:sz w:val="24"/>
          <w:szCs w:val="24"/>
          <w:highlight w:val="none"/>
          <w:lang w:val="en-US" w:eastAsia="zh-CN" w:bidi="ar-SA"/>
        </w:rPr>
        <w:t>1.1.</w:t>
      </w:r>
      <w:r>
        <w:rPr>
          <w:rStyle w:val="56"/>
          <w:rFonts w:hint="eastAsia" w:ascii="宋体" w:hAnsi="宋体" w:eastAsia="宋体" w:cs="宋体"/>
          <w:b/>
          <w:bCs/>
          <w:i w:val="0"/>
          <w:caps w:val="0"/>
          <w:color w:val="auto"/>
          <w:spacing w:val="0"/>
          <w:w w:val="100"/>
          <w:kern w:val="0"/>
          <w:position w:val="0"/>
          <w:sz w:val="24"/>
          <w:szCs w:val="24"/>
          <w:highlight w:val="none"/>
          <w:lang w:val="en-US" w:eastAsia="zh-CN" w:bidi="ar-SA"/>
        </w:rPr>
        <w:t>6、法律、行政法规规定的其他条件;</w:t>
      </w:r>
    </w:p>
    <w:p w14:paraId="35BDD362">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一标段、二标段：</w:t>
      </w:r>
    </w:p>
    <w:p w14:paraId="78D5D80D">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Style w:val="42"/>
          <w:rFonts w:hint="eastAsia" w:ascii="宋体" w:hAnsi="宋体" w:cs="宋体"/>
          <w:b w:val="0"/>
          <w:bCs w:val="0"/>
          <w:i w:val="0"/>
          <w:caps w:val="0"/>
          <w:color w:val="auto"/>
          <w:spacing w:val="0"/>
          <w:w w:val="100"/>
          <w:kern w:val="2"/>
          <w:position w:val="0"/>
          <w:sz w:val="24"/>
          <w:szCs w:val="24"/>
          <w:highlight w:val="none"/>
          <w:lang w:val="en-US" w:eastAsia="zh-CN" w:bidi="ar-SA"/>
        </w:rPr>
      </w:pPr>
      <w:r>
        <w:rPr>
          <w:rStyle w:val="42"/>
          <w:rFonts w:hint="eastAsia" w:ascii="宋体" w:hAnsi="宋体" w:cs="宋体"/>
          <w:b w:val="0"/>
          <w:bCs w:val="0"/>
          <w:i w:val="0"/>
          <w:caps w:val="0"/>
          <w:color w:val="auto"/>
          <w:spacing w:val="0"/>
          <w:w w:val="100"/>
          <w:kern w:val="2"/>
          <w:position w:val="0"/>
          <w:sz w:val="24"/>
          <w:szCs w:val="24"/>
          <w:highlight w:val="none"/>
          <w:lang w:val="en-US" w:eastAsia="zh-CN" w:bidi="ar-SA"/>
        </w:rPr>
        <w:t>（1）供应商应具备市政工程施工总承包三级及以上资质；</w:t>
      </w:r>
    </w:p>
    <w:p w14:paraId="04FC8DED">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Style w:val="42"/>
          <w:rFonts w:hint="eastAsia" w:ascii="宋体" w:hAnsi="宋体" w:cs="宋体"/>
          <w:b w:val="0"/>
          <w:bCs w:val="0"/>
          <w:i w:val="0"/>
          <w:caps w:val="0"/>
          <w:color w:val="auto"/>
          <w:spacing w:val="0"/>
          <w:w w:val="100"/>
          <w:kern w:val="2"/>
          <w:position w:val="0"/>
          <w:sz w:val="24"/>
          <w:szCs w:val="24"/>
          <w:highlight w:val="none"/>
          <w:lang w:val="en-US" w:eastAsia="zh-CN" w:bidi="ar-SA"/>
        </w:rPr>
      </w:pPr>
      <w:r>
        <w:rPr>
          <w:rStyle w:val="42"/>
          <w:rFonts w:hint="eastAsia" w:ascii="宋体" w:hAnsi="宋体" w:cs="宋体"/>
          <w:b w:val="0"/>
          <w:bCs w:val="0"/>
          <w:i w:val="0"/>
          <w:caps w:val="0"/>
          <w:color w:val="auto"/>
          <w:spacing w:val="0"/>
          <w:w w:val="100"/>
          <w:kern w:val="2"/>
          <w:position w:val="0"/>
          <w:sz w:val="24"/>
          <w:szCs w:val="24"/>
          <w:highlight w:val="none"/>
          <w:lang w:val="en-US" w:eastAsia="zh-CN" w:bidi="ar-SA"/>
        </w:rPr>
        <w:t>（2）供应商应具备有效的安全生产许可证；</w:t>
      </w:r>
    </w:p>
    <w:p w14:paraId="7413DA08">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Style w:val="56"/>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42"/>
          <w:rFonts w:hint="eastAsia" w:ascii="宋体" w:hAnsi="宋体" w:cs="宋体"/>
          <w:b w:val="0"/>
          <w:bCs w:val="0"/>
          <w:i w:val="0"/>
          <w:caps w:val="0"/>
          <w:color w:val="auto"/>
          <w:spacing w:val="0"/>
          <w:w w:val="100"/>
          <w:kern w:val="2"/>
          <w:position w:val="0"/>
          <w:sz w:val="24"/>
          <w:szCs w:val="24"/>
          <w:highlight w:val="none"/>
          <w:lang w:val="en-US" w:eastAsia="zh-CN" w:bidi="ar-SA"/>
        </w:rPr>
        <w:t>（3）项目负责人应为注册建造师贰级及以上（市政工程专业）资格。</w:t>
      </w:r>
    </w:p>
    <w:p w14:paraId="2ADD08A2">
      <w:pPr>
        <w:pStyle w:val="4"/>
        <w:pageBreakBefore w:val="0"/>
        <w:kinsoku/>
        <w:wordWrap/>
        <w:overflowPunct/>
        <w:topLinePunct w:val="0"/>
        <w:autoSpaceDE/>
        <w:autoSpaceDN/>
        <w:bidi w:val="0"/>
        <w:adjustRightInd/>
        <w:spacing w:before="0" w:beforeLines="0" w:after="0" w:afterLines="0" w:line="440" w:lineRule="exact"/>
        <w:ind w:firstLine="482" w:firstLineChars="200"/>
        <w:rPr>
          <w:rStyle w:val="56"/>
          <w:rFonts w:hint="eastAsia" w:ascii="宋体" w:hAnsi="宋体" w:eastAsia="宋体" w:cs="宋体"/>
          <w:b/>
          <w:bCs/>
          <w:i w:val="0"/>
          <w:caps w:val="0"/>
          <w:color w:val="auto"/>
          <w:spacing w:val="0"/>
          <w:w w:val="100"/>
          <w:kern w:val="0"/>
          <w:position w:val="0"/>
          <w:sz w:val="24"/>
          <w:szCs w:val="24"/>
          <w:highlight w:val="none"/>
          <w:lang w:val="en-US" w:eastAsia="zh-CN" w:bidi="ar-SA"/>
        </w:rPr>
      </w:pPr>
      <w:bookmarkStart w:id="1292" w:name="_Toc24689"/>
      <w:bookmarkStart w:id="1293" w:name="_Toc31069"/>
      <w:bookmarkStart w:id="1294" w:name="_Toc2278"/>
      <w:r>
        <w:rPr>
          <w:rStyle w:val="56"/>
          <w:rFonts w:hint="eastAsia" w:ascii="宋体" w:hAnsi="宋体" w:eastAsia="宋体" w:cs="宋体"/>
          <w:b/>
          <w:bCs/>
          <w:i w:val="0"/>
          <w:caps w:val="0"/>
          <w:color w:val="auto"/>
          <w:spacing w:val="0"/>
          <w:w w:val="100"/>
          <w:kern w:val="0"/>
          <w:position w:val="0"/>
          <w:sz w:val="24"/>
          <w:szCs w:val="24"/>
          <w:highlight w:val="none"/>
          <w:lang w:val="en-US" w:eastAsia="zh-CN" w:bidi="ar-SA"/>
        </w:rPr>
        <w:t>供应商须按上述规定的内容及格式进行提供，如有任意一条未明确响应，视为不响应，资格审查不通过。</w:t>
      </w:r>
      <w:bookmarkEnd w:id="1292"/>
    </w:p>
    <w:bookmarkEnd w:id="1293"/>
    <w:bookmarkEnd w:id="1294"/>
    <w:p w14:paraId="5CC9C90D">
      <w:pPr>
        <w:pageBreakBefore w:val="0"/>
        <w:kinsoku/>
        <w:wordWrap/>
        <w:overflowPunct/>
        <w:topLinePunct w:val="0"/>
        <w:autoSpaceDE/>
        <w:autoSpaceDN/>
        <w:bidi w:val="0"/>
        <w:adjustRightInd/>
        <w:spacing w:line="440" w:lineRule="exact"/>
        <w:rPr>
          <w:rStyle w:val="56"/>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14:paraId="5155644C">
      <w:pPr>
        <w:pStyle w:val="11"/>
        <w:pageBreakBefore w:val="0"/>
        <w:kinsoku/>
        <w:wordWrap/>
        <w:overflowPunct/>
        <w:topLinePunct w:val="0"/>
        <w:autoSpaceDE/>
        <w:autoSpaceDN/>
        <w:bidi w:val="0"/>
        <w:adjustRightInd/>
        <w:spacing w:line="440" w:lineRule="exact"/>
        <w:rPr>
          <w:rFonts w:hint="eastAsia" w:ascii="宋体" w:hAnsi="宋体" w:eastAsia="宋体" w:cs="宋体"/>
          <w:color w:val="auto"/>
          <w:highlight w:val="none"/>
          <w:lang w:val="en-US" w:eastAsia="zh-CN"/>
        </w:rPr>
      </w:pPr>
    </w:p>
    <w:p w14:paraId="42F6A10B">
      <w:pPr>
        <w:pStyle w:val="11"/>
        <w:pageBreakBefore w:val="0"/>
        <w:kinsoku/>
        <w:wordWrap/>
        <w:overflowPunct/>
        <w:topLinePunct w:val="0"/>
        <w:autoSpaceDE/>
        <w:autoSpaceDN/>
        <w:bidi w:val="0"/>
        <w:adjustRightInd/>
        <w:spacing w:line="440" w:lineRule="exact"/>
        <w:rPr>
          <w:rFonts w:hint="eastAsia" w:ascii="宋体" w:hAnsi="宋体" w:eastAsia="宋体" w:cs="宋体"/>
          <w:color w:val="auto"/>
          <w:highlight w:val="none"/>
          <w:lang w:val="en-US" w:eastAsia="zh-CN"/>
        </w:rPr>
      </w:pPr>
    </w:p>
    <w:p w14:paraId="4DA08220">
      <w:pPr>
        <w:pStyle w:val="11"/>
        <w:pageBreakBefore w:val="0"/>
        <w:kinsoku/>
        <w:wordWrap/>
        <w:overflowPunct/>
        <w:topLinePunct w:val="0"/>
        <w:autoSpaceDE/>
        <w:autoSpaceDN/>
        <w:bidi w:val="0"/>
        <w:adjustRightInd/>
        <w:spacing w:line="440" w:lineRule="exact"/>
        <w:rPr>
          <w:rFonts w:hint="eastAsia" w:ascii="宋体" w:hAnsi="宋体" w:eastAsia="宋体" w:cs="宋体"/>
          <w:color w:val="auto"/>
          <w:highlight w:val="none"/>
          <w:lang w:val="en-US" w:eastAsia="zh-CN"/>
        </w:rPr>
      </w:pPr>
    </w:p>
    <w:p w14:paraId="4698EB79">
      <w:pPr>
        <w:pStyle w:val="11"/>
        <w:pageBreakBefore w:val="0"/>
        <w:kinsoku/>
        <w:wordWrap/>
        <w:overflowPunct/>
        <w:topLinePunct w:val="0"/>
        <w:autoSpaceDE/>
        <w:autoSpaceDN/>
        <w:bidi w:val="0"/>
        <w:adjustRightInd/>
        <w:spacing w:line="440" w:lineRule="exact"/>
        <w:rPr>
          <w:rFonts w:hint="eastAsia" w:ascii="宋体" w:hAnsi="宋体" w:eastAsia="宋体" w:cs="宋体"/>
          <w:color w:val="auto"/>
          <w:highlight w:val="none"/>
          <w:lang w:val="en-US" w:eastAsia="zh-CN"/>
        </w:rPr>
      </w:pPr>
    </w:p>
    <w:p w14:paraId="316C3C27">
      <w:pPr>
        <w:pStyle w:val="11"/>
        <w:pageBreakBefore w:val="0"/>
        <w:kinsoku/>
        <w:wordWrap/>
        <w:overflowPunct/>
        <w:topLinePunct w:val="0"/>
        <w:autoSpaceDE/>
        <w:autoSpaceDN/>
        <w:bidi w:val="0"/>
        <w:adjustRightInd/>
        <w:spacing w:line="440" w:lineRule="exact"/>
        <w:rPr>
          <w:rFonts w:hint="eastAsia" w:ascii="宋体" w:hAnsi="宋体" w:eastAsia="宋体" w:cs="宋体"/>
          <w:color w:val="auto"/>
          <w:highlight w:val="none"/>
          <w:lang w:val="en-US" w:eastAsia="zh-CN"/>
        </w:rPr>
      </w:pPr>
    </w:p>
    <w:p w14:paraId="3B56A039">
      <w:pPr>
        <w:pStyle w:val="17"/>
        <w:pageBreakBefore w:val="0"/>
        <w:tabs>
          <w:tab w:val="left" w:pos="8786"/>
        </w:tabs>
        <w:kinsoku/>
        <w:wordWrap/>
        <w:overflowPunct/>
        <w:topLinePunct w:val="0"/>
        <w:autoSpaceDE/>
        <w:autoSpaceDN/>
        <w:bidi w:val="0"/>
        <w:adjustRightInd/>
        <w:spacing w:after="0" w:afterLines="0" w:line="440" w:lineRule="exact"/>
        <w:outlineLvl w:val="2"/>
        <w:rPr>
          <w:rFonts w:hint="eastAsia" w:ascii="宋体" w:hAnsi="宋体" w:eastAsia="宋体" w:cs="宋体"/>
          <w:b/>
          <w:color w:val="auto"/>
          <w:spacing w:val="0"/>
          <w:position w:val="0"/>
          <w:sz w:val="24"/>
          <w:highlight w:val="none"/>
          <w:lang w:eastAsia="zh-CN"/>
        </w:rPr>
      </w:pPr>
      <w:bookmarkStart w:id="1295" w:name="_Toc8930"/>
      <w:r>
        <w:rPr>
          <w:rFonts w:hint="eastAsia" w:ascii="宋体" w:hAnsi="宋体" w:eastAsia="宋体" w:cs="宋体"/>
          <w:b/>
          <w:color w:val="auto"/>
          <w:spacing w:val="0"/>
          <w:kern w:val="0"/>
          <w:position w:val="0"/>
          <w:sz w:val="24"/>
          <w:highlight w:val="none"/>
          <w:lang w:val="en-US" w:eastAsia="zh-CN"/>
        </w:rPr>
        <w:t>1.2</w:t>
      </w:r>
      <w:r>
        <w:rPr>
          <w:rFonts w:hint="eastAsia" w:ascii="宋体" w:hAnsi="宋体" w:eastAsia="宋体" w:cs="宋体"/>
          <w:b/>
          <w:color w:val="auto"/>
          <w:spacing w:val="0"/>
          <w:position w:val="0"/>
          <w:sz w:val="24"/>
          <w:highlight w:val="none"/>
          <w:lang w:eastAsia="zh-CN"/>
        </w:rPr>
        <w:t>磋商保证金</w:t>
      </w:r>
      <w:bookmarkEnd w:id="1295"/>
    </w:p>
    <w:p w14:paraId="40902FD2">
      <w:pPr>
        <w:pStyle w:val="17"/>
        <w:pageBreakBefore w:val="0"/>
        <w:tabs>
          <w:tab w:val="left" w:pos="8786"/>
        </w:tabs>
        <w:kinsoku/>
        <w:wordWrap/>
        <w:overflowPunct/>
        <w:topLinePunct w:val="0"/>
        <w:autoSpaceDE/>
        <w:autoSpaceDN/>
        <w:bidi w:val="0"/>
        <w:adjustRightInd/>
        <w:spacing w:after="0" w:afterLines="0" w:line="440" w:lineRule="exact"/>
        <w:rPr>
          <w:rFonts w:hint="eastAsia" w:ascii="宋体" w:hAnsi="宋体" w:eastAsia="宋体" w:cs="宋体"/>
          <w:color w:val="auto"/>
          <w:spacing w:val="0"/>
          <w:position w:val="0"/>
          <w:sz w:val="24"/>
          <w:highlight w:val="none"/>
        </w:rPr>
      </w:pPr>
      <w:r>
        <w:rPr>
          <w:rFonts w:hint="eastAsia" w:ascii="宋体" w:hAnsi="宋体" w:eastAsia="宋体" w:cs="宋体"/>
          <w:b/>
          <w:color w:val="auto"/>
          <w:spacing w:val="0"/>
          <w:position w:val="0"/>
          <w:sz w:val="24"/>
          <w:highlight w:val="none"/>
        </w:rPr>
        <w:t xml:space="preserve">   </w:t>
      </w:r>
      <w:r>
        <w:rPr>
          <w:rFonts w:hint="eastAsia" w:ascii="宋体" w:hAnsi="宋体" w:eastAsia="宋体" w:cs="宋体"/>
          <w:color w:val="auto"/>
          <w:spacing w:val="0"/>
          <w:position w:val="0"/>
          <w:sz w:val="24"/>
          <w:highlight w:val="none"/>
        </w:rPr>
        <w:t>说明：此处上传</w:t>
      </w:r>
      <w:r>
        <w:rPr>
          <w:rFonts w:hint="eastAsia" w:ascii="宋体" w:hAnsi="宋体" w:eastAsia="宋体" w:cs="宋体"/>
          <w:color w:val="auto"/>
          <w:spacing w:val="0"/>
          <w:position w:val="0"/>
          <w:sz w:val="24"/>
          <w:highlight w:val="none"/>
          <w:lang w:eastAsia="zh-CN"/>
        </w:rPr>
        <w:t>磋商保证金</w:t>
      </w:r>
      <w:r>
        <w:rPr>
          <w:rFonts w:hint="eastAsia" w:ascii="宋体" w:hAnsi="宋体" w:eastAsia="宋体" w:cs="宋体"/>
          <w:color w:val="auto"/>
          <w:spacing w:val="0"/>
          <w:position w:val="0"/>
          <w:sz w:val="24"/>
          <w:highlight w:val="none"/>
        </w:rPr>
        <w:t>缴纳证明文件；</w:t>
      </w:r>
    </w:p>
    <w:p w14:paraId="76B13BD2">
      <w:pPr>
        <w:pStyle w:val="17"/>
        <w:pageBreakBefore w:val="0"/>
        <w:tabs>
          <w:tab w:val="left" w:pos="8786"/>
        </w:tabs>
        <w:kinsoku/>
        <w:wordWrap/>
        <w:overflowPunct/>
        <w:topLinePunct w:val="0"/>
        <w:autoSpaceDE/>
        <w:autoSpaceDN/>
        <w:bidi w:val="0"/>
        <w:adjustRightInd/>
        <w:spacing w:after="0" w:afterLines="0" w:line="440" w:lineRule="exact"/>
        <w:outlineLvl w:val="2"/>
        <w:rPr>
          <w:rFonts w:hint="eastAsia" w:ascii="宋体" w:hAnsi="宋体" w:eastAsia="宋体" w:cs="宋体"/>
          <w:b/>
          <w:color w:val="auto"/>
          <w:spacing w:val="0"/>
          <w:kern w:val="0"/>
          <w:position w:val="0"/>
          <w:sz w:val="24"/>
          <w:highlight w:val="none"/>
          <w:lang w:val="en-US" w:eastAsia="zh-CN"/>
        </w:rPr>
      </w:pPr>
    </w:p>
    <w:p w14:paraId="6FA8CD71">
      <w:pPr>
        <w:pStyle w:val="17"/>
        <w:pageBreakBefore w:val="0"/>
        <w:tabs>
          <w:tab w:val="left" w:pos="8786"/>
        </w:tabs>
        <w:kinsoku/>
        <w:wordWrap/>
        <w:overflowPunct/>
        <w:topLinePunct w:val="0"/>
        <w:autoSpaceDE/>
        <w:autoSpaceDN/>
        <w:bidi w:val="0"/>
        <w:adjustRightInd/>
        <w:spacing w:after="0" w:afterLines="0" w:line="440" w:lineRule="exact"/>
        <w:outlineLvl w:val="2"/>
        <w:rPr>
          <w:rFonts w:hint="eastAsia" w:ascii="宋体" w:hAnsi="宋体" w:eastAsia="宋体" w:cs="宋体"/>
          <w:b/>
          <w:color w:val="auto"/>
          <w:spacing w:val="0"/>
          <w:kern w:val="0"/>
          <w:position w:val="0"/>
          <w:sz w:val="24"/>
          <w:highlight w:val="none"/>
          <w:lang w:val="en-US" w:eastAsia="zh-CN"/>
        </w:rPr>
      </w:pPr>
    </w:p>
    <w:p w14:paraId="283FBC8B">
      <w:pPr>
        <w:pStyle w:val="17"/>
        <w:pageBreakBefore w:val="0"/>
        <w:tabs>
          <w:tab w:val="left" w:pos="8786"/>
        </w:tabs>
        <w:kinsoku/>
        <w:wordWrap/>
        <w:overflowPunct/>
        <w:topLinePunct w:val="0"/>
        <w:autoSpaceDE/>
        <w:autoSpaceDN/>
        <w:bidi w:val="0"/>
        <w:adjustRightInd/>
        <w:spacing w:after="0" w:afterLines="0" w:line="440" w:lineRule="exact"/>
        <w:outlineLvl w:val="2"/>
        <w:rPr>
          <w:rFonts w:hint="eastAsia" w:ascii="宋体" w:hAnsi="宋体" w:eastAsia="宋体" w:cs="宋体"/>
          <w:b/>
          <w:color w:val="auto"/>
          <w:spacing w:val="0"/>
          <w:kern w:val="0"/>
          <w:position w:val="0"/>
          <w:sz w:val="24"/>
          <w:highlight w:val="none"/>
          <w:lang w:val="en-US" w:eastAsia="zh-CN"/>
        </w:rPr>
      </w:pPr>
    </w:p>
    <w:p w14:paraId="00051883">
      <w:pPr>
        <w:pStyle w:val="17"/>
        <w:pageBreakBefore w:val="0"/>
        <w:tabs>
          <w:tab w:val="left" w:pos="8786"/>
        </w:tabs>
        <w:kinsoku/>
        <w:wordWrap/>
        <w:overflowPunct/>
        <w:topLinePunct w:val="0"/>
        <w:autoSpaceDE/>
        <w:autoSpaceDN/>
        <w:bidi w:val="0"/>
        <w:adjustRightInd/>
        <w:spacing w:after="0" w:afterLines="0" w:line="440" w:lineRule="exact"/>
        <w:outlineLvl w:val="2"/>
        <w:rPr>
          <w:rFonts w:hint="eastAsia" w:ascii="宋体" w:hAnsi="宋体" w:eastAsia="宋体" w:cs="宋体"/>
          <w:b/>
          <w:color w:val="auto"/>
          <w:spacing w:val="0"/>
          <w:kern w:val="0"/>
          <w:position w:val="0"/>
          <w:sz w:val="24"/>
          <w:highlight w:val="none"/>
          <w:lang w:val="en-US" w:eastAsia="zh-CN"/>
        </w:rPr>
      </w:pPr>
    </w:p>
    <w:p w14:paraId="5E7B2CA5">
      <w:pPr>
        <w:pStyle w:val="17"/>
        <w:pageBreakBefore w:val="0"/>
        <w:tabs>
          <w:tab w:val="left" w:pos="8786"/>
        </w:tabs>
        <w:kinsoku/>
        <w:wordWrap/>
        <w:overflowPunct/>
        <w:topLinePunct w:val="0"/>
        <w:autoSpaceDE/>
        <w:autoSpaceDN/>
        <w:bidi w:val="0"/>
        <w:adjustRightInd/>
        <w:spacing w:after="0" w:afterLines="0" w:line="440" w:lineRule="exact"/>
        <w:outlineLvl w:val="2"/>
        <w:rPr>
          <w:rFonts w:hint="eastAsia" w:ascii="宋体" w:hAnsi="宋体" w:eastAsia="宋体" w:cs="宋体"/>
          <w:b/>
          <w:color w:val="auto"/>
          <w:spacing w:val="0"/>
          <w:kern w:val="0"/>
          <w:position w:val="0"/>
          <w:sz w:val="24"/>
          <w:highlight w:val="none"/>
          <w:lang w:val="en-US" w:eastAsia="zh-CN"/>
        </w:rPr>
      </w:pPr>
    </w:p>
    <w:p w14:paraId="184A0A5E">
      <w:pPr>
        <w:pStyle w:val="17"/>
        <w:pageBreakBefore w:val="0"/>
        <w:tabs>
          <w:tab w:val="left" w:pos="8786"/>
        </w:tabs>
        <w:kinsoku/>
        <w:wordWrap/>
        <w:overflowPunct/>
        <w:topLinePunct w:val="0"/>
        <w:autoSpaceDE/>
        <w:autoSpaceDN/>
        <w:bidi w:val="0"/>
        <w:adjustRightInd/>
        <w:spacing w:after="0" w:afterLines="0" w:line="440" w:lineRule="exact"/>
        <w:outlineLvl w:val="2"/>
        <w:rPr>
          <w:rFonts w:hint="eastAsia" w:ascii="宋体" w:hAnsi="宋体" w:eastAsia="宋体" w:cs="宋体"/>
          <w:b/>
          <w:color w:val="auto"/>
          <w:spacing w:val="0"/>
          <w:kern w:val="0"/>
          <w:position w:val="0"/>
          <w:sz w:val="24"/>
          <w:highlight w:val="none"/>
          <w:lang w:val="en-US" w:eastAsia="zh-CN"/>
        </w:rPr>
      </w:pPr>
    </w:p>
    <w:p w14:paraId="47B3D6E9">
      <w:pPr>
        <w:pStyle w:val="17"/>
        <w:pageBreakBefore w:val="0"/>
        <w:tabs>
          <w:tab w:val="left" w:pos="8786"/>
        </w:tabs>
        <w:kinsoku/>
        <w:wordWrap/>
        <w:overflowPunct/>
        <w:topLinePunct w:val="0"/>
        <w:autoSpaceDE/>
        <w:autoSpaceDN/>
        <w:bidi w:val="0"/>
        <w:adjustRightInd/>
        <w:spacing w:after="0" w:afterLines="0" w:line="440" w:lineRule="exact"/>
        <w:outlineLvl w:val="2"/>
        <w:rPr>
          <w:rFonts w:hint="eastAsia" w:ascii="宋体" w:hAnsi="宋体" w:eastAsia="宋体" w:cs="宋体"/>
          <w:b/>
          <w:color w:val="auto"/>
          <w:spacing w:val="0"/>
          <w:kern w:val="0"/>
          <w:position w:val="0"/>
          <w:sz w:val="24"/>
          <w:highlight w:val="none"/>
          <w:lang w:val="en-US" w:eastAsia="zh-CN"/>
        </w:rPr>
      </w:pPr>
    </w:p>
    <w:p w14:paraId="56B11487">
      <w:pPr>
        <w:pStyle w:val="17"/>
        <w:pageBreakBefore w:val="0"/>
        <w:tabs>
          <w:tab w:val="left" w:pos="8786"/>
        </w:tabs>
        <w:kinsoku/>
        <w:wordWrap/>
        <w:overflowPunct/>
        <w:topLinePunct w:val="0"/>
        <w:autoSpaceDE/>
        <w:autoSpaceDN/>
        <w:bidi w:val="0"/>
        <w:adjustRightInd/>
        <w:spacing w:after="0" w:afterLines="0" w:line="440" w:lineRule="exact"/>
        <w:outlineLvl w:val="2"/>
        <w:rPr>
          <w:rFonts w:hint="eastAsia" w:ascii="宋体" w:hAnsi="宋体" w:eastAsia="宋体" w:cs="宋体"/>
          <w:b/>
          <w:color w:val="auto"/>
          <w:spacing w:val="0"/>
          <w:kern w:val="0"/>
          <w:position w:val="0"/>
          <w:sz w:val="24"/>
          <w:highlight w:val="none"/>
          <w:lang w:val="en-US" w:eastAsia="zh-CN"/>
        </w:rPr>
      </w:pPr>
    </w:p>
    <w:p w14:paraId="385109C2">
      <w:pPr>
        <w:pStyle w:val="17"/>
        <w:pageBreakBefore w:val="0"/>
        <w:tabs>
          <w:tab w:val="left" w:pos="8786"/>
        </w:tabs>
        <w:kinsoku/>
        <w:wordWrap/>
        <w:overflowPunct/>
        <w:topLinePunct w:val="0"/>
        <w:autoSpaceDE/>
        <w:autoSpaceDN/>
        <w:bidi w:val="0"/>
        <w:adjustRightInd/>
        <w:spacing w:after="0" w:afterLines="0" w:line="440" w:lineRule="exact"/>
        <w:outlineLvl w:val="2"/>
        <w:rPr>
          <w:rFonts w:hint="eastAsia" w:ascii="宋体" w:hAnsi="宋体" w:eastAsia="宋体" w:cs="宋体"/>
          <w:b/>
          <w:color w:val="auto"/>
          <w:spacing w:val="0"/>
          <w:kern w:val="0"/>
          <w:position w:val="0"/>
          <w:sz w:val="24"/>
          <w:highlight w:val="none"/>
          <w:lang w:val="en-US" w:eastAsia="zh-CN"/>
        </w:rPr>
      </w:pPr>
    </w:p>
    <w:p w14:paraId="7B24BD25">
      <w:pPr>
        <w:pStyle w:val="17"/>
        <w:pageBreakBefore w:val="0"/>
        <w:tabs>
          <w:tab w:val="left" w:pos="8786"/>
        </w:tabs>
        <w:kinsoku/>
        <w:wordWrap/>
        <w:overflowPunct/>
        <w:topLinePunct w:val="0"/>
        <w:autoSpaceDE/>
        <w:autoSpaceDN/>
        <w:bidi w:val="0"/>
        <w:adjustRightInd/>
        <w:spacing w:after="0" w:afterLines="0" w:line="440" w:lineRule="exact"/>
        <w:outlineLvl w:val="2"/>
        <w:rPr>
          <w:rFonts w:hint="eastAsia" w:ascii="宋体" w:hAnsi="宋体" w:eastAsia="宋体" w:cs="宋体"/>
          <w:b/>
          <w:color w:val="auto"/>
          <w:spacing w:val="0"/>
          <w:kern w:val="0"/>
          <w:position w:val="0"/>
          <w:sz w:val="24"/>
          <w:highlight w:val="none"/>
          <w:lang w:val="en-US" w:eastAsia="zh-CN"/>
        </w:rPr>
      </w:pPr>
    </w:p>
    <w:p w14:paraId="0D691DB1">
      <w:pPr>
        <w:pStyle w:val="17"/>
        <w:pageBreakBefore w:val="0"/>
        <w:tabs>
          <w:tab w:val="left" w:pos="8786"/>
        </w:tabs>
        <w:kinsoku/>
        <w:wordWrap/>
        <w:overflowPunct/>
        <w:topLinePunct w:val="0"/>
        <w:autoSpaceDE/>
        <w:autoSpaceDN/>
        <w:bidi w:val="0"/>
        <w:adjustRightInd/>
        <w:spacing w:after="0" w:afterLines="0" w:line="440" w:lineRule="exact"/>
        <w:outlineLvl w:val="2"/>
        <w:rPr>
          <w:rFonts w:hint="eastAsia" w:ascii="宋体" w:hAnsi="宋体" w:eastAsia="宋体" w:cs="宋体"/>
          <w:b/>
          <w:color w:val="auto"/>
          <w:spacing w:val="0"/>
          <w:kern w:val="0"/>
          <w:position w:val="0"/>
          <w:sz w:val="24"/>
          <w:highlight w:val="none"/>
          <w:lang w:val="en-US" w:eastAsia="zh-CN"/>
        </w:rPr>
      </w:pPr>
    </w:p>
    <w:p w14:paraId="3986F7C4">
      <w:pPr>
        <w:pStyle w:val="17"/>
        <w:pageBreakBefore w:val="0"/>
        <w:tabs>
          <w:tab w:val="left" w:pos="8786"/>
        </w:tabs>
        <w:kinsoku/>
        <w:wordWrap/>
        <w:overflowPunct/>
        <w:topLinePunct w:val="0"/>
        <w:autoSpaceDE/>
        <w:autoSpaceDN/>
        <w:bidi w:val="0"/>
        <w:adjustRightInd/>
        <w:spacing w:after="0" w:afterLines="0" w:line="440" w:lineRule="exact"/>
        <w:outlineLvl w:val="2"/>
        <w:rPr>
          <w:rFonts w:hint="eastAsia" w:ascii="宋体" w:hAnsi="宋体" w:eastAsia="宋体" w:cs="宋体"/>
          <w:b/>
          <w:color w:val="auto"/>
          <w:spacing w:val="0"/>
          <w:kern w:val="0"/>
          <w:position w:val="0"/>
          <w:sz w:val="24"/>
          <w:highlight w:val="none"/>
          <w:lang w:val="en-US" w:eastAsia="zh-CN"/>
        </w:rPr>
      </w:pPr>
    </w:p>
    <w:p w14:paraId="269D5811">
      <w:pPr>
        <w:pStyle w:val="17"/>
        <w:pageBreakBefore w:val="0"/>
        <w:tabs>
          <w:tab w:val="left" w:pos="8786"/>
        </w:tabs>
        <w:kinsoku/>
        <w:wordWrap/>
        <w:overflowPunct/>
        <w:topLinePunct w:val="0"/>
        <w:autoSpaceDE/>
        <w:autoSpaceDN/>
        <w:bidi w:val="0"/>
        <w:adjustRightInd/>
        <w:spacing w:after="0" w:afterLines="0" w:line="440" w:lineRule="exact"/>
        <w:outlineLvl w:val="2"/>
        <w:rPr>
          <w:rFonts w:hint="eastAsia" w:ascii="宋体" w:hAnsi="宋体" w:eastAsia="宋体" w:cs="宋体"/>
          <w:b/>
          <w:color w:val="auto"/>
          <w:spacing w:val="0"/>
          <w:kern w:val="0"/>
          <w:position w:val="0"/>
          <w:sz w:val="24"/>
          <w:highlight w:val="none"/>
          <w:lang w:val="en-US" w:eastAsia="zh-CN"/>
        </w:rPr>
      </w:pPr>
    </w:p>
    <w:p w14:paraId="45B110B8">
      <w:pPr>
        <w:pStyle w:val="17"/>
        <w:pageBreakBefore w:val="0"/>
        <w:tabs>
          <w:tab w:val="left" w:pos="8786"/>
        </w:tabs>
        <w:kinsoku/>
        <w:wordWrap/>
        <w:overflowPunct/>
        <w:topLinePunct w:val="0"/>
        <w:autoSpaceDE/>
        <w:autoSpaceDN/>
        <w:bidi w:val="0"/>
        <w:adjustRightInd/>
        <w:spacing w:after="0" w:afterLines="0" w:line="440" w:lineRule="exact"/>
        <w:outlineLvl w:val="2"/>
        <w:rPr>
          <w:rFonts w:hint="eastAsia" w:ascii="宋体" w:hAnsi="宋体" w:eastAsia="宋体" w:cs="宋体"/>
          <w:b/>
          <w:color w:val="auto"/>
          <w:spacing w:val="0"/>
          <w:kern w:val="0"/>
          <w:position w:val="0"/>
          <w:sz w:val="24"/>
          <w:highlight w:val="none"/>
          <w:lang w:val="en-US" w:eastAsia="zh-CN"/>
        </w:rPr>
      </w:pPr>
    </w:p>
    <w:p w14:paraId="69B73C92">
      <w:pPr>
        <w:pStyle w:val="17"/>
        <w:pageBreakBefore w:val="0"/>
        <w:tabs>
          <w:tab w:val="left" w:pos="8786"/>
        </w:tabs>
        <w:kinsoku/>
        <w:wordWrap/>
        <w:overflowPunct/>
        <w:topLinePunct w:val="0"/>
        <w:autoSpaceDE/>
        <w:autoSpaceDN/>
        <w:bidi w:val="0"/>
        <w:adjustRightInd/>
        <w:spacing w:after="0" w:afterLines="0" w:line="440" w:lineRule="exact"/>
        <w:outlineLvl w:val="2"/>
        <w:rPr>
          <w:rFonts w:hint="eastAsia" w:ascii="宋体" w:hAnsi="宋体" w:eastAsia="宋体" w:cs="宋体"/>
          <w:b/>
          <w:color w:val="auto"/>
          <w:spacing w:val="0"/>
          <w:kern w:val="0"/>
          <w:position w:val="0"/>
          <w:sz w:val="24"/>
          <w:highlight w:val="none"/>
          <w:lang w:val="en-US" w:eastAsia="zh-CN"/>
        </w:rPr>
      </w:pPr>
    </w:p>
    <w:p w14:paraId="58011057">
      <w:pPr>
        <w:pStyle w:val="17"/>
        <w:pageBreakBefore w:val="0"/>
        <w:tabs>
          <w:tab w:val="left" w:pos="8786"/>
        </w:tabs>
        <w:kinsoku/>
        <w:wordWrap/>
        <w:overflowPunct/>
        <w:topLinePunct w:val="0"/>
        <w:autoSpaceDE/>
        <w:autoSpaceDN/>
        <w:bidi w:val="0"/>
        <w:adjustRightInd/>
        <w:spacing w:after="0" w:afterLines="0" w:line="440" w:lineRule="exact"/>
        <w:outlineLvl w:val="2"/>
        <w:rPr>
          <w:rFonts w:hint="eastAsia" w:ascii="宋体" w:hAnsi="宋体" w:eastAsia="宋体" w:cs="宋体"/>
          <w:b/>
          <w:color w:val="auto"/>
          <w:spacing w:val="0"/>
          <w:kern w:val="0"/>
          <w:position w:val="0"/>
          <w:sz w:val="24"/>
          <w:highlight w:val="none"/>
          <w:lang w:val="en-US" w:eastAsia="zh-CN"/>
        </w:rPr>
      </w:pPr>
    </w:p>
    <w:p w14:paraId="31DDB9A2">
      <w:pPr>
        <w:pStyle w:val="17"/>
        <w:pageBreakBefore w:val="0"/>
        <w:tabs>
          <w:tab w:val="left" w:pos="8786"/>
        </w:tabs>
        <w:kinsoku/>
        <w:wordWrap/>
        <w:overflowPunct/>
        <w:topLinePunct w:val="0"/>
        <w:autoSpaceDE/>
        <w:autoSpaceDN/>
        <w:bidi w:val="0"/>
        <w:adjustRightInd/>
        <w:spacing w:after="0" w:afterLines="0" w:line="440" w:lineRule="exact"/>
        <w:outlineLvl w:val="2"/>
        <w:rPr>
          <w:rFonts w:hint="eastAsia" w:ascii="宋体" w:hAnsi="宋体" w:eastAsia="宋体" w:cs="宋体"/>
          <w:b/>
          <w:color w:val="auto"/>
          <w:spacing w:val="0"/>
          <w:kern w:val="0"/>
          <w:position w:val="0"/>
          <w:sz w:val="24"/>
          <w:highlight w:val="none"/>
          <w:lang w:val="en-US" w:eastAsia="zh-CN"/>
        </w:rPr>
      </w:pPr>
      <w:bookmarkStart w:id="1296" w:name="_Toc20092"/>
      <w:r>
        <w:rPr>
          <w:rFonts w:hint="eastAsia" w:ascii="宋体" w:hAnsi="宋体" w:eastAsia="宋体" w:cs="宋体"/>
          <w:b/>
          <w:color w:val="auto"/>
          <w:spacing w:val="0"/>
          <w:kern w:val="0"/>
          <w:position w:val="0"/>
          <w:sz w:val="24"/>
          <w:highlight w:val="none"/>
          <w:lang w:val="en-US" w:eastAsia="zh-CN"/>
        </w:rPr>
        <w:t>1.3中小企业声明函</w:t>
      </w:r>
      <w:bookmarkEnd w:id="1296"/>
    </w:p>
    <w:p w14:paraId="575F490C">
      <w:pPr>
        <w:pageBreakBefore w:val="0"/>
        <w:shd w:val="clear" w:color="auto" w:fill="FFFFFF"/>
        <w:kinsoku/>
        <w:wordWrap/>
        <w:overflowPunct/>
        <w:topLinePunct w:val="0"/>
        <w:autoSpaceDE/>
        <w:autoSpaceDN/>
        <w:bidi w:val="0"/>
        <w:adjustRightInd/>
        <w:spacing w:line="440" w:lineRule="exact"/>
        <w:jc w:val="center"/>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中小企业声明函（工程、服务）</w:t>
      </w:r>
    </w:p>
    <w:p w14:paraId="41D2F26B">
      <w:pPr>
        <w:pageBreakBefore w:val="0"/>
        <w:widowControl/>
        <w:kinsoku/>
        <w:wordWrap/>
        <w:overflowPunct/>
        <w:topLinePunct w:val="0"/>
        <w:autoSpaceDE/>
        <w:autoSpaceDN/>
        <w:bidi w:val="0"/>
        <w:adjustRightInd/>
        <w:spacing w:line="440" w:lineRule="exact"/>
        <w:jc w:val="left"/>
        <w:rPr>
          <w:rFonts w:hint="eastAsia" w:ascii="宋体" w:hAnsi="宋体" w:eastAsia="宋体" w:cs="宋体"/>
          <w:color w:val="auto"/>
          <w:spacing w:val="0"/>
          <w:position w:val="0"/>
          <w:sz w:val="21"/>
          <w:szCs w:val="21"/>
          <w:highlight w:val="none"/>
        </w:rPr>
      </w:pPr>
    </w:p>
    <w:p w14:paraId="599EE941">
      <w:pPr>
        <w:pageBreakBefore w:val="0"/>
        <w:widowControl/>
        <w:kinsoku/>
        <w:wordWrap/>
        <w:overflowPunct/>
        <w:topLinePunct w:val="0"/>
        <w:autoSpaceDE/>
        <w:autoSpaceDN/>
        <w:bidi w:val="0"/>
        <w:adjustRightInd/>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cs="宋体"/>
          <w:color w:val="auto"/>
          <w:spacing w:val="0"/>
          <w:position w:val="0"/>
          <w:sz w:val="24"/>
          <w:szCs w:val="24"/>
          <w:highlight w:val="none"/>
          <w:u w:val="single"/>
          <w:lang w:eastAsia="zh-CN"/>
        </w:rPr>
        <w:t>乌鲁木齐甘泉堡经济技术开发（工业区）建设综合管理服务中心（建设工程招投标管理中心）</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的</w:t>
      </w:r>
      <w:r>
        <w:rPr>
          <w:rFonts w:hint="eastAsia" w:ascii="宋体" w:hAnsi="宋体" w:eastAsia="宋体" w:cs="宋体"/>
          <w:color w:val="auto"/>
          <w:spacing w:val="0"/>
          <w:position w:val="0"/>
          <w:sz w:val="24"/>
          <w:szCs w:val="24"/>
          <w:highlight w:val="none"/>
          <w:u w:val="single"/>
        </w:rPr>
        <w:t xml:space="preserve">      （项目名称</w:t>
      </w:r>
      <w:r>
        <w:rPr>
          <w:rFonts w:hint="eastAsia" w:ascii="宋体" w:hAnsi="宋体" w:cs="宋体"/>
          <w:color w:val="auto"/>
          <w:spacing w:val="0"/>
          <w:position w:val="0"/>
          <w:sz w:val="24"/>
          <w:szCs w:val="24"/>
          <w:highlight w:val="none"/>
          <w:u w:val="single"/>
          <w:lang w:eastAsia="zh-CN"/>
        </w:rPr>
        <w:t>、</w:t>
      </w:r>
      <w:r>
        <w:rPr>
          <w:rFonts w:hint="eastAsia" w:ascii="宋体" w:hAnsi="宋体" w:cs="宋体"/>
          <w:color w:val="auto"/>
          <w:spacing w:val="0"/>
          <w:position w:val="0"/>
          <w:sz w:val="24"/>
          <w:szCs w:val="24"/>
          <w:highlight w:val="none"/>
          <w:u w:val="single"/>
          <w:lang w:val="en-US" w:eastAsia="zh-CN"/>
        </w:rPr>
        <w:t>标项名称</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采购活动，工程的施工单位全部符合政策要求的中小企业（或者：服务全部由符合要求的中小企业承接）。相关企业（含联合体中的中小企业、签订分包意向协议的中小企业）的具体情况如下：</w:t>
      </w:r>
    </w:p>
    <w:p w14:paraId="493D2407">
      <w:pPr>
        <w:pageBreakBefore w:val="0"/>
        <w:widowControl/>
        <w:kinsoku/>
        <w:wordWrap/>
        <w:overflowPunct/>
        <w:topLinePunct w:val="0"/>
        <w:autoSpaceDE/>
        <w:autoSpaceDN/>
        <w:bidi w:val="0"/>
        <w:adjustRightInd/>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rPr>
        <w:t xml:space="preserve">1、   （标的名称）  </w:t>
      </w:r>
      <w:r>
        <w:rPr>
          <w:rFonts w:hint="eastAsia" w:ascii="宋体" w:hAnsi="宋体" w:eastAsia="宋体" w:cs="宋体"/>
          <w:color w:val="auto"/>
          <w:spacing w:val="0"/>
          <w:position w:val="0"/>
          <w:sz w:val="24"/>
          <w:szCs w:val="24"/>
          <w:highlight w:val="none"/>
        </w:rPr>
        <w:t>，属于（</w:t>
      </w:r>
      <w:r>
        <w:rPr>
          <w:rFonts w:hint="eastAsia" w:ascii="宋体" w:hAnsi="宋体" w:eastAsia="宋体" w:cs="宋体"/>
          <w:color w:val="auto"/>
          <w:spacing w:val="0"/>
          <w:position w:val="0"/>
          <w:sz w:val="24"/>
          <w:szCs w:val="24"/>
          <w:highlight w:val="none"/>
          <w:u w:val="single"/>
        </w:rPr>
        <w:t>采购文件中明确的所属行业</w:t>
      </w:r>
      <w:r>
        <w:rPr>
          <w:rFonts w:hint="eastAsia" w:ascii="宋体" w:hAnsi="宋体" w:eastAsia="宋体" w:cs="宋体"/>
          <w:color w:val="auto"/>
          <w:spacing w:val="0"/>
          <w:position w:val="0"/>
          <w:sz w:val="24"/>
          <w:szCs w:val="24"/>
          <w:highlight w:val="none"/>
        </w:rPr>
        <w:t>）；承建（承接）企业为</w:t>
      </w:r>
      <w:r>
        <w:rPr>
          <w:rFonts w:hint="eastAsia" w:ascii="宋体" w:hAnsi="宋体" w:eastAsia="宋体" w:cs="宋体"/>
          <w:color w:val="auto"/>
          <w:spacing w:val="0"/>
          <w:position w:val="0"/>
          <w:sz w:val="24"/>
          <w:szCs w:val="24"/>
          <w:highlight w:val="none"/>
          <w:u w:val="single"/>
        </w:rPr>
        <w:t>（企业名称）</w:t>
      </w:r>
      <w:r>
        <w:rPr>
          <w:rFonts w:hint="eastAsia" w:ascii="宋体" w:hAnsi="宋体" w:eastAsia="宋体" w:cs="宋体"/>
          <w:color w:val="auto"/>
          <w:spacing w:val="0"/>
          <w:position w:val="0"/>
          <w:sz w:val="24"/>
          <w:szCs w:val="24"/>
          <w:highlight w:val="none"/>
        </w:rPr>
        <w:t>，从业人员</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人，营业收入为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万元，资产总额为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万元，属于</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u w:val="single"/>
          <w:lang w:val="en-US" w:eastAsia="zh-CN"/>
        </w:rPr>
        <w:t xml:space="preserve">      </w:t>
      </w:r>
      <w:r>
        <w:rPr>
          <w:rFonts w:hint="eastAsia" w:ascii="宋体" w:hAnsi="宋体" w:eastAsia="宋体" w:cs="宋体"/>
          <w:color w:val="auto"/>
          <w:spacing w:val="0"/>
          <w:position w:val="0"/>
          <w:sz w:val="24"/>
          <w:szCs w:val="24"/>
          <w:highlight w:val="none"/>
          <w:u w:val="single"/>
        </w:rPr>
        <w:t>（小型企业、微型企业）；</w:t>
      </w:r>
    </w:p>
    <w:p w14:paraId="425D97AD">
      <w:pPr>
        <w:pageBreakBefore w:val="0"/>
        <w:widowControl/>
        <w:kinsoku/>
        <w:wordWrap/>
        <w:overflowPunct/>
        <w:topLinePunct w:val="0"/>
        <w:autoSpaceDE/>
        <w:autoSpaceDN/>
        <w:bidi w:val="0"/>
        <w:adjustRightInd/>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rPr>
        <w:t xml:space="preserve">2、   （标的名称）  </w:t>
      </w:r>
      <w:r>
        <w:rPr>
          <w:rFonts w:hint="eastAsia" w:ascii="宋体" w:hAnsi="宋体" w:eastAsia="宋体" w:cs="宋体"/>
          <w:color w:val="auto"/>
          <w:spacing w:val="0"/>
          <w:position w:val="0"/>
          <w:sz w:val="24"/>
          <w:szCs w:val="24"/>
          <w:highlight w:val="none"/>
        </w:rPr>
        <w:t>，属于（</w:t>
      </w:r>
      <w:r>
        <w:rPr>
          <w:rFonts w:hint="eastAsia" w:ascii="宋体" w:hAnsi="宋体" w:eastAsia="宋体" w:cs="宋体"/>
          <w:color w:val="auto"/>
          <w:spacing w:val="0"/>
          <w:position w:val="0"/>
          <w:sz w:val="24"/>
          <w:szCs w:val="24"/>
          <w:highlight w:val="none"/>
          <w:u w:val="single"/>
        </w:rPr>
        <w:t>采购文件中明确的所属行业</w:t>
      </w:r>
      <w:r>
        <w:rPr>
          <w:rFonts w:hint="eastAsia" w:ascii="宋体" w:hAnsi="宋体" w:eastAsia="宋体" w:cs="宋体"/>
          <w:color w:val="auto"/>
          <w:spacing w:val="0"/>
          <w:position w:val="0"/>
          <w:sz w:val="24"/>
          <w:szCs w:val="24"/>
          <w:highlight w:val="none"/>
        </w:rPr>
        <w:t>）；承建（承接）企业为</w:t>
      </w:r>
      <w:r>
        <w:rPr>
          <w:rFonts w:hint="eastAsia" w:ascii="宋体" w:hAnsi="宋体" w:eastAsia="宋体" w:cs="宋体"/>
          <w:color w:val="auto"/>
          <w:spacing w:val="0"/>
          <w:position w:val="0"/>
          <w:sz w:val="24"/>
          <w:szCs w:val="24"/>
          <w:highlight w:val="none"/>
          <w:u w:val="single"/>
        </w:rPr>
        <w:t>（企业名称）</w:t>
      </w:r>
      <w:r>
        <w:rPr>
          <w:rFonts w:hint="eastAsia" w:ascii="宋体" w:hAnsi="宋体" w:eastAsia="宋体" w:cs="宋体"/>
          <w:color w:val="auto"/>
          <w:spacing w:val="0"/>
          <w:position w:val="0"/>
          <w:sz w:val="24"/>
          <w:szCs w:val="24"/>
          <w:highlight w:val="none"/>
        </w:rPr>
        <w:t>，从业人员</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人，营业收入为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万元，资产总额为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万元，属于</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u w:val="single"/>
          <w:lang w:val="en-US" w:eastAsia="zh-CN"/>
        </w:rPr>
        <w:t xml:space="preserve">       </w:t>
      </w:r>
      <w:r>
        <w:rPr>
          <w:rFonts w:hint="eastAsia" w:ascii="宋体" w:hAnsi="宋体" w:eastAsia="宋体" w:cs="宋体"/>
          <w:color w:val="auto"/>
          <w:spacing w:val="0"/>
          <w:position w:val="0"/>
          <w:sz w:val="24"/>
          <w:szCs w:val="24"/>
          <w:highlight w:val="none"/>
          <w:u w:val="single"/>
        </w:rPr>
        <w:t>（小型企业、微型企业）；</w:t>
      </w:r>
    </w:p>
    <w:p w14:paraId="383098B7">
      <w:pPr>
        <w:pStyle w:val="107"/>
        <w:pageBreakBefore w:val="0"/>
        <w:tabs>
          <w:tab w:val="left" w:pos="-120"/>
        </w:tabs>
        <w:kinsoku/>
        <w:wordWrap/>
        <w:overflowPunct/>
        <w:topLinePunct w:val="0"/>
        <w:autoSpaceDE/>
        <w:autoSpaceDN/>
        <w:bidi w:val="0"/>
        <w:adjustRightInd/>
        <w:spacing w:line="440" w:lineRule="exact"/>
        <w:ind w:firstLine="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p w14:paraId="7CE1BA4F">
      <w:pPr>
        <w:pageBreakBefore w:val="0"/>
        <w:widowControl/>
        <w:kinsoku/>
        <w:wordWrap/>
        <w:overflowPunct/>
        <w:topLinePunct w:val="0"/>
        <w:autoSpaceDE/>
        <w:autoSpaceDN/>
        <w:bidi w:val="0"/>
        <w:adjustRightInd/>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以上企业，不属于大企业的分支机构，不存在控股股东为大企业的情形，也不存在与大企业的负责人为同一人的情形。</w:t>
      </w:r>
    </w:p>
    <w:p w14:paraId="610A978C">
      <w:pPr>
        <w:pageBreakBefore w:val="0"/>
        <w:widowControl/>
        <w:kinsoku/>
        <w:wordWrap/>
        <w:overflowPunct/>
        <w:topLinePunct w:val="0"/>
        <w:autoSpaceDE/>
        <w:autoSpaceDN/>
        <w:bidi w:val="0"/>
        <w:adjustRightInd/>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本企业对上述声明的真实性负责。如有虚假，将依法承担相应责任。</w:t>
      </w:r>
    </w:p>
    <w:p w14:paraId="4786E965">
      <w:pPr>
        <w:pageBreakBefore w:val="0"/>
        <w:widowControl/>
        <w:kinsoku/>
        <w:wordWrap/>
        <w:overflowPunct/>
        <w:topLinePunct w:val="0"/>
        <w:autoSpaceDE/>
        <w:autoSpaceDN/>
        <w:bidi w:val="0"/>
        <w:adjustRightInd/>
        <w:spacing w:line="440" w:lineRule="exact"/>
        <w:jc w:val="left"/>
        <w:rPr>
          <w:rFonts w:hint="eastAsia" w:ascii="宋体" w:hAnsi="宋体" w:eastAsia="宋体" w:cs="宋体"/>
          <w:color w:val="auto"/>
          <w:spacing w:val="0"/>
          <w:position w:val="0"/>
          <w:sz w:val="24"/>
          <w:szCs w:val="24"/>
          <w:highlight w:val="none"/>
        </w:rPr>
      </w:pPr>
    </w:p>
    <w:p w14:paraId="47DFD6C6">
      <w:pPr>
        <w:pageBreakBefore w:val="0"/>
        <w:widowControl/>
        <w:kinsoku/>
        <w:wordWrap/>
        <w:overflowPunct/>
        <w:topLinePunct w:val="0"/>
        <w:autoSpaceDE/>
        <w:autoSpaceDN/>
        <w:bidi w:val="0"/>
        <w:adjustRightInd/>
        <w:spacing w:line="440" w:lineRule="exact"/>
        <w:jc w:val="left"/>
        <w:rPr>
          <w:rFonts w:hint="eastAsia" w:ascii="宋体" w:hAnsi="宋体" w:eastAsia="宋体" w:cs="宋体"/>
          <w:color w:val="auto"/>
          <w:spacing w:val="0"/>
          <w:position w:val="0"/>
          <w:sz w:val="24"/>
          <w:szCs w:val="24"/>
          <w:highlight w:val="none"/>
        </w:rPr>
      </w:pPr>
    </w:p>
    <w:p w14:paraId="269A02CD">
      <w:pPr>
        <w:pStyle w:val="109"/>
        <w:pageBreakBefore w:val="0"/>
        <w:kinsoku/>
        <w:wordWrap/>
        <w:overflowPunct/>
        <w:topLinePunct w:val="0"/>
        <w:autoSpaceDE/>
        <w:autoSpaceDN/>
        <w:bidi w:val="0"/>
        <w:adjustRightInd/>
        <w:spacing w:line="44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供应商名称：</w:t>
      </w:r>
      <w:r>
        <w:rPr>
          <w:rFonts w:hint="eastAsia" w:ascii="宋体" w:hAnsi="宋体" w:eastAsia="宋体" w:cs="宋体"/>
          <w:color w:val="auto"/>
          <w:spacing w:val="0"/>
          <w:position w:val="0"/>
          <w:sz w:val="24"/>
          <w:szCs w:val="24"/>
          <w:highlight w:val="none"/>
          <w:u w:val="single"/>
        </w:rPr>
        <w:t xml:space="preserve">       （盖章）       </w:t>
      </w:r>
    </w:p>
    <w:p w14:paraId="53B2ABA2">
      <w:pPr>
        <w:pageBreakBefore w:val="0"/>
        <w:widowControl/>
        <w:kinsoku/>
        <w:wordWrap/>
        <w:overflowPunct/>
        <w:topLinePunct w:val="0"/>
        <w:autoSpaceDE/>
        <w:autoSpaceDN/>
        <w:bidi w:val="0"/>
        <w:adjustRightInd/>
        <w:spacing w:line="440" w:lineRule="exact"/>
        <w:jc w:val="center"/>
        <w:rPr>
          <w:rFonts w:hint="eastAsia" w:ascii="宋体" w:hAnsi="宋体" w:eastAsia="宋体" w:cs="宋体"/>
          <w:color w:val="auto"/>
          <w:spacing w:val="0"/>
          <w:position w:val="0"/>
          <w:sz w:val="24"/>
          <w:szCs w:val="24"/>
          <w:highlight w:val="none"/>
        </w:rPr>
      </w:pPr>
    </w:p>
    <w:p w14:paraId="727D2428">
      <w:pPr>
        <w:pageBreakBefore w:val="0"/>
        <w:widowControl/>
        <w:kinsoku/>
        <w:wordWrap/>
        <w:overflowPunct/>
        <w:topLinePunct w:val="0"/>
        <w:autoSpaceDE/>
        <w:autoSpaceDN/>
        <w:bidi w:val="0"/>
        <w:adjustRightInd/>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日   期：  年   月   日</w:t>
      </w:r>
    </w:p>
    <w:p w14:paraId="437CC07B">
      <w:pPr>
        <w:pStyle w:val="107"/>
        <w:pageBreakBefore w:val="0"/>
        <w:tabs>
          <w:tab w:val="left" w:pos="-120"/>
        </w:tabs>
        <w:kinsoku/>
        <w:wordWrap/>
        <w:overflowPunct/>
        <w:topLinePunct w:val="0"/>
        <w:autoSpaceDE/>
        <w:autoSpaceDN/>
        <w:bidi w:val="0"/>
        <w:adjustRightInd/>
        <w:spacing w:line="440" w:lineRule="exact"/>
        <w:ind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说明：</w:t>
      </w:r>
    </w:p>
    <w:p w14:paraId="01F54177">
      <w:pPr>
        <w:pStyle w:val="107"/>
        <w:pageBreakBefore w:val="0"/>
        <w:tabs>
          <w:tab w:val="left" w:pos="-120"/>
        </w:tabs>
        <w:kinsoku/>
        <w:wordWrap/>
        <w:overflowPunct/>
        <w:topLinePunct w:val="0"/>
        <w:autoSpaceDE/>
        <w:autoSpaceDN/>
        <w:bidi w:val="0"/>
        <w:adjustRightInd/>
        <w:spacing w:line="440" w:lineRule="exact"/>
        <w:ind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1、从业人员、营业收入、资产总额填报上一年度数据，无上一年度数据的新成立企业可不填报。</w:t>
      </w:r>
    </w:p>
    <w:p w14:paraId="7D168AF9">
      <w:pPr>
        <w:pageBreakBefore w:val="0"/>
        <w:widowControl/>
        <w:kinsoku/>
        <w:wordWrap/>
        <w:overflowPunct/>
        <w:topLinePunct w:val="0"/>
        <w:autoSpaceDE/>
        <w:autoSpaceDN/>
        <w:bidi w:val="0"/>
        <w:adjustRightInd/>
        <w:spacing w:line="440" w:lineRule="exact"/>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position w:val="0"/>
          <w:sz w:val="24"/>
          <w:szCs w:val="24"/>
          <w:highlight w:val="none"/>
        </w:rPr>
        <w:t>2、</w:t>
      </w:r>
      <w:r>
        <w:rPr>
          <w:rFonts w:hint="eastAsia" w:ascii="宋体" w:hAnsi="宋体" w:eastAsia="宋体" w:cs="宋体"/>
          <w:color w:val="auto"/>
          <w:spacing w:val="0"/>
          <w:kern w:val="0"/>
          <w:position w:val="0"/>
          <w:sz w:val="24"/>
          <w:szCs w:val="24"/>
          <w:highlight w:val="none"/>
        </w:rPr>
        <w:t>若为监狱企业或残疾人企业，须提供监狱企业或残疾人企业声明函（格式自拟）</w:t>
      </w:r>
    </w:p>
    <w:p w14:paraId="7AE715A8">
      <w:pPr>
        <w:pStyle w:val="17"/>
        <w:pageBreakBefore w:val="0"/>
        <w:tabs>
          <w:tab w:val="left" w:pos="8786"/>
        </w:tabs>
        <w:kinsoku/>
        <w:wordWrap/>
        <w:overflowPunct/>
        <w:topLinePunct w:val="0"/>
        <w:autoSpaceDE/>
        <w:autoSpaceDN/>
        <w:bidi w:val="0"/>
        <w:adjustRightInd/>
        <w:spacing w:after="0" w:afterLines="0" w:line="440" w:lineRule="exac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kern w:val="0"/>
          <w:position w:val="0"/>
          <w:sz w:val="24"/>
          <w:szCs w:val="24"/>
          <w:highlight w:val="none"/>
        </w:rPr>
        <w:t>3、中标的供应商的《中小微企业声明函》将作为中标结果公告一并公示。</w:t>
      </w:r>
    </w:p>
    <w:p w14:paraId="24EC0D01">
      <w:pPr>
        <w:pStyle w:val="18"/>
        <w:kinsoku/>
        <w:wordWrap/>
        <w:overflowPunct/>
        <w:bidi w:val="0"/>
        <w:rPr>
          <w:rStyle w:val="56"/>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14:paraId="60E47433">
      <w:pPr>
        <w:rPr>
          <w:rStyle w:val="56"/>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14:paraId="3FE453F4">
      <w:pPr>
        <w:rPr>
          <w:rStyle w:val="56"/>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14:paraId="4C0540CD">
      <w:pPr>
        <w:pStyle w:val="3"/>
        <w:keepNext w:val="0"/>
        <w:keepLines w:val="0"/>
        <w:kinsoku/>
        <w:wordWrap/>
        <w:overflowPunct/>
        <w:bidi w:val="0"/>
        <w:jc w:val="center"/>
        <w:rPr>
          <w:rFonts w:hint="eastAsia" w:ascii="宋体" w:hAnsi="宋体" w:eastAsia="宋体" w:cs="宋体"/>
          <w:b/>
          <w:bCs/>
          <w:color w:val="auto"/>
          <w:spacing w:val="0"/>
          <w:position w:val="0"/>
          <w:sz w:val="32"/>
          <w:szCs w:val="32"/>
          <w:highlight w:val="none"/>
        </w:rPr>
      </w:pPr>
      <w:bookmarkStart w:id="1297" w:name="_Toc32725"/>
      <w:bookmarkStart w:id="1298" w:name="_Toc18971"/>
      <w:r>
        <w:rPr>
          <w:rFonts w:hint="eastAsia" w:ascii="宋体" w:hAnsi="宋体" w:eastAsia="宋体" w:cs="宋体"/>
          <w:b/>
          <w:bCs/>
          <w:color w:val="auto"/>
          <w:spacing w:val="0"/>
          <w:position w:val="0"/>
          <w:sz w:val="32"/>
          <w:szCs w:val="32"/>
          <w:highlight w:val="none"/>
          <w:lang w:val="en-US" w:eastAsia="zh-CN"/>
        </w:rPr>
        <w:t>二</w:t>
      </w:r>
      <w:r>
        <w:rPr>
          <w:rFonts w:hint="eastAsia" w:ascii="宋体" w:hAnsi="宋体" w:eastAsia="宋体" w:cs="宋体"/>
          <w:b/>
          <w:bCs/>
          <w:color w:val="auto"/>
          <w:spacing w:val="0"/>
          <w:position w:val="0"/>
          <w:sz w:val="32"/>
          <w:szCs w:val="32"/>
          <w:highlight w:val="none"/>
        </w:rPr>
        <w:t>、</w:t>
      </w:r>
      <w:r>
        <w:rPr>
          <w:rFonts w:hint="eastAsia" w:ascii="宋体" w:hAnsi="宋体" w:eastAsia="宋体" w:cs="宋体"/>
          <w:b/>
          <w:bCs/>
          <w:color w:val="auto"/>
          <w:spacing w:val="0"/>
          <w:position w:val="0"/>
          <w:sz w:val="32"/>
          <w:szCs w:val="32"/>
          <w:highlight w:val="none"/>
          <w:lang w:val="en-US" w:eastAsia="zh-CN"/>
        </w:rPr>
        <w:t>商务文件</w:t>
      </w:r>
      <w:bookmarkEnd w:id="1297"/>
      <w:bookmarkEnd w:id="1298"/>
    </w:p>
    <w:p w14:paraId="21CF0190">
      <w:pPr>
        <w:pStyle w:val="4"/>
        <w:kinsoku/>
        <w:wordWrap/>
        <w:overflowPunct/>
        <w:bidi w:val="0"/>
        <w:spacing w:line="360" w:lineRule="auto"/>
        <w:jc w:val="center"/>
        <w:rPr>
          <w:rFonts w:hint="eastAsia" w:ascii="宋体" w:hAnsi="宋体" w:eastAsia="宋体" w:cs="宋体"/>
          <w:color w:val="auto"/>
          <w:spacing w:val="0"/>
          <w:position w:val="0"/>
          <w:szCs w:val="21"/>
          <w:highlight w:val="none"/>
          <w:lang w:val="zh-CN" w:eastAsia="zh-CN"/>
        </w:rPr>
      </w:pPr>
      <w:bookmarkStart w:id="1299" w:name="_Toc5738"/>
      <w:bookmarkStart w:id="1300" w:name="_Toc19650"/>
      <w:r>
        <w:rPr>
          <w:rFonts w:hint="eastAsia" w:ascii="宋体" w:hAnsi="宋体" w:eastAsia="宋体" w:cs="宋体"/>
          <w:color w:val="auto"/>
          <w:spacing w:val="0"/>
          <w:position w:val="0"/>
          <w:sz w:val="28"/>
          <w:szCs w:val="28"/>
          <w:highlight w:val="none"/>
        </w:rPr>
        <w:t>（一）磋商</w:t>
      </w:r>
      <w:r>
        <w:rPr>
          <w:rFonts w:hint="eastAsia" w:ascii="宋体" w:hAnsi="宋体" w:eastAsia="宋体" w:cs="宋体"/>
          <w:color w:val="auto"/>
          <w:spacing w:val="0"/>
          <w:position w:val="0"/>
          <w:sz w:val="28"/>
          <w:szCs w:val="28"/>
          <w:highlight w:val="none"/>
          <w:lang w:eastAsia="zh-CN"/>
        </w:rPr>
        <w:t>函</w:t>
      </w:r>
      <w:bookmarkEnd w:id="1299"/>
      <w:bookmarkEnd w:id="1300"/>
    </w:p>
    <w:p w14:paraId="5CEF2FA2">
      <w:pPr>
        <w:kinsoku/>
        <w:wordWrap/>
        <w:overflowPunct/>
        <w:autoSpaceDE w:val="0"/>
        <w:autoSpaceDN w:val="0"/>
        <w:bidi w:val="0"/>
        <w:adjustRightInd w:val="0"/>
        <w:spacing w:line="360" w:lineRule="auto"/>
        <w:rPr>
          <w:rFonts w:hint="eastAsia" w:ascii="宋体" w:hAnsi="宋体" w:eastAsia="宋体" w:cs="宋体"/>
          <w:color w:val="auto"/>
          <w:spacing w:val="0"/>
          <w:position w:val="0"/>
          <w:sz w:val="24"/>
          <w:szCs w:val="24"/>
          <w:highlight w:val="none"/>
          <w:lang w:val="zh-CN"/>
        </w:rPr>
      </w:pPr>
      <w:r>
        <w:rPr>
          <w:rFonts w:hint="eastAsia" w:ascii="宋体" w:hAnsi="宋体" w:eastAsia="宋体" w:cs="宋体"/>
          <w:color w:val="auto"/>
          <w:spacing w:val="0"/>
          <w:position w:val="0"/>
          <w:sz w:val="24"/>
          <w:szCs w:val="24"/>
          <w:highlight w:val="none"/>
          <w:lang w:val="zh-CN"/>
        </w:rPr>
        <w:t>致：</w:t>
      </w:r>
      <w:r>
        <w:rPr>
          <w:rFonts w:hint="eastAsia" w:ascii="宋体" w:hAnsi="宋体" w:eastAsia="宋体" w:cs="宋体"/>
          <w:color w:val="auto"/>
          <w:spacing w:val="0"/>
          <w:position w:val="0"/>
          <w:sz w:val="24"/>
          <w:szCs w:val="24"/>
          <w:highlight w:val="none"/>
          <w:u w:val="single"/>
          <w:lang w:val="zh-CN"/>
        </w:rPr>
        <w:t xml:space="preserve"> </w:t>
      </w:r>
      <w:r>
        <w:rPr>
          <w:rFonts w:hint="eastAsia" w:ascii="宋体" w:hAnsi="宋体" w:cs="宋体"/>
          <w:color w:val="auto"/>
          <w:spacing w:val="0"/>
          <w:position w:val="0"/>
          <w:sz w:val="24"/>
          <w:szCs w:val="24"/>
          <w:highlight w:val="none"/>
          <w:u w:val="single"/>
          <w:lang w:val="zh-CN"/>
        </w:rPr>
        <w:t>乌鲁木齐甘泉堡经济技术开发（工业区）建设综合管理服务中心（建设工程招投标管理中心）</w:t>
      </w:r>
      <w:r>
        <w:rPr>
          <w:rFonts w:hint="eastAsia" w:ascii="宋体" w:hAnsi="宋体" w:eastAsia="宋体" w:cs="宋体"/>
          <w:color w:val="auto"/>
          <w:spacing w:val="0"/>
          <w:position w:val="0"/>
          <w:sz w:val="24"/>
          <w:szCs w:val="24"/>
          <w:highlight w:val="none"/>
          <w:u w:val="single"/>
          <w:lang w:val="zh-CN"/>
        </w:rPr>
        <w:t xml:space="preserve"> </w:t>
      </w:r>
      <w:r>
        <w:rPr>
          <w:rFonts w:hint="eastAsia" w:ascii="宋体" w:hAnsi="宋体" w:eastAsia="宋体" w:cs="宋体"/>
          <w:color w:val="auto"/>
          <w:spacing w:val="0"/>
          <w:position w:val="0"/>
          <w:sz w:val="24"/>
          <w:szCs w:val="24"/>
          <w:highlight w:val="none"/>
          <w:lang w:val="zh-CN"/>
        </w:rPr>
        <w:t>（采购人）</w:t>
      </w:r>
    </w:p>
    <w:p w14:paraId="3307B669">
      <w:pPr>
        <w:kinsoku/>
        <w:wordWrap/>
        <w:overflowPunct/>
        <w:autoSpaceDE w:val="0"/>
        <w:autoSpaceDN w:val="0"/>
        <w:bidi w:val="0"/>
        <w:adjustRightInd w:val="0"/>
        <w:spacing w:before="156" w:beforeLines="50" w:line="360" w:lineRule="auto"/>
        <w:ind w:firstLine="480" w:firstLineChars="200"/>
        <w:rPr>
          <w:rFonts w:hint="eastAsia" w:ascii="宋体" w:hAnsi="宋体" w:eastAsia="宋体" w:cs="宋体"/>
          <w:color w:val="auto"/>
          <w:spacing w:val="0"/>
          <w:position w:val="0"/>
          <w:sz w:val="24"/>
          <w:szCs w:val="24"/>
          <w:highlight w:val="none"/>
          <w:lang w:val="zh-CN"/>
        </w:rPr>
      </w:pPr>
      <w:r>
        <w:rPr>
          <w:rFonts w:hint="eastAsia" w:ascii="宋体" w:hAnsi="宋体" w:eastAsia="宋体" w:cs="宋体"/>
          <w:color w:val="auto"/>
          <w:spacing w:val="0"/>
          <w:position w:val="0"/>
          <w:sz w:val="24"/>
          <w:szCs w:val="24"/>
          <w:highlight w:val="none"/>
          <w:lang w:val="zh-CN"/>
        </w:rPr>
        <w:t>根据贵方</w:t>
      </w:r>
      <w:r>
        <w:rPr>
          <w:rFonts w:hint="eastAsia" w:ascii="宋体" w:hAnsi="宋体" w:eastAsia="宋体" w:cs="宋体"/>
          <w:color w:val="auto"/>
          <w:spacing w:val="0"/>
          <w:position w:val="0"/>
          <w:sz w:val="24"/>
          <w:szCs w:val="24"/>
          <w:highlight w:val="none"/>
          <w:u w:val="single"/>
          <w:lang w:val="zh-CN"/>
        </w:rPr>
        <w:t>（</w:t>
      </w:r>
      <w:r>
        <w:rPr>
          <w:rFonts w:hint="eastAsia" w:ascii="宋体" w:hAnsi="宋体" w:cs="宋体"/>
          <w:color w:val="auto"/>
          <w:spacing w:val="0"/>
          <w:position w:val="0"/>
          <w:sz w:val="24"/>
          <w:szCs w:val="24"/>
          <w:highlight w:val="none"/>
          <w:u w:val="single"/>
          <w:lang w:val="en-US" w:eastAsia="zh-CN"/>
        </w:rPr>
        <w:t>标项名称</w:t>
      </w:r>
      <w:r>
        <w:rPr>
          <w:rFonts w:hint="eastAsia" w:ascii="宋体" w:hAnsi="宋体" w:eastAsia="宋体" w:cs="宋体"/>
          <w:color w:val="auto"/>
          <w:spacing w:val="0"/>
          <w:position w:val="0"/>
          <w:sz w:val="24"/>
          <w:szCs w:val="24"/>
          <w:highlight w:val="none"/>
          <w:u w:val="single"/>
          <w:lang w:val="zh-CN"/>
        </w:rPr>
        <w:t>）</w:t>
      </w:r>
      <w:r>
        <w:rPr>
          <w:rFonts w:hint="eastAsia" w:ascii="宋体" w:hAnsi="宋体" w:eastAsia="宋体" w:cs="宋体"/>
          <w:color w:val="auto"/>
          <w:spacing w:val="0"/>
          <w:position w:val="0"/>
          <w:sz w:val="24"/>
          <w:szCs w:val="24"/>
          <w:highlight w:val="none"/>
          <w:lang w:val="zh-CN"/>
        </w:rPr>
        <w:t>的磋商文件，我方正式在项目所属电子交易平台上传电子响应文件。</w:t>
      </w:r>
    </w:p>
    <w:p w14:paraId="3F3A803B">
      <w:pPr>
        <w:kinsoku/>
        <w:wordWrap/>
        <w:overflowPunct/>
        <w:bidi w:val="0"/>
        <w:spacing w:line="360" w:lineRule="auto"/>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据此函，签字人兹同意如下：</w:t>
      </w:r>
    </w:p>
    <w:p w14:paraId="215CD31E">
      <w:pPr>
        <w:kinsoku/>
        <w:wordWrap/>
        <w:overflowPunct/>
        <w:bidi w:val="0"/>
        <w:spacing w:line="360" w:lineRule="auto"/>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1、总报价为（大写）</w:t>
      </w:r>
      <w:r>
        <w:rPr>
          <w:rFonts w:hint="eastAsia" w:ascii="宋体" w:hAnsi="宋体" w:eastAsia="宋体" w:cs="宋体"/>
          <w:b/>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元人民币。</w:t>
      </w:r>
    </w:p>
    <w:p w14:paraId="14C4E6F8">
      <w:pPr>
        <w:kinsoku/>
        <w:wordWrap/>
        <w:overflowPunct/>
        <w:bidi w:val="0"/>
        <w:spacing w:line="360" w:lineRule="auto"/>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2、我们同意提供贵方可能要求的与本次磋商有关的任何证据或资料。</w:t>
      </w:r>
    </w:p>
    <w:p w14:paraId="437D5AA2">
      <w:pPr>
        <w:kinsoku/>
        <w:wordWrap/>
        <w:overflowPunct/>
        <w:bidi w:val="0"/>
        <w:spacing w:line="360" w:lineRule="auto"/>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3、一旦我方成交，我方承诺将根据磋商文件与贵方签订书面合同，并严格履行合同义务。</w:t>
      </w:r>
    </w:p>
    <w:p w14:paraId="2A636F87">
      <w:pPr>
        <w:kinsoku/>
        <w:wordWrap/>
        <w:overflowPunct/>
        <w:bidi w:val="0"/>
        <w:spacing w:line="360" w:lineRule="auto"/>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4、我方指派</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（姓名）为项目</w:t>
      </w:r>
      <w:r>
        <w:rPr>
          <w:rFonts w:hint="eastAsia" w:ascii="宋体" w:hAnsi="宋体" w:eastAsia="宋体" w:cs="宋体"/>
          <w:color w:val="auto"/>
          <w:spacing w:val="0"/>
          <w:position w:val="0"/>
          <w:sz w:val="24"/>
          <w:szCs w:val="24"/>
          <w:highlight w:val="none"/>
          <w:lang w:eastAsia="zh-CN"/>
        </w:rPr>
        <w:t>负责人</w:t>
      </w:r>
      <w:r>
        <w:rPr>
          <w:rFonts w:hint="eastAsia" w:ascii="宋体" w:hAnsi="宋体" w:eastAsia="宋体" w:cs="宋体"/>
          <w:color w:val="auto"/>
          <w:spacing w:val="0"/>
          <w:position w:val="0"/>
          <w:sz w:val="24"/>
          <w:szCs w:val="24"/>
          <w:highlight w:val="none"/>
        </w:rPr>
        <w:t>，保证于承诺的时间内完成本次发包范围内的任务，并交付贵方验收、使用。</w:t>
      </w:r>
    </w:p>
    <w:p w14:paraId="2F245BF7">
      <w:pPr>
        <w:kinsoku/>
        <w:wordWrap/>
        <w:overflowPunct/>
        <w:bidi w:val="0"/>
        <w:spacing w:line="360" w:lineRule="auto"/>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我方决不提供虚假材料谋取成交，决不采取不正当手段诋毁、排挤其他供应商，决不与采购人、其它供应商恶意串通，决不向采购人及磋商小组进行商业贿赂。如有违反，愿无条件接受贵方及相关管理部门的处罚。</w:t>
      </w:r>
    </w:p>
    <w:p w14:paraId="6B33E76D">
      <w:pPr>
        <w:kinsoku/>
        <w:wordWrap/>
        <w:overflowPunct/>
        <w:bidi w:val="0"/>
        <w:spacing w:line="360" w:lineRule="auto"/>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6、随本申请递交的磋商申请附录是本申请的组成部分，对我方构成约束力。</w:t>
      </w:r>
    </w:p>
    <w:p w14:paraId="73DEA3CC">
      <w:pPr>
        <w:kinsoku/>
        <w:wordWrap/>
        <w:overflowPunct/>
        <w:bidi w:val="0"/>
        <w:spacing w:line="360" w:lineRule="auto"/>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7、与本申请有关的正式通讯地址为：</w:t>
      </w:r>
    </w:p>
    <w:p w14:paraId="40122082">
      <w:pPr>
        <w:kinsoku/>
        <w:wordWrap/>
        <w:overflowPunct/>
        <w:bidi w:val="0"/>
        <w:spacing w:line="360" w:lineRule="auto"/>
        <w:ind w:firstLine="480" w:firstLineChars="200"/>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地   址：</w:t>
      </w:r>
      <w:r>
        <w:rPr>
          <w:rFonts w:hint="eastAsia" w:ascii="宋体" w:hAnsi="宋体" w:eastAsia="宋体" w:cs="宋体"/>
          <w:color w:val="auto"/>
          <w:spacing w:val="0"/>
          <w:position w:val="0"/>
          <w:sz w:val="24"/>
          <w:szCs w:val="24"/>
          <w:highlight w:val="none"/>
          <w:u w:val="single"/>
        </w:rPr>
        <w:t xml:space="preserve">                       </w:t>
      </w:r>
    </w:p>
    <w:p w14:paraId="7E576EC5">
      <w:pPr>
        <w:kinsoku/>
        <w:wordWrap/>
        <w:overflowPunct/>
        <w:bidi w:val="0"/>
        <w:spacing w:line="360" w:lineRule="auto"/>
        <w:ind w:firstLine="480" w:firstLineChars="200"/>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电   话：</w:t>
      </w:r>
      <w:r>
        <w:rPr>
          <w:rFonts w:hint="eastAsia" w:ascii="宋体" w:hAnsi="宋体" w:eastAsia="宋体" w:cs="宋体"/>
          <w:color w:val="auto"/>
          <w:spacing w:val="0"/>
          <w:position w:val="0"/>
          <w:sz w:val="24"/>
          <w:szCs w:val="24"/>
          <w:highlight w:val="none"/>
          <w:u w:val="single"/>
        </w:rPr>
        <w:t xml:space="preserve">                       </w:t>
      </w:r>
    </w:p>
    <w:p w14:paraId="14A54021">
      <w:pPr>
        <w:kinsoku/>
        <w:wordWrap/>
        <w:overflowPunct/>
        <w:bidi w:val="0"/>
        <w:spacing w:line="360" w:lineRule="auto"/>
        <w:ind w:firstLine="480" w:firstLineChars="200"/>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传   真：</w:t>
      </w:r>
      <w:r>
        <w:rPr>
          <w:rFonts w:hint="eastAsia" w:ascii="宋体" w:hAnsi="宋体" w:eastAsia="宋体" w:cs="宋体"/>
          <w:color w:val="auto"/>
          <w:spacing w:val="0"/>
          <w:position w:val="0"/>
          <w:sz w:val="24"/>
          <w:szCs w:val="24"/>
          <w:highlight w:val="none"/>
          <w:u w:val="single"/>
        </w:rPr>
        <w:t xml:space="preserve">                       </w:t>
      </w:r>
    </w:p>
    <w:p w14:paraId="42F0F9CF">
      <w:pPr>
        <w:kinsoku/>
        <w:wordWrap/>
        <w:overflowPunct/>
        <w:bidi w:val="0"/>
        <w:spacing w:line="360" w:lineRule="auto"/>
        <w:ind w:firstLine="480" w:firstLineChars="200"/>
        <w:rPr>
          <w:rFonts w:hint="eastAsia" w:ascii="宋体" w:hAnsi="宋体" w:eastAsia="宋体" w:cs="宋体"/>
          <w:color w:val="auto"/>
          <w:spacing w:val="0"/>
          <w:position w:val="0"/>
          <w:sz w:val="24"/>
          <w:szCs w:val="24"/>
          <w:highlight w:val="none"/>
        </w:rPr>
      </w:pPr>
    </w:p>
    <w:p w14:paraId="67138430">
      <w:pPr>
        <w:kinsoku/>
        <w:wordWrap/>
        <w:overflowPunct/>
        <w:bidi w:val="0"/>
        <w:spacing w:before="50" w:after="156" w:afterLines="50" w:line="360" w:lineRule="auto"/>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法定代表人或其授权代表（签字或盖章）：</w:t>
      </w:r>
      <w:r>
        <w:rPr>
          <w:rFonts w:hint="eastAsia" w:ascii="宋体" w:hAnsi="宋体" w:eastAsia="宋体" w:cs="宋体"/>
          <w:color w:val="auto"/>
          <w:spacing w:val="0"/>
          <w:position w:val="0"/>
          <w:sz w:val="24"/>
          <w:szCs w:val="24"/>
          <w:highlight w:val="none"/>
          <w:u w:val="single"/>
        </w:rPr>
        <w:t xml:space="preserve">         </w:t>
      </w:r>
    </w:p>
    <w:p w14:paraId="2A4AEE2E">
      <w:pPr>
        <w:kinsoku/>
        <w:wordWrap/>
        <w:overflowPunct/>
        <w:bidi w:val="0"/>
        <w:spacing w:line="360" w:lineRule="auto"/>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供应商名称（盖单位章）：</w:t>
      </w:r>
      <w:r>
        <w:rPr>
          <w:rFonts w:hint="eastAsia" w:ascii="宋体" w:hAnsi="宋体" w:eastAsia="宋体" w:cs="宋体"/>
          <w:color w:val="auto"/>
          <w:spacing w:val="0"/>
          <w:position w:val="0"/>
          <w:sz w:val="24"/>
          <w:szCs w:val="24"/>
          <w:highlight w:val="none"/>
          <w:u w:val="single"/>
        </w:rPr>
        <w:t xml:space="preserve">                 </w:t>
      </w:r>
    </w:p>
    <w:p w14:paraId="2C970053">
      <w:pPr>
        <w:kinsoku/>
        <w:wordWrap/>
        <w:overflowPunct/>
        <w:bidi w:val="0"/>
        <w:spacing w:line="360" w:lineRule="auto"/>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日    期：</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月</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日</w:t>
      </w:r>
    </w:p>
    <w:p w14:paraId="58DFED53">
      <w:pPr>
        <w:pStyle w:val="4"/>
        <w:kinsoku/>
        <w:wordWrap/>
        <w:overflowPunct/>
        <w:bidi w:val="0"/>
        <w:spacing w:before="0" w:after="0" w:line="360" w:lineRule="auto"/>
        <w:jc w:val="center"/>
        <w:rPr>
          <w:rFonts w:hint="eastAsia" w:ascii="宋体" w:hAnsi="宋体" w:eastAsia="宋体" w:cs="宋体"/>
          <w:b/>
          <w:bCs/>
          <w:color w:val="auto"/>
          <w:spacing w:val="0"/>
          <w:position w:val="0"/>
          <w:sz w:val="24"/>
          <w:szCs w:val="24"/>
          <w:highlight w:val="none"/>
          <w:u w:val="none"/>
          <w:lang w:val="zh-CN" w:eastAsia="zh-CN"/>
        </w:rPr>
      </w:pPr>
      <w:r>
        <w:rPr>
          <w:rFonts w:hint="eastAsia" w:ascii="宋体" w:hAnsi="宋体" w:eastAsia="宋体" w:cs="宋体"/>
          <w:b/>
          <w:bCs/>
          <w:color w:val="auto"/>
          <w:spacing w:val="0"/>
          <w:position w:val="0"/>
          <w:sz w:val="24"/>
          <w:szCs w:val="24"/>
          <w:highlight w:val="none"/>
          <w:u w:val="none"/>
          <w:lang w:val="zh-CN" w:eastAsia="zh-CN"/>
        </w:rPr>
        <w:br w:type="page"/>
      </w:r>
      <w:bookmarkStart w:id="1301" w:name="_Toc1192"/>
      <w:bookmarkStart w:id="1302" w:name="_Toc27439"/>
      <w:r>
        <w:rPr>
          <w:rFonts w:hint="eastAsia" w:ascii="宋体" w:hAnsi="宋体" w:eastAsia="宋体" w:cs="宋体"/>
          <w:color w:val="auto"/>
          <w:spacing w:val="0"/>
          <w:position w:val="0"/>
          <w:sz w:val="28"/>
          <w:szCs w:val="28"/>
          <w:highlight w:val="none"/>
          <w:lang w:val="zh-CN" w:eastAsia="zh-CN"/>
        </w:rPr>
        <w:t>（二）法定代表人身份证明或附有法定代表人身份证明的授权书</w:t>
      </w:r>
      <w:bookmarkEnd w:id="1301"/>
    </w:p>
    <w:bookmarkEnd w:id="1302"/>
    <w:p w14:paraId="0C6EDE89">
      <w:pPr>
        <w:kinsoku/>
        <w:wordWrap/>
        <w:overflowPunct/>
        <w:bidi w:val="0"/>
        <w:spacing w:line="360" w:lineRule="auto"/>
        <w:ind w:firstLine="420"/>
        <w:jc w:val="center"/>
        <w:rPr>
          <w:rFonts w:hint="eastAsia" w:ascii="宋体" w:hAnsi="宋体" w:eastAsia="宋体" w:cs="宋体"/>
          <w:color w:val="auto"/>
          <w:spacing w:val="0"/>
          <w:position w:val="0"/>
          <w:szCs w:val="21"/>
          <w:highlight w:val="none"/>
        </w:rPr>
      </w:pPr>
    </w:p>
    <w:p w14:paraId="2A387AD4">
      <w:pPr>
        <w:kinsoku/>
        <w:wordWrap/>
        <w:overflowPunct/>
        <w:bidi w:val="0"/>
        <w:spacing w:line="360" w:lineRule="auto"/>
        <w:jc w:val="center"/>
        <w:rPr>
          <w:rFonts w:hint="eastAsia" w:ascii="宋体" w:hAnsi="宋体" w:eastAsia="宋体" w:cs="宋体"/>
          <w:b/>
          <w:color w:val="auto"/>
          <w:spacing w:val="0"/>
          <w:position w:val="0"/>
          <w:sz w:val="24"/>
          <w:highlight w:val="none"/>
        </w:rPr>
      </w:pPr>
      <w:r>
        <w:rPr>
          <w:rFonts w:hint="eastAsia" w:ascii="宋体" w:hAnsi="宋体" w:eastAsia="宋体" w:cs="宋体"/>
          <w:b/>
          <w:bCs/>
          <w:color w:val="auto"/>
          <w:spacing w:val="0"/>
          <w:position w:val="0"/>
          <w:sz w:val="24"/>
          <w:highlight w:val="none"/>
        </w:rPr>
        <w:t>法定代表人身份证明</w:t>
      </w:r>
    </w:p>
    <w:p w14:paraId="3AD91FEA">
      <w:pPr>
        <w:kinsoku/>
        <w:wordWrap/>
        <w:overflowPunct/>
        <w:bidi w:val="0"/>
        <w:spacing w:line="360" w:lineRule="auto"/>
        <w:ind w:firstLine="480"/>
        <w:rPr>
          <w:rFonts w:hint="eastAsia" w:ascii="宋体" w:hAnsi="宋体" w:eastAsia="宋体" w:cs="宋体"/>
          <w:color w:val="auto"/>
          <w:spacing w:val="0"/>
          <w:position w:val="0"/>
          <w:sz w:val="24"/>
          <w:highlight w:val="none"/>
        </w:rPr>
      </w:pPr>
    </w:p>
    <w:p w14:paraId="57D16A2D">
      <w:pPr>
        <w:kinsoku/>
        <w:wordWrap/>
        <w:overflowPunct/>
        <w:bidi w:val="0"/>
        <w:spacing w:line="360" w:lineRule="auto"/>
        <w:ind w:firstLine="420"/>
        <w:rPr>
          <w:rFonts w:hint="eastAsia" w:ascii="宋体" w:hAnsi="宋体" w:eastAsia="宋体" w:cs="宋体"/>
          <w:color w:val="auto"/>
          <w:spacing w:val="0"/>
          <w:position w:val="0"/>
          <w:szCs w:val="21"/>
          <w:highlight w:val="none"/>
        </w:rPr>
      </w:pPr>
    </w:p>
    <w:p w14:paraId="36CD4FAA">
      <w:pPr>
        <w:kinsoku/>
        <w:wordWrap/>
        <w:overflowPunct/>
        <w:bidi w:val="0"/>
        <w:spacing w:line="360" w:lineRule="auto"/>
        <w:ind w:firstLine="42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供应商名称：</w:t>
      </w:r>
      <w:r>
        <w:rPr>
          <w:rFonts w:hint="eastAsia" w:ascii="宋体" w:hAnsi="宋体" w:eastAsia="宋体" w:cs="宋体"/>
          <w:color w:val="auto"/>
          <w:spacing w:val="0"/>
          <w:position w:val="0"/>
          <w:sz w:val="24"/>
          <w:szCs w:val="24"/>
          <w:highlight w:val="none"/>
          <w:u w:val="single"/>
        </w:rPr>
        <w:t xml:space="preserve">                                             </w:t>
      </w:r>
    </w:p>
    <w:p w14:paraId="26AC768C">
      <w:pPr>
        <w:kinsoku/>
        <w:wordWrap/>
        <w:overflowPunct/>
        <w:bidi w:val="0"/>
        <w:spacing w:line="360" w:lineRule="auto"/>
        <w:ind w:firstLine="42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单位性质：</w:t>
      </w:r>
      <w:r>
        <w:rPr>
          <w:rFonts w:hint="eastAsia" w:ascii="宋体" w:hAnsi="宋体" w:eastAsia="宋体" w:cs="宋体"/>
          <w:color w:val="auto"/>
          <w:spacing w:val="0"/>
          <w:position w:val="0"/>
          <w:sz w:val="24"/>
          <w:szCs w:val="24"/>
          <w:highlight w:val="none"/>
          <w:u w:val="single"/>
        </w:rPr>
        <w:t xml:space="preserve">                                             </w:t>
      </w:r>
    </w:p>
    <w:p w14:paraId="73BE7B0D">
      <w:pPr>
        <w:kinsoku/>
        <w:wordWrap/>
        <w:overflowPunct/>
        <w:bidi w:val="0"/>
        <w:spacing w:line="360" w:lineRule="auto"/>
        <w:ind w:firstLine="42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地    址：</w:t>
      </w:r>
      <w:r>
        <w:rPr>
          <w:rFonts w:hint="eastAsia" w:ascii="宋体" w:hAnsi="宋体" w:eastAsia="宋体" w:cs="宋体"/>
          <w:color w:val="auto"/>
          <w:spacing w:val="0"/>
          <w:position w:val="0"/>
          <w:sz w:val="24"/>
          <w:szCs w:val="24"/>
          <w:highlight w:val="none"/>
          <w:u w:val="single"/>
        </w:rPr>
        <w:t xml:space="preserve">                                             </w:t>
      </w:r>
    </w:p>
    <w:p w14:paraId="466A2D64">
      <w:pPr>
        <w:kinsoku/>
        <w:wordWrap/>
        <w:overflowPunct/>
        <w:bidi w:val="0"/>
        <w:spacing w:line="360" w:lineRule="auto"/>
        <w:ind w:firstLine="42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成立时间：</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月</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日</w:t>
      </w:r>
    </w:p>
    <w:p w14:paraId="424CAB64">
      <w:pPr>
        <w:kinsoku/>
        <w:wordWrap/>
        <w:overflowPunct/>
        <w:bidi w:val="0"/>
        <w:spacing w:line="360" w:lineRule="auto"/>
        <w:ind w:firstLine="42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经营期限：</w:t>
      </w:r>
      <w:r>
        <w:rPr>
          <w:rFonts w:hint="eastAsia" w:ascii="宋体" w:hAnsi="宋体" w:eastAsia="宋体" w:cs="宋体"/>
          <w:color w:val="auto"/>
          <w:spacing w:val="0"/>
          <w:position w:val="0"/>
          <w:sz w:val="24"/>
          <w:szCs w:val="24"/>
          <w:highlight w:val="none"/>
          <w:u w:val="single"/>
        </w:rPr>
        <w:t xml:space="preserve">                                             </w:t>
      </w:r>
    </w:p>
    <w:p w14:paraId="2C553978">
      <w:pPr>
        <w:kinsoku/>
        <w:wordWrap/>
        <w:overflowPunct/>
        <w:bidi w:val="0"/>
        <w:spacing w:line="360" w:lineRule="auto"/>
        <w:ind w:firstLine="420"/>
        <w:rPr>
          <w:rFonts w:hint="eastAsia" w:ascii="宋体" w:hAnsi="宋体" w:eastAsia="宋体" w:cs="宋体"/>
          <w:color w:val="auto"/>
          <w:spacing w:val="0"/>
          <w:position w:val="0"/>
          <w:sz w:val="24"/>
          <w:szCs w:val="24"/>
          <w:highlight w:val="none"/>
        </w:rPr>
      </w:pPr>
    </w:p>
    <w:p w14:paraId="79061233">
      <w:pPr>
        <w:kinsoku/>
        <w:wordWrap/>
        <w:overflowPunct/>
        <w:bidi w:val="0"/>
        <w:spacing w:line="360" w:lineRule="auto"/>
        <w:ind w:firstLine="42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姓    名：</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性     别：</w:t>
      </w:r>
      <w:r>
        <w:rPr>
          <w:rFonts w:hint="eastAsia" w:ascii="宋体" w:hAnsi="宋体" w:eastAsia="宋体" w:cs="宋体"/>
          <w:color w:val="auto"/>
          <w:spacing w:val="0"/>
          <w:position w:val="0"/>
          <w:sz w:val="24"/>
          <w:szCs w:val="24"/>
          <w:highlight w:val="none"/>
          <w:u w:val="single"/>
        </w:rPr>
        <w:t xml:space="preserve">              </w:t>
      </w:r>
    </w:p>
    <w:p w14:paraId="32E14B59">
      <w:pPr>
        <w:kinsoku/>
        <w:wordWrap/>
        <w:overflowPunct/>
        <w:bidi w:val="0"/>
        <w:spacing w:line="360" w:lineRule="auto"/>
        <w:ind w:firstLine="420"/>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年    龄：</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职     务：</w:t>
      </w:r>
      <w:r>
        <w:rPr>
          <w:rFonts w:hint="eastAsia" w:ascii="宋体" w:hAnsi="宋体" w:eastAsia="宋体" w:cs="宋体"/>
          <w:color w:val="auto"/>
          <w:spacing w:val="0"/>
          <w:position w:val="0"/>
          <w:sz w:val="24"/>
          <w:szCs w:val="24"/>
          <w:highlight w:val="none"/>
          <w:u w:val="single"/>
        </w:rPr>
        <w:t xml:space="preserve">              </w:t>
      </w:r>
    </w:p>
    <w:p w14:paraId="590DDEC1">
      <w:pPr>
        <w:kinsoku/>
        <w:wordWrap/>
        <w:overflowPunct/>
        <w:bidi w:val="0"/>
        <w:spacing w:line="360" w:lineRule="auto"/>
        <w:ind w:firstLine="420"/>
        <w:rPr>
          <w:rFonts w:hint="eastAsia" w:ascii="宋体" w:hAnsi="宋体" w:eastAsia="宋体" w:cs="宋体"/>
          <w:color w:val="auto"/>
          <w:spacing w:val="0"/>
          <w:position w:val="0"/>
          <w:sz w:val="24"/>
          <w:szCs w:val="24"/>
          <w:highlight w:val="none"/>
        </w:rPr>
      </w:pPr>
    </w:p>
    <w:p w14:paraId="5FD90A57">
      <w:pPr>
        <w:kinsoku/>
        <w:wordWrap/>
        <w:overflowPunct/>
        <w:bidi w:val="0"/>
        <w:spacing w:line="360" w:lineRule="auto"/>
        <w:ind w:firstLine="42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ab/>
      </w:r>
    </w:p>
    <w:p w14:paraId="3102CA72">
      <w:pPr>
        <w:kinsoku/>
        <w:wordWrap/>
        <w:overflowPunct/>
        <w:bidi w:val="0"/>
        <w:spacing w:line="360" w:lineRule="auto"/>
        <w:ind w:firstLine="42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系</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（供应商）的法定代表人。</w:t>
      </w:r>
    </w:p>
    <w:p w14:paraId="4CA0EA06">
      <w:pPr>
        <w:kinsoku/>
        <w:wordWrap/>
        <w:overflowPunct/>
        <w:bidi w:val="0"/>
        <w:spacing w:line="360" w:lineRule="auto"/>
        <w:ind w:firstLine="42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特此证明。</w:t>
      </w:r>
    </w:p>
    <w:p w14:paraId="4BC970FB">
      <w:pPr>
        <w:kinsoku/>
        <w:wordWrap/>
        <w:overflowPunct/>
        <w:bidi w:val="0"/>
        <w:spacing w:line="360" w:lineRule="auto"/>
        <w:ind w:firstLine="420"/>
        <w:rPr>
          <w:rFonts w:hint="eastAsia" w:ascii="宋体" w:hAnsi="宋体" w:eastAsia="宋体" w:cs="宋体"/>
          <w:color w:val="auto"/>
          <w:spacing w:val="0"/>
          <w:position w:val="0"/>
          <w:sz w:val="24"/>
          <w:szCs w:val="24"/>
          <w:highlight w:val="none"/>
        </w:rPr>
      </w:pPr>
    </w:p>
    <w:p w14:paraId="4A78115B">
      <w:pPr>
        <w:kinsoku/>
        <w:wordWrap/>
        <w:overflowPunct/>
        <w:bidi w:val="0"/>
        <w:spacing w:line="360" w:lineRule="auto"/>
        <w:ind w:firstLine="42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附：法定代表人身份证复印件正反面</w:t>
      </w:r>
    </w:p>
    <w:p w14:paraId="61E718CB">
      <w:pPr>
        <w:kinsoku/>
        <w:wordWrap/>
        <w:overflowPunct/>
        <w:bidi w:val="0"/>
        <w:spacing w:line="360" w:lineRule="auto"/>
        <w:ind w:firstLine="420"/>
        <w:rPr>
          <w:rFonts w:hint="eastAsia" w:ascii="宋体" w:hAnsi="宋体" w:eastAsia="宋体" w:cs="宋体"/>
          <w:color w:val="auto"/>
          <w:spacing w:val="0"/>
          <w:position w:val="0"/>
          <w:sz w:val="24"/>
          <w:szCs w:val="24"/>
          <w:highlight w:val="none"/>
        </w:rPr>
      </w:pPr>
    </w:p>
    <w:p w14:paraId="263B2254">
      <w:pPr>
        <w:kinsoku/>
        <w:wordWrap/>
        <w:overflowPunct/>
        <w:bidi w:val="0"/>
        <w:spacing w:line="360" w:lineRule="auto"/>
        <w:ind w:firstLine="420"/>
        <w:rPr>
          <w:rFonts w:hint="eastAsia" w:ascii="宋体" w:hAnsi="宋体" w:eastAsia="宋体" w:cs="宋体"/>
          <w:color w:val="auto"/>
          <w:spacing w:val="0"/>
          <w:position w:val="0"/>
          <w:sz w:val="24"/>
          <w:szCs w:val="24"/>
          <w:highlight w:val="none"/>
        </w:rPr>
      </w:pPr>
    </w:p>
    <w:p w14:paraId="16344D72">
      <w:pPr>
        <w:kinsoku/>
        <w:wordWrap/>
        <w:overflowPunct/>
        <w:bidi w:val="0"/>
        <w:spacing w:line="360" w:lineRule="auto"/>
        <w:ind w:firstLine="42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供应商（盖单位章）：</w:t>
      </w:r>
      <w:r>
        <w:rPr>
          <w:rFonts w:hint="eastAsia" w:ascii="宋体" w:hAnsi="宋体" w:eastAsia="宋体" w:cs="宋体"/>
          <w:color w:val="auto"/>
          <w:spacing w:val="0"/>
          <w:position w:val="0"/>
          <w:sz w:val="24"/>
          <w:szCs w:val="24"/>
          <w:highlight w:val="none"/>
          <w:u w:val="single"/>
        </w:rPr>
        <w:t xml:space="preserve">                           </w:t>
      </w:r>
    </w:p>
    <w:p w14:paraId="265DC9A0">
      <w:pPr>
        <w:kinsoku/>
        <w:wordWrap/>
        <w:overflowPunct/>
        <w:bidi w:val="0"/>
        <w:spacing w:line="360" w:lineRule="auto"/>
        <w:ind w:firstLine="42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日    期： </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月</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 xml:space="preserve">日  </w:t>
      </w:r>
    </w:p>
    <w:p w14:paraId="2F944FAA">
      <w:pPr>
        <w:kinsoku/>
        <w:wordWrap/>
        <w:overflowPunct/>
        <w:bidi w:val="0"/>
        <w:spacing w:line="360" w:lineRule="auto"/>
        <w:ind w:firstLine="420"/>
        <w:rPr>
          <w:rFonts w:hint="eastAsia" w:ascii="宋体" w:hAnsi="宋体" w:eastAsia="宋体" w:cs="宋体"/>
          <w:color w:val="auto"/>
          <w:spacing w:val="0"/>
          <w:position w:val="0"/>
          <w:sz w:val="24"/>
          <w:szCs w:val="24"/>
          <w:highlight w:val="none"/>
        </w:rPr>
      </w:pPr>
    </w:p>
    <w:p w14:paraId="21C88F50">
      <w:pPr>
        <w:kinsoku/>
        <w:wordWrap/>
        <w:overflowPunct/>
        <w:bidi w:val="0"/>
        <w:spacing w:line="360" w:lineRule="auto"/>
        <w:jc w:val="center"/>
        <w:rPr>
          <w:rFonts w:hint="eastAsia" w:ascii="宋体" w:hAnsi="宋体" w:eastAsia="宋体" w:cs="宋体"/>
          <w:b/>
          <w:bCs/>
          <w:color w:val="auto"/>
          <w:spacing w:val="0"/>
          <w:position w:val="0"/>
          <w:sz w:val="24"/>
          <w:highlight w:val="none"/>
          <w:lang w:val="zh-CN"/>
        </w:rPr>
      </w:pPr>
      <w:r>
        <w:rPr>
          <w:rFonts w:hint="eastAsia" w:ascii="宋体" w:hAnsi="宋体" w:eastAsia="宋体" w:cs="宋体"/>
          <w:color w:val="auto"/>
          <w:spacing w:val="0"/>
          <w:position w:val="0"/>
          <w:sz w:val="20"/>
          <w:highlight w:val="none"/>
        </w:rPr>
        <w:br w:type="page"/>
      </w:r>
      <w:r>
        <w:rPr>
          <w:rFonts w:hint="eastAsia" w:ascii="宋体" w:hAnsi="宋体" w:eastAsia="宋体" w:cs="宋体"/>
          <w:b/>
          <w:bCs/>
          <w:color w:val="auto"/>
          <w:spacing w:val="0"/>
          <w:position w:val="0"/>
          <w:sz w:val="24"/>
          <w:highlight w:val="none"/>
          <w:lang w:val="zh-CN"/>
        </w:rPr>
        <w:t>授权委托书</w:t>
      </w:r>
    </w:p>
    <w:p w14:paraId="1C65715A">
      <w:pPr>
        <w:pStyle w:val="23"/>
        <w:kinsoku/>
        <w:wordWrap/>
        <w:overflowPunct/>
        <w:bidi w:val="0"/>
        <w:adjustRightInd w:val="0"/>
        <w:snapToGrid w:val="0"/>
        <w:spacing w:line="360" w:lineRule="auto"/>
        <w:rPr>
          <w:rFonts w:hint="eastAsia" w:ascii="宋体" w:hAnsi="宋体" w:eastAsia="宋体" w:cs="宋体"/>
          <w:color w:val="auto"/>
          <w:spacing w:val="0"/>
          <w:position w:val="0"/>
          <w:highlight w:val="none"/>
        </w:rPr>
      </w:pPr>
    </w:p>
    <w:p w14:paraId="102B2D36">
      <w:pPr>
        <w:pStyle w:val="23"/>
        <w:kinsoku/>
        <w:wordWrap/>
        <w:overflowPunct/>
        <w:bidi w:val="0"/>
        <w:adjustRightInd w:val="0"/>
        <w:snapToGrid w:val="0"/>
        <w:spacing w:line="360" w:lineRule="auto"/>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本授权委托书声明：我</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 xml:space="preserve"> (姓名)系</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 xml:space="preserve">(供应商名称)的法定代表人，现授权委托 </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(姓名)为我公司本次磋商采购活动的授权代表，参加</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(采购人)的</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u w:val="single"/>
          <w:lang w:eastAsia="zh-CN"/>
        </w:rPr>
        <w:t>（</w:t>
      </w:r>
      <w:r>
        <w:rPr>
          <w:rFonts w:hint="eastAsia" w:ascii="宋体" w:hAnsi="宋体" w:eastAsia="宋体" w:cs="宋体"/>
          <w:color w:val="auto"/>
          <w:spacing w:val="0"/>
          <w:position w:val="0"/>
          <w:sz w:val="24"/>
          <w:szCs w:val="24"/>
          <w:highlight w:val="none"/>
          <w:u w:val="single"/>
        </w:rPr>
        <w:t>标项名称</w:t>
      </w:r>
      <w:r>
        <w:rPr>
          <w:rFonts w:hint="eastAsia" w:ascii="宋体" w:hAnsi="宋体" w:eastAsia="宋体" w:cs="宋体"/>
          <w:color w:val="auto"/>
          <w:spacing w:val="0"/>
          <w:position w:val="0"/>
          <w:sz w:val="24"/>
          <w:szCs w:val="24"/>
          <w:highlight w:val="none"/>
          <w:u w:val="single"/>
          <w:lang w:eastAsia="zh-CN"/>
        </w:rPr>
        <w:t>）</w:t>
      </w:r>
      <w:r>
        <w:rPr>
          <w:rFonts w:hint="eastAsia" w:ascii="宋体" w:hAnsi="宋体" w:eastAsia="宋体" w:cs="宋体"/>
          <w:color w:val="auto"/>
          <w:spacing w:val="0"/>
          <w:position w:val="0"/>
          <w:sz w:val="24"/>
          <w:szCs w:val="24"/>
          <w:highlight w:val="none"/>
        </w:rPr>
        <w:t>的磋商采购活动。授权代表在磋商、合同签订过程中所签署的一切文件和处理与之有关的一切事务，我均予以承认。</w:t>
      </w:r>
    </w:p>
    <w:p w14:paraId="3BAAC517">
      <w:pPr>
        <w:pStyle w:val="23"/>
        <w:kinsoku/>
        <w:wordWrap/>
        <w:overflowPunct/>
        <w:bidi w:val="0"/>
        <w:adjustRightInd w:val="0"/>
        <w:snapToGrid w:val="0"/>
        <w:spacing w:line="360" w:lineRule="auto"/>
        <w:rPr>
          <w:rFonts w:hint="eastAsia" w:ascii="宋体" w:hAnsi="宋体" w:eastAsia="宋体" w:cs="宋体"/>
          <w:color w:val="auto"/>
          <w:spacing w:val="0"/>
          <w:position w:val="0"/>
          <w:sz w:val="24"/>
          <w:szCs w:val="24"/>
          <w:highlight w:val="none"/>
        </w:rPr>
      </w:pPr>
    </w:p>
    <w:p w14:paraId="2B59FFB7">
      <w:pPr>
        <w:pStyle w:val="23"/>
        <w:kinsoku/>
        <w:wordWrap/>
        <w:overflowPunct/>
        <w:bidi w:val="0"/>
        <w:adjustRightInd w:val="0"/>
        <w:snapToGrid w:val="0"/>
        <w:spacing w:line="360" w:lineRule="auto"/>
        <w:ind w:left="412"/>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授权代表无转委托权。特此委托。</w:t>
      </w:r>
    </w:p>
    <w:p w14:paraId="62CBCF64">
      <w:pPr>
        <w:pStyle w:val="23"/>
        <w:kinsoku/>
        <w:wordWrap/>
        <w:overflowPunct/>
        <w:bidi w:val="0"/>
        <w:adjustRightInd w:val="0"/>
        <w:snapToGrid w:val="0"/>
        <w:spacing w:line="360" w:lineRule="auto"/>
        <w:ind w:left="412"/>
        <w:rPr>
          <w:rFonts w:hint="eastAsia" w:ascii="宋体" w:hAnsi="宋体" w:eastAsia="宋体" w:cs="宋体"/>
          <w:color w:val="auto"/>
          <w:spacing w:val="0"/>
          <w:position w:val="0"/>
          <w:sz w:val="24"/>
          <w:szCs w:val="24"/>
          <w:highlight w:val="none"/>
        </w:rPr>
      </w:pPr>
    </w:p>
    <w:p w14:paraId="5E7E9533">
      <w:pPr>
        <w:pStyle w:val="23"/>
        <w:kinsoku/>
        <w:wordWrap/>
        <w:overflowPunct/>
        <w:bidi w:val="0"/>
        <w:adjustRightInd w:val="0"/>
        <w:snapToGrid w:val="0"/>
        <w:spacing w:line="360" w:lineRule="auto"/>
        <w:ind w:left="412"/>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授权代表（姓名）：               性别：                    年龄：</w:t>
      </w:r>
    </w:p>
    <w:p w14:paraId="3FDBBC61">
      <w:pPr>
        <w:pStyle w:val="23"/>
        <w:kinsoku/>
        <w:wordWrap/>
        <w:overflowPunct/>
        <w:bidi w:val="0"/>
        <w:adjustRightInd w:val="0"/>
        <w:snapToGrid w:val="0"/>
        <w:spacing w:line="360" w:lineRule="auto"/>
        <w:ind w:firstLine="42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单           位：               部门：                    职务：</w:t>
      </w:r>
    </w:p>
    <w:p w14:paraId="6BF57FBA">
      <w:pPr>
        <w:pStyle w:val="23"/>
        <w:kinsoku/>
        <w:wordWrap/>
        <w:overflowPunct/>
        <w:bidi w:val="0"/>
        <w:adjustRightInd w:val="0"/>
        <w:snapToGrid w:val="0"/>
        <w:spacing w:line="360" w:lineRule="auto"/>
        <w:ind w:firstLine="420"/>
        <w:rPr>
          <w:rFonts w:hint="eastAsia" w:ascii="宋体" w:hAnsi="宋体" w:eastAsia="宋体" w:cs="宋体"/>
          <w:color w:val="auto"/>
          <w:spacing w:val="0"/>
          <w:position w:val="0"/>
          <w:sz w:val="24"/>
          <w:szCs w:val="24"/>
          <w:highlight w:val="none"/>
        </w:rPr>
      </w:pPr>
    </w:p>
    <w:p w14:paraId="7BA72237">
      <w:pPr>
        <w:pStyle w:val="23"/>
        <w:kinsoku/>
        <w:wordWrap/>
        <w:overflowPunct/>
        <w:bidi w:val="0"/>
        <w:adjustRightInd w:val="0"/>
        <w:snapToGrid w:val="0"/>
        <w:spacing w:line="360" w:lineRule="auto"/>
        <w:ind w:firstLine="42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附：授权代表身份证复印件正反面</w:t>
      </w:r>
    </w:p>
    <w:p w14:paraId="20AC0675">
      <w:pPr>
        <w:pStyle w:val="23"/>
        <w:kinsoku/>
        <w:wordWrap/>
        <w:overflowPunct/>
        <w:bidi w:val="0"/>
        <w:adjustRightInd w:val="0"/>
        <w:snapToGrid w:val="0"/>
        <w:spacing w:line="360" w:lineRule="auto"/>
        <w:ind w:firstLine="420"/>
        <w:rPr>
          <w:rFonts w:hint="eastAsia" w:ascii="宋体" w:hAnsi="宋体" w:eastAsia="宋体" w:cs="宋体"/>
          <w:color w:val="auto"/>
          <w:spacing w:val="0"/>
          <w:position w:val="0"/>
          <w:sz w:val="24"/>
          <w:szCs w:val="24"/>
          <w:highlight w:val="none"/>
        </w:rPr>
      </w:pPr>
    </w:p>
    <w:p w14:paraId="5D01E271">
      <w:pPr>
        <w:pStyle w:val="23"/>
        <w:kinsoku/>
        <w:wordWrap/>
        <w:overflowPunct/>
        <w:bidi w:val="0"/>
        <w:adjustRightInd w:val="0"/>
        <w:snapToGrid w:val="0"/>
        <w:spacing w:line="360" w:lineRule="auto"/>
        <w:ind w:firstLine="420"/>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供应商名称 (盖单位章)：</w:t>
      </w:r>
    </w:p>
    <w:p w14:paraId="0A6E014D">
      <w:pPr>
        <w:pStyle w:val="23"/>
        <w:kinsoku/>
        <w:wordWrap/>
        <w:overflowPunct/>
        <w:bidi w:val="0"/>
        <w:adjustRightInd w:val="0"/>
        <w:snapToGrid w:val="0"/>
        <w:spacing w:line="360" w:lineRule="auto"/>
        <w:ind w:firstLine="42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法定代表人 (签字或盖章)：</w:t>
      </w:r>
    </w:p>
    <w:p w14:paraId="59E54AE3">
      <w:pPr>
        <w:pStyle w:val="23"/>
        <w:kinsoku/>
        <w:wordWrap/>
        <w:overflowPunct/>
        <w:bidi w:val="0"/>
        <w:adjustRightInd w:val="0"/>
        <w:snapToGrid w:val="0"/>
        <w:spacing w:line="360" w:lineRule="auto"/>
        <w:ind w:right="420" w:firstLine="480" w:firstLineChars="200"/>
        <w:rPr>
          <w:rFonts w:hint="eastAsia" w:ascii="宋体" w:hAnsi="宋体" w:eastAsia="宋体" w:cs="宋体"/>
          <w:color w:val="auto"/>
          <w:spacing w:val="0"/>
          <w:position w:val="0"/>
          <w:sz w:val="24"/>
          <w:szCs w:val="24"/>
          <w:highlight w:val="none"/>
        </w:rPr>
      </w:pPr>
    </w:p>
    <w:p w14:paraId="23FB6C2A">
      <w:pPr>
        <w:pStyle w:val="23"/>
        <w:kinsoku/>
        <w:wordWrap/>
        <w:overflowPunct/>
        <w:bidi w:val="0"/>
        <w:adjustRightInd w:val="0"/>
        <w:snapToGrid w:val="0"/>
        <w:spacing w:line="360" w:lineRule="auto"/>
        <w:ind w:right="420" w:firstLine="480" w:firstLineChars="200"/>
        <w:rPr>
          <w:rFonts w:hint="eastAsia" w:ascii="宋体" w:hAnsi="宋体" w:eastAsia="宋体" w:cs="宋体"/>
          <w:color w:val="auto"/>
          <w:spacing w:val="0"/>
          <w:position w:val="0"/>
          <w:sz w:val="24"/>
          <w:szCs w:val="24"/>
          <w:highlight w:val="none"/>
        </w:rPr>
      </w:pPr>
    </w:p>
    <w:p w14:paraId="06F9CA53">
      <w:pPr>
        <w:pStyle w:val="23"/>
        <w:kinsoku/>
        <w:wordWrap/>
        <w:overflowPunct/>
        <w:bidi w:val="0"/>
        <w:adjustRightInd w:val="0"/>
        <w:snapToGrid w:val="0"/>
        <w:spacing w:line="360" w:lineRule="auto"/>
        <w:ind w:right="420"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日期：</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月</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日</w:t>
      </w:r>
    </w:p>
    <w:p w14:paraId="387EF5CE">
      <w:pPr>
        <w:pStyle w:val="23"/>
        <w:kinsoku/>
        <w:wordWrap/>
        <w:overflowPunct/>
        <w:bidi w:val="0"/>
        <w:adjustRightInd w:val="0"/>
        <w:snapToGrid w:val="0"/>
        <w:spacing w:line="360" w:lineRule="auto"/>
        <w:rPr>
          <w:rFonts w:hint="eastAsia" w:ascii="宋体" w:hAnsi="宋体" w:eastAsia="宋体" w:cs="宋体"/>
          <w:color w:val="auto"/>
          <w:spacing w:val="0"/>
          <w:position w:val="0"/>
          <w:sz w:val="24"/>
          <w:szCs w:val="24"/>
          <w:highlight w:val="none"/>
        </w:rPr>
      </w:pPr>
    </w:p>
    <w:p w14:paraId="78278556">
      <w:pPr>
        <w:kinsoku/>
        <w:wordWrap/>
        <w:overflowPunct/>
        <w:bidi w:val="0"/>
        <w:rPr>
          <w:rFonts w:hint="eastAsia" w:ascii="宋体" w:hAnsi="宋体" w:eastAsia="宋体" w:cs="宋体"/>
          <w:color w:val="auto"/>
          <w:spacing w:val="0"/>
          <w:position w:val="0"/>
          <w:highlight w:val="none"/>
        </w:rPr>
      </w:pPr>
    </w:p>
    <w:p w14:paraId="3177EA40">
      <w:pPr>
        <w:kinsoku/>
        <w:wordWrap/>
        <w:overflowPunct/>
        <w:bidi w:val="0"/>
        <w:rPr>
          <w:rFonts w:hint="eastAsia" w:ascii="宋体" w:hAnsi="宋体" w:eastAsia="宋体" w:cs="宋体"/>
          <w:color w:val="auto"/>
          <w:spacing w:val="0"/>
          <w:position w:val="0"/>
          <w:sz w:val="28"/>
          <w:szCs w:val="28"/>
          <w:highlight w:val="none"/>
        </w:rPr>
      </w:pPr>
    </w:p>
    <w:p w14:paraId="4CC6EB5A">
      <w:pPr>
        <w:pStyle w:val="13"/>
        <w:kinsoku/>
        <w:wordWrap/>
        <w:overflowPunct/>
        <w:bidi w:val="0"/>
        <w:rPr>
          <w:rFonts w:hint="eastAsia" w:ascii="宋体" w:hAnsi="宋体" w:eastAsia="宋体" w:cs="宋体"/>
          <w:color w:val="auto"/>
          <w:spacing w:val="0"/>
          <w:position w:val="0"/>
          <w:sz w:val="28"/>
          <w:szCs w:val="28"/>
          <w:highlight w:val="none"/>
        </w:rPr>
      </w:pPr>
    </w:p>
    <w:p w14:paraId="783CC86B">
      <w:pPr>
        <w:kinsoku/>
        <w:wordWrap/>
        <w:overflowPunct/>
        <w:bidi w:val="0"/>
        <w:rPr>
          <w:rFonts w:hint="eastAsia" w:ascii="宋体" w:hAnsi="宋体" w:eastAsia="宋体" w:cs="宋体"/>
          <w:color w:val="auto"/>
          <w:spacing w:val="0"/>
          <w:position w:val="0"/>
          <w:highlight w:val="none"/>
        </w:rPr>
      </w:pPr>
    </w:p>
    <w:p w14:paraId="7A86C770">
      <w:pPr>
        <w:pStyle w:val="18"/>
        <w:kinsoku/>
        <w:wordWrap/>
        <w:overflowPunct/>
        <w:bidi w:val="0"/>
        <w:rPr>
          <w:rFonts w:hint="eastAsia" w:ascii="宋体" w:hAnsi="宋体" w:eastAsia="宋体" w:cs="宋体"/>
          <w:color w:val="auto"/>
          <w:spacing w:val="0"/>
          <w:position w:val="0"/>
          <w:sz w:val="28"/>
          <w:szCs w:val="28"/>
          <w:highlight w:val="none"/>
        </w:rPr>
      </w:pPr>
    </w:p>
    <w:p w14:paraId="59ECEB0B">
      <w:pPr>
        <w:kinsoku/>
        <w:wordWrap/>
        <w:overflowPunct/>
        <w:bidi w:val="0"/>
        <w:rPr>
          <w:rFonts w:hint="eastAsia" w:ascii="宋体" w:hAnsi="宋体" w:eastAsia="宋体" w:cs="宋体"/>
          <w:color w:val="auto"/>
          <w:spacing w:val="0"/>
          <w:position w:val="0"/>
          <w:sz w:val="28"/>
          <w:szCs w:val="28"/>
          <w:highlight w:val="none"/>
        </w:rPr>
      </w:pPr>
    </w:p>
    <w:p w14:paraId="79CF5F91">
      <w:pPr>
        <w:pStyle w:val="18"/>
        <w:kinsoku/>
        <w:wordWrap/>
        <w:overflowPunct/>
        <w:bidi w:val="0"/>
        <w:rPr>
          <w:rFonts w:hint="eastAsia" w:ascii="宋体" w:hAnsi="宋体" w:eastAsia="宋体" w:cs="宋体"/>
          <w:color w:val="auto"/>
          <w:spacing w:val="0"/>
          <w:position w:val="0"/>
          <w:sz w:val="28"/>
          <w:szCs w:val="28"/>
          <w:highlight w:val="none"/>
        </w:rPr>
      </w:pPr>
    </w:p>
    <w:p w14:paraId="749199D4">
      <w:pPr>
        <w:kinsoku/>
        <w:wordWrap/>
        <w:overflowPunct/>
        <w:bidi w:val="0"/>
        <w:rPr>
          <w:rFonts w:hint="eastAsia" w:ascii="宋体" w:hAnsi="宋体" w:eastAsia="宋体" w:cs="宋体"/>
          <w:color w:val="auto"/>
          <w:spacing w:val="0"/>
          <w:position w:val="0"/>
          <w:highlight w:val="none"/>
        </w:rPr>
      </w:pPr>
    </w:p>
    <w:p w14:paraId="48A5A0EA">
      <w:pPr>
        <w:pStyle w:val="4"/>
        <w:kinsoku/>
        <w:wordWrap/>
        <w:overflowPunct/>
        <w:bidi w:val="0"/>
        <w:spacing w:before="0" w:after="0" w:line="360" w:lineRule="auto"/>
        <w:jc w:val="center"/>
        <w:rPr>
          <w:rFonts w:hint="eastAsia" w:ascii="宋体" w:hAnsi="宋体" w:eastAsia="宋体" w:cs="宋体"/>
          <w:color w:val="auto"/>
          <w:spacing w:val="0"/>
          <w:position w:val="0"/>
          <w:sz w:val="28"/>
          <w:szCs w:val="28"/>
          <w:highlight w:val="none"/>
          <w:lang w:val="zh-CN" w:eastAsia="zh-CN"/>
        </w:rPr>
      </w:pPr>
      <w:bookmarkStart w:id="1303" w:name="_Toc19898"/>
      <w:bookmarkStart w:id="1304" w:name="_Toc20062"/>
      <w:r>
        <w:rPr>
          <w:rFonts w:hint="eastAsia" w:ascii="宋体" w:hAnsi="宋体" w:eastAsia="宋体" w:cs="宋体"/>
          <w:color w:val="auto"/>
          <w:spacing w:val="0"/>
          <w:position w:val="0"/>
          <w:sz w:val="28"/>
          <w:szCs w:val="28"/>
          <w:highlight w:val="none"/>
          <w:lang w:val="zh-CN" w:eastAsia="zh-CN"/>
        </w:rPr>
        <w:t>（三）磋商报价一览表</w:t>
      </w:r>
      <w:bookmarkEnd w:id="1303"/>
      <w:bookmarkEnd w:id="1304"/>
    </w:p>
    <w:p w14:paraId="4399E51C">
      <w:pPr>
        <w:kinsoku/>
        <w:wordWrap/>
        <w:overflowPunct/>
        <w:bidi w:val="0"/>
        <w:spacing w:after="156" w:afterLines="50"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标项</w:t>
      </w:r>
      <w:r>
        <w:rPr>
          <w:rFonts w:hint="eastAsia" w:ascii="宋体" w:hAnsi="宋体" w:eastAsia="宋体" w:cs="宋体"/>
          <w:color w:val="auto"/>
          <w:spacing w:val="0"/>
          <w:position w:val="0"/>
          <w:sz w:val="24"/>
          <w:szCs w:val="24"/>
          <w:highlight w:val="none"/>
        </w:rPr>
        <w:t xml:space="preserve">名称：                                                    </w:t>
      </w:r>
    </w:p>
    <w:p w14:paraId="3015D2BF">
      <w:pPr>
        <w:kinsoku/>
        <w:wordWrap/>
        <w:overflowPunct/>
        <w:bidi w:val="0"/>
        <w:spacing w:after="156" w:afterLines="50" w:line="360" w:lineRule="auto"/>
        <w:jc w:val="left"/>
        <w:rPr>
          <w:rFonts w:hint="eastAsia" w:ascii="宋体" w:hAnsi="宋体" w:eastAsia="宋体" w:cs="宋体"/>
          <w:b/>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报价单位：人民币元</w:t>
      </w:r>
    </w:p>
    <w:tbl>
      <w:tblPr>
        <w:tblStyle w:val="39"/>
        <w:tblW w:w="9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4"/>
        <w:gridCol w:w="5547"/>
      </w:tblGrid>
      <w:tr w14:paraId="3492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54" w:type="dxa"/>
            <w:noWrap w:val="0"/>
            <w:vAlign w:val="center"/>
          </w:tcPr>
          <w:p w14:paraId="777812DC">
            <w:pPr>
              <w:pStyle w:val="2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供应商全称</w:t>
            </w:r>
          </w:p>
        </w:tc>
        <w:tc>
          <w:tcPr>
            <w:tcW w:w="5547" w:type="dxa"/>
            <w:noWrap w:val="0"/>
            <w:vAlign w:val="center"/>
          </w:tcPr>
          <w:p w14:paraId="012C0BEA">
            <w:pPr>
              <w:pStyle w:val="2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position w:val="0"/>
                <w:sz w:val="24"/>
                <w:szCs w:val="24"/>
                <w:highlight w:val="none"/>
              </w:rPr>
            </w:pPr>
          </w:p>
        </w:tc>
      </w:tr>
      <w:tr w14:paraId="75DD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54" w:type="dxa"/>
            <w:noWrap w:val="0"/>
            <w:vAlign w:val="center"/>
          </w:tcPr>
          <w:p w14:paraId="336405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投标</w:t>
            </w:r>
            <w:r>
              <w:rPr>
                <w:rFonts w:hint="eastAsia" w:ascii="宋体" w:hAnsi="宋体" w:eastAsia="宋体" w:cs="宋体"/>
                <w:color w:val="auto"/>
                <w:spacing w:val="0"/>
                <w:position w:val="0"/>
                <w:sz w:val="24"/>
                <w:szCs w:val="24"/>
                <w:highlight w:val="none"/>
              </w:rPr>
              <w:t>总报价（元）</w:t>
            </w:r>
          </w:p>
        </w:tc>
        <w:tc>
          <w:tcPr>
            <w:tcW w:w="5547" w:type="dxa"/>
            <w:tcBorders>
              <w:bottom w:val="single" w:color="auto" w:sz="4" w:space="0"/>
            </w:tcBorders>
            <w:noWrap w:val="0"/>
            <w:vAlign w:val="center"/>
          </w:tcPr>
          <w:p w14:paraId="1E0127C0">
            <w:pPr>
              <w:pStyle w:val="23"/>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大写</w:t>
            </w:r>
            <w:r>
              <w:rPr>
                <w:rFonts w:hint="eastAsia" w:hAnsi="宋体" w:cs="宋体"/>
                <w:color w:val="auto"/>
                <w:spacing w:val="0"/>
                <w:position w:val="0"/>
                <w:sz w:val="24"/>
                <w:szCs w:val="24"/>
                <w:highlight w:val="none"/>
                <w:lang w:eastAsia="zh-CN"/>
              </w:rPr>
              <w:t>：</w:t>
            </w:r>
          </w:p>
          <w:p w14:paraId="016BD69C">
            <w:pPr>
              <w:pStyle w:val="23"/>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0"/>
                <w:position w:val="0"/>
                <w:sz w:val="24"/>
                <w:szCs w:val="24"/>
                <w:highlight w:val="none"/>
              </w:rPr>
            </w:pPr>
            <w:r>
              <w:rPr>
                <w:rFonts w:hint="eastAsia" w:hAnsi="宋体" w:cs="宋体"/>
                <w:color w:val="auto"/>
                <w:spacing w:val="0"/>
                <w:position w:val="0"/>
                <w:sz w:val="24"/>
                <w:szCs w:val="24"/>
                <w:highlight w:val="none"/>
                <w:lang w:val="en-US" w:eastAsia="zh-CN"/>
              </w:rPr>
              <w:t>大写：</w:t>
            </w:r>
          </w:p>
        </w:tc>
      </w:tr>
      <w:tr w14:paraId="3599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54" w:type="dxa"/>
            <w:noWrap w:val="0"/>
            <w:vAlign w:val="center"/>
          </w:tcPr>
          <w:p w14:paraId="04AA959E">
            <w:pPr>
              <w:pStyle w:val="2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响应文件有效期</w:t>
            </w:r>
          </w:p>
        </w:tc>
        <w:tc>
          <w:tcPr>
            <w:tcW w:w="5547" w:type="dxa"/>
            <w:noWrap w:val="0"/>
            <w:vAlign w:val="center"/>
          </w:tcPr>
          <w:p w14:paraId="3391F387">
            <w:pPr>
              <w:pStyle w:val="2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position w:val="0"/>
                <w:sz w:val="24"/>
                <w:szCs w:val="24"/>
                <w:highlight w:val="none"/>
              </w:rPr>
            </w:pPr>
          </w:p>
        </w:tc>
      </w:tr>
      <w:tr w14:paraId="2CA1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54" w:type="dxa"/>
            <w:noWrap w:val="0"/>
            <w:vAlign w:val="center"/>
          </w:tcPr>
          <w:p w14:paraId="1A220942">
            <w:pPr>
              <w:pStyle w:val="2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position w:val="0"/>
                <w:sz w:val="24"/>
                <w:szCs w:val="24"/>
                <w:highlight w:val="none"/>
                <w:lang w:eastAsia="zh-CN"/>
              </w:rPr>
            </w:pPr>
            <w:r>
              <w:rPr>
                <w:rFonts w:hint="eastAsia" w:hAnsi="宋体" w:cs="宋体"/>
                <w:color w:val="auto"/>
                <w:spacing w:val="0"/>
                <w:position w:val="0"/>
                <w:sz w:val="24"/>
                <w:szCs w:val="24"/>
                <w:highlight w:val="none"/>
                <w:lang w:val="en-US" w:eastAsia="zh-CN"/>
              </w:rPr>
              <w:t>工期（</w:t>
            </w:r>
            <w:r>
              <w:rPr>
                <w:rFonts w:hint="eastAsia" w:hAnsi="宋体" w:cs="宋体"/>
                <w:color w:val="auto"/>
                <w:spacing w:val="0"/>
                <w:position w:val="0"/>
                <w:sz w:val="24"/>
                <w:szCs w:val="24"/>
                <w:highlight w:val="none"/>
                <w:lang w:eastAsia="zh-CN"/>
              </w:rPr>
              <w:t>合同履约期限）</w:t>
            </w:r>
          </w:p>
        </w:tc>
        <w:tc>
          <w:tcPr>
            <w:tcW w:w="5547" w:type="dxa"/>
            <w:noWrap w:val="0"/>
            <w:vAlign w:val="center"/>
          </w:tcPr>
          <w:p w14:paraId="6E7256CE">
            <w:pPr>
              <w:pStyle w:val="2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position w:val="0"/>
                <w:sz w:val="24"/>
                <w:szCs w:val="24"/>
                <w:highlight w:val="none"/>
              </w:rPr>
            </w:pPr>
          </w:p>
        </w:tc>
      </w:tr>
      <w:tr w14:paraId="26BA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54" w:type="dxa"/>
            <w:noWrap w:val="0"/>
            <w:vAlign w:val="center"/>
          </w:tcPr>
          <w:p w14:paraId="58BAB0E0">
            <w:pPr>
              <w:pStyle w:val="2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质量标准</w:t>
            </w:r>
          </w:p>
        </w:tc>
        <w:tc>
          <w:tcPr>
            <w:tcW w:w="5547" w:type="dxa"/>
            <w:noWrap w:val="0"/>
            <w:vAlign w:val="center"/>
          </w:tcPr>
          <w:p w14:paraId="57835DFF">
            <w:pPr>
              <w:pStyle w:val="2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position w:val="0"/>
                <w:sz w:val="24"/>
                <w:szCs w:val="24"/>
                <w:highlight w:val="none"/>
              </w:rPr>
            </w:pPr>
          </w:p>
        </w:tc>
      </w:tr>
      <w:tr w14:paraId="3287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54" w:type="dxa"/>
            <w:noWrap w:val="0"/>
            <w:vAlign w:val="center"/>
          </w:tcPr>
          <w:p w14:paraId="6DEA979A">
            <w:pPr>
              <w:pStyle w:val="2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质量保证期</w:t>
            </w:r>
          </w:p>
        </w:tc>
        <w:tc>
          <w:tcPr>
            <w:tcW w:w="5547" w:type="dxa"/>
            <w:noWrap w:val="0"/>
            <w:vAlign w:val="center"/>
          </w:tcPr>
          <w:p w14:paraId="3DC9306A">
            <w:pPr>
              <w:pStyle w:val="2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position w:val="0"/>
                <w:sz w:val="24"/>
                <w:szCs w:val="24"/>
                <w:highlight w:val="none"/>
              </w:rPr>
            </w:pPr>
          </w:p>
        </w:tc>
      </w:tr>
      <w:tr w14:paraId="15AA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354" w:type="dxa"/>
            <w:noWrap w:val="0"/>
            <w:vAlign w:val="center"/>
          </w:tcPr>
          <w:p w14:paraId="59F8325A">
            <w:pPr>
              <w:pStyle w:val="2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备注</w:t>
            </w:r>
          </w:p>
        </w:tc>
        <w:tc>
          <w:tcPr>
            <w:tcW w:w="5547" w:type="dxa"/>
            <w:noWrap w:val="0"/>
            <w:vAlign w:val="center"/>
          </w:tcPr>
          <w:p w14:paraId="37D64143">
            <w:pPr>
              <w:pStyle w:val="23"/>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供应商在磋商文件中规定的实质性要求和条件的基础上，可做出其他有利于采购人的承诺。此类承诺可在本表中予以补充填写。</w:t>
            </w:r>
          </w:p>
        </w:tc>
      </w:tr>
    </w:tbl>
    <w:p w14:paraId="1EB2F851">
      <w:pPr>
        <w:kinsoku/>
        <w:wordWrap/>
        <w:overflowPunct/>
        <w:bidi w:val="0"/>
        <w:spacing w:line="360" w:lineRule="auto"/>
        <w:ind w:firstLine="480" w:firstLineChars="200"/>
        <w:rPr>
          <w:rFonts w:hint="eastAsia" w:ascii="宋体" w:hAnsi="宋体" w:eastAsia="宋体" w:cs="宋体"/>
          <w:color w:val="auto"/>
          <w:spacing w:val="0"/>
          <w:position w:val="0"/>
          <w:sz w:val="24"/>
          <w:szCs w:val="24"/>
          <w:highlight w:val="none"/>
        </w:rPr>
      </w:pPr>
    </w:p>
    <w:p w14:paraId="555A311E">
      <w:pPr>
        <w:kinsoku/>
        <w:wordWrap/>
        <w:overflowPunct/>
        <w:bidi w:val="0"/>
        <w:spacing w:before="50" w:after="156" w:afterLines="50" w:line="360" w:lineRule="auto"/>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法定代表人或其授权代表（签字或盖章）：</w:t>
      </w:r>
    </w:p>
    <w:p w14:paraId="1C24CA86">
      <w:pPr>
        <w:kinsoku/>
        <w:wordWrap/>
        <w:overflowPunct/>
        <w:bidi w:val="0"/>
        <w:spacing w:line="360" w:lineRule="auto"/>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供应商名称(盖单位章)：</w:t>
      </w:r>
    </w:p>
    <w:p w14:paraId="15091169">
      <w:pPr>
        <w:kinsoku/>
        <w:wordWrap/>
        <w:overflowPunct/>
        <w:bidi w:val="0"/>
        <w:spacing w:line="360" w:lineRule="auto"/>
        <w:ind w:firstLine="480" w:firstLineChars="200"/>
        <w:rPr>
          <w:rFonts w:hint="eastAsia" w:ascii="宋体" w:hAnsi="宋体" w:eastAsia="宋体" w:cs="宋体"/>
          <w:color w:val="auto"/>
          <w:spacing w:val="0"/>
          <w:position w:val="0"/>
          <w:sz w:val="24"/>
          <w:szCs w:val="24"/>
          <w:highlight w:val="none"/>
        </w:rPr>
      </w:pPr>
    </w:p>
    <w:p w14:paraId="415DCCD4">
      <w:pPr>
        <w:kinsoku/>
        <w:wordWrap/>
        <w:overflowPunct/>
        <w:bidi w:val="0"/>
        <w:spacing w:line="360" w:lineRule="auto"/>
        <w:ind w:firstLine="480" w:firstLineChars="200"/>
        <w:rPr>
          <w:rFonts w:hint="eastAsia" w:ascii="宋体" w:hAnsi="宋体" w:eastAsia="宋体" w:cs="宋体"/>
          <w:color w:val="auto"/>
          <w:spacing w:val="0"/>
          <w:position w:val="0"/>
          <w:sz w:val="24"/>
          <w:szCs w:val="24"/>
          <w:highlight w:val="none"/>
        </w:rPr>
      </w:pPr>
    </w:p>
    <w:p w14:paraId="30B09DB7">
      <w:pPr>
        <w:kinsoku/>
        <w:wordWrap/>
        <w:overflowPunct/>
        <w:bidi w:val="0"/>
        <w:spacing w:line="360" w:lineRule="auto"/>
        <w:ind w:firstLine="480" w:firstLineChars="200"/>
        <w:rPr>
          <w:rFonts w:hint="eastAsia" w:ascii="宋体" w:hAnsi="宋体" w:eastAsia="宋体" w:cs="宋体"/>
          <w:color w:val="auto"/>
          <w:spacing w:val="0"/>
          <w:position w:val="0"/>
          <w:sz w:val="24"/>
          <w:szCs w:val="24"/>
          <w:highlight w:val="none"/>
        </w:rPr>
      </w:pPr>
    </w:p>
    <w:p w14:paraId="564D2F7C">
      <w:pPr>
        <w:kinsoku/>
        <w:wordWrap/>
        <w:overflowPunct/>
        <w:bidi w:val="0"/>
        <w:spacing w:line="360" w:lineRule="auto"/>
        <w:ind w:firstLine="480" w:firstLineChars="200"/>
        <w:rPr>
          <w:rFonts w:hint="eastAsia" w:ascii="宋体" w:hAnsi="宋体" w:eastAsia="宋体" w:cs="宋体"/>
          <w:color w:val="auto"/>
          <w:spacing w:val="0"/>
          <w:position w:val="0"/>
          <w:sz w:val="24"/>
          <w:szCs w:val="24"/>
          <w:highlight w:val="none"/>
        </w:rPr>
      </w:pPr>
    </w:p>
    <w:p w14:paraId="25C22EE4">
      <w:pPr>
        <w:kinsoku/>
        <w:wordWrap/>
        <w:overflowPunct/>
        <w:bidi w:val="0"/>
        <w:spacing w:line="360" w:lineRule="auto"/>
        <w:ind w:firstLine="480" w:firstLineChars="200"/>
        <w:rPr>
          <w:rFonts w:hint="eastAsia" w:ascii="宋体" w:hAnsi="宋体" w:eastAsia="宋体" w:cs="宋体"/>
          <w:color w:val="auto"/>
          <w:spacing w:val="0"/>
          <w:position w:val="0"/>
          <w:sz w:val="24"/>
          <w:szCs w:val="24"/>
          <w:highlight w:val="none"/>
        </w:rPr>
      </w:pPr>
    </w:p>
    <w:p w14:paraId="58F879D8">
      <w:pPr>
        <w:kinsoku/>
        <w:wordWrap/>
        <w:overflowPunct/>
        <w:bidi w:val="0"/>
        <w:spacing w:line="360" w:lineRule="auto"/>
        <w:ind w:firstLine="480" w:firstLineChars="200"/>
        <w:rPr>
          <w:rFonts w:hint="eastAsia" w:ascii="宋体" w:hAnsi="宋体" w:eastAsia="宋体" w:cs="宋体"/>
          <w:color w:val="auto"/>
          <w:spacing w:val="0"/>
          <w:position w:val="0"/>
          <w:sz w:val="24"/>
          <w:szCs w:val="24"/>
          <w:highlight w:val="none"/>
        </w:rPr>
      </w:pPr>
    </w:p>
    <w:p w14:paraId="753155BE">
      <w:pPr>
        <w:kinsoku/>
        <w:wordWrap/>
        <w:overflowPunct/>
        <w:bidi w:val="0"/>
        <w:spacing w:line="360" w:lineRule="auto"/>
        <w:ind w:firstLine="480" w:firstLineChars="200"/>
        <w:rPr>
          <w:rFonts w:hint="eastAsia" w:ascii="宋体" w:hAnsi="宋体" w:eastAsia="宋体" w:cs="宋体"/>
          <w:color w:val="auto"/>
          <w:spacing w:val="0"/>
          <w:position w:val="0"/>
          <w:sz w:val="24"/>
          <w:szCs w:val="24"/>
          <w:highlight w:val="none"/>
        </w:rPr>
      </w:pPr>
    </w:p>
    <w:p w14:paraId="483B2A9B">
      <w:pPr>
        <w:pStyle w:val="11"/>
        <w:kinsoku/>
        <w:wordWrap/>
        <w:overflowPunct/>
        <w:bidi w:val="0"/>
        <w:rPr>
          <w:rFonts w:hint="eastAsia" w:ascii="宋体" w:hAnsi="宋体" w:eastAsia="宋体" w:cs="宋体"/>
          <w:color w:val="auto"/>
          <w:spacing w:val="0"/>
          <w:position w:val="0"/>
          <w:highlight w:val="none"/>
        </w:rPr>
      </w:pPr>
    </w:p>
    <w:p w14:paraId="2BF54D2C">
      <w:pPr>
        <w:pStyle w:val="4"/>
        <w:kinsoku/>
        <w:wordWrap/>
        <w:overflowPunct/>
        <w:bidi w:val="0"/>
        <w:spacing w:before="0" w:after="0" w:line="360" w:lineRule="auto"/>
        <w:jc w:val="center"/>
        <w:rPr>
          <w:rFonts w:hint="eastAsia" w:ascii="宋体" w:hAnsi="宋体" w:eastAsia="宋体" w:cs="宋体"/>
          <w:color w:val="auto"/>
          <w:spacing w:val="0"/>
          <w:position w:val="0"/>
          <w:sz w:val="28"/>
          <w:szCs w:val="28"/>
          <w:highlight w:val="none"/>
          <w:lang w:val="zh-CN" w:eastAsia="zh-CN"/>
        </w:rPr>
      </w:pPr>
      <w:bookmarkStart w:id="1305" w:name="_Toc18972"/>
      <w:r>
        <w:rPr>
          <w:rFonts w:hint="eastAsia" w:ascii="宋体" w:hAnsi="宋体" w:eastAsia="宋体" w:cs="宋体"/>
          <w:color w:val="auto"/>
          <w:spacing w:val="0"/>
          <w:position w:val="0"/>
          <w:sz w:val="28"/>
          <w:szCs w:val="28"/>
          <w:highlight w:val="none"/>
          <w:lang w:val="zh-CN" w:eastAsia="zh-CN"/>
        </w:rPr>
        <w:t>（</w:t>
      </w:r>
      <w:r>
        <w:rPr>
          <w:rFonts w:hint="eastAsia" w:ascii="宋体" w:hAnsi="宋体" w:eastAsia="宋体" w:cs="宋体"/>
          <w:color w:val="auto"/>
          <w:spacing w:val="0"/>
          <w:position w:val="0"/>
          <w:sz w:val="28"/>
          <w:szCs w:val="28"/>
          <w:highlight w:val="none"/>
          <w:lang w:val="en-US" w:eastAsia="zh-CN"/>
        </w:rPr>
        <w:t>四</w:t>
      </w:r>
      <w:r>
        <w:rPr>
          <w:rFonts w:hint="eastAsia" w:ascii="宋体" w:hAnsi="宋体" w:eastAsia="宋体" w:cs="宋体"/>
          <w:color w:val="auto"/>
          <w:spacing w:val="0"/>
          <w:position w:val="0"/>
          <w:sz w:val="28"/>
          <w:szCs w:val="28"/>
          <w:highlight w:val="none"/>
          <w:lang w:val="zh-CN" w:eastAsia="zh-CN"/>
        </w:rPr>
        <w:t>）供应商概况表</w:t>
      </w:r>
      <w:bookmarkEnd w:id="1305"/>
    </w:p>
    <w:tbl>
      <w:tblPr>
        <w:tblStyle w:val="39"/>
        <w:tblW w:w="8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1080"/>
        <w:gridCol w:w="691"/>
        <w:gridCol w:w="992"/>
        <w:gridCol w:w="477"/>
        <w:gridCol w:w="1505"/>
        <w:gridCol w:w="55"/>
        <w:gridCol w:w="891"/>
        <w:gridCol w:w="1061"/>
      </w:tblGrid>
      <w:tr w14:paraId="6F79C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2" w:type="dxa"/>
            <w:noWrap w:val="0"/>
            <w:vAlign w:val="center"/>
          </w:tcPr>
          <w:p w14:paraId="2D9FD638">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投标人名称</w:t>
            </w:r>
          </w:p>
        </w:tc>
        <w:tc>
          <w:tcPr>
            <w:tcW w:w="6752" w:type="dxa"/>
            <w:gridSpan w:val="8"/>
            <w:noWrap w:val="0"/>
            <w:vAlign w:val="center"/>
          </w:tcPr>
          <w:p w14:paraId="205653C4">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p>
        </w:tc>
      </w:tr>
      <w:tr w14:paraId="11BDE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2" w:type="dxa"/>
            <w:noWrap w:val="0"/>
            <w:vAlign w:val="center"/>
          </w:tcPr>
          <w:p w14:paraId="30E236F8">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注册地址</w:t>
            </w:r>
          </w:p>
        </w:tc>
        <w:tc>
          <w:tcPr>
            <w:tcW w:w="3240" w:type="dxa"/>
            <w:gridSpan w:val="4"/>
            <w:noWrap w:val="0"/>
            <w:vAlign w:val="center"/>
          </w:tcPr>
          <w:p w14:paraId="2A248C50">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p>
        </w:tc>
        <w:tc>
          <w:tcPr>
            <w:tcW w:w="1560" w:type="dxa"/>
            <w:gridSpan w:val="2"/>
            <w:noWrap w:val="0"/>
            <w:vAlign w:val="center"/>
          </w:tcPr>
          <w:p w14:paraId="3255B691">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邮政编码</w:t>
            </w:r>
          </w:p>
        </w:tc>
        <w:tc>
          <w:tcPr>
            <w:tcW w:w="1952" w:type="dxa"/>
            <w:gridSpan w:val="2"/>
            <w:noWrap w:val="0"/>
            <w:vAlign w:val="center"/>
          </w:tcPr>
          <w:p w14:paraId="24FF3436">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p>
        </w:tc>
      </w:tr>
      <w:tr w14:paraId="3B785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2" w:type="dxa"/>
            <w:vMerge w:val="restart"/>
            <w:noWrap w:val="0"/>
            <w:vAlign w:val="center"/>
          </w:tcPr>
          <w:p w14:paraId="6C56344B">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联系方式</w:t>
            </w:r>
          </w:p>
        </w:tc>
        <w:tc>
          <w:tcPr>
            <w:tcW w:w="1080" w:type="dxa"/>
            <w:noWrap w:val="0"/>
            <w:vAlign w:val="center"/>
          </w:tcPr>
          <w:p w14:paraId="3AD1614F">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联系人</w:t>
            </w:r>
          </w:p>
        </w:tc>
        <w:tc>
          <w:tcPr>
            <w:tcW w:w="2160" w:type="dxa"/>
            <w:gridSpan w:val="3"/>
            <w:noWrap w:val="0"/>
            <w:vAlign w:val="center"/>
          </w:tcPr>
          <w:p w14:paraId="0457D709">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p>
        </w:tc>
        <w:tc>
          <w:tcPr>
            <w:tcW w:w="1560" w:type="dxa"/>
            <w:gridSpan w:val="2"/>
            <w:noWrap w:val="0"/>
            <w:vAlign w:val="center"/>
          </w:tcPr>
          <w:p w14:paraId="2B0102BD">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电  话</w:t>
            </w:r>
          </w:p>
        </w:tc>
        <w:tc>
          <w:tcPr>
            <w:tcW w:w="1952" w:type="dxa"/>
            <w:gridSpan w:val="2"/>
            <w:noWrap w:val="0"/>
            <w:vAlign w:val="center"/>
          </w:tcPr>
          <w:p w14:paraId="694BD551">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p>
        </w:tc>
      </w:tr>
      <w:tr w14:paraId="4A49F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2" w:type="dxa"/>
            <w:vMerge w:val="continue"/>
            <w:noWrap w:val="0"/>
            <w:vAlign w:val="center"/>
          </w:tcPr>
          <w:p w14:paraId="7C1B749A">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p>
        </w:tc>
        <w:tc>
          <w:tcPr>
            <w:tcW w:w="1080" w:type="dxa"/>
            <w:noWrap w:val="0"/>
            <w:vAlign w:val="center"/>
          </w:tcPr>
          <w:p w14:paraId="247E21B4">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传  真</w:t>
            </w:r>
          </w:p>
        </w:tc>
        <w:tc>
          <w:tcPr>
            <w:tcW w:w="2160" w:type="dxa"/>
            <w:gridSpan w:val="3"/>
            <w:noWrap w:val="0"/>
            <w:vAlign w:val="center"/>
          </w:tcPr>
          <w:p w14:paraId="72EEE6BD">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p>
        </w:tc>
        <w:tc>
          <w:tcPr>
            <w:tcW w:w="1560" w:type="dxa"/>
            <w:gridSpan w:val="2"/>
            <w:noWrap w:val="0"/>
            <w:vAlign w:val="center"/>
          </w:tcPr>
          <w:p w14:paraId="7A6AA055">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网  址</w:t>
            </w:r>
          </w:p>
        </w:tc>
        <w:tc>
          <w:tcPr>
            <w:tcW w:w="1952" w:type="dxa"/>
            <w:gridSpan w:val="2"/>
            <w:noWrap w:val="0"/>
            <w:vAlign w:val="center"/>
          </w:tcPr>
          <w:p w14:paraId="1BFED297">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p>
        </w:tc>
      </w:tr>
      <w:tr w14:paraId="33681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2" w:type="dxa"/>
            <w:noWrap w:val="0"/>
            <w:vAlign w:val="center"/>
          </w:tcPr>
          <w:p w14:paraId="06C204FB">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组织结构</w:t>
            </w:r>
          </w:p>
        </w:tc>
        <w:tc>
          <w:tcPr>
            <w:tcW w:w="6752" w:type="dxa"/>
            <w:gridSpan w:val="8"/>
            <w:noWrap w:val="0"/>
            <w:vAlign w:val="center"/>
          </w:tcPr>
          <w:p w14:paraId="1D2D1411">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p>
        </w:tc>
      </w:tr>
      <w:tr w14:paraId="2A1D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2" w:type="dxa"/>
            <w:noWrap w:val="0"/>
            <w:vAlign w:val="center"/>
          </w:tcPr>
          <w:p w14:paraId="43079F7A">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法定代表人</w:t>
            </w:r>
          </w:p>
        </w:tc>
        <w:tc>
          <w:tcPr>
            <w:tcW w:w="1080" w:type="dxa"/>
            <w:noWrap w:val="0"/>
            <w:vAlign w:val="center"/>
          </w:tcPr>
          <w:p w14:paraId="2A3785C0">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姓名</w:t>
            </w:r>
          </w:p>
        </w:tc>
        <w:tc>
          <w:tcPr>
            <w:tcW w:w="691" w:type="dxa"/>
            <w:noWrap w:val="0"/>
            <w:vAlign w:val="center"/>
          </w:tcPr>
          <w:p w14:paraId="353EFBCF">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p>
        </w:tc>
        <w:tc>
          <w:tcPr>
            <w:tcW w:w="1469" w:type="dxa"/>
            <w:gridSpan w:val="2"/>
            <w:noWrap w:val="0"/>
            <w:vAlign w:val="center"/>
          </w:tcPr>
          <w:p w14:paraId="291202F5">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技术职称</w:t>
            </w:r>
          </w:p>
        </w:tc>
        <w:tc>
          <w:tcPr>
            <w:tcW w:w="1505" w:type="dxa"/>
            <w:noWrap w:val="0"/>
            <w:vAlign w:val="center"/>
          </w:tcPr>
          <w:p w14:paraId="6A147104">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p>
        </w:tc>
        <w:tc>
          <w:tcPr>
            <w:tcW w:w="946" w:type="dxa"/>
            <w:gridSpan w:val="2"/>
            <w:noWrap w:val="0"/>
            <w:vAlign w:val="center"/>
          </w:tcPr>
          <w:p w14:paraId="0EB9C03E">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电话</w:t>
            </w:r>
          </w:p>
        </w:tc>
        <w:tc>
          <w:tcPr>
            <w:tcW w:w="1061" w:type="dxa"/>
            <w:noWrap w:val="0"/>
            <w:vAlign w:val="center"/>
          </w:tcPr>
          <w:p w14:paraId="31511BC7">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p>
        </w:tc>
      </w:tr>
      <w:tr w14:paraId="6BE5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2" w:type="dxa"/>
            <w:noWrap w:val="0"/>
            <w:vAlign w:val="center"/>
          </w:tcPr>
          <w:p w14:paraId="30B53E76">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技术负责人</w:t>
            </w:r>
          </w:p>
        </w:tc>
        <w:tc>
          <w:tcPr>
            <w:tcW w:w="1080" w:type="dxa"/>
            <w:noWrap w:val="0"/>
            <w:vAlign w:val="center"/>
          </w:tcPr>
          <w:p w14:paraId="78D5C9E0">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姓名</w:t>
            </w:r>
          </w:p>
        </w:tc>
        <w:tc>
          <w:tcPr>
            <w:tcW w:w="691" w:type="dxa"/>
            <w:noWrap w:val="0"/>
            <w:vAlign w:val="center"/>
          </w:tcPr>
          <w:p w14:paraId="0D519FF1">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p>
        </w:tc>
        <w:tc>
          <w:tcPr>
            <w:tcW w:w="1469" w:type="dxa"/>
            <w:gridSpan w:val="2"/>
            <w:noWrap w:val="0"/>
            <w:vAlign w:val="center"/>
          </w:tcPr>
          <w:p w14:paraId="79D3932D">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技术职称</w:t>
            </w:r>
          </w:p>
        </w:tc>
        <w:tc>
          <w:tcPr>
            <w:tcW w:w="1505" w:type="dxa"/>
            <w:noWrap w:val="0"/>
            <w:vAlign w:val="center"/>
          </w:tcPr>
          <w:p w14:paraId="0248DF3F">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p>
        </w:tc>
        <w:tc>
          <w:tcPr>
            <w:tcW w:w="946" w:type="dxa"/>
            <w:gridSpan w:val="2"/>
            <w:noWrap w:val="0"/>
            <w:vAlign w:val="center"/>
          </w:tcPr>
          <w:p w14:paraId="3B059AD9">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电话</w:t>
            </w:r>
          </w:p>
        </w:tc>
        <w:tc>
          <w:tcPr>
            <w:tcW w:w="1061" w:type="dxa"/>
            <w:noWrap w:val="0"/>
            <w:vAlign w:val="center"/>
          </w:tcPr>
          <w:p w14:paraId="02A172F6">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p>
        </w:tc>
      </w:tr>
      <w:tr w14:paraId="4ADFE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2" w:type="dxa"/>
            <w:noWrap w:val="0"/>
            <w:vAlign w:val="center"/>
          </w:tcPr>
          <w:p w14:paraId="620A033B">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成立时间</w:t>
            </w:r>
          </w:p>
        </w:tc>
        <w:tc>
          <w:tcPr>
            <w:tcW w:w="1771" w:type="dxa"/>
            <w:gridSpan w:val="2"/>
            <w:noWrap w:val="0"/>
            <w:vAlign w:val="center"/>
          </w:tcPr>
          <w:p w14:paraId="0F582073">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p>
        </w:tc>
        <w:tc>
          <w:tcPr>
            <w:tcW w:w="4981" w:type="dxa"/>
            <w:gridSpan w:val="6"/>
            <w:noWrap w:val="0"/>
            <w:vAlign w:val="center"/>
          </w:tcPr>
          <w:p w14:paraId="681F34F3">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员工总人数：</w:t>
            </w:r>
          </w:p>
        </w:tc>
      </w:tr>
      <w:tr w14:paraId="3F4D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2" w:type="dxa"/>
            <w:noWrap w:val="0"/>
            <w:vAlign w:val="center"/>
          </w:tcPr>
          <w:p w14:paraId="10FBC6CF">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企业资质等级</w:t>
            </w:r>
          </w:p>
        </w:tc>
        <w:tc>
          <w:tcPr>
            <w:tcW w:w="1771" w:type="dxa"/>
            <w:gridSpan w:val="2"/>
            <w:noWrap w:val="0"/>
            <w:vAlign w:val="center"/>
          </w:tcPr>
          <w:p w14:paraId="5F114D75">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p>
        </w:tc>
        <w:tc>
          <w:tcPr>
            <w:tcW w:w="992" w:type="dxa"/>
            <w:vMerge w:val="restart"/>
            <w:noWrap w:val="0"/>
            <w:vAlign w:val="center"/>
          </w:tcPr>
          <w:p w14:paraId="6528BC02">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其中</w:t>
            </w:r>
          </w:p>
        </w:tc>
        <w:tc>
          <w:tcPr>
            <w:tcW w:w="1982" w:type="dxa"/>
            <w:gridSpan w:val="2"/>
            <w:noWrap w:val="0"/>
            <w:vAlign w:val="center"/>
          </w:tcPr>
          <w:p w14:paraId="0DC21844">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项目负责人</w:t>
            </w:r>
          </w:p>
        </w:tc>
        <w:tc>
          <w:tcPr>
            <w:tcW w:w="2007" w:type="dxa"/>
            <w:gridSpan w:val="3"/>
            <w:noWrap w:val="0"/>
            <w:vAlign w:val="center"/>
          </w:tcPr>
          <w:p w14:paraId="3B04EF22">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p>
        </w:tc>
      </w:tr>
      <w:tr w14:paraId="42B0A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2" w:type="dxa"/>
            <w:noWrap w:val="0"/>
            <w:vAlign w:val="center"/>
          </w:tcPr>
          <w:p w14:paraId="05200D29">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营业执照号</w:t>
            </w:r>
          </w:p>
        </w:tc>
        <w:tc>
          <w:tcPr>
            <w:tcW w:w="1771" w:type="dxa"/>
            <w:gridSpan w:val="2"/>
            <w:noWrap w:val="0"/>
            <w:vAlign w:val="center"/>
          </w:tcPr>
          <w:p w14:paraId="2BB29F5F">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p>
        </w:tc>
        <w:tc>
          <w:tcPr>
            <w:tcW w:w="992" w:type="dxa"/>
            <w:vMerge w:val="continue"/>
            <w:noWrap w:val="0"/>
            <w:vAlign w:val="center"/>
          </w:tcPr>
          <w:p w14:paraId="0CD33822">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p>
        </w:tc>
        <w:tc>
          <w:tcPr>
            <w:tcW w:w="1982" w:type="dxa"/>
            <w:gridSpan w:val="2"/>
            <w:noWrap w:val="0"/>
            <w:vAlign w:val="center"/>
          </w:tcPr>
          <w:p w14:paraId="53DA9602">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高级职称人员</w:t>
            </w:r>
          </w:p>
        </w:tc>
        <w:tc>
          <w:tcPr>
            <w:tcW w:w="2007" w:type="dxa"/>
            <w:gridSpan w:val="3"/>
            <w:noWrap w:val="0"/>
            <w:vAlign w:val="center"/>
          </w:tcPr>
          <w:p w14:paraId="32B43EA3">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p>
        </w:tc>
      </w:tr>
      <w:tr w14:paraId="05D16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2" w:type="dxa"/>
            <w:noWrap w:val="0"/>
            <w:vAlign w:val="center"/>
          </w:tcPr>
          <w:p w14:paraId="01949944">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注册资金</w:t>
            </w:r>
          </w:p>
        </w:tc>
        <w:tc>
          <w:tcPr>
            <w:tcW w:w="1771" w:type="dxa"/>
            <w:gridSpan w:val="2"/>
            <w:noWrap w:val="0"/>
            <w:vAlign w:val="center"/>
          </w:tcPr>
          <w:p w14:paraId="126D87FC">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p>
        </w:tc>
        <w:tc>
          <w:tcPr>
            <w:tcW w:w="992" w:type="dxa"/>
            <w:vMerge w:val="continue"/>
            <w:noWrap w:val="0"/>
            <w:vAlign w:val="center"/>
          </w:tcPr>
          <w:p w14:paraId="23CA8522">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p>
        </w:tc>
        <w:tc>
          <w:tcPr>
            <w:tcW w:w="1982" w:type="dxa"/>
            <w:gridSpan w:val="2"/>
            <w:noWrap w:val="0"/>
            <w:vAlign w:val="center"/>
          </w:tcPr>
          <w:p w14:paraId="31EA927E">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中级职称人员</w:t>
            </w:r>
          </w:p>
        </w:tc>
        <w:tc>
          <w:tcPr>
            <w:tcW w:w="2007" w:type="dxa"/>
            <w:gridSpan w:val="3"/>
            <w:noWrap w:val="0"/>
            <w:vAlign w:val="center"/>
          </w:tcPr>
          <w:p w14:paraId="44DF1731">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p>
        </w:tc>
      </w:tr>
      <w:tr w14:paraId="0659B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2" w:type="dxa"/>
            <w:noWrap w:val="0"/>
            <w:vAlign w:val="center"/>
          </w:tcPr>
          <w:p w14:paraId="05094827">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开户银行</w:t>
            </w:r>
          </w:p>
        </w:tc>
        <w:tc>
          <w:tcPr>
            <w:tcW w:w="1771" w:type="dxa"/>
            <w:gridSpan w:val="2"/>
            <w:noWrap w:val="0"/>
            <w:vAlign w:val="center"/>
          </w:tcPr>
          <w:p w14:paraId="0096CAAE">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p>
        </w:tc>
        <w:tc>
          <w:tcPr>
            <w:tcW w:w="992" w:type="dxa"/>
            <w:vMerge w:val="continue"/>
            <w:noWrap w:val="0"/>
            <w:vAlign w:val="center"/>
          </w:tcPr>
          <w:p w14:paraId="2987AA56">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p>
        </w:tc>
        <w:tc>
          <w:tcPr>
            <w:tcW w:w="1982" w:type="dxa"/>
            <w:gridSpan w:val="2"/>
            <w:noWrap w:val="0"/>
            <w:vAlign w:val="center"/>
          </w:tcPr>
          <w:p w14:paraId="47BCE820">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初级职称人员</w:t>
            </w:r>
          </w:p>
        </w:tc>
        <w:tc>
          <w:tcPr>
            <w:tcW w:w="2007" w:type="dxa"/>
            <w:gridSpan w:val="3"/>
            <w:noWrap w:val="0"/>
            <w:vAlign w:val="center"/>
          </w:tcPr>
          <w:p w14:paraId="52C9D18F">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p>
        </w:tc>
      </w:tr>
      <w:tr w14:paraId="2768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2" w:type="dxa"/>
            <w:noWrap w:val="0"/>
            <w:vAlign w:val="center"/>
          </w:tcPr>
          <w:p w14:paraId="5869DB44">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账号</w:t>
            </w:r>
          </w:p>
        </w:tc>
        <w:tc>
          <w:tcPr>
            <w:tcW w:w="1771" w:type="dxa"/>
            <w:gridSpan w:val="2"/>
            <w:noWrap w:val="0"/>
            <w:vAlign w:val="center"/>
          </w:tcPr>
          <w:p w14:paraId="6CF41771">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p>
        </w:tc>
        <w:tc>
          <w:tcPr>
            <w:tcW w:w="992" w:type="dxa"/>
            <w:vMerge w:val="continue"/>
            <w:noWrap w:val="0"/>
            <w:vAlign w:val="center"/>
          </w:tcPr>
          <w:p w14:paraId="7B31E316">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p>
        </w:tc>
        <w:tc>
          <w:tcPr>
            <w:tcW w:w="1982" w:type="dxa"/>
            <w:gridSpan w:val="2"/>
            <w:noWrap w:val="0"/>
            <w:vAlign w:val="center"/>
          </w:tcPr>
          <w:p w14:paraId="4008695D">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技  工</w:t>
            </w:r>
          </w:p>
        </w:tc>
        <w:tc>
          <w:tcPr>
            <w:tcW w:w="2007" w:type="dxa"/>
            <w:gridSpan w:val="3"/>
            <w:noWrap w:val="0"/>
            <w:vAlign w:val="center"/>
          </w:tcPr>
          <w:p w14:paraId="4D523A0B">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p>
        </w:tc>
      </w:tr>
      <w:tr w14:paraId="2BBD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2" w:type="dxa"/>
            <w:noWrap w:val="0"/>
            <w:vAlign w:val="center"/>
          </w:tcPr>
          <w:p w14:paraId="09FDB468">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经营范围</w:t>
            </w:r>
          </w:p>
        </w:tc>
        <w:tc>
          <w:tcPr>
            <w:tcW w:w="6752" w:type="dxa"/>
            <w:gridSpan w:val="8"/>
            <w:noWrap w:val="0"/>
            <w:vAlign w:val="center"/>
          </w:tcPr>
          <w:p w14:paraId="7A9D3CBF">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p>
        </w:tc>
      </w:tr>
      <w:tr w14:paraId="43BA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2" w:type="dxa"/>
            <w:noWrap w:val="0"/>
            <w:vAlign w:val="center"/>
          </w:tcPr>
          <w:p w14:paraId="5EFB118F">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备注</w:t>
            </w:r>
          </w:p>
        </w:tc>
        <w:tc>
          <w:tcPr>
            <w:tcW w:w="6752" w:type="dxa"/>
            <w:gridSpan w:val="8"/>
            <w:noWrap w:val="0"/>
            <w:vAlign w:val="center"/>
          </w:tcPr>
          <w:p w14:paraId="67B2CC76">
            <w:pPr>
              <w:kinsoku/>
              <w:wordWrap/>
              <w:overflowPunct/>
              <w:bidi w:val="0"/>
              <w:spacing w:line="440" w:lineRule="exact"/>
              <w:jc w:val="center"/>
              <w:rPr>
                <w:rFonts w:hint="eastAsia" w:ascii="宋体" w:hAnsi="宋体" w:eastAsia="宋体" w:cs="宋体"/>
                <w:color w:val="auto"/>
                <w:spacing w:val="0"/>
                <w:position w:val="0"/>
                <w:sz w:val="24"/>
                <w:szCs w:val="24"/>
                <w:highlight w:val="none"/>
                <w:u w:val="none"/>
              </w:rPr>
            </w:pPr>
          </w:p>
        </w:tc>
      </w:tr>
    </w:tbl>
    <w:p w14:paraId="238AA81D">
      <w:pPr>
        <w:kinsoku/>
        <w:wordWrap/>
        <w:overflowPunct/>
        <w:autoSpaceDE w:val="0"/>
        <w:autoSpaceDN w:val="0"/>
        <w:bidi w:val="0"/>
        <w:adjustRightInd w:val="0"/>
        <w:spacing w:line="360" w:lineRule="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备注：本表后应附企业法人营业执照、企业资质证书副本、安全生产许可证等材料的复印件。</w:t>
      </w:r>
    </w:p>
    <w:p w14:paraId="2B3403E4">
      <w:pPr>
        <w:kinsoku/>
        <w:wordWrap/>
        <w:overflowPunct/>
        <w:autoSpaceDE w:val="0"/>
        <w:autoSpaceDN w:val="0"/>
        <w:bidi w:val="0"/>
        <w:adjustRightInd w:val="0"/>
        <w:spacing w:line="360" w:lineRule="auto"/>
        <w:rPr>
          <w:rFonts w:hint="eastAsia" w:ascii="宋体" w:hAnsi="宋体" w:eastAsia="宋体" w:cs="宋体"/>
          <w:color w:val="auto"/>
          <w:spacing w:val="0"/>
          <w:position w:val="0"/>
          <w:sz w:val="24"/>
          <w:szCs w:val="24"/>
          <w:highlight w:val="none"/>
          <w:u w:val="none"/>
        </w:rPr>
      </w:pPr>
    </w:p>
    <w:p w14:paraId="5CC8355B">
      <w:pPr>
        <w:pStyle w:val="11"/>
        <w:kinsoku/>
        <w:wordWrap/>
        <w:overflowPunct/>
        <w:bidi w:val="0"/>
        <w:rPr>
          <w:rFonts w:hint="eastAsia" w:ascii="宋体" w:hAnsi="宋体" w:eastAsia="宋体" w:cs="宋体"/>
          <w:color w:val="auto"/>
          <w:spacing w:val="0"/>
          <w:position w:val="0"/>
          <w:sz w:val="24"/>
          <w:szCs w:val="24"/>
          <w:highlight w:val="none"/>
          <w:u w:val="none"/>
        </w:rPr>
      </w:pPr>
    </w:p>
    <w:p w14:paraId="71AD6C55">
      <w:pPr>
        <w:pStyle w:val="11"/>
        <w:kinsoku/>
        <w:wordWrap/>
        <w:overflowPunct/>
        <w:bidi w:val="0"/>
        <w:rPr>
          <w:rFonts w:hint="eastAsia" w:ascii="宋体" w:hAnsi="宋体" w:eastAsia="宋体" w:cs="宋体"/>
          <w:color w:val="auto"/>
          <w:spacing w:val="0"/>
          <w:position w:val="0"/>
          <w:sz w:val="24"/>
          <w:szCs w:val="24"/>
          <w:highlight w:val="none"/>
          <w:u w:val="none"/>
        </w:rPr>
      </w:pPr>
    </w:p>
    <w:p w14:paraId="7FBF787A">
      <w:pPr>
        <w:pStyle w:val="11"/>
        <w:kinsoku/>
        <w:wordWrap/>
        <w:overflowPunct/>
        <w:bidi w:val="0"/>
        <w:rPr>
          <w:rFonts w:hint="eastAsia" w:ascii="宋体" w:hAnsi="宋体" w:eastAsia="宋体" w:cs="宋体"/>
          <w:color w:val="auto"/>
          <w:spacing w:val="0"/>
          <w:position w:val="0"/>
          <w:sz w:val="24"/>
          <w:szCs w:val="24"/>
          <w:highlight w:val="none"/>
          <w:u w:val="none"/>
        </w:rPr>
      </w:pPr>
    </w:p>
    <w:p w14:paraId="4375E49C">
      <w:pPr>
        <w:pStyle w:val="11"/>
        <w:kinsoku/>
        <w:wordWrap/>
        <w:overflowPunct/>
        <w:bidi w:val="0"/>
        <w:rPr>
          <w:rFonts w:hint="eastAsia" w:ascii="宋体" w:hAnsi="宋体" w:eastAsia="宋体" w:cs="宋体"/>
          <w:color w:val="auto"/>
          <w:spacing w:val="0"/>
          <w:position w:val="0"/>
          <w:sz w:val="24"/>
          <w:szCs w:val="24"/>
          <w:highlight w:val="none"/>
          <w:u w:val="none"/>
        </w:rPr>
      </w:pPr>
    </w:p>
    <w:p w14:paraId="52DC29B1">
      <w:pPr>
        <w:pStyle w:val="11"/>
        <w:kinsoku/>
        <w:wordWrap/>
        <w:overflowPunct/>
        <w:bidi w:val="0"/>
        <w:rPr>
          <w:rFonts w:hint="eastAsia" w:ascii="宋体" w:hAnsi="宋体" w:eastAsia="宋体" w:cs="宋体"/>
          <w:color w:val="auto"/>
          <w:spacing w:val="0"/>
          <w:position w:val="0"/>
          <w:sz w:val="24"/>
          <w:szCs w:val="24"/>
          <w:highlight w:val="none"/>
          <w:u w:val="none"/>
        </w:rPr>
      </w:pPr>
    </w:p>
    <w:p w14:paraId="44742E1E">
      <w:pPr>
        <w:pStyle w:val="11"/>
        <w:kinsoku/>
        <w:wordWrap/>
        <w:overflowPunct/>
        <w:bidi w:val="0"/>
        <w:rPr>
          <w:rFonts w:hint="eastAsia" w:ascii="宋体" w:hAnsi="宋体" w:eastAsia="宋体" w:cs="宋体"/>
          <w:color w:val="auto"/>
          <w:spacing w:val="0"/>
          <w:position w:val="0"/>
          <w:sz w:val="24"/>
          <w:szCs w:val="24"/>
          <w:highlight w:val="none"/>
          <w:u w:val="none"/>
        </w:rPr>
      </w:pPr>
    </w:p>
    <w:p w14:paraId="4E8520B8">
      <w:pPr>
        <w:pStyle w:val="11"/>
        <w:kinsoku/>
        <w:wordWrap/>
        <w:overflowPunct/>
        <w:bidi w:val="0"/>
        <w:ind w:firstLine="0"/>
        <w:rPr>
          <w:rFonts w:hint="eastAsia" w:ascii="宋体" w:hAnsi="宋体" w:eastAsia="宋体" w:cs="宋体"/>
          <w:color w:val="auto"/>
          <w:spacing w:val="0"/>
          <w:position w:val="0"/>
          <w:sz w:val="24"/>
          <w:szCs w:val="24"/>
          <w:highlight w:val="none"/>
          <w:u w:val="none"/>
        </w:rPr>
      </w:pPr>
    </w:p>
    <w:p w14:paraId="468904E2">
      <w:pPr>
        <w:pStyle w:val="11"/>
        <w:kinsoku/>
        <w:wordWrap/>
        <w:overflowPunct/>
        <w:bidi w:val="0"/>
        <w:rPr>
          <w:rFonts w:hint="eastAsia" w:ascii="宋体" w:hAnsi="宋体" w:eastAsia="宋体" w:cs="宋体"/>
          <w:color w:val="auto"/>
          <w:spacing w:val="0"/>
          <w:position w:val="0"/>
          <w:sz w:val="24"/>
          <w:szCs w:val="24"/>
          <w:highlight w:val="none"/>
          <w:u w:val="none"/>
        </w:rPr>
      </w:pPr>
    </w:p>
    <w:p w14:paraId="11F57592">
      <w:pPr>
        <w:pStyle w:val="4"/>
        <w:kinsoku/>
        <w:wordWrap/>
        <w:overflowPunct/>
        <w:bidi w:val="0"/>
        <w:spacing w:before="0" w:after="0" w:line="360" w:lineRule="auto"/>
        <w:jc w:val="center"/>
        <w:rPr>
          <w:rFonts w:hint="eastAsia" w:ascii="宋体" w:hAnsi="宋体" w:eastAsia="宋体" w:cs="宋体"/>
          <w:color w:val="auto"/>
          <w:spacing w:val="0"/>
          <w:position w:val="0"/>
          <w:sz w:val="28"/>
          <w:szCs w:val="28"/>
          <w:highlight w:val="none"/>
          <w:lang w:val="zh-CN" w:eastAsia="zh-CN"/>
        </w:rPr>
      </w:pPr>
      <w:bookmarkStart w:id="1306" w:name="_Toc2049"/>
      <w:bookmarkStart w:id="1307" w:name="_Toc16076"/>
      <w:bookmarkStart w:id="1308" w:name="_Toc420348773"/>
      <w:bookmarkStart w:id="1309" w:name="_Toc18864"/>
      <w:r>
        <w:rPr>
          <w:rFonts w:hint="eastAsia" w:ascii="宋体" w:hAnsi="宋体" w:eastAsia="宋体" w:cs="宋体"/>
          <w:color w:val="auto"/>
          <w:spacing w:val="0"/>
          <w:position w:val="0"/>
          <w:sz w:val="28"/>
          <w:szCs w:val="28"/>
          <w:highlight w:val="none"/>
          <w:lang w:val="zh-CN" w:eastAsia="zh-CN"/>
        </w:rPr>
        <w:t>（</w:t>
      </w:r>
      <w:r>
        <w:rPr>
          <w:rFonts w:hint="eastAsia" w:ascii="宋体" w:hAnsi="宋体" w:cs="宋体"/>
          <w:color w:val="auto"/>
          <w:spacing w:val="0"/>
          <w:position w:val="0"/>
          <w:sz w:val="28"/>
          <w:szCs w:val="28"/>
          <w:highlight w:val="none"/>
          <w:lang w:val="en-US" w:eastAsia="zh-CN"/>
        </w:rPr>
        <w:t>五</w:t>
      </w:r>
      <w:r>
        <w:rPr>
          <w:rFonts w:hint="eastAsia" w:ascii="宋体" w:hAnsi="宋体" w:eastAsia="宋体" w:cs="宋体"/>
          <w:color w:val="auto"/>
          <w:spacing w:val="0"/>
          <w:position w:val="0"/>
          <w:sz w:val="28"/>
          <w:szCs w:val="28"/>
          <w:highlight w:val="none"/>
          <w:lang w:val="zh-CN" w:eastAsia="zh-CN"/>
        </w:rPr>
        <w:t>）供应商近三年类似工程业绩证明材料</w:t>
      </w:r>
      <w:bookmarkEnd w:id="1306"/>
      <w:bookmarkEnd w:id="1307"/>
      <w:bookmarkEnd w:id="1308"/>
      <w:bookmarkEnd w:id="1309"/>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7"/>
        <w:gridCol w:w="6768"/>
      </w:tblGrid>
      <w:tr w14:paraId="7DE8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837" w:type="dxa"/>
            <w:tcBorders>
              <w:top w:val="single" w:color="auto" w:sz="4" w:space="0"/>
              <w:left w:val="single" w:color="auto" w:sz="4" w:space="0"/>
              <w:bottom w:val="single" w:color="auto" w:sz="4" w:space="0"/>
              <w:right w:val="single" w:color="auto" w:sz="4" w:space="0"/>
            </w:tcBorders>
            <w:noWrap w:val="0"/>
            <w:vAlign w:val="center"/>
          </w:tcPr>
          <w:p w14:paraId="1626938F">
            <w:pPr>
              <w:kinsoku/>
              <w:wordWrap/>
              <w:overflowPunct/>
              <w:bidi w:val="0"/>
              <w:spacing w:line="440" w:lineRule="exact"/>
              <w:ind w:firstLine="24" w:firstLineChars="10"/>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项目名称</w:t>
            </w:r>
          </w:p>
        </w:tc>
        <w:tc>
          <w:tcPr>
            <w:tcW w:w="6768" w:type="dxa"/>
            <w:tcBorders>
              <w:top w:val="single" w:color="auto" w:sz="4" w:space="0"/>
              <w:left w:val="single" w:color="auto" w:sz="4" w:space="0"/>
              <w:bottom w:val="single" w:color="auto" w:sz="4" w:space="0"/>
              <w:right w:val="single" w:color="auto" w:sz="4" w:space="0"/>
            </w:tcBorders>
            <w:noWrap w:val="0"/>
            <w:vAlign w:val="center"/>
          </w:tcPr>
          <w:p w14:paraId="029F4F83">
            <w:pPr>
              <w:kinsoku/>
              <w:wordWrap/>
              <w:overflowPunct/>
              <w:bidi w:val="0"/>
              <w:spacing w:line="440" w:lineRule="exact"/>
              <w:ind w:firstLine="24" w:firstLineChars="10"/>
              <w:rPr>
                <w:rFonts w:hint="eastAsia" w:ascii="宋体" w:hAnsi="宋体" w:eastAsia="宋体" w:cs="宋体"/>
                <w:color w:val="auto"/>
                <w:spacing w:val="0"/>
                <w:position w:val="0"/>
                <w:sz w:val="24"/>
                <w:szCs w:val="24"/>
                <w:highlight w:val="none"/>
                <w:u w:val="none"/>
              </w:rPr>
            </w:pPr>
          </w:p>
        </w:tc>
      </w:tr>
      <w:tr w14:paraId="43ED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837" w:type="dxa"/>
            <w:tcBorders>
              <w:top w:val="single" w:color="auto" w:sz="4" w:space="0"/>
              <w:left w:val="single" w:color="auto" w:sz="4" w:space="0"/>
              <w:bottom w:val="single" w:color="auto" w:sz="4" w:space="0"/>
              <w:right w:val="single" w:color="auto" w:sz="4" w:space="0"/>
            </w:tcBorders>
            <w:noWrap w:val="0"/>
            <w:vAlign w:val="center"/>
          </w:tcPr>
          <w:p w14:paraId="718ED729">
            <w:pPr>
              <w:kinsoku/>
              <w:wordWrap/>
              <w:overflowPunct/>
              <w:bidi w:val="0"/>
              <w:spacing w:line="440" w:lineRule="exact"/>
              <w:ind w:firstLine="24" w:firstLineChars="10"/>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项目所在地</w:t>
            </w:r>
          </w:p>
        </w:tc>
        <w:tc>
          <w:tcPr>
            <w:tcW w:w="6768" w:type="dxa"/>
            <w:tcBorders>
              <w:top w:val="single" w:color="auto" w:sz="4" w:space="0"/>
              <w:left w:val="single" w:color="auto" w:sz="4" w:space="0"/>
              <w:bottom w:val="single" w:color="auto" w:sz="4" w:space="0"/>
              <w:right w:val="single" w:color="auto" w:sz="4" w:space="0"/>
            </w:tcBorders>
            <w:noWrap w:val="0"/>
            <w:vAlign w:val="center"/>
          </w:tcPr>
          <w:p w14:paraId="261E8682">
            <w:pPr>
              <w:kinsoku/>
              <w:wordWrap/>
              <w:overflowPunct/>
              <w:bidi w:val="0"/>
              <w:spacing w:line="440" w:lineRule="exact"/>
              <w:ind w:firstLine="24" w:firstLineChars="10"/>
              <w:rPr>
                <w:rFonts w:hint="eastAsia" w:ascii="宋体" w:hAnsi="宋体" w:eastAsia="宋体" w:cs="宋体"/>
                <w:color w:val="auto"/>
                <w:spacing w:val="0"/>
                <w:position w:val="0"/>
                <w:sz w:val="24"/>
                <w:szCs w:val="24"/>
                <w:highlight w:val="none"/>
                <w:u w:val="none"/>
              </w:rPr>
            </w:pPr>
          </w:p>
        </w:tc>
      </w:tr>
      <w:tr w14:paraId="1E47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837" w:type="dxa"/>
            <w:tcBorders>
              <w:top w:val="single" w:color="auto" w:sz="4" w:space="0"/>
              <w:left w:val="single" w:color="auto" w:sz="4" w:space="0"/>
              <w:bottom w:val="single" w:color="auto" w:sz="4" w:space="0"/>
              <w:right w:val="single" w:color="auto" w:sz="4" w:space="0"/>
            </w:tcBorders>
            <w:noWrap w:val="0"/>
            <w:vAlign w:val="center"/>
          </w:tcPr>
          <w:p w14:paraId="3A634140">
            <w:pPr>
              <w:kinsoku/>
              <w:wordWrap/>
              <w:overflowPunct/>
              <w:bidi w:val="0"/>
              <w:spacing w:line="440" w:lineRule="exact"/>
              <w:ind w:firstLine="24" w:firstLineChars="10"/>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发包人名称</w:t>
            </w:r>
          </w:p>
        </w:tc>
        <w:tc>
          <w:tcPr>
            <w:tcW w:w="6768" w:type="dxa"/>
            <w:tcBorders>
              <w:top w:val="single" w:color="auto" w:sz="4" w:space="0"/>
              <w:left w:val="single" w:color="auto" w:sz="4" w:space="0"/>
              <w:bottom w:val="single" w:color="auto" w:sz="4" w:space="0"/>
              <w:right w:val="single" w:color="auto" w:sz="4" w:space="0"/>
            </w:tcBorders>
            <w:noWrap w:val="0"/>
            <w:vAlign w:val="center"/>
          </w:tcPr>
          <w:p w14:paraId="63765CE8">
            <w:pPr>
              <w:kinsoku/>
              <w:wordWrap/>
              <w:overflowPunct/>
              <w:bidi w:val="0"/>
              <w:spacing w:line="440" w:lineRule="exact"/>
              <w:ind w:firstLine="24" w:firstLineChars="10"/>
              <w:rPr>
                <w:rFonts w:hint="eastAsia" w:ascii="宋体" w:hAnsi="宋体" w:eastAsia="宋体" w:cs="宋体"/>
                <w:color w:val="auto"/>
                <w:spacing w:val="0"/>
                <w:position w:val="0"/>
                <w:sz w:val="24"/>
                <w:szCs w:val="24"/>
                <w:highlight w:val="none"/>
                <w:u w:val="none"/>
              </w:rPr>
            </w:pPr>
          </w:p>
        </w:tc>
      </w:tr>
      <w:tr w14:paraId="1A40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837" w:type="dxa"/>
            <w:tcBorders>
              <w:top w:val="single" w:color="auto" w:sz="4" w:space="0"/>
              <w:left w:val="single" w:color="auto" w:sz="4" w:space="0"/>
              <w:bottom w:val="single" w:color="auto" w:sz="4" w:space="0"/>
              <w:right w:val="single" w:color="auto" w:sz="4" w:space="0"/>
            </w:tcBorders>
            <w:noWrap w:val="0"/>
            <w:vAlign w:val="center"/>
          </w:tcPr>
          <w:p w14:paraId="2B072C77">
            <w:pPr>
              <w:kinsoku/>
              <w:wordWrap/>
              <w:overflowPunct/>
              <w:bidi w:val="0"/>
              <w:spacing w:line="440" w:lineRule="exact"/>
              <w:ind w:firstLine="24" w:firstLineChars="10"/>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发包人地址</w:t>
            </w:r>
          </w:p>
        </w:tc>
        <w:tc>
          <w:tcPr>
            <w:tcW w:w="6768" w:type="dxa"/>
            <w:tcBorders>
              <w:top w:val="single" w:color="auto" w:sz="4" w:space="0"/>
              <w:left w:val="single" w:color="auto" w:sz="4" w:space="0"/>
              <w:bottom w:val="single" w:color="auto" w:sz="4" w:space="0"/>
              <w:right w:val="single" w:color="auto" w:sz="4" w:space="0"/>
            </w:tcBorders>
            <w:noWrap w:val="0"/>
            <w:vAlign w:val="center"/>
          </w:tcPr>
          <w:p w14:paraId="72B8DF73">
            <w:pPr>
              <w:kinsoku/>
              <w:wordWrap/>
              <w:overflowPunct/>
              <w:bidi w:val="0"/>
              <w:spacing w:line="440" w:lineRule="exact"/>
              <w:ind w:firstLine="24" w:firstLineChars="10"/>
              <w:rPr>
                <w:rFonts w:hint="eastAsia" w:ascii="宋体" w:hAnsi="宋体" w:eastAsia="宋体" w:cs="宋体"/>
                <w:color w:val="auto"/>
                <w:spacing w:val="0"/>
                <w:position w:val="0"/>
                <w:sz w:val="24"/>
                <w:szCs w:val="24"/>
                <w:highlight w:val="none"/>
                <w:u w:val="none"/>
              </w:rPr>
            </w:pPr>
          </w:p>
        </w:tc>
      </w:tr>
      <w:tr w14:paraId="0F805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837" w:type="dxa"/>
            <w:tcBorders>
              <w:top w:val="single" w:color="auto" w:sz="4" w:space="0"/>
              <w:left w:val="single" w:color="auto" w:sz="4" w:space="0"/>
              <w:bottom w:val="single" w:color="auto" w:sz="4" w:space="0"/>
              <w:right w:val="single" w:color="auto" w:sz="4" w:space="0"/>
            </w:tcBorders>
            <w:noWrap w:val="0"/>
            <w:vAlign w:val="center"/>
          </w:tcPr>
          <w:p w14:paraId="513BC817">
            <w:pPr>
              <w:kinsoku/>
              <w:wordWrap/>
              <w:overflowPunct/>
              <w:bidi w:val="0"/>
              <w:spacing w:line="440" w:lineRule="exact"/>
              <w:ind w:firstLine="24" w:firstLineChars="10"/>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发包人联系人及电话</w:t>
            </w:r>
          </w:p>
        </w:tc>
        <w:tc>
          <w:tcPr>
            <w:tcW w:w="6768" w:type="dxa"/>
            <w:tcBorders>
              <w:top w:val="single" w:color="auto" w:sz="4" w:space="0"/>
              <w:left w:val="single" w:color="auto" w:sz="4" w:space="0"/>
              <w:bottom w:val="single" w:color="auto" w:sz="4" w:space="0"/>
              <w:right w:val="single" w:color="auto" w:sz="4" w:space="0"/>
            </w:tcBorders>
            <w:noWrap w:val="0"/>
            <w:vAlign w:val="center"/>
          </w:tcPr>
          <w:p w14:paraId="7D5F0E65">
            <w:pPr>
              <w:kinsoku/>
              <w:wordWrap/>
              <w:overflowPunct/>
              <w:bidi w:val="0"/>
              <w:spacing w:line="440" w:lineRule="exact"/>
              <w:ind w:firstLine="24" w:firstLineChars="10"/>
              <w:rPr>
                <w:rFonts w:hint="eastAsia" w:ascii="宋体" w:hAnsi="宋体" w:eastAsia="宋体" w:cs="宋体"/>
                <w:color w:val="auto"/>
                <w:spacing w:val="0"/>
                <w:position w:val="0"/>
                <w:sz w:val="24"/>
                <w:szCs w:val="24"/>
                <w:highlight w:val="none"/>
                <w:u w:val="none"/>
              </w:rPr>
            </w:pPr>
          </w:p>
        </w:tc>
      </w:tr>
      <w:tr w14:paraId="453D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837" w:type="dxa"/>
            <w:tcBorders>
              <w:top w:val="single" w:color="auto" w:sz="4" w:space="0"/>
              <w:left w:val="single" w:color="auto" w:sz="4" w:space="0"/>
              <w:bottom w:val="single" w:color="auto" w:sz="4" w:space="0"/>
              <w:right w:val="single" w:color="auto" w:sz="4" w:space="0"/>
            </w:tcBorders>
            <w:noWrap w:val="0"/>
            <w:vAlign w:val="center"/>
          </w:tcPr>
          <w:p w14:paraId="0BAC324B">
            <w:pPr>
              <w:kinsoku/>
              <w:wordWrap/>
              <w:overflowPunct/>
              <w:bidi w:val="0"/>
              <w:spacing w:line="440" w:lineRule="exact"/>
              <w:ind w:firstLine="24" w:firstLineChars="10"/>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合同价格</w:t>
            </w:r>
          </w:p>
        </w:tc>
        <w:tc>
          <w:tcPr>
            <w:tcW w:w="6768" w:type="dxa"/>
            <w:tcBorders>
              <w:top w:val="single" w:color="auto" w:sz="4" w:space="0"/>
              <w:left w:val="single" w:color="auto" w:sz="4" w:space="0"/>
              <w:bottom w:val="single" w:color="auto" w:sz="4" w:space="0"/>
              <w:right w:val="single" w:color="auto" w:sz="4" w:space="0"/>
            </w:tcBorders>
            <w:noWrap w:val="0"/>
            <w:vAlign w:val="center"/>
          </w:tcPr>
          <w:p w14:paraId="485B5999">
            <w:pPr>
              <w:kinsoku/>
              <w:wordWrap/>
              <w:overflowPunct/>
              <w:bidi w:val="0"/>
              <w:spacing w:line="440" w:lineRule="exact"/>
              <w:ind w:firstLine="24" w:firstLineChars="10"/>
              <w:rPr>
                <w:rFonts w:hint="eastAsia" w:ascii="宋体" w:hAnsi="宋体" w:eastAsia="宋体" w:cs="宋体"/>
                <w:color w:val="auto"/>
                <w:spacing w:val="0"/>
                <w:position w:val="0"/>
                <w:sz w:val="24"/>
                <w:szCs w:val="24"/>
                <w:highlight w:val="none"/>
                <w:u w:val="none"/>
              </w:rPr>
            </w:pPr>
          </w:p>
        </w:tc>
      </w:tr>
      <w:tr w14:paraId="296A5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837" w:type="dxa"/>
            <w:tcBorders>
              <w:top w:val="single" w:color="auto" w:sz="4" w:space="0"/>
              <w:left w:val="single" w:color="auto" w:sz="4" w:space="0"/>
              <w:bottom w:val="single" w:color="auto" w:sz="4" w:space="0"/>
              <w:right w:val="single" w:color="auto" w:sz="4" w:space="0"/>
            </w:tcBorders>
            <w:noWrap w:val="0"/>
            <w:vAlign w:val="center"/>
          </w:tcPr>
          <w:p w14:paraId="61647D00">
            <w:pPr>
              <w:kinsoku/>
              <w:wordWrap/>
              <w:overflowPunct/>
              <w:bidi w:val="0"/>
              <w:spacing w:line="440" w:lineRule="exact"/>
              <w:ind w:firstLine="24" w:firstLineChars="10"/>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开工日期</w:t>
            </w:r>
          </w:p>
        </w:tc>
        <w:tc>
          <w:tcPr>
            <w:tcW w:w="6768" w:type="dxa"/>
            <w:tcBorders>
              <w:top w:val="single" w:color="auto" w:sz="4" w:space="0"/>
              <w:left w:val="single" w:color="auto" w:sz="4" w:space="0"/>
              <w:bottom w:val="single" w:color="auto" w:sz="4" w:space="0"/>
              <w:right w:val="single" w:color="auto" w:sz="4" w:space="0"/>
            </w:tcBorders>
            <w:noWrap w:val="0"/>
            <w:vAlign w:val="center"/>
          </w:tcPr>
          <w:p w14:paraId="4E7CD42C">
            <w:pPr>
              <w:kinsoku/>
              <w:wordWrap/>
              <w:overflowPunct/>
              <w:bidi w:val="0"/>
              <w:spacing w:line="440" w:lineRule="exact"/>
              <w:ind w:firstLine="24" w:firstLineChars="10"/>
              <w:rPr>
                <w:rFonts w:hint="eastAsia" w:ascii="宋体" w:hAnsi="宋体" w:eastAsia="宋体" w:cs="宋体"/>
                <w:color w:val="auto"/>
                <w:spacing w:val="0"/>
                <w:position w:val="0"/>
                <w:sz w:val="24"/>
                <w:szCs w:val="24"/>
                <w:highlight w:val="none"/>
                <w:u w:val="none"/>
              </w:rPr>
            </w:pPr>
          </w:p>
        </w:tc>
      </w:tr>
      <w:tr w14:paraId="2CBF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837" w:type="dxa"/>
            <w:tcBorders>
              <w:top w:val="single" w:color="auto" w:sz="4" w:space="0"/>
              <w:left w:val="single" w:color="auto" w:sz="4" w:space="0"/>
              <w:bottom w:val="single" w:color="auto" w:sz="4" w:space="0"/>
              <w:right w:val="single" w:color="auto" w:sz="4" w:space="0"/>
            </w:tcBorders>
            <w:noWrap w:val="0"/>
            <w:vAlign w:val="center"/>
          </w:tcPr>
          <w:p w14:paraId="2DFD2B90">
            <w:pPr>
              <w:kinsoku/>
              <w:wordWrap/>
              <w:overflowPunct/>
              <w:bidi w:val="0"/>
              <w:spacing w:line="440" w:lineRule="exact"/>
              <w:ind w:firstLine="24" w:firstLineChars="10"/>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竣工日期</w:t>
            </w:r>
          </w:p>
        </w:tc>
        <w:tc>
          <w:tcPr>
            <w:tcW w:w="6768" w:type="dxa"/>
            <w:tcBorders>
              <w:top w:val="single" w:color="auto" w:sz="4" w:space="0"/>
              <w:left w:val="single" w:color="auto" w:sz="4" w:space="0"/>
              <w:bottom w:val="single" w:color="auto" w:sz="4" w:space="0"/>
              <w:right w:val="single" w:color="auto" w:sz="4" w:space="0"/>
            </w:tcBorders>
            <w:noWrap w:val="0"/>
            <w:vAlign w:val="center"/>
          </w:tcPr>
          <w:p w14:paraId="6CD6038A">
            <w:pPr>
              <w:kinsoku/>
              <w:wordWrap/>
              <w:overflowPunct/>
              <w:bidi w:val="0"/>
              <w:spacing w:line="440" w:lineRule="exact"/>
              <w:ind w:firstLine="24" w:firstLineChars="10"/>
              <w:rPr>
                <w:rFonts w:hint="eastAsia" w:ascii="宋体" w:hAnsi="宋体" w:eastAsia="宋体" w:cs="宋体"/>
                <w:color w:val="auto"/>
                <w:spacing w:val="0"/>
                <w:position w:val="0"/>
                <w:sz w:val="24"/>
                <w:szCs w:val="24"/>
                <w:highlight w:val="none"/>
                <w:u w:val="none"/>
              </w:rPr>
            </w:pPr>
          </w:p>
        </w:tc>
      </w:tr>
      <w:tr w14:paraId="067E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837" w:type="dxa"/>
            <w:tcBorders>
              <w:top w:val="single" w:color="auto" w:sz="4" w:space="0"/>
              <w:left w:val="single" w:color="auto" w:sz="4" w:space="0"/>
              <w:bottom w:val="single" w:color="auto" w:sz="4" w:space="0"/>
              <w:right w:val="single" w:color="auto" w:sz="4" w:space="0"/>
            </w:tcBorders>
            <w:noWrap w:val="0"/>
            <w:vAlign w:val="center"/>
          </w:tcPr>
          <w:p w14:paraId="53F2D27D">
            <w:pPr>
              <w:kinsoku/>
              <w:wordWrap/>
              <w:overflowPunct/>
              <w:bidi w:val="0"/>
              <w:spacing w:line="440" w:lineRule="exact"/>
              <w:ind w:firstLine="24" w:firstLineChars="10"/>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承担的工作</w:t>
            </w:r>
          </w:p>
        </w:tc>
        <w:tc>
          <w:tcPr>
            <w:tcW w:w="6768" w:type="dxa"/>
            <w:tcBorders>
              <w:top w:val="single" w:color="auto" w:sz="4" w:space="0"/>
              <w:left w:val="single" w:color="auto" w:sz="4" w:space="0"/>
              <w:bottom w:val="single" w:color="auto" w:sz="4" w:space="0"/>
              <w:right w:val="single" w:color="auto" w:sz="4" w:space="0"/>
            </w:tcBorders>
            <w:noWrap w:val="0"/>
            <w:vAlign w:val="center"/>
          </w:tcPr>
          <w:p w14:paraId="1E7360EB">
            <w:pPr>
              <w:kinsoku/>
              <w:wordWrap/>
              <w:overflowPunct/>
              <w:bidi w:val="0"/>
              <w:spacing w:line="440" w:lineRule="exact"/>
              <w:ind w:firstLine="24" w:firstLineChars="10"/>
              <w:rPr>
                <w:rFonts w:hint="eastAsia" w:ascii="宋体" w:hAnsi="宋体" w:eastAsia="宋体" w:cs="宋体"/>
                <w:color w:val="auto"/>
                <w:spacing w:val="0"/>
                <w:position w:val="0"/>
                <w:sz w:val="24"/>
                <w:szCs w:val="24"/>
                <w:highlight w:val="none"/>
                <w:u w:val="none"/>
              </w:rPr>
            </w:pPr>
          </w:p>
        </w:tc>
      </w:tr>
      <w:tr w14:paraId="760B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837" w:type="dxa"/>
            <w:tcBorders>
              <w:top w:val="single" w:color="auto" w:sz="4" w:space="0"/>
              <w:left w:val="single" w:color="auto" w:sz="4" w:space="0"/>
              <w:bottom w:val="single" w:color="auto" w:sz="4" w:space="0"/>
              <w:right w:val="single" w:color="auto" w:sz="4" w:space="0"/>
            </w:tcBorders>
            <w:noWrap w:val="0"/>
            <w:vAlign w:val="center"/>
          </w:tcPr>
          <w:p w14:paraId="00DEB14A">
            <w:pPr>
              <w:kinsoku/>
              <w:wordWrap/>
              <w:overflowPunct/>
              <w:bidi w:val="0"/>
              <w:spacing w:line="440" w:lineRule="exact"/>
              <w:ind w:firstLine="24" w:firstLineChars="10"/>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工程质量</w:t>
            </w:r>
          </w:p>
        </w:tc>
        <w:tc>
          <w:tcPr>
            <w:tcW w:w="6768" w:type="dxa"/>
            <w:tcBorders>
              <w:top w:val="single" w:color="auto" w:sz="4" w:space="0"/>
              <w:left w:val="single" w:color="auto" w:sz="4" w:space="0"/>
              <w:bottom w:val="single" w:color="auto" w:sz="4" w:space="0"/>
              <w:right w:val="single" w:color="auto" w:sz="4" w:space="0"/>
            </w:tcBorders>
            <w:noWrap w:val="0"/>
            <w:vAlign w:val="center"/>
          </w:tcPr>
          <w:p w14:paraId="736E2521">
            <w:pPr>
              <w:kinsoku/>
              <w:wordWrap/>
              <w:overflowPunct/>
              <w:bidi w:val="0"/>
              <w:spacing w:line="440" w:lineRule="exact"/>
              <w:ind w:firstLine="24" w:firstLineChars="10"/>
              <w:rPr>
                <w:rFonts w:hint="eastAsia" w:ascii="宋体" w:hAnsi="宋体" w:eastAsia="宋体" w:cs="宋体"/>
                <w:color w:val="auto"/>
                <w:spacing w:val="0"/>
                <w:position w:val="0"/>
                <w:sz w:val="24"/>
                <w:szCs w:val="24"/>
                <w:highlight w:val="none"/>
                <w:u w:val="none"/>
              </w:rPr>
            </w:pPr>
          </w:p>
        </w:tc>
      </w:tr>
      <w:tr w14:paraId="68639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837" w:type="dxa"/>
            <w:tcBorders>
              <w:top w:val="single" w:color="auto" w:sz="4" w:space="0"/>
              <w:left w:val="single" w:color="auto" w:sz="4" w:space="0"/>
              <w:bottom w:val="single" w:color="auto" w:sz="4" w:space="0"/>
              <w:right w:val="single" w:color="auto" w:sz="4" w:space="0"/>
            </w:tcBorders>
            <w:noWrap w:val="0"/>
            <w:vAlign w:val="center"/>
          </w:tcPr>
          <w:p w14:paraId="53B4DC4F">
            <w:pPr>
              <w:kinsoku/>
              <w:wordWrap/>
              <w:overflowPunct/>
              <w:bidi w:val="0"/>
              <w:spacing w:line="440" w:lineRule="exact"/>
              <w:ind w:firstLine="24" w:firstLineChars="10"/>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项目负责人</w:t>
            </w:r>
          </w:p>
        </w:tc>
        <w:tc>
          <w:tcPr>
            <w:tcW w:w="6768" w:type="dxa"/>
            <w:tcBorders>
              <w:top w:val="single" w:color="auto" w:sz="4" w:space="0"/>
              <w:left w:val="single" w:color="auto" w:sz="4" w:space="0"/>
              <w:bottom w:val="single" w:color="auto" w:sz="4" w:space="0"/>
              <w:right w:val="single" w:color="auto" w:sz="4" w:space="0"/>
            </w:tcBorders>
            <w:noWrap w:val="0"/>
            <w:vAlign w:val="center"/>
          </w:tcPr>
          <w:p w14:paraId="0199569F">
            <w:pPr>
              <w:kinsoku/>
              <w:wordWrap/>
              <w:overflowPunct/>
              <w:bidi w:val="0"/>
              <w:spacing w:line="440" w:lineRule="exact"/>
              <w:ind w:firstLine="24" w:firstLineChars="10"/>
              <w:rPr>
                <w:rFonts w:hint="eastAsia" w:ascii="宋体" w:hAnsi="宋体" w:eastAsia="宋体" w:cs="宋体"/>
                <w:color w:val="auto"/>
                <w:spacing w:val="0"/>
                <w:position w:val="0"/>
                <w:sz w:val="24"/>
                <w:szCs w:val="24"/>
                <w:highlight w:val="none"/>
                <w:u w:val="none"/>
              </w:rPr>
            </w:pPr>
          </w:p>
        </w:tc>
      </w:tr>
      <w:tr w14:paraId="046F8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837" w:type="dxa"/>
            <w:tcBorders>
              <w:top w:val="single" w:color="auto" w:sz="4" w:space="0"/>
              <w:left w:val="single" w:color="auto" w:sz="4" w:space="0"/>
              <w:bottom w:val="single" w:color="auto" w:sz="4" w:space="0"/>
              <w:right w:val="single" w:color="auto" w:sz="4" w:space="0"/>
            </w:tcBorders>
            <w:noWrap w:val="0"/>
            <w:vAlign w:val="center"/>
          </w:tcPr>
          <w:p w14:paraId="0DFD055F">
            <w:pPr>
              <w:kinsoku/>
              <w:wordWrap/>
              <w:overflowPunct/>
              <w:bidi w:val="0"/>
              <w:spacing w:line="440" w:lineRule="exact"/>
              <w:ind w:firstLine="24" w:firstLineChars="10"/>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技术负责人</w:t>
            </w:r>
          </w:p>
        </w:tc>
        <w:tc>
          <w:tcPr>
            <w:tcW w:w="6768" w:type="dxa"/>
            <w:tcBorders>
              <w:top w:val="single" w:color="auto" w:sz="4" w:space="0"/>
              <w:left w:val="single" w:color="auto" w:sz="4" w:space="0"/>
              <w:bottom w:val="single" w:color="auto" w:sz="4" w:space="0"/>
              <w:right w:val="single" w:color="auto" w:sz="4" w:space="0"/>
            </w:tcBorders>
            <w:noWrap w:val="0"/>
            <w:vAlign w:val="center"/>
          </w:tcPr>
          <w:p w14:paraId="410E446F">
            <w:pPr>
              <w:kinsoku/>
              <w:wordWrap/>
              <w:overflowPunct/>
              <w:bidi w:val="0"/>
              <w:spacing w:line="440" w:lineRule="exact"/>
              <w:ind w:firstLine="24" w:firstLineChars="10"/>
              <w:rPr>
                <w:rFonts w:hint="eastAsia" w:ascii="宋体" w:hAnsi="宋体" w:eastAsia="宋体" w:cs="宋体"/>
                <w:color w:val="auto"/>
                <w:spacing w:val="0"/>
                <w:position w:val="0"/>
                <w:sz w:val="24"/>
                <w:szCs w:val="24"/>
                <w:highlight w:val="none"/>
                <w:u w:val="none"/>
              </w:rPr>
            </w:pPr>
          </w:p>
        </w:tc>
      </w:tr>
      <w:tr w14:paraId="0AC3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837" w:type="dxa"/>
            <w:tcBorders>
              <w:top w:val="single" w:color="auto" w:sz="4" w:space="0"/>
              <w:left w:val="single" w:color="auto" w:sz="4" w:space="0"/>
              <w:bottom w:val="single" w:color="auto" w:sz="4" w:space="0"/>
              <w:right w:val="single" w:color="auto" w:sz="4" w:space="0"/>
            </w:tcBorders>
            <w:noWrap w:val="0"/>
            <w:vAlign w:val="center"/>
          </w:tcPr>
          <w:p w14:paraId="3F7691B4">
            <w:pPr>
              <w:kinsoku/>
              <w:wordWrap/>
              <w:overflowPunct/>
              <w:bidi w:val="0"/>
              <w:spacing w:line="440" w:lineRule="exact"/>
              <w:ind w:firstLine="24" w:firstLineChars="10"/>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总监理工程师及电话</w:t>
            </w:r>
          </w:p>
        </w:tc>
        <w:tc>
          <w:tcPr>
            <w:tcW w:w="6768" w:type="dxa"/>
            <w:tcBorders>
              <w:top w:val="single" w:color="auto" w:sz="4" w:space="0"/>
              <w:left w:val="single" w:color="auto" w:sz="4" w:space="0"/>
              <w:bottom w:val="single" w:color="auto" w:sz="4" w:space="0"/>
              <w:right w:val="single" w:color="auto" w:sz="4" w:space="0"/>
            </w:tcBorders>
            <w:noWrap w:val="0"/>
            <w:vAlign w:val="center"/>
          </w:tcPr>
          <w:p w14:paraId="5814B8B5">
            <w:pPr>
              <w:kinsoku/>
              <w:wordWrap/>
              <w:overflowPunct/>
              <w:bidi w:val="0"/>
              <w:spacing w:line="440" w:lineRule="exact"/>
              <w:ind w:firstLine="24" w:firstLineChars="10"/>
              <w:rPr>
                <w:rFonts w:hint="eastAsia" w:ascii="宋体" w:hAnsi="宋体" w:eastAsia="宋体" w:cs="宋体"/>
                <w:color w:val="auto"/>
                <w:spacing w:val="0"/>
                <w:position w:val="0"/>
                <w:sz w:val="24"/>
                <w:szCs w:val="24"/>
                <w:highlight w:val="none"/>
                <w:u w:val="none"/>
              </w:rPr>
            </w:pPr>
          </w:p>
        </w:tc>
      </w:tr>
      <w:tr w14:paraId="0300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2837" w:type="dxa"/>
            <w:tcBorders>
              <w:top w:val="single" w:color="auto" w:sz="4" w:space="0"/>
              <w:left w:val="single" w:color="auto" w:sz="4" w:space="0"/>
              <w:bottom w:val="single" w:color="auto" w:sz="4" w:space="0"/>
              <w:right w:val="single" w:color="auto" w:sz="4" w:space="0"/>
            </w:tcBorders>
            <w:noWrap w:val="0"/>
            <w:vAlign w:val="center"/>
          </w:tcPr>
          <w:p w14:paraId="6BDC82E5">
            <w:pPr>
              <w:kinsoku/>
              <w:wordWrap/>
              <w:overflowPunct/>
              <w:bidi w:val="0"/>
              <w:spacing w:line="440" w:lineRule="exact"/>
              <w:ind w:firstLine="24" w:firstLineChars="10"/>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项目描述</w:t>
            </w:r>
          </w:p>
        </w:tc>
        <w:tc>
          <w:tcPr>
            <w:tcW w:w="6768" w:type="dxa"/>
            <w:tcBorders>
              <w:top w:val="single" w:color="auto" w:sz="4" w:space="0"/>
              <w:left w:val="single" w:color="auto" w:sz="4" w:space="0"/>
              <w:bottom w:val="single" w:color="auto" w:sz="4" w:space="0"/>
              <w:right w:val="single" w:color="auto" w:sz="4" w:space="0"/>
            </w:tcBorders>
            <w:noWrap w:val="0"/>
            <w:vAlign w:val="center"/>
          </w:tcPr>
          <w:p w14:paraId="71B2C52D">
            <w:pPr>
              <w:kinsoku/>
              <w:wordWrap/>
              <w:overflowPunct/>
              <w:bidi w:val="0"/>
              <w:spacing w:line="440" w:lineRule="exact"/>
              <w:ind w:firstLine="24" w:firstLineChars="10"/>
              <w:rPr>
                <w:rFonts w:hint="eastAsia" w:ascii="宋体" w:hAnsi="宋体" w:eastAsia="宋体" w:cs="宋体"/>
                <w:color w:val="auto"/>
                <w:spacing w:val="0"/>
                <w:position w:val="0"/>
                <w:sz w:val="24"/>
                <w:szCs w:val="24"/>
                <w:highlight w:val="none"/>
                <w:u w:val="none"/>
              </w:rPr>
            </w:pPr>
          </w:p>
        </w:tc>
      </w:tr>
      <w:tr w14:paraId="4651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837" w:type="dxa"/>
            <w:tcBorders>
              <w:top w:val="single" w:color="auto" w:sz="4" w:space="0"/>
              <w:left w:val="single" w:color="auto" w:sz="4" w:space="0"/>
              <w:bottom w:val="single" w:color="auto" w:sz="4" w:space="0"/>
              <w:right w:val="single" w:color="auto" w:sz="4" w:space="0"/>
            </w:tcBorders>
            <w:noWrap w:val="0"/>
            <w:vAlign w:val="center"/>
          </w:tcPr>
          <w:p w14:paraId="41CE0C67">
            <w:pPr>
              <w:kinsoku/>
              <w:wordWrap/>
              <w:overflowPunct/>
              <w:bidi w:val="0"/>
              <w:spacing w:line="440" w:lineRule="exact"/>
              <w:ind w:firstLine="24" w:firstLineChars="10"/>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备注</w:t>
            </w:r>
          </w:p>
        </w:tc>
        <w:tc>
          <w:tcPr>
            <w:tcW w:w="6768" w:type="dxa"/>
            <w:tcBorders>
              <w:top w:val="single" w:color="auto" w:sz="4" w:space="0"/>
              <w:left w:val="single" w:color="auto" w:sz="4" w:space="0"/>
              <w:bottom w:val="single" w:color="auto" w:sz="4" w:space="0"/>
              <w:right w:val="single" w:color="auto" w:sz="4" w:space="0"/>
            </w:tcBorders>
            <w:noWrap w:val="0"/>
            <w:vAlign w:val="center"/>
          </w:tcPr>
          <w:p w14:paraId="6F6DFE6D">
            <w:pPr>
              <w:kinsoku/>
              <w:wordWrap/>
              <w:overflowPunct/>
              <w:bidi w:val="0"/>
              <w:spacing w:line="440" w:lineRule="exact"/>
              <w:ind w:firstLine="24" w:firstLineChars="10"/>
              <w:rPr>
                <w:rFonts w:hint="eastAsia" w:ascii="宋体" w:hAnsi="宋体" w:eastAsia="宋体" w:cs="宋体"/>
                <w:color w:val="auto"/>
                <w:spacing w:val="0"/>
                <w:position w:val="0"/>
                <w:sz w:val="24"/>
                <w:szCs w:val="24"/>
                <w:highlight w:val="none"/>
                <w:u w:val="none"/>
              </w:rPr>
            </w:pPr>
          </w:p>
        </w:tc>
      </w:tr>
    </w:tbl>
    <w:p w14:paraId="34DE6891">
      <w:pPr>
        <w:kinsoku/>
        <w:wordWrap/>
        <w:overflowPunct/>
        <w:bidi w:val="0"/>
        <w:spacing w:line="360" w:lineRule="auto"/>
        <w:ind w:firstLine="480" w:firstLineChars="200"/>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备注：</w:t>
      </w:r>
    </w:p>
    <w:p w14:paraId="7AE61948">
      <w:pPr>
        <w:kinsoku/>
        <w:wordWrap/>
        <w:overflowPunct/>
        <w:autoSpaceDE w:val="0"/>
        <w:autoSpaceDN w:val="0"/>
        <w:bidi w:val="0"/>
        <w:adjustRightInd w:val="0"/>
        <w:spacing w:line="360" w:lineRule="auto"/>
        <w:ind w:firstLine="480" w:firstLineChars="200"/>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1、本表后须提供</w:t>
      </w:r>
      <w:r>
        <w:rPr>
          <w:rFonts w:hint="eastAsia" w:ascii="宋体" w:hAnsi="宋体" w:eastAsia="宋体" w:cs="宋体"/>
          <w:color w:val="auto"/>
          <w:spacing w:val="0"/>
          <w:position w:val="0"/>
          <w:sz w:val="24"/>
          <w:szCs w:val="24"/>
          <w:highlight w:val="none"/>
          <w:u w:val="none"/>
          <w:lang w:eastAsia="zh-CN"/>
        </w:rPr>
        <w:t>业绩证明材料</w:t>
      </w:r>
      <w:r>
        <w:rPr>
          <w:rFonts w:hint="eastAsia" w:ascii="宋体" w:hAnsi="宋体" w:eastAsia="宋体" w:cs="宋体"/>
          <w:color w:val="auto"/>
          <w:spacing w:val="0"/>
          <w:position w:val="0"/>
          <w:sz w:val="24"/>
          <w:szCs w:val="24"/>
          <w:highlight w:val="none"/>
          <w:u w:val="none"/>
        </w:rPr>
        <w:t>。符合近三年的类似工程业绩，每张表格只填写一个项目，并标明序号。</w:t>
      </w:r>
    </w:p>
    <w:p w14:paraId="61811BCA">
      <w:pPr>
        <w:kinsoku/>
        <w:wordWrap/>
        <w:overflowPunct/>
        <w:bidi w:val="0"/>
        <w:rPr>
          <w:rFonts w:hint="eastAsia" w:ascii="宋体" w:hAnsi="宋体" w:eastAsia="宋体" w:cs="宋体"/>
          <w:color w:val="auto"/>
          <w:spacing w:val="0"/>
          <w:position w:val="0"/>
          <w:highlight w:val="none"/>
          <w:lang w:eastAsia="zh-CN"/>
        </w:rPr>
      </w:pPr>
    </w:p>
    <w:p w14:paraId="277DDBBB">
      <w:pPr>
        <w:kinsoku/>
        <w:wordWrap/>
        <w:overflowPunct/>
        <w:bidi w:val="0"/>
        <w:rPr>
          <w:rFonts w:hint="eastAsia" w:ascii="宋体" w:hAnsi="宋体" w:eastAsia="宋体" w:cs="宋体"/>
          <w:b/>
          <w:bCs/>
          <w:color w:val="auto"/>
          <w:spacing w:val="0"/>
          <w:position w:val="0"/>
          <w:sz w:val="28"/>
          <w:szCs w:val="28"/>
          <w:highlight w:val="none"/>
          <w:lang w:eastAsia="zh-CN"/>
        </w:rPr>
      </w:pPr>
    </w:p>
    <w:p w14:paraId="16079A46">
      <w:pPr>
        <w:pStyle w:val="13"/>
        <w:kinsoku/>
        <w:wordWrap/>
        <w:overflowPunct/>
        <w:bidi w:val="0"/>
        <w:rPr>
          <w:rFonts w:hint="eastAsia" w:ascii="宋体" w:hAnsi="宋体" w:eastAsia="宋体" w:cs="宋体"/>
          <w:b/>
          <w:bCs/>
          <w:color w:val="auto"/>
          <w:spacing w:val="0"/>
          <w:position w:val="0"/>
          <w:sz w:val="28"/>
          <w:szCs w:val="28"/>
          <w:highlight w:val="none"/>
          <w:lang w:eastAsia="zh-CN"/>
        </w:rPr>
      </w:pPr>
    </w:p>
    <w:p w14:paraId="07C9A21D">
      <w:pPr>
        <w:kinsoku/>
        <w:wordWrap/>
        <w:overflowPunct/>
        <w:bidi w:val="0"/>
        <w:rPr>
          <w:rFonts w:hint="eastAsia" w:ascii="宋体" w:hAnsi="宋体" w:eastAsia="宋体" w:cs="宋体"/>
          <w:b/>
          <w:bCs/>
          <w:color w:val="auto"/>
          <w:spacing w:val="0"/>
          <w:position w:val="0"/>
          <w:sz w:val="28"/>
          <w:szCs w:val="28"/>
          <w:highlight w:val="none"/>
          <w:lang w:eastAsia="zh-CN"/>
        </w:rPr>
      </w:pPr>
    </w:p>
    <w:p w14:paraId="6B0671D2">
      <w:pPr>
        <w:pStyle w:val="13"/>
        <w:kinsoku/>
        <w:wordWrap/>
        <w:overflowPunct/>
        <w:bidi w:val="0"/>
        <w:rPr>
          <w:rFonts w:hint="eastAsia" w:ascii="宋体" w:hAnsi="宋体" w:eastAsia="宋体" w:cs="宋体"/>
          <w:color w:val="auto"/>
          <w:spacing w:val="0"/>
          <w:position w:val="0"/>
          <w:highlight w:val="none"/>
          <w:lang w:eastAsia="zh-CN"/>
        </w:rPr>
      </w:pPr>
    </w:p>
    <w:p w14:paraId="059CDA31">
      <w:pPr>
        <w:pStyle w:val="13"/>
        <w:kinsoku/>
        <w:wordWrap/>
        <w:overflowPunct/>
        <w:bidi w:val="0"/>
        <w:rPr>
          <w:rFonts w:hint="eastAsia" w:ascii="宋体" w:hAnsi="宋体" w:eastAsia="宋体" w:cs="宋体"/>
          <w:color w:val="auto"/>
          <w:spacing w:val="0"/>
          <w:position w:val="0"/>
          <w:highlight w:val="none"/>
          <w:lang w:eastAsia="zh-CN"/>
        </w:rPr>
      </w:pPr>
    </w:p>
    <w:p w14:paraId="58CF7470">
      <w:pPr>
        <w:kinsoku/>
        <w:wordWrap/>
        <w:overflowPunct/>
        <w:bidi w:val="0"/>
        <w:rPr>
          <w:rFonts w:hint="eastAsia" w:ascii="宋体" w:hAnsi="宋体" w:eastAsia="宋体" w:cs="宋体"/>
          <w:color w:val="auto"/>
          <w:spacing w:val="0"/>
          <w:position w:val="0"/>
          <w:highlight w:val="none"/>
          <w:lang w:eastAsia="zh-CN"/>
        </w:rPr>
      </w:pPr>
    </w:p>
    <w:p w14:paraId="2498699C">
      <w:pPr>
        <w:pStyle w:val="11"/>
        <w:kinsoku/>
        <w:wordWrap/>
        <w:overflowPunct/>
        <w:bidi w:val="0"/>
        <w:rPr>
          <w:rFonts w:hint="eastAsia" w:ascii="宋体" w:hAnsi="宋体" w:eastAsia="宋体" w:cs="宋体"/>
          <w:color w:val="auto"/>
          <w:spacing w:val="0"/>
          <w:position w:val="0"/>
          <w:highlight w:val="none"/>
          <w:lang w:eastAsia="zh-CN"/>
        </w:rPr>
      </w:pPr>
    </w:p>
    <w:p w14:paraId="0C8D5A00">
      <w:pPr>
        <w:pStyle w:val="4"/>
        <w:kinsoku/>
        <w:wordWrap/>
        <w:overflowPunct/>
        <w:bidi w:val="0"/>
        <w:spacing w:before="0" w:after="0" w:line="360" w:lineRule="auto"/>
        <w:jc w:val="center"/>
        <w:rPr>
          <w:rFonts w:hint="eastAsia" w:ascii="宋体" w:hAnsi="宋体" w:eastAsia="宋体" w:cs="宋体"/>
          <w:color w:val="auto"/>
          <w:spacing w:val="0"/>
          <w:position w:val="0"/>
          <w:sz w:val="28"/>
          <w:szCs w:val="28"/>
          <w:highlight w:val="none"/>
          <w:lang w:val="zh-CN" w:eastAsia="zh-CN"/>
        </w:rPr>
      </w:pPr>
      <w:bookmarkStart w:id="1310" w:name="_Toc18886"/>
      <w:bookmarkStart w:id="1311" w:name="_Toc14906"/>
      <w:r>
        <w:rPr>
          <w:rFonts w:hint="eastAsia" w:ascii="宋体" w:hAnsi="宋体" w:eastAsia="宋体" w:cs="宋体"/>
          <w:color w:val="auto"/>
          <w:spacing w:val="0"/>
          <w:position w:val="0"/>
          <w:sz w:val="28"/>
          <w:szCs w:val="28"/>
          <w:highlight w:val="none"/>
          <w:lang w:val="zh-CN" w:eastAsia="zh-CN"/>
        </w:rPr>
        <w:t>（</w:t>
      </w:r>
      <w:r>
        <w:rPr>
          <w:rFonts w:hint="eastAsia" w:ascii="宋体" w:hAnsi="宋体" w:cs="宋体"/>
          <w:color w:val="auto"/>
          <w:spacing w:val="0"/>
          <w:position w:val="0"/>
          <w:sz w:val="28"/>
          <w:szCs w:val="28"/>
          <w:highlight w:val="none"/>
          <w:lang w:val="en-US" w:eastAsia="zh-CN"/>
        </w:rPr>
        <w:t>六</w:t>
      </w:r>
      <w:r>
        <w:rPr>
          <w:rFonts w:hint="eastAsia" w:ascii="宋体" w:hAnsi="宋体" w:eastAsia="宋体" w:cs="宋体"/>
          <w:color w:val="auto"/>
          <w:spacing w:val="0"/>
          <w:position w:val="0"/>
          <w:sz w:val="28"/>
          <w:szCs w:val="28"/>
          <w:highlight w:val="none"/>
          <w:lang w:val="zh-CN" w:eastAsia="zh-CN"/>
        </w:rPr>
        <w:t>）项目管理机构</w:t>
      </w:r>
      <w:bookmarkEnd w:id="1310"/>
      <w:bookmarkEnd w:id="1311"/>
    </w:p>
    <w:p w14:paraId="34A98C10">
      <w:pPr>
        <w:kinsoku/>
        <w:wordWrap/>
        <w:overflowPunct/>
        <w:bidi w:val="0"/>
        <w:rPr>
          <w:rFonts w:hint="eastAsia" w:ascii="宋体" w:hAnsi="宋体" w:eastAsia="宋体" w:cs="宋体"/>
          <w:b/>
          <w:bCs/>
          <w:color w:val="auto"/>
          <w:spacing w:val="0"/>
          <w:position w:val="0"/>
          <w:sz w:val="24"/>
          <w:szCs w:val="32"/>
          <w:highlight w:val="none"/>
        </w:rPr>
      </w:pPr>
      <w:bookmarkStart w:id="1312" w:name="_Toc14873"/>
      <w:r>
        <w:rPr>
          <w:rFonts w:hint="eastAsia" w:ascii="宋体" w:hAnsi="宋体" w:eastAsia="宋体" w:cs="宋体"/>
          <w:b/>
          <w:bCs/>
          <w:color w:val="auto"/>
          <w:spacing w:val="0"/>
          <w:position w:val="0"/>
          <w:sz w:val="24"/>
          <w:szCs w:val="32"/>
          <w:highlight w:val="none"/>
        </w:rPr>
        <w:t>（</w:t>
      </w:r>
      <w:r>
        <w:rPr>
          <w:rFonts w:hint="eastAsia" w:ascii="宋体" w:hAnsi="宋体" w:eastAsia="宋体" w:cs="宋体"/>
          <w:b/>
          <w:bCs/>
          <w:color w:val="auto"/>
          <w:spacing w:val="0"/>
          <w:position w:val="0"/>
          <w:sz w:val="24"/>
          <w:szCs w:val="32"/>
          <w:highlight w:val="none"/>
          <w:lang w:val="en-US" w:eastAsia="zh-CN"/>
        </w:rPr>
        <w:t>1</w:t>
      </w:r>
      <w:r>
        <w:rPr>
          <w:rFonts w:hint="eastAsia" w:ascii="宋体" w:hAnsi="宋体" w:eastAsia="宋体" w:cs="宋体"/>
          <w:b/>
          <w:bCs/>
          <w:color w:val="auto"/>
          <w:spacing w:val="0"/>
          <w:position w:val="0"/>
          <w:sz w:val="24"/>
          <w:szCs w:val="32"/>
          <w:highlight w:val="none"/>
        </w:rPr>
        <w:t>）项目管理机构组成表</w:t>
      </w:r>
      <w:bookmarkEnd w:id="1312"/>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14:paraId="6B98E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restart"/>
            <w:noWrap w:val="0"/>
            <w:vAlign w:val="center"/>
          </w:tcPr>
          <w:p w14:paraId="4B279CCD">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职务</w:t>
            </w:r>
          </w:p>
        </w:tc>
        <w:tc>
          <w:tcPr>
            <w:tcW w:w="721" w:type="dxa"/>
            <w:vMerge w:val="restart"/>
            <w:noWrap w:val="0"/>
            <w:vAlign w:val="center"/>
          </w:tcPr>
          <w:p w14:paraId="4222702B">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姓名</w:t>
            </w:r>
          </w:p>
        </w:tc>
        <w:tc>
          <w:tcPr>
            <w:tcW w:w="719" w:type="dxa"/>
            <w:vMerge w:val="restart"/>
            <w:noWrap w:val="0"/>
            <w:vAlign w:val="center"/>
          </w:tcPr>
          <w:p w14:paraId="4898C821">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职称</w:t>
            </w:r>
          </w:p>
        </w:tc>
        <w:tc>
          <w:tcPr>
            <w:tcW w:w="5763" w:type="dxa"/>
            <w:gridSpan w:val="5"/>
            <w:noWrap w:val="0"/>
            <w:vAlign w:val="center"/>
          </w:tcPr>
          <w:p w14:paraId="15397174">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执业或职业资格证明</w:t>
            </w:r>
          </w:p>
        </w:tc>
        <w:tc>
          <w:tcPr>
            <w:tcW w:w="672" w:type="dxa"/>
            <w:noWrap w:val="0"/>
            <w:vAlign w:val="center"/>
          </w:tcPr>
          <w:p w14:paraId="62B81EF0">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备注</w:t>
            </w:r>
          </w:p>
        </w:tc>
      </w:tr>
      <w:tr w14:paraId="2CE61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continue"/>
            <w:noWrap w:val="0"/>
            <w:vAlign w:val="center"/>
          </w:tcPr>
          <w:p w14:paraId="36365421">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21" w:type="dxa"/>
            <w:vMerge w:val="continue"/>
            <w:noWrap w:val="0"/>
            <w:vAlign w:val="center"/>
          </w:tcPr>
          <w:p w14:paraId="03659966">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vMerge w:val="continue"/>
            <w:noWrap w:val="0"/>
            <w:vAlign w:val="center"/>
          </w:tcPr>
          <w:p w14:paraId="66C9FF6C">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1081" w:type="dxa"/>
            <w:noWrap w:val="0"/>
            <w:vAlign w:val="center"/>
          </w:tcPr>
          <w:p w14:paraId="7CDBE800">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证书名称</w:t>
            </w:r>
          </w:p>
        </w:tc>
        <w:tc>
          <w:tcPr>
            <w:tcW w:w="719" w:type="dxa"/>
            <w:noWrap w:val="0"/>
            <w:vAlign w:val="center"/>
          </w:tcPr>
          <w:p w14:paraId="441ADCEA">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级别</w:t>
            </w:r>
          </w:p>
        </w:tc>
        <w:tc>
          <w:tcPr>
            <w:tcW w:w="721" w:type="dxa"/>
            <w:noWrap w:val="0"/>
            <w:vAlign w:val="center"/>
          </w:tcPr>
          <w:p w14:paraId="6ABFE79A">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证号</w:t>
            </w:r>
          </w:p>
        </w:tc>
        <w:tc>
          <w:tcPr>
            <w:tcW w:w="719" w:type="dxa"/>
            <w:noWrap w:val="0"/>
            <w:vAlign w:val="center"/>
          </w:tcPr>
          <w:p w14:paraId="7FE3B840">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专业</w:t>
            </w:r>
          </w:p>
        </w:tc>
        <w:tc>
          <w:tcPr>
            <w:tcW w:w="2523" w:type="dxa"/>
            <w:noWrap w:val="0"/>
            <w:vAlign w:val="center"/>
          </w:tcPr>
          <w:p w14:paraId="1FEEDBE4">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养老保险</w:t>
            </w:r>
          </w:p>
        </w:tc>
        <w:tc>
          <w:tcPr>
            <w:tcW w:w="672" w:type="dxa"/>
            <w:noWrap w:val="0"/>
            <w:vAlign w:val="center"/>
          </w:tcPr>
          <w:p w14:paraId="426A2FA0">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r>
      <w:tr w14:paraId="7092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14:paraId="5C80884D">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21" w:type="dxa"/>
            <w:noWrap w:val="0"/>
            <w:vAlign w:val="center"/>
          </w:tcPr>
          <w:p w14:paraId="3ED00240">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noWrap w:val="0"/>
            <w:vAlign w:val="center"/>
          </w:tcPr>
          <w:p w14:paraId="2E614CC5">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1081" w:type="dxa"/>
            <w:noWrap w:val="0"/>
            <w:vAlign w:val="center"/>
          </w:tcPr>
          <w:p w14:paraId="3A9F9261">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noWrap w:val="0"/>
            <w:vAlign w:val="center"/>
          </w:tcPr>
          <w:p w14:paraId="097BAEA5">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21" w:type="dxa"/>
            <w:noWrap w:val="0"/>
            <w:vAlign w:val="center"/>
          </w:tcPr>
          <w:p w14:paraId="026FF8EA">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noWrap w:val="0"/>
            <w:vAlign w:val="center"/>
          </w:tcPr>
          <w:p w14:paraId="116D1AB1">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2523" w:type="dxa"/>
            <w:noWrap w:val="0"/>
            <w:vAlign w:val="center"/>
          </w:tcPr>
          <w:p w14:paraId="28FFAE20">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672" w:type="dxa"/>
            <w:noWrap w:val="0"/>
            <w:vAlign w:val="center"/>
          </w:tcPr>
          <w:p w14:paraId="537E36BB">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r>
      <w:tr w14:paraId="14F9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34027383">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21" w:type="dxa"/>
            <w:noWrap w:val="0"/>
            <w:vAlign w:val="top"/>
          </w:tcPr>
          <w:p w14:paraId="57394B98">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noWrap w:val="0"/>
            <w:vAlign w:val="top"/>
          </w:tcPr>
          <w:p w14:paraId="3D799429">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1081" w:type="dxa"/>
            <w:noWrap w:val="0"/>
            <w:vAlign w:val="top"/>
          </w:tcPr>
          <w:p w14:paraId="0B5A6C96">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noWrap w:val="0"/>
            <w:vAlign w:val="top"/>
          </w:tcPr>
          <w:p w14:paraId="0F0537CA">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21" w:type="dxa"/>
            <w:noWrap w:val="0"/>
            <w:vAlign w:val="top"/>
          </w:tcPr>
          <w:p w14:paraId="04B746B3">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noWrap w:val="0"/>
            <w:vAlign w:val="top"/>
          </w:tcPr>
          <w:p w14:paraId="6B996644">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2523" w:type="dxa"/>
            <w:noWrap w:val="0"/>
            <w:vAlign w:val="top"/>
          </w:tcPr>
          <w:p w14:paraId="54729D59">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672" w:type="dxa"/>
            <w:noWrap w:val="0"/>
            <w:vAlign w:val="top"/>
          </w:tcPr>
          <w:p w14:paraId="5B93CEF6">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r>
      <w:tr w14:paraId="582F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63A089B5">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21" w:type="dxa"/>
            <w:noWrap w:val="0"/>
            <w:vAlign w:val="top"/>
          </w:tcPr>
          <w:p w14:paraId="0C8D7E93">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noWrap w:val="0"/>
            <w:vAlign w:val="top"/>
          </w:tcPr>
          <w:p w14:paraId="50A5FF69">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1081" w:type="dxa"/>
            <w:noWrap w:val="0"/>
            <w:vAlign w:val="top"/>
          </w:tcPr>
          <w:p w14:paraId="07A4ED9F">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noWrap w:val="0"/>
            <w:vAlign w:val="top"/>
          </w:tcPr>
          <w:p w14:paraId="03FE8CCF">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21" w:type="dxa"/>
            <w:noWrap w:val="0"/>
            <w:vAlign w:val="top"/>
          </w:tcPr>
          <w:p w14:paraId="7777299A">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noWrap w:val="0"/>
            <w:vAlign w:val="top"/>
          </w:tcPr>
          <w:p w14:paraId="5C578D1D">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2523" w:type="dxa"/>
            <w:noWrap w:val="0"/>
            <w:vAlign w:val="top"/>
          </w:tcPr>
          <w:p w14:paraId="0251BBE2">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672" w:type="dxa"/>
            <w:noWrap w:val="0"/>
            <w:vAlign w:val="top"/>
          </w:tcPr>
          <w:p w14:paraId="7BF0B1F6">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r>
      <w:tr w14:paraId="2F035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26545F9C">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21" w:type="dxa"/>
            <w:noWrap w:val="0"/>
            <w:vAlign w:val="top"/>
          </w:tcPr>
          <w:p w14:paraId="427EBAF4">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noWrap w:val="0"/>
            <w:vAlign w:val="top"/>
          </w:tcPr>
          <w:p w14:paraId="631406CD">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1081" w:type="dxa"/>
            <w:noWrap w:val="0"/>
            <w:vAlign w:val="top"/>
          </w:tcPr>
          <w:p w14:paraId="065FE658">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noWrap w:val="0"/>
            <w:vAlign w:val="top"/>
          </w:tcPr>
          <w:p w14:paraId="2110CAF0">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21" w:type="dxa"/>
            <w:noWrap w:val="0"/>
            <w:vAlign w:val="top"/>
          </w:tcPr>
          <w:p w14:paraId="28900274">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noWrap w:val="0"/>
            <w:vAlign w:val="top"/>
          </w:tcPr>
          <w:p w14:paraId="41C18471">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2523" w:type="dxa"/>
            <w:noWrap w:val="0"/>
            <w:vAlign w:val="top"/>
          </w:tcPr>
          <w:p w14:paraId="27BBC506">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672" w:type="dxa"/>
            <w:noWrap w:val="0"/>
            <w:vAlign w:val="top"/>
          </w:tcPr>
          <w:p w14:paraId="22212FBB">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r>
      <w:tr w14:paraId="1DB5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52A880C2">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21" w:type="dxa"/>
            <w:noWrap w:val="0"/>
            <w:vAlign w:val="top"/>
          </w:tcPr>
          <w:p w14:paraId="4FE2BFA7">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noWrap w:val="0"/>
            <w:vAlign w:val="top"/>
          </w:tcPr>
          <w:p w14:paraId="709772DA">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1081" w:type="dxa"/>
            <w:noWrap w:val="0"/>
            <w:vAlign w:val="top"/>
          </w:tcPr>
          <w:p w14:paraId="65F8B0AB">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noWrap w:val="0"/>
            <w:vAlign w:val="top"/>
          </w:tcPr>
          <w:p w14:paraId="248A3B9C">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21" w:type="dxa"/>
            <w:noWrap w:val="0"/>
            <w:vAlign w:val="top"/>
          </w:tcPr>
          <w:p w14:paraId="4075BCFA">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noWrap w:val="0"/>
            <w:vAlign w:val="top"/>
          </w:tcPr>
          <w:p w14:paraId="14B5E47A">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2523" w:type="dxa"/>
            <w:noWrap w:val="0"/>
            <w:vAlign w:val="top"/>
          </w:tcPr>
          <w:p w14:paraId="5FD263B7">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672" w:type="dxa"/>
            <w:noWrap w:val="0"/>
            <w:vAlign w:val="top"/>
          </w:tcPr>
          <w:p w14:paraId="1AADB47B">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r>
      <w:tr w14:paraId="67E8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7C75D1FF">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21" w:type="dxa"/>
            <w:noWrap w:val="0"/>
            <w:vAlign w:val="top"/>
          </w:tcPr>
          <w:p w14:paraId="70562FAF">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noWrap w:val="0"/>
            <w:vAlign w:val="top"/>
          </w:tcPr>
          <w:p w14:paraId="71AAE500">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1081" w:type="dxa"/>
            <w:noWrap w:val="0"/>
            <w:vAlign w:val="top"/>
          </w:tcPr>
          <w:p w14:paraId="55267089">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noWrap w:val="0"/>
            <w:vAlign w:val="top"/>
          </w:tcPr>
          <w:p w14:paraId="783A9904">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21" w:type="dxa"/>
            <w:noWrap w:val="0"/>
            <w:vAlign w:val="top"/>
          </w:tcPr>
          <w:p w14:paraId="38257196">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noWrap w:val="0"/>
            <w:vAlign w:val="top"/>
          </w:tcPr>
          <w:p w14:paraId="7C7B2C00">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2523" w:type="dxa"/>
            <w:noWrap w:val="0"/>
            <w:vAlign w:val="top"/>
          </w:tcPr>
          <w:p w14:paraId="4424BAAB">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672" w:type="dxa"/>
            <w:noWrap w:val="0"/>
            <w:vAlign w:val="top"/>
          </w:tcPr>
          <w:p w14:paraId="277D272F">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r>
      <w:tr w14:paraId="1C15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25A6DC26">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21" w:type="dxa"/>
            <w:noWrap w:val="0"/>
            <w:vAlign w:val="top"/>
          </w:tcPr>
          <w:p w14:paraId="0D3691BA">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noWrap w:val="0"/>
            <w:vAlign w:val="top"/>
          </w:tcPr>
          <w:p w14:paraId="470C7687">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1081" w:type="dxa"/>
            <w:noWrap w:val="0"/>
            <w:vAlign w:val="top"/>
          </w:tcPr>
          <w:p w14:paraId="2F2D56FF">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noWrap w:val="0"/>
            <w:vAlign w:val="top"/>
          </w:tcPr>
          <w:p w14:paraId="1B2D5560">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21" w:type="dxa"/>
            <w:noWrap w:val="0"/>
            <w:vAlign w:val="top"/>
          </w:tcPr>
          <w:p w14:paraId="7F33E4D8">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noWrap w:val="0"/>
            <w:vAlign w:val="top"/>
          </w:tcPr>
          <w:p w14:paraId="5CA00E5B">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2523" w:type="dxa"/>
            <w:noWrap w:val="0"/>
            <w:vAlign w:val="top"/>
          </w:tcPr>
          <w:p w14:paraId="4517DEF8">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672" w:type="dxa"/>
            <w:noWrap w:val="0"/>
            <w:vAlign w:val="top"/>
          </w:tcPr>
          <w:p w14:paraId="1166629D">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r>
      <w:tr w14:paraId="7727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341AC072">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21" w:type="dxa"/>
            <w:noWrap w:val="0"/>
            <w:vAlign w:val="top"/>
          </w:tcPr>
          <w:p w14:paraId="7F4AC10C">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noWrap w:val="0"/>
            <w:vAlign w:val="top"/>
          </w:tcPr>
          <w:p w14:paraId="3F4FB9F3">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1081" w:type="dxa"/>
            <w:noWrap w:val="0"/>
            <w:vAlign w:val="top"/>
          </w:tcPr>
          <w:p w14:paraId="297E0FD8">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noWrap w:val="0"/>
            <w:vAlign w:val="top"/>
          </w:tcPr>
          <w:p w14:paraId="0FAC4A53">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21" w:type="dxa"/>
            <w:noWrap w:val="0"/>
            <w:vAlign w:val="top"/>
          </w:tcPr>
          <w:p w14:paraId="2E740DCA">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noWrap w:val="0"/>
            <w:vAlign w:val="top"/>
          </w:tcPr>
          <w:p w14:paraId="7F628561">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2523" w:type="dxa"/>
            <w:noWrap w:val="0"/>
            <w:vAlign w:val="top"/>
          </w:tcPr>
          <w:p w14:paraId="734EBBFC">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672" w:type="dxa"/>
            <w:noWrap w:val="0"/>
            <w:vAlign w:val="top"/>
          </w:tcPr>
          <w:p w14:paraId="6FCCA8E9">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r>
      <w:tr w14:paraId="256C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3B65A3C2">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21" w:type="dxa"/>
            <w:noWrap w:val="0"/>
            <w:vAlign w:val="top"/>
          </w:tcPr>
          <w:p w14:paraId="740E4DD0">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noWrap w:val="0"/>
            <w:vAlign w:val="top"/>
          </w:tcPr>
          <w:p w14:paraId="47E45F18">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1081" w:type="dxa"/>
            <w:noWrap w:val="0"/>
            <w:vAlign w:val="top"/>
          </w:tcPr>
          <w:p w14:paraId="1B1E718F">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noWrap w:val="0"/>
            <w:vAlign w:val="top"/>
          </w:tcPr>
          <w:p w14:paraId="2583C0F7">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21" w:type="dxa"/>
            <w:noWrap w:val="0"/>
            <w:vAlign w:val="top"/>
          </w:tcPr>
          <w:p w14:paraId="052B05C3">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noWrap w:val="0"/>
            <w:vAlign w:val="top"/>
          </w:tcPr>
          <w:p w14:paraId="512C2627">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2523" w:type="dxa"/>
            <w:noWrap w:val="0"/>
            <w:vAlign w:val="top"/>
          </w:tcPr>
          <w:p w14:paraId="78B8977B">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672" w:type="dxa"/>
            <w:noWrap w:val="0"/>
            <w:vAlign w:val="top"/>
          </w:tcPr>
          <w:p w14:paraId="014FD933">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r>
      <w:tr w14:paraId="67484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577D3F32">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6B4826E2">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CA6A363">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0401669C">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4311A21">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29346A56">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B540325">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4DA9208C">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264E5B46">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r>
      <w:tr w14:paraId="289B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244CBFD9">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5CD2DE9">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C8196F5">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26EA97D7">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3DE4106">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02562CB3">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6DCF7E2E">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7B4607F7">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2E4F41CF">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r>
      <w:tr w14:paraId="71AE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7067FD54">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20551C6C">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7C0B26B">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3A664404">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58173C4">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D443922">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2D41DC4">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625F2972">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45FBA740">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r>
      <w:tr w14:paraId="0899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009987DE">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3287A0C">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767C1D2">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3A6B2C55">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3257201">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62534F2">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0D81A45">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3053B26C">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22C16F3E">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r>
      <w:tr w14:paraId="3B55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5C99049F">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05FDFCF5">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17A2B73">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3CBD484B">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B552492">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E6E7351">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7B72051">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5D42620C">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632162DE">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r>
      <w:tr w14:paraId="48D6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7F4299A3">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3E4A682D">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6EBAA77">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68E434B7">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5DD1C0D">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BD81EED">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6F4BFA2">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31C68C58">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73CCA995">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r>
      <w:tr w14:paraId="1702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311922DF">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64228BD">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FD5E584">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69ECD8C4">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2C68BF9">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02C3E749">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6DCBA6AC">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37425DFB">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71C95E08">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r>
      <w:tr w14:paraId="4487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3C7C89D8">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70C3197">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6011E81">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4AE9937E">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7DD50C5">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015ACFA3">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075F6B2">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63BE7936">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18E64790">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r>
      <w:tr w14:paraId="4827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5D121B7C">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5034B9D">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6272213">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2564C3AF">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95C1411">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6AFF416F">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E21B4E3">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74E9F72B">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3E4ABDD8">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r>
      <w:tr w14:paraId="1D2D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63A6F93B">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34492B0E">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827D52A">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362C0066">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17CCC7C">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085A0E3">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E3FFDFE">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304C8A14">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45C6EE5B">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r>
    </w:tbl>
    <w:p w14:paraId="09802108">
      <w:pPr>
        <w:kinsoku/>
        <w:wordWrap/>
        <w:overflowPunct/>
        <w:topLinePunct/>
        <w:bidi w:val="0"/>
        <w:spacing w:line="360" w:lineRule="auto"/>
        <w:jc w:val="center"/>
        <w:rPr>
          <w:rFonts w:hint="eastAsia" w:ascii="宋体" w:hAnsi="宋体" w:eastAsia="宋体" w:cs="宋体"/>
          <w:color w:val="auto"/>
          <w:spacing w:val="0"/>
          <w:position w:val="0"/>
          <w:sz w:val="20"/>
          <w:highlight w:val="none"/>
        </w:rPr>
      </w:pPr>
    </w:p>
    <w:p w14:paraId="7C3AEFDF">
      <w:pPr>
        <w:kinsoku/>
        <w:wordWrap/>
        <w:overflowPunct/>
        <w:bidi w:val="0"/>
        <w:spacing w:line="360" w:lineRule="auto"/>
        <w:jc w:val="left"/>
        <w:rPr>
          <w:rFonts w:hint="eastAsia" w:ascii="宋体" w:hAnsi="宋体" w:eastAsia="宋体" w:cs="宋体"/>
          <w:b/>
          <w:color w:val="auto"/>
          <w:spacing w:val="0"/>
          <w:position w:val="0"/>
          <w:sz w:val="30"/>
          <w:szCs w:val="30"/>
          <w:highlight w:val="none"/>
        </w:rPr>
      </w:pPr>
      <w:r>
        <w:rPr>
          <w:rFonts w:hint="eastAsia" w:ascii="宋体" w:hAnsi="宋体" w:eastAsia="宋体" w:cs="宋体"/>
          <w:b/>
          <w:color w:val="auto"/>
          <w:spacing w:val="0"/>
          <w:position w:val="0"/>
          <w:sz w:val="28"/>
          <w:szCs w:val="28"/>
          <w:highlight w:val="none"/>
          <w:lang w:eastAsia="zh-CN"/>
        </w:rPr>
        <w:t>注：后附相关证书等</w:t>
      </w:r>
      <w:r>
        <w:rPr>
          <w:rFonts w:hint="eastAsia" w:ascii="宋体" w:hAnsi="宋体" w:eastAsia="宋体" w:cs="宋体"/>
          <w:b/>
          <w:color w:val="auto"/>
          <w:spacing w:val="0"/>
          <w:position w:val="0"/>
          <w:sz w:val="28"/>
          <w:szCs w:val="28"/>
          <w:highlight w:val="none"/>
        </w:rPr>
        <w:br w:type="page"/>
      </w:r>
      <w:r>
        <w:rPr>
          <w:rStyle w:val="50"/>
          <w:rFonts w:hint="eastAsia" w:ascii="宋体" w:hAnsi="宋体" w:eastAsia="宋体" w:cs="宋体"/>
          <w:color w:val="auto"/>
          <w:spacing w:val="0"/>
          <w:position w:val="0"/>
          <w:sz w:val="28"/>
          <w:szCs w:val="28"/>
          <w:highlight w:val="none"/>
        </w:rPr>
        <w:t>（</w:t>
      </w:r>
      <w:r>
        <w:rPr>
          <w:rStyle w:val="50"/>
          <w:rFonts w:hint="eastAsia" w:ascii="宋体" w:hAnsi="宋体" w:eastAsia="宋体" w:cs="宋体"/>
          <w:color w:val="auto"/>
          <w:spacing w:val="0"/>
          <w:position w:val="0"/>
          <w:sz w:val="28"/>
          <w:szCs w:val="28"/>
          <w:highlight w:val="none"/>
          <w:lang w:val="en-US"/>
        </w:rPr>
        <w:t>2</w:t>
      </w:r>
      <w:r>
        <w:rPr>
          <w:rStyle w:val="50"/>
          <w:rFonts w:hint="eastAsia" w:ascii="宋体" w:hAnsi="宋体" w:eastAsia="宋体" w:cs="宋体"/>
          <w:color w:val="auto"/>
          <w:spacing w:val="0"/>
          <w:position w:val="0"/>
          <w:sz w:val="28"/>
          <w:szCs w:val="28"/>
          <w:highlight w:val="none"/>
        </w:rPr>
        <w:t>）项目经理简历表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4F885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5EDD9277">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姓  名</w:t>
            </w:r>
          </w:p>
        </w:tc>
        <w:tc>
          <w:tcPr>
            <w:tcW w:w="1079" w:type="dxa"/>
            <w:gridSpan w:val="2"/>
            <w:noWrap w:val="0"/>
            <w:vAlign w:val="center"/>
          </w:tcPr>
          <w:p w14:paraId="43CD8936">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927" w:type="dxa"/>
            <w:noWrap w:val="0"/>
            <w:vAlign w:val="center"/>
          </w:tcPr>
          <w:p w14:paraId="497EDD26">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年 龄</w:t>
            </w:r>
          </w:p>
        </w:tc>
        <w:tc>
          <w:tcPr>
            <w:tcW w:w="1065" w:type="dxa"/>
            <w:noWrap w:val="0"/>
            <w:vAlign w:val="center"/>
          </w:tcPr>
          <w:p w14:paraId="073A57E0">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2130" w:type="dxa"/>
            <w:gridSpan w:val="3"/>
            <w:noWrap w:val="0"/>
            <w:vAlign w:val="center"/>
          </w:tcPr>
          <w:p w14:paraId="156CC6C2">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学历</w:t>
            </w:r>
          </w:p>
        </w:tc>
        <w:tc>
          <w:tcPr>
            <w:tcW w:w="2135" w:type="dxa"/>
            <w:noWrap w:val="0"/>
            <w:vAlign w:val="center"/>
          </w:tcPr>
          <w:p w14:paraId="2B4E1551">
            <w:pPr>
              <w:kinsoku/>
              <w:wordWrap/>
              <w:overflowPunct/>
              <w:bidi w:val="0"/>
              <w:spacing w:line="360" w:lineRule="auto"/>
              <w:rPr>
                <w:rFonts w:hint="eastAsia" w:ascii="宋体" w:hAnsi="宋体" w:eastAsia="宋体" w:cs="宋体"/>
                <w:color w:val="auto"/>
                <w:spacing w:val="0"/>
                <w:position w:val="0"/>
                <w:sz w:val="24"/>
                <w:szCs w:val="24"/>
                <w:highlight w:val="none"/>
              </w:rPr>
            </w:pPr>
          </w:p>
        </w:tc>
      </w:tr>
      <w:tr w14:paraId="254A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145DC144">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职  称</w:t>
            </w:r>
          </w:p>
        </w:tc>
        <w:tc>
          <w:tcPr>
            <w:tcW w:w="1079" w:type="dxa"/>
            <w:gridSpan w:val="2"/>
            <w:noWrap w:val="0"/>
            <w:vAlign w:val="center"/>
          </w:tcPr>
          <w:p w14:paraId="5E9686BD">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927" w:type="dxa"/>
            <w:noWrap w:val="0"/>
            <w:vAlign w:val="center"/>
          </w:tcPr>
          <w:p w14:paraId="5602913F">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职 务</w:t>
            </w:r>
          </w:p>
        </w:tc>
        <w:tc>
          <w:tcPr>
            <w:tcW w:w="1065" w:type="dxa"/>
            <w:noWrap w:val="0"/>
            <w:vAlign w:val="center"/>
          </w:tcPr>
          <w:p w14:paraId="622129CE">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p>
        </w:tc>
        <w:tc>
          <w:tcPr>
            <w:tcW w:w="2130" w:type="dxa"/>
            <w:gridSpan w:val="3"/>
            <w:noWrap w:val="0"/>
            <w:vAlign w:val="center"/>
          </w:tcPr>
          <w:p w14:paraId="7AA7C4C3">
            <w:pPr>
              <w:kinsoku/>
              <w:wordWrap/>
              <w:overflowPunct/>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拟在本合同任职</w:t>
            </w:r>
          </w:p>
        </w:tc>
        <w:tc>
          <w:tcPr>
            <w:tcW w:w="2135" w:type="dxa"/>
            <w:noWrap w:val="0"/>
            <w:vAlign w:val="center"/>
          </w:tcPr>
          <w:p w14:paraId="07CAE171">
            <w:pPr>
              <w:kinsoku/>
              <w:wordWrap/>
              <w:overflowPunct/>
              <w:bidi w:val="0"/>
              <w:spacing w:line="360" w:lineRule="auto"/>
              <w:rPr>
                <w:rFonts w:hint="eastAsia" w:ascii="宋体" w:hAnsi="宋体" w:eastAsia="宋体" w:cs="宋体"/>
                <w:color w:val="auto"/>
                <w:spacing w:val="0"/>
                <w:position w:val="0"/>
                <w:sz w:val="24"/>
                <w:szCs w:val="24"/>
                <w:highlight w:val="none"/>
              </w:rPr>
            </w:pPr>
          </w:p>
        </w:tc>
      </w:tr>
      <w:tr w14:paraId="57325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574B5438">
            <w:pPr>
              <w:kinsoku/>
              <w:wordWrap/>
              <w:overflowPunct/>
              <w:bidi w:val="0"/>
              <w:spacing w:line="36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毕业学校</w:t>
            </w:r>
          </w:p>
        </w:tc>
        <w:tc>
          <w:tcPr>
            <w:tcW w:w="7336" w:type="dxa"/>
            <w:gridSpan w:val="8"/>
            <w:noWrap w:val="0"/>
            <w:vAlign w:val="top"/>
          </w:tcPr>
          <w:p w14:paraId="3B7CC9A8">
            <w:pPr>
              <w:kinsoku/>
              <w:wordWrap/>
              <w:overflowPunct/>
              <w:bidi w:val="0"/>
              <w:spacing w:line="36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年毕业于            学校        专业</w:t>
            </w:r>
          </w:p>
        </w:tc>
      </w:tr>
      <w:tr w14:paraId="3567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0"/>
            <w:vAlign w:val="center"/>
          </w:tcPr>
          <w:p w14:paraId="7F9EEE3C">
            <w:pPr>
              <w:kinsoku/>
              <w:wordWrap/>
              <w:overflowPunct/>
              <w:bidi w:val="0"/>
              <w:spacing w:line="36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主要工作经历</w:t>
            </w:r>
          </w:p>
        </w:tc>
      </w:tr>
      <w:tr w14:paraId="5855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noWrap w:val="0"/>
            <w:vAlign w:val="center"/>
          </w:tcPr>
          <w:p w14:paraId="2BDD2F34">
            <w:pPr>
              <w:kinsoku/>
              <w:wordWrap/>
              <w:overflowPunct/>
              <w:bidi w:val="0"/>
              <w:spacing w:line="36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时  间</w:t>
            </w:r>
          </w:p>
        </w:tc>
        <w:tc>
          <w:tcPr>
            <w:tcW w:w="3420" w:type="dxa"/>
            <w:gridSpan w:val="4"/>
            <w:noWrap w:val="0"/>
            <w:vAlign w:val="center"/>
          </w:tcPr>
          <w:p w14:paraId="529D87FB">
            <w:pPr>
              <w:kinsoku/>
              <w:wordWrap/>
              <w:overflowPunct/>
              <w:bidi w:val="0"/>
              <w:spacing w:line="36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参加过的类似项目</w:t>
            </w:r>
          </w:p>
        </w:tc>
        <w:tc>
          <w:tcPr>
            <w:tcW w:w="1261" w:type="dxa"/>
            <w:noWrap w:val="0"/>
            <w:vAlign w:val="center"/>
          </w:tcPr>
          <w:p w14:paraId="00749EDB">
            <w:pPr>
              <w:kinsoku/>
              <w:wordWrap/>
              <w:overflowPunct/>
              <w:bidi w:val="0"/>
              <w:spacing w:line="36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担任职务</w:t>
            </w:r>
          </w:p>
        </w:tc>
        <w:tc>
          <w:tcPr>
            <w:tcW w:w="2296" w:type="dxa"/>
            <w:gridSpan w:val="2"/>
            <w:noWrap w:val="0"/>
            <w:vAlign w:val="center"/>
          </w:tcPr>
          <w:p w14:paraId="24453914">
            <w:pPr>
              <w:kinsoku/>
              <w:wordWrap/>
              <w:overflowPunct/>
              <w:bidi w:val="0"/>
              <w:spacing w:line="36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发包人及联系电话</w:t>
            </w:r>
          </w:p>
        </w:tc>
      </w:tr>
      <w:tr w14:paraId="2E7B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0C089F44">
            <w:pPr>
              <w:kinsoku/>
              <w:wordWrap/>
              <w:overflowPunct/>
              <w:bidi w:val="0"/>
              <w:spacing w:line="360" w:lineRule="auto"/>
              <w:rPr>
                <w:rFonts w:hint="eastAsia" w:ascii="宋体" w:hAnsi="宋体" w:eastAsia="宋体" w:cs="宋体"/>
                <w:color w:val="auto"/>
                <w:spacing w:val="0"/>
                <w:position w:val="0"/>
                <w:sz w:val="24"/>
                <w:szCs w:val="24"/>
                <w:highlight w:val="none"/>
              </w:rPr>
            </w:pPr>
          </w:p>
        </w:tc>
        <w:tc>
          <w:tcPr>
            <w:tcW w:w="3420" w:type="dxa"/>
            <w:gridSpan w:val="4"/>
            <w:noWrap w:val="0"/>
            <w:vAlign w:val="top"/>
          </w:tcPr>
          <w:p w14:paraId="0828DAED">
            <w:pPr>
              <w:kinsoku/>
              <w:wordWrap/>
              <w:overflowPunct/>
              <w:bidi w:val="0"/>
              <w:spacing w:line="360" w:lineRule="auto"/>
              <w:rPr>
                <w:rFonts w:hint="eastAsia" w:ascii="宋体" w:hAnsi="宋体" w:eastAsia="宋体" w:cs="宋体"/>
                <w:color w:val="auto"/>
                <w:spacing w:val="0"/>
                <w:position w:val="0"/>
                <w:sz w:val="24"/>
                <w:szCs w:val="24"/>
                <w:highlight w:val="none"/>
              </w:rPr>
            </w:pPr>
          </w:p>
        </w:tc>
        <w:tc>
          <w:tcPr>
            <w:tcW w:w="1261" w:type="dxa"/>
            <w:noWrap w:val="0"/>
            <w:vAlign w:val="top"/>
          </w:tcPr>
          <w:p w14:paraId="438CA382">
            <w:pPr>
              <w:kinsoku/>
              <w:wordWrap/>
              <w:overflowPunct/>
              <w:bidi w:val="0"/>
              <w:spacing w:line="360" w:lineRule="auto"/>
              <w:rPr>
                <w:rFonts w:hint="eastAsia" w:ascii="宋体" w:hAnsi="宋体" w:eastAsia="宋体" w:cs="宋体"/>
                <w:color w:val="auto"/>
                <w:spacing w:val="0"/>
                <w:position w:val="0"/>
                <w:sz w:val="24"/>
                <w:szCs w:val="24"/>
                <w:highlight w:val="none"/>
              </w:rPr>
            </w:pPr>
          </w:p>
        </w:tc>
        <w:tc>
          <w:tcPr>
            <w:tcW w:w="2296" w:type="dxa"/>
            <w:gridSpan w:val="2"/>
            <w:noWrap w:val="0"/>
            <w:vAlign w:val="top"/>
          </w:tcPr>
          <w:p w14:paraId="322F857A">
            <w:pPr>
              <w:kinsoku/>
              <w:wordWrap/>
              <w:overflowPunct/>
              <w:bidi w:val="0"/>
              <w:spacing w:line="360" w:lineRule="auto"/>
              <w:rPr>
                <w:rFonts w:hint="eastAsia" w:ascii="宋体" w:hAnsi="宋体" w:eastAsia="宋体" w:cs="宋体"/>
                <w:color w:val="auto"/>
                <w:spacing w:val="0"/>
                <w:position w:val="0"/>
                <w:sz w:val="24"/>
                <w:szCs w:val="24"/>
                <w:highlight w:val="none"/>
              </w:rPr>
            </w:pPr>
          </w:p>
        </w:tc>
      </w:tr>
      <w:tr w14:paraId="290B0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02024C79">
            <w:pPr>
              <w:kinsoku/>
              <w:wordWrap/>
              <w:overflowPunct/>
              <w:bidi w:val="0"/>
              <w:spacing w:line="360" w:lineRule="auto"/>
              <w:rPr>
                <w:rFonts w:hint="eastAsia" w:ascii="宋体" w:hAnsi="宋体" w:eastAsia="宋体" w:cs="宋体"/>
                <w:color w:val="auto"/>
                <w:spacing w:val="0"/>
                <w:position w:val="0"/>
                <w:sz w:val="24"/>
                <w:szCs w:val="24"/>
                <w:highlight w:val="none"/>
              </w:rPr>
            </w:pPr>
          </w:p>
        </w:tc>
        <w:tc>
          <w:tcPr>
            <w:tcW w:w="3420" w:type="dxa"/>
            <w:gridSpan w:val="4"/>
            <w:noWrap w:val="0"/>
            <w:vAlign w:val="top"/>
          </w:tcPr>
          <w:p w14:paraId="2B6435C1">
            <w:pPr>
              <w:kinsoku/>
              <w:wordWrap/>
              <w:overflowPunct/>
              <w:bidi w:val="0"/>
              <w:spacing w:line="360" w:lineRule="auto"/>
              <w:rPr>
                <w:rFonts w:hint="eastAsia" w:ascii="宋体" w:hAnsi="宋体" w:eastAsia="宋体" w:cs="宋体"/>
                <w:color w:val="auto"/>
                <w:spacing w:val="0"/>
                <w:position w:val="0"/>
                <w:sz w:val="24"/>
                <w:szCs w:val="24"/>
                <w:highlight w:val="none"/>
              </w:rPr>
            </w:pPr>
          </w:p>
        </w:tc>
        <w:tc>
          <w:tcPr>
            <w:tcW w:w="1261" w:type="dxa"/>
            <w:noWrap w:val="0"/>
            <w:vAlign w:val="top"/>
          </w:tcPr>
          <w:p w14:paraId="659A44BC">
            <w:pPr>
              <w:kinsoku/>
              <w:wordWrap/>
              <w:overflowPunct/>
              <w:bidi w:val="0"/>
              <w:spacing w:line="360" w:lineRule="auto"/>
              <w:rPr>
                <w:rFonts w:hint="eastAsia" w:ascii="宋体" w:hAnsi="宋体" w:eastAsia="宋体" w:cs="宋体"/>
                <w:color w:val="auto"/>
                <w:spacing w:val="0"/>
                <w:position w:val="0"/>
                <w:sz w:val="24"/>
                <w:szCs w:val="24"/>
                <w:highlight w:val="none"/>
              </w:rPr>
            </w:pPr>
          </w:p>
        </w:tc>
        <w:tc>
          <w:tcPr>
            <w:tcW w:w="2296" w:type="dxa"/>
            <w:gridSpan w:val="2"/>
            <w:noWrap w:val="0"/>
            <w:vAlign w:val="top"/>
          </w:tcPr>
          <w:p w14:paraId="292F22E6">
            <w:pPr>
              <w:kinsoku/>
              <w:wordWrap/>
              <w:overflowPunct/>
              <w:bidi w:val="0"/>
              <w:spacing w:line="360" w:lineRule="auto"/>
              <w:rPr>
                <w:rFonts w:hint="eastAsia" w:ascii="宋体" w:hAnsi="宋体" w:eastAsia="宋体" w:cs="宋体"/>
                <w:color w:val="auto"/>
                <w:spacing w:val="0"/>
                <w:position w:val="0"/>
                <w:sz w:val="24"/>
                <w:szCs w:val="24"/>
                <w:highlight w:val="none"/>
              </w:rPr>
            </w:pPr>
          </w:p>
        </w:tc>
      </w:tr>
      <w:tr w14:paraId="5AD25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12219E94">
            <w:pPr>
              <w:kinsoku/>
              <w:wordWrap/>
              <w:overflowPunct/>
              <w:bidi w:val="0"/>
              <w:spacing w:line="360" w:lineRule="auto"/>
              <w:rPr>
                <w:rFonts w:hint="eastAsia" w:ascii="宋体" w:hAnsi="宋体" w:eastAsia="宋体" w:cs="宋体"/>
                <w:color w:val="auto"/>
                <w:spacing w:val="0"/>
                <w:position w:val="0"/>
                <w:sz w:val="24"/>
                <w:szCs w:val="24"/>
                <w:highlight w:val="none"/>
              </w:rPr>
            </w:pPr>
          </w:p>
        </w:tc>
        <w:tc>
          <w:tcPr>
            <w:tcW w:w="3420" w:type="dxa"/>
            <w:gridSpan w:val="4"/>
            <w:noWrap w:val="0"/>
            <w:vAlign w:val="top"/>
          </w:tcPr>
          <w:p w14:paraId="3A790735">
            <w:pPr>
              <w:kinsoku/>
              <w:wordWrap/>
              <w:overflowPunct/>
              <w:bidi w:val="0"/>
              <w:spacing w:line="360" w:lineRule="auto"/>
              <w:rPr>
                <w:rFonts w:hint="eastAsia" w:ascii="宋体" w:hAnsi="宋体" w:eastAsia="宋体" w:cs="宋体"/>
                <w:color w:val="auto"/>
                <w:spacing w:val="0"/>
                <w:position w:val="0"/>
                <w:sz w:val="24"/>
                <w:szCs w:val="24"/>
                <w:highlight w:val="none"/>
              </w:rPr>
            </w:pPr>
          </w:p>
        </w:tc>
        <w:tc>
          <w:tcPr>
            <w:tcW w:w="1261" w:type="dxa"/>
            <w:noWrap w:val="0"/>
            <w:vAlign w:val="top"/>
          </w:tcPr>
          <w:p w14:paraId="0D22D7C9">
            <w:pPr>
              <w:kinsoku/>
              <w:wordWrap/>
              <w:overflowPunct/>
              <w:bidi w:val="0"/>
              <w:spacing w:line="360" w:lineRule="auto"/>
              <w:rPr>
                <w:rFonts w:hint="eastAsia" w:ascii="宋体" w:hAnsi="宋体" w:eastAsia="宋体" w:cs="宋体"/>
                <w:color w:val="auto"/>
                <w:spacing w:val="0"/>
                <w:position w:val="0"/>
                <w:sz w:val="24"/>
                <w:szCs w:val="24"/>
                <w:highlight w:val="none"/>
              </w:rPr>
            </w:pPr>
          </w:p>
        </w:tc>
        <w:tc>
          <w:tcPr>
            <w:tcW w:w="2296" w:type="dxa"/>
            <w:gridSpan w:val="2"/>
            <w:noWrap w:val="0"/>
            <w:vAlign w:val="top"/>
          </w:tcPr>
          <w:p w14:paraId="2B672DF3">
            <w:pPr>
              <w:kinsoku/>
              <w:wordWrap/>
              <w:overflowPunct/>
              <w:bidi w:val="0"/>
              <w:spacing w:line="360" w:lineRule="auto"/>
              <w:rPr>
                <w:rFonts w:hint="eastAsia" w:ascii="宋体" w:hAnsi="宋体" w:eastAsia="宋体" w:cs="宋体"/>
                <w:color w:val="auto"/>
                <w:spacing w:val="0"/>
                <w:position w:val="0"/>
                <w:sz w:val="24"/>
                <w:szCs w:val="24"/>
                <w:highlight w:val="none"/>
              </w:rPr>
            </w:pPr>
          </w:p>
        </w:tc>
      </w:tr>
      <w:tr w14:paraId="15E3B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13482B94">
            <w:pPr>
              <w:kinsoku/>
              <w:wordWrap/>
              <w:overflowPunct/>
              <w:bidi w:val="0"/>
              <w:spacing w:line="360" w:lineRule="auto"/>
              <w:rPr>
                <w:rFonts w:hint="eastAsia" w:ascii="宋体" w:hAnsi="宋体" w:eastAsia="宋体" w:cs="宋体"/>
                <w:color w:val="auto"/>
                <w:spacing w:val="0"/>
                <w:position w:val="0"/>
                <w:sz w:val="24"/>
                <w:szCs w:val="24"/>
                <w:highlight w:val="none"/>
              </w:rPr>
            </w:pPr>
          </w:p>
        </w:tc>
        <w:tc>
          <w:tcPr>
            <w:tcW w:w="3420" w:type="dxa"/>
            <w:gridSpan w:val="4"/>
            <w:noWrap w:val="0"/>
            <w:vAlign w:val="top"/>
          </w:tcPr>
          <w:p w14:paraId="7F0B010E">
            <w:pPr>
              <w:kinsoku/>
              <w:wordWrap/>
              <w:overflowPunct/>
              <w:bidi w:val="0"/>
              <w:spacing w:line="360" w:lineRule="auto"/>
              <w:rPr>
                <w:rFonts w:hint="eastAsia" w:ascii="宋体" w:hAnsi="宋体" w:eastAsia="宋体" w:cs="宋体"/>
                <w:color w:val="auto"/>
                <w:spacing w:val="0"/>
                <w:position w:val="0"/>
                <w:sz w:val="24"/>
                <w:szCs w:val="24"/>
                <w:highlight w:val="none"/>
              </w:rPr>
            </w:pPr>
          </w:p>
        </w:tc>
        <w:tc>
          <w:tcPr>
            <w:tcW w:w="1261" w:type="dxa"/>
            <w:noWrap w:val="0"/>
            <w:vAlign w:val="top"/>
          </w:tcPr>
          <w:p w14:paraId="37585765">
            <w:pPr>
              <w:kinsoku/>
              <w:wordWrap/>
              <w:overflowPunct/>
              <w:bidi w:val="0"/>
              <w:spacing w:line="360" w:lineRule="auto"/>
              <w:rPr>
                <w:rFonts w:hint="eastAsia" w:ascii="宋体" w:hAnsi="宋体" w:eastAsia="宋体" w:cs="宋体"/>
                <w:color w:val="auto"/>
                <w:spacing w:val="0"/>
                <w:position w:val="0"/>
                <w:sz w:val="24"/>
                <w:szCs w:val="24"/>
                <w:highlight w:val="none"/>
              </w:rPr>
            </w:pPr>
          </w:p>
        </w:tc>
        <w:tc>
          <w:tcPr>
            <w:tcW w:w="2296" w:type="dxa"/>
            <w:gridSpan w:val="2"/>
            <w:noWrap w:val="0"/>
            <w:vAlign w:val="top"/>
          </w:tcPr>
          <w:p w14:paraId="545AA914">
            <w:pPr>
              <w:kinsoku/>
              <w:wordWrap/>
              <w:overflowPunct/>
              <w:bidi w:val="0"/>
              <w:spacing w:line="360" w:lineRule="auto"/>
              <w:rPr>
                <w:rFonts w:hint="eastAsia" w:ascii="宋体" w:hAnsi="宋体" w:eastAsia="宋体" w:cs="宋体"/>
                <w:color w:val="auto"/>
                <w:spacing w:val="0"/>
                <w:position w:val="0"/>
                <w:sz w:val="24"/>
                <w:szCs w:val="24"/>
                <w:highlight w:val="none"/>
              </w:rPr>
            </w:pPr>
          </w:p>
        </w:tc>
      </w:tr>
      <w:tr w14:paraId="1830C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66AD3BC9">
            <w:pPr>
              <w:kinsoku/>
              <w:wordWrap/>
              <w:overflowPunct/>
              <w:bidi w:val="0"/>
              <w:spacing w:line="360" w:lineRule="auto"/>
              <w:rPr>
                <w:rFonts w:hint="eastAsia" w:ascii="宋体" w:hAnsi="宋体" w:eastAsia="宋体" w:cs="宋体"/>
                <w:color w:val="auto"/>
                <w:spacing w:val="0"/>
                <w:position w:val="0"/>
                <w:sz w:val="24"/>
                <w:szCs w:val="24"/>
                <w:highlight w:val="none"/>
              </w:rPr>
            </w:pPr>
          </w:p>
        </w:tc>
        <w:tc>
          <w:tcPr>
            <w:tcW w:w="3420" w:type="dxa"/>
            <w:gridSpan w:val="4"/>
            <w:noWrap w:val="0"/>
            <w:vAlign w:val="top"/>
          </w:tcPr>
          <w:p w14:paraId="59C743A0">
            <w:pPr>
              <w:kinsoku/>
              <w:wordWrap/>
              <w:overflowPunct/>
              <w:bidi w:val="0"/>
              <w:spacing w:line="360" w:lineRule="auto"/>
              <w:rPr>
                <w:rFonts w:hint="eastAsia" w:ascii="宋体" w:hAnsi="宋体" w:eastAsia="宋体" w:cs="宋体"/>
                <w:color w:val="auto"/>
                <w:spacing w:val="0"/>
                <w:position w:val="0"/>
                <w:sz w:val="24"/>
                <w:szCs w:val="24"/>
                <w:highlight w:val="none"/>
              </w:rPr>
            </w:pPr>
          </w:p>
        </w:tc>
        <w:tc>
          <w:tcPr>
            <w:tcW w:w="1261" w:type="dxa"/>
            <w:noWrap w:val="0"/>
            <w:vAlign w:val="top"/>
          </w:tcPr>
          <w:p w14:paraId="398F12A0">
            <w:pPr>
              <w:kinsoku/>
              <w:wordWrap/>
              <w:overflowPunct/>
              <w:bidi w:val="0"/>
              <w:spacing w:line="360" w:lineRule="auto"/>
              <w:rPr>
                <w:rFonts w:hint="eastAsia" w:ascii="宋体" w:hAnsi="宋体" w:eastAsia="宋体" w:cs="宋体"/>
                <w:color w:val="auto"/>
                <w:spacing w:val="0"/>
                <w:position w:val="0"/>
                <w:sz w:val="24"/>
                <w:szCs w:val="24"/>
                <w:highlight w:val="none"/>
              </w:rPr>
            </w:pPr>
          </w:p>
        </w:tc>
        <w:tc>
          <w:tcPr>
            <w:tcW w:w="2296" w:type="dxa"/>
            <w:gridSpan w:val="2"/>
            <w:noWrap w:val="0"/>
            <w:vAlign w:val="top"/>
          </w:tcPr>
          <w:p w14:paraId="34F25BA3">
            <w:pPr>
              <w:kinsoku/>
              <w:wordWrap/>
              <w:overflowPunct/>
              <w:bidi w:val="0"/>
              <w:spacing w:line="360" w:lineRule="auto"/>
              <w:rPr>
                <w:rFonts w:hint="eastAsia" w:ascii="宋体" w:hAnsi="宋体" w:eastAsia="宋体" w:cs="宋体"/>
                <w:color w:val="auto"/>
                <w:spacing w:val="0"/>
                <w:position w:val="0"/>
                <w:sz w:val="24"/>
                <w:szCs w:val="24"/>
                <w:highlight w:val="none"/>
              </w:rPr>
            </w:pPr>
          </w:p>
        </w:tc>
      </w:tr>
      <w:tr w14:paraId="1AEC3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4B5599E0">
            <w:pPr>
              <w:kinsoku/>
              <w:wordWrap/>
              <w:overflowPunct/>
              <w:bidi w:val="0"/>
              <w:spacing w:line="360" w:lineRule="auto"/>
              <w:rPr>
                <w:rFonts w:hint="eastAsia" w:ascii="宋体" w:hAnsi="宋体" w:eastAsia="宋体" w:cs="宋体"/>
                <w:color w:val="auto"/>
                <w:spacing w:val="0"/>
                <w:position w:val="0"/>
                <w:sz w:val="24"/>
                <w:szCs w:val="24"/>
                <w:highlight w:val="none"/>
              </w:rPr>
            </w:pPr>
          </w:p>
        </w:tc>
        <w:tc>
          <w:tcPr>
            <w:tcW w:w="3420" w:type="dxa"/>
            <w:gridSpan w:val="4"/>
            <w:noWrap w:val="0"/>
            <w:vAlign w:val="top"/>
          </w:tcPr>
          <w:p w14:paraId="2CB48FED">
            <w:pPr>
              <w:kinsoku/>
              <w:wordWrap/>
              <w:overflowPunct/>
              <w:bidi w:val="0"/>
              <w:spacing w:line="360" w:lineRule="auto"/>
              <w:rPr>
                <w:rFonts w:hint="eastAsia" w:ascii="宋体" w:hAnsi="宋体" w:eastAsia="宋体" w:cs="宋体"/>
                <w:color w:val="auto"/>
                <w:spacing w:val="0"/>
                <w:position w:val="0"/>
                <w:sz w:val="24"/>
                <w:szCs w:val="24"/>
                <w:highlight w:val="none"/>
              </w:rPr>
            </w:pPr>
          </w:p>
        </w:tc>
        <w:tc>
          <w:tcPr>
            <w:tcW w:w="1261" w:type="dxa"/>
            <w:noWrap w:val="0"/>
            <w:vAlign w:val="top"/>
          </w:tcPr>
          <w:p w14:paraId="73100C05">
            <w:pPr>
              <w:kinsoku/>
              <w:wordWrap/>
              <w:overflowPunct/>
              <w:bidi w:val="0"/>
              <w:spacing w:line="360" w:lineRule="auto"/>
              <w:rPr>
                <w:rFonts w:hint="eastAsia" w:ascii="宋体" w:hAnsi="宋体" w:eastAsia="宋体" w:cs="宋体"/>
                <w:color w:val="auto"/>
                <w:spacing w:val="0"/>
                <w:position w:val="0"/>
                <w:sz w:val="24"/>
                <w:szCs w:val="24"/>
                <w:highlight w:val="none"/>
              </w:rPr>
            </w:pPr>
          </w:p>
        </w:tc>
        <w:tc>
          <w:tcPr>
            <w:tcW w:w="2296" w:type="dxa"/>
            <w:gridSpan w:val="2"/>
            <w:noWrap w:val="0"/>
            <w:vAlign w:val="top"/>
          </w:tcPr>
          <w:p w14:paraId="3235D2B0">
            <w:pPr>
              <w:kinsoku/>
              <w:wordWrap/>
              <w:overflowPunct/>
              <w:bidi w:val="0"/>
              <w:spacing w:line="360" w:lineRule="auto"/>
              <w:rPr>
                <w:rFonts w:hint="eastAsia" w:ascii="宋体" w:hAnsi="宋体" w:eastAsia="宋体" w:cs="宋体"/>
                <w:color w:val="auto"/>
                <w:spacing w:val="0"/>
                <w:position w:val="0"/>
                <w:sz w:val="24"/>
                <w:szCs w:val="24"/>
                <w:highlight w:val="none"/>
              </w:rPr>
            </w:pPr>
          </w:p>
        </w:tc>
      </w:tr>
      <w:tr w14:paraId="4D9C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73E378E8">
            <w:pPr>
              <w:kinsoku/>
              <w:wordWrap/>
              <w:overflowPunct/>
              <w:bidi w:val="0"/>
              <w:spacing w:line="360" w:lineRule="auto"/>
              <w:rPr>
                <w:rFonts w:hint="eastAsia" w:ascii="宋体" w:hAnsi="宋体" w:eastAsia="宋体" w:cs="宋体"/>
                <w:color w:val="auto"/>
                <w:spacing w:val="0"/>
                <w:position w:val="0"/>
                <w:sz w:val="24"/>
                <w:szCs w:val="24"/>
                <w:highlight w:val="none"/>
              </w:rPr>
            </w:pPr>
          </w:p>
        </w:tc>
        <w:tc>
          <w:tcPr>
            <w:tcW w:w="3420" w:type="dxa"/>
            <w:gridSpan w:val="4"/>
            <w:noWrap w:val="0"/>
            <w:vAlign w:val="top"/>
          </w:tcPr>
          <w:p w14:paraId="427D779B">
            <w:pPr>
              <w:kinsoku/>
              <w:wordWrap/>
              <w:overflowPunct/>
              <w:bidi w:val="0"/>
              <w:spacing w:line="360" w:lineRule="auto"/>
              <w:rPr>
                <w:rFonts w:hint="eastAsia" w:ascii="宋体" w:hAnsi="宋体" w:eastAsia="宋体" w:cs="宋体"/>
                <w:color w:val="auto"/>
                <w:spacing w:val="0"/>
                <w:position w:val="0"/>
                <w:sz w:val="24"/>
                <w:szCs w:val="24"/>
                <w:highlight w:val="none"/>
              </w:rPr>
            </w:pPr>
          </w:p>
        </w:tc>
        <w:tc>
          <w:tcPr>
            <w:tcW w:w="1261" w:type="dxa"/>
            <w:noWrap w:val="0"/>
            <w:vAlign w:val="top"/>
          </w:tcPr>
          <w:p w14:paraId="628FBDC7">
            <w:pPr>
              <w:kinsoku/>
              <w:wordWrap/>
              <w:overflowPunct/>
              <w:bidi w:val="0"/>
              <w:spacing w:line="360" w:lineRule="auto"/>
              <w:rPr>
                <w:rFonts w:hint="eastAsia" w:ascii="宋体" w:hAnsi="宋体" w:eastAsia="宋体" w:cs="宋体"/>
                <w:color w:val="auto"/>
                <w:spacing w:val="0"/>
                <w:position w:val="0"/>
                <w:sz w:val="24"/>
                <w:szCs w:val="24"/>
                <w:highlight w:val="none"/>
              </w:rPr>
            </w:pPr>
          </w:p>
        </w:tc>
        <w:tc>
          <w:tcPr>
            <w:tcW w:w="2296" w:type="dxa"/>
            <w:gridSpan w:val="2"/>
            <w:noWrap w:val="0"/>
            <w:vAlign w:val="top"/>
          </w:tcPr>
          <w:p w14:paraId="74F31E03">
            <w:pPr>
              <w:kinsoku/>
              <w:wordWrap/>
              <w:overflowPunct/>
              <w:bidi w:val="0"/>
              <w:spacing w:line="360" w:lineRule="auto"/>
              <w:rPr>
                <w:rFonts w:hint="eastAsia" w:ascii="宋体" w:hAnsi="宋体" w:eastAsia="宋体" w:cs="宋体"/>
                <w:color w:val="auto"/>
                <w:spacing w:val="0"/>
                <w:position w:val="0"/>
                <w:sz w:val="24"/>
                <w:szCs w:val="24"/>
                <w:highlight w:val="none"/>
              </w:rPr>
            </w:pPr>
          </w:p>
        </w:tc>
      </w:tr>
      <w:tr w14:paraId="759D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0E48A7B9">
            <w:pPr>
              <w:kinsoku/>
              <w:wordWrap/>
              <w:overflowPunct/>
              <w:bidi w:val="0"/>
              <w:spacing w:line="360" w:lineRule="auto"/>
              <w:rPr>
                <w:rFonts w:hint="eastAsia" w:ascii="宋体" w:hAnsi="宋体" w:eastAsia="宋体" w:cs="宋体"/>
                <w:color w:val="auto"/>
                <w:spacing w:val="0"/>
                <w:position w:val="0"/>
                <w:sz w:val="24"/>
                <w:szCs w:val="24"/>
                <w:highlight w:val="none"/>
              </w:rPr>
            </w:pPr>
          </w:p>
        </w:tc>
        <w:tc>
          <w:tcPr>
            <w:tcW w:w="3420" w:type="dxa"/>
            <w:gridSpan w:val="4"/>
            <w:noWrap w:val="0"/>
            <w:vAlign w:val="top"/>
          </w:tcPr>
          <w:p w14:paraId="61582073">
            <w:pPr>
              <w:kinsoku/>
              <w:wordWrap/>
              <w:overflowPunct/>
              <w:bidi w:val="0"/>
              <w:spacing w:line="360" w:lineRule="auto"/>
              <w:rPr>
                <w:rFonts w:hint="eastAsia" w:ascii="宋体" w:hAnsi="宋体" w:eastAsia="宋体" w:cs="宋体"/>
                <w:color w:val="auto"/>
                <w:spacing w:val="0"/>
                <w:position w:val="0"/>
                <w:sz w:val="24"/>
                <w:szCs w:val="24"/>
                <w:highlight w:val="none"/>
              </w:rPr>
            </w:pPr>
          </w:p>
        </w:tc>
        <w:tc>
          <w:tcPr>
            <w:tcW w:w="1261" w:type="dxa"/>
            <w:noWrap w:val="0"/>
            <w:vAlign w:val="top"/>
          </w:tcPr>
          <w:p w14:paraId="6B8B8BF6">
            <w:pPr>
              <w:kinsoku/>
              <w:wordWrap/>
              <w:overflowPunct/>
              <w:bidi w:val="0"/>
              <w:spacing w:line="360" w:lineRule="auto"/>
              <w:rPr>
                <w:rFonts w:hint="eastAsia" w:ascii="宋体" w:hAnsi="宋体" w:eastAsia="宋体" w:cs="宋体"/>
                <w:color w:val="auto"/>
                <w:spacing w:val="0"/>
                <w:position w:val="0"/>
                <w:sz w:val="24"/>
                <w:szCs w:val="24"/>
                <w:highlight w:val="none"/>
              </w:rPr>
            </w:pPr>
          </w:p>
        </w:tc>
        <w:tc>
          <w:tcPr>
            <w:tcW w:w="2296" w:type="dxa"/>
            <w:gridSpan w:val="2"/>
            <w:noWrap w:val="0"/>
            <w:vAlign w:val="top"/>
          </w:tcPr>
          <w:p w14:paraId="437265DD">
            <w:pPr>
              <w:kinsoku/>
              <w:wordWrap/>
              <w:overflowPunct/>
              <w:bidi w:val="0"/>
              <w:spacing w:line="360" w:lineRule="auto"/>
              <w:rPr>
                <w:rFonts w:hint="eastAsia" w:ascii="宋体" w:hAnsi="宋体" w:eastAsia="宋体" w:cs="宋体"/>
                <w:color w:val="auto"/>
                <w:spacing w:val="0"/>
                <w:position w:val="0"/>
                <w:sz w:val="24"/>
                <w:szCs w:val="24"/>
                <w:highlight w:val="none"/>
              </w:rPr>
            </w:pPr>
          </w:p>
        </w:tc>
      </w:tr>
      <w:tr w14:paraId="6D99F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0201FC9E">
            <w:pPr>
              <w:kinsoku/>
              <w:wordWrap/>
              <w:overflowPunct/>
              <w:bidi w:val="0"/>
              <w:spacing w:line="360" w:lineRule="auto"/>
              <w:rPr>
                <w:rFonts w:hint="eastAsia" w:ascii="宋体" w:hAnsi="宋体" w:eastAsia="宋体" w:cs="宋体"/>
                <w:color w:val="auto"/>
                <w:spacing w:val="0"/>
                <w:position w:val="0"/>
                <w:sz w:val="24"/>
                <w:szCs w:val="24"/>
                <w:highlight w:val="none"/>
              </w:rPr>
            </w:pPr>
          </w:p>
        </w:tc>
        <w:tc>
          <w:tcPr>
            <w:tcW w:w="3420" w:type="dxa"/>
            <w:gridSpan w:val="4"/>
            <w:noWrap w:val="0"/>
            <w:vAlign w:val="top"/>
          </w:tcPr>
          <w:p w14:paraId="5B504C6B">
            <w:pPr>
              <w:kinsoku/>
              <w:wordWrap/>
              <w:overflowPunct/>
              <w:bidi w:val="0"/>
              <w:spacing w:line="360" w:lineRule="auto"/>
              <w:rPr>
                <w:rFonts w:hint="eastAsia" w:ascii="宋体" w:hAnsi="宋体" w:eastAsia="宋体" w:cs="宋体"/>
                <w:color w:val="auto"/>
                <w:spacing w:val="0"/>
                <w:position w:val="0"/>
                <w:sz w:val="24"/>
                <w:szCs w:val="24"/>
                <w:highlight w:val="none"/>
              </w:rPr>
            </w:pPr>
          </w:p>
        </w:tc>
        <w:tc>
          <w:tcPr>
            <w:tcW w:w="1261" w:type="dxa"/>
            <w:noWrap w:val="0"/>
            <w:vAlign w:val="top"/>
          </w:tcPr>
          <w:p w14:paraId="04727BB6">
            <w:pPr>
              <w:kinsoku/>
              <w:wordWrap/>
              <w:overflowPunct/>
              <w:bidi w:val="0"/>
              <w:spacing w:line="360" w:lineRule="auto"/>
              <w:rPr>
                <w:rFonts w:hint="eastAsia" w:ascii="宋体" w:hAnsi="宋体" w:eastAsia="宋体" w:cs="宋体"/>
                <w:color w:val="auto"/>
                <w:spacing w:val="0"/>
                <w:position w:val="0"/>
                <w:sz w:val="24"/>
                <w:szCs w:val="24"/>
                <w:highlight w:val="none"/>
              </w:rPr>
            </w:pPr>
          </w:p>
        </w:tc>
        <w:tc>
          <w:tcPr>
            <w:tcW w:w="2296" w:type="dxa"/>
            <w:gridSpan w:val="2"/>
            <w:noWrap w:val="0"/>
            <w:vAlign w:val="top"/>
          </w:tcPr>
          <w:p w14:paraId="7C325484">
            <w:pPr>
              <w:kinsoku/>
              <w:wordWrap/>
              <w:overflowPunct/>
              <w:bidi w:val="0"/>
              <w:spacing w:line="360" w:lineRule="auto"/>
              <w:rPr>
                <w:rFonts w:hint="eastAsia" w:ascii="宋体" w:hAnsi="宋体" w:eastAsia="宋体" w:cs="宋体"/>
                <w:color w:val="auto"/>
                <w:spacing w:val="0"/>
                <w:position w:val="0"/>
                <w:sz w:val="24"/>
                <w:szCs w:val="24"/>
                <w:highlight w:val="none"/>
              </w:rPr>
            </w:pPr>
          </w:p>
        </w:tc>
      </w:tr>
      <w:tr w14:paraId="6D00B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0EE45B35">
            <w:pPr>
              <w:kinsoku/>
              <w:wordWrap/>
              <w:overflowPunct/>
              <w:bidi w:val="0"/>
              <w:spacing w:line="360" w:lineRule="auto"/>
              <w:rPr>
                <w:rFonts w:hint="eastAsia" w:ascii="宋体" w:hAnsi="宋体" w:eastAsia="宋体" w:cs="宋体"/>
                <w:color w:val="auto"/>
                <w:spacing w:val="0"/>
                <w:position w:val="0"/>
                <w:sz w:val="24"/>
                <w:szCs w:val="24"/>
                <w:highlight w:val="none"/>
              </w:rPr>
            </w:pPr>
          </w:p>
        </w:tc>
        <w:tc>
          <w:tcPr>
            <w:tcW w:w="3420" w:type="dxa"/>
            <w:gridSpan w:val="4"/>
            <w:noWrap w:val="0"/>
            <w:vAlign w:val="top"/>
          </w:tcPr>
          <w:p w14:paraId="663AE35B">
            <w:pPr>
              <w:kinsoku/>
              <w:wordWrap/>
              <w:overflowPunct/>
              <w:bidi w:val="0"/>
              <w:spacing w:line="360" w:lineRule="auto"/>
              <w:rPr>
                <w:rFonts w:hint="eastAsia" w:ascii="宋体" w:hAnsi="宋体" w:eastAsia="宋体" w:cs="宋体"/>
                <w:color w:val="auto"/>
                <w:spacing w:val="0"/>
                <w:position w:val="0"/>
                <w:sz w:val="24"/>
                <w:szCs w:val="24"/>
                <w:highlight w:val="none"/>
              </w:rPr>
            </w:pPr>
          </w:p>
        </w:tc>
        <w:tc>
          <w:tcPr>
            <w:tcW w:w="1261" w:type="dxa"/>
            <w:noWrap w:val="0"/>
            <w:vAlign w:val="top"/>
          </w:tcPr>
          <w:p w14:paraId="5FC5563C">
            <w:pPr>
              <w:kinsoku/>
              <w:wordWrap/>
              <w:overflowPunct/>
              <w:bidi w:val="0"/>
              <w:spacing w:line="360" w:lineRule="auto"/>
              <w:rPr>
                <w:rFonts w:hint="eastAsia" w:ascii="宋体" w:hAnsi="宋体" w:eastAsia="宋体" w:cs="宋体"/>
                <w:color w:val="auto"/>
                <w:spacing w:val="0"/>
                <w:position w:val="0"/>
                <w:sz w:val="24"/>
                <w:szCs w:val="24"/>
                <w:highlight w:val="none"/>
              </w:rPr>
            </w:pPr>
          </w:p>
        </w:tc>
        <w:tc>
          <w:tcPr>
            <w:tcW w:w="2296" w:type="dxa"/>
            <w:gridSpan w:val="2"/>
            <w:noWrap w:val="0"/>
            <w:vAlign w:val="top"/>
          </w:tcPr>
          <w:p w14:paraId="5D578C2B">
            <w:pPr>
              <w:kinsoku/>
              <w:wordWrap/>
              <w:overflowPunct/>
              <w:bidi w:val="0"/>
              <w:spacing w:line="360" w:lineRule="auto"/>
              <w:rPr>
                <w:rFonts w:hint="eastAsia" w:ascii="宋体" w:hAnsi="宋体" w:eastAsia="宋体" w:cs="宋体"/>
                <w:color w:val="auto"/>
                <w:spacing w:val="0"/>
                <w:position w:val="0"/>
                <w:sz w:val="24"/>
                <w:szCs w:val="24"/>
                <w:highlight w:val="none"/>
              </w:rPr>
            </w:pPr>
          </w:p>
        </w:tc>
      </w:tr>
      <w:tr w14:paraId="42ED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2AFD6C45">
            <w:pPr>
              <w:kinsoku/>
              <w:wordWrap/>
              <w:overflowPunct/>
              <w:bidi w:val="0"/>
              <w:spacing w:line="360" w:lineRule="auto"/>
              <w:rPr>
                <w:rFonts w:hint="eastAsia" w:ascii="宋体" w:hAnsi="宋体" w:eastAsia="宋体" w:cs="宋体"/>
                <w:color w:val="auto"/>
                <w:spacing w:val="0"/>
                <w:position w:val="0"/>
                <w:sz w:val="24"/>
                <w:szCs w:val="24"/>
                <w:highlight w:val="none"/>
              </w:rPr>
            </w:pPr>
          </w:p>
        </w:tc>
        <w:tc>
          <w:tcPr>
            <w:tcW w:w="3420" w:type="dxa"/>
            <w:gridSpan w:val="4"/>
            <w:noWrap w:val="0"/>
            <w:vAlign w:val="top"/>
          </w:tcPr>
          <w:p w14:paraId="67E58F0D">
            <w:pPr>
              <w:kinsoku/>
              <w:wordWrap/>
              <w:overflowPunct/>
              <w:bidi w:val="0"/>
              <w:spacing w:line="360" w:lineRule="auto"/>
              <w:rPr>
                <w:rFonts w:hint="eastAsia" w:ascii="宋体" w:hAnsi="宋体" w:eastAsia="宋体" w:cs="宋体"/>
                <w:color w:val="auto"/>
                <w:spacing w:val="0"/>
                <w:position w:val="0"/>
                <w:sz w:val="24"/>
                <w:szCs w:val="24"/>
                <w:highlight w:val="none"/>
              </w:rPr>
            </w:pPr>
          </w:p>
        </w:tc>
        <w:tc>
          <w:tcPr>
            <w:tcW w:w="1261" w:type="dxa"/>
            <w:noWrap w:val="0"/>
            <w:vAlign w:val="top"/>
          </w:tcPr>
          <w:p w14:paraId="27E5B0CF">
            <w:pPr>
              <w:kinsoku/>
              <w:wordWrap/>
              <w:overflowPunct/>
              <w:bidi w:val="0"/>
              <w:spacing w:line="360" w:lineRule="auto"/>
              <w:rPr>
                <w:rFonts w:hint="eastAsia" w:ascii="宋体" w:hAnsi="宋体" w:eastAsia="宋体" w:cs="宋体"/>
                <w:color w:val="auto"/>
                <w:spacing w:val="0"/>
                <w:position w:val="0"/>
                <w:sz w:val="24"/>
                <w:szCs w:val="24"/>
                <w:highlight w:val="none"/>
              </w:rPr>
            </w:pPr>
          </w:p>
        </w:tc>
        <w:tc>
          <w:tcPr>
            <w:tcW w:w="2296" w:type="dxa"/>
            <w:gridSpan w:val="2"/>
            <w:noWrap w:val="0"/>
            <w:vAlign w:val="top"/>
          </w:tcPr>
          <w:p w14:paraId="255CAA6A">
            <w:pPr>
              <w:kinsoku/>
              <w:wordWrap/>
              <w:overflowPunct/>
              <w:bidi w:val="0"/>
              <w:spacing w:line="360" w:lineRule="auto"/>
              <w:rPr>
                <w:rFonts w:hint="eastAsia" w:ascii="宋体" w:hAnsi="宋体" w:eastAsia="宋体" w:cs="宋体"/>
                <w:color w:val="auto"/>
                <w:spacing w:val="0"/>
                <w:position w:val="0"/>
                <w:sz w:val="24"/>
                <w:szCs w:val="24"/>
                <w:highlight w:val="none"/>
              </w:rPr>
            </w:pPr>
          </w:p>
        </w:tc>
      </w:tr>
      <w:tr w14:paraId="43524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435A7E6B">
            <w:pPr>
              <w:kinsoku/>
              <w:wordWrap/>
              <w:overflowPunct/>
              <w:bidi w:val="0"/>
              <w:spacing w:line="360" w:lineRule="auto"/>
              <w:rPr>
                <w:rFonts w:hint="eastAsia" w:ascii="宋体" w:hAnsi="宋体" w:eastAsia="宋体" w:cs="宋体"/>
                <w:color w:val="auto"/>
                <w:spacing w:val="0"/>
                <w:position w:val="0"/>
                <w:sz w:val="24"/>
                <w:szCs w:val="24"/>
                <w:highlight w:val="none"/>
              </w:rPr>
            </w:pPr>
          </w:p>
        </w:tc>
        <w:tc>
          <w:tcPr>
            <w:tcW w:w="3420" w:type="dxa"/>
            <w:gridSpan w:val="4"/>
            <w:noWrap w:val="0"/>
            <w:vAlign w:val="top"/>
          </w:tcPr>
          <w:p w14:paraId="55B45219">
            <w:pPr>
              <w:kinsoku/>
              <w:wordWrap/>
              <w:overflowPunct/>
              <w:bidi w:val="0"/>
              <w:spacing w:line="360" w:lineRule="auto"/>
              <w:rPr>
                <w:rFonts w:hint="eastAsia" w:ascii="宋体" w:hAnsi="宋体" w:eastAsia="宋体" w:cs="宋体"/>
                <w:color w:val="auto"/>
                <w:spacing w:val="0"/>
                <w:position w:val="0"/>
                <w:sz w:val="24"/>
                <w:szCs w:val="24"/>
                <w:highlight w:val="none"/>
              </w:rPr>
            </w:pPr>
          </w:p>
        </w:tc>
        <w:tc>
          <w:tcPr>
            <w:tcW w:w="1261" w:type="dxa"/>
            <w:noWrap w:val="0"/>
            <w:vAlign w:val="top"/>
          </w:tcPr>
          <w:p w14:paraId="26A8C73E">
            <w:pPr>
              <w:kinsoku/>
              <w:wordWrap/>
              <w:overflowPunct/>
              <w:bidi w:val="0"/>
              <w:spacing w:line="360" w:lineRule="auto"/>
              <w:rPr>
                <w:rFonts w:hint="eastAsia" w:ascii="宋体" w:hAnsi="宋体" w:eastAsia="宋体" w:cs="宋体"/>
                <w:color w:val="auto"/>
                <w:spacing w:val="0"/>
                <w:position w:val="0"/>
                <w:sz w:val="24"/>
                <w:szCs w:val="24"/>
                <w:highlight w:val="none"/>
              </w:rPr>
            </w:pPr>
          </w:p>
        </w:tc>
        <w:tc>
          <w:tcPr>
            <w:tcW w:w="2296" w:type="dxa"/>
            <w:gridSpan w:val="2"/>
            <w:noWrap w:val="0"/>
            <w:vAlign w:val="top"/>
          </w:tcPr>
          <w:p w14:paraId="217DE0C7">
            <w:pPr>
              <w:kinsoku/>
              <w:wordWrap/>
              <w:overflowPunct/>
              <w:bidi w:val="0"/>
              <w:spacing w:line="360" w:lineRule="auto"/>
              <w:rPr>
                <w:rFonts w:hint="eastAsia" w:ascii="宋体" w:hAnsi="宋体" w:eastAsia="宋体" w:cs="宋体"/>
                <w:color w:val="auto"/>
                <w:spacing w:val="0"/>
                <w:position w:val="0"/>
                <w:sz w:val="24"/>
                <w:szCs w:val="24"/>
                <w:highlight w:val="none"/>
              </w:rPr>
            </w:pPr>
          </w:p>
        </w:tc>
      </w:tr>
    </w:tbl>
    <w:p w14:paraId="076EAFAF">
      <w:pPr>
        <w:numPr>
          <w:ilvl w:val="0"/>
          <w:numId w:val="0"/>
        </w:numPr>
        <w:kinsoku/>
        <w:wordWrap/>
        <w:overflowPunct/>
        <w:bidi w:val="0"/>
        <w:spacing w:line="360" w:lineRule="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附：建造师注册证书、</w:t>
      </w:r>
      <w:r>
        <w:rPr>
          <w:rFonts w:hint="eastAsia" w:ascii="宋体" w:hAnsi="宋体" w:eastAsia="宋体" w:cs="宋体"/>
          <w:color w:val="auto"/>
          <w:spacing w:val="0"/>
          <w:position w:val="0"/>
          <w:szCs w:val="21"/>
          <w:highlight w:val="none"/>
        </w:rPr>
        <w:t>安全生产考核合格证书、</w:t>
      </w:r>
      <w:r>
        <w:rPr>
          <w:rFonts w:hint="eastAsia" w:ascii="宋体" w:hAnsi="宋体" w:eastAsia="宋体" w:cs="宋体"/>
          <w:color w:val="auto"/>
          <w:spacing w:val="0"/>
          <w:position w:val="0"/>
          <w:highlight w:val="none"/>
        </w:rPr>
        <w:t>身份证</w:t>
      </w:r>
      <w:r>
        <w:rPr>
          <w:rFonts w:hint="eastAsia" w:ascii="宋体" w:hAnsi="宋体" w:eastAsia="宋体" w:cs="宋体"/>
          <w:color w:val="auto"/>
          <w:spacing w:val="0"/>
          <w:position w:val="0"/>
          <w:highlight w:val="none"/>
          <w:lang w:eastAsia="zh-CN"/>
        </w:rPr>
        <w:t>等</w:t>
      </w:r>
    </w:p>
    <w:p w14:paraId="5B9920E9">
      <w:pPr>
        <w:pStyle w:val="18"/>
        <w:kinsoku/>
        <w:wordWrap/>
        <w:overflowPunct/>
        <w:bidi w:val="0"/>
        <w:rPr>
          <w:rFonts w:hint="eastAsia" w:ascii="宋体" w:hAnsi="宋体" w:eastAsia="宋体" w:cs="宋体"/>
          <w:color w:val="auto"/>
          <w:spacing w:val="0"/>
          <w:position w:val="0"/>
          <w:highlight w:val="none"/>
        </w:rPr>
      </w:pPr>
    </w:p>
    <w:p w14:paraId="72CEB0BD">
      <w:pPr>
        <w:kinsoku/>
        <w:wordWrap/>
        <w:overflowPunct/>
        <w:bidi w:val="0"/>
        <w:rPr>
          <w:rFonts w:hint="eastAsia" w:ascii="宋体" w:hAnsi="宋体" w:eastAsia="宋体" w:cs="宋体"/>
          <w:color w:val="auto"/>
          <w:spacing w:val="0"/>
          <w:position w:val="0"/>
          <w:highlight w:val="none"/>
        </w:rPr>
      </w:pPr>
    </w:p>
    <w:p w14:paraId="63C502B7">
      <w:pPr>
        <w:pStyle w:val="18"/>
        <w:kinsoku/>
        <w:wordWrap/>
        <w:overflowPunct/>
        <w:bidi w:val="0"/>
        <w:rPr>
          <w:rFonts w:hint="eastAsia" w:ascii="宋体" w:hAnsi="宋体" w:eastAsia="宋体" w:cs="宋体"/>
          <w:color w:val="auto"/>
          <w:spacing w:val="0"/>
          <w:position w:val="0"/>
          <w:highlight w:val="none"/>
        </w:rPr>
      </w:pPr>
    </w:p>
    <w:p w14:paraId="33A3257E">
      <w:pPr>
        <w:pStyle w:val="4"/>
        <w:kinsoku/>
        <w:wordWrap/>
        <w:overflowPunct/>
        <w:bidi w:val="0"/>
        <w:spacing w:before="0" w:after="0" w:line="360" w:lineRule="auto"/>
        <w:jc w:val="center"/>
        <w:rPr>
          <w:rFonts w:hint="eastAsia" w:ascii="宋体" w:hAnsi="宋体" w:eastAsia="宋体" w:cs="宋体"/>
          <w:color w:val="auto"/>
          <w:spacing w:val="0"/>
          <w:position w:val="0"/>
          <w:sz w:val="28"/>
          <w:szCs w:val="28"/>
          <w:highlight w:val="none"/>
          <w:lang w:val="zh-CN" w:eastAsia="zh-CN"/>
        </w:rPr>
      </w:pPr>
      <w:bookmarkStart w:id="1313" w:name="_Toc955"/>
      <w:r>
        <w:rPr>
          <w:rFonts w:hint="eastAsia" w:ascii="宋体" w:hAnsi="宋体" w:eastAsia="宋体" w:cs="宋体"/>
          <w:color w:val="auto"/>
          <w:spacing w:val="0"/>
          <w:position w:val="0"/>
          <w:sz w:val="28"/>
          <w:szCs w:val="28"/>
          <w:highlight w:val="none"/>
          <w:lang w:val="zh-CN" w:eastAsia="zh-CN"/>
        </w:rPr>
        <w:t>（</w:t>
      </w:r>
      <w:r>
        <w:rPr>
          <w:rFonts w:hint="eastAsia" w:ascii="宋体" w:hAnsi="宋体" w:cs="宋体"/>
          <w:color w:val="auto"/>
          <w:spacing w:val="0"/>
          <w:position w:val="0"/>
          <w:sz w:val="28"/>
          <w:szCs w:val="28"/>
          <w:highlight w:val="none"/>
          <w:lang w:val="en-US" w:eastAsia="zh-CN"/>
        </w:rPr>
        <w:t>七</w:t>
      </w:r>
      <w:r>
        <w:rPr>
          <w:rFonts w:hint="eastAsia" w:ascii="宋体" w:hAnsi="宋体" w:eastAsia="宋体" w:cs="宋体"/>
          <w:color w:val="auto"/>
          <w:spacing w:val="0"/>
          <w:position w:val="0"/>
          <w:sz w:val="28"/>
          <w:szCs w:val="28"/>
          <w:highlight w:val="none"/>
          <w:lang w:val="zh-CN" w:eastAsia="zh-CN"/>
        </w:rPr>
        <w:t>）竞争性磋商文件要求的其他证明材料</w:t>
      </w:r>
      <w:bookmarkEnd w:id="1313"/>
    </w:p>
    <w:p w14:paraId="39322520">
      <w:pPr>
        <w:rPr>
          <w:rFonts w:hint="eastAsia" w:ascii="宋体" w:hAnsi="宋体" w:eastAsia="宋体" w:cs="宋体"/>
          <w:color w:val="auto"/>
          <w:spacing w:val="0"/>
          <w:position w:val="0"/>
          <w:sz w:val="28"/>
          <w:szCs w:val="28"/>
          <w:highlight w:val="none"/>
          <w:lang w:val="zh-CN" w:eastAsia="zh-CN"/>
        </w:rPr>
      </w:pPr>
      <w:r>
        <w:rPr>
          <w:rFonts w:hint="eastAsia" w:ascii="宋体" w:hAnsi="宋体" w:eastAsia="宋体" w:cs="宋体"/>
          <w:color w:val="auto"/>
          <w:spacing w:val="0"/>
          <w:position w:val="0"/>
          <w:sz w:val="28"/>
          <w:szCs w:val="28"/>
          <w:highlight w:val="none"/>
          <w:lang w:val="zh-CN" w:eastAsia="zh-CN"/>
        </w:rPr>
        <w:br w:type="page"/>
      </w:r>
    </w:p>
    <w:p w14:paraId="03FD1EA3">
      <w:pPr>
        <w:rPr>
          <w:rFonts w:hint="eastAsia"/>
          <w:highlight w:val="none"/>
          <w:lang w:val="zh-CN" w:eastAsia="zh-CN"/>
        </w:rPr>
      </w:pPr>
    </w:p>
    <w:p w14:paraId="4D716D6D">
      <w:pPr>
        <w:keepNext w:val="0"/>
        <w:keepLines w:val="0"/>
        <w:widowControl/>
        <w:suppressLineNumbers w:val="0"/>
        <w:jc w:val="center"/>
        <w:rPr>
          <w:rFonts w:hint="eastAsia" w:ascii="宋体" w:hAnsi="宋体" w:eastAsia="宋体" w:cs="宋体"/>
          <w:b/>
          <w:bCs/>
          <w:color w:val="000000"/>
          <w:kern w:val="0"/>
          <w:sz w:val="72"/>
          <w:szCs w:val="72"/>
          <w:highlight w:val="none"/>
          <w:lang w:val="en-US" w:eastAsia="zh-CN" w:bidi="ar"/>
        </w:rPr>
      </w:pPr>
    </w:p>
    <w:p w14:paraId="00E22994">
      <w:pPr>
        <w:keepNext w:val="0"/>
        <w:keepLines w:val="0"/>
        <w:widowControl/>
        <w:suppressLineNumbers w:val="0"/>
        <w:jc w:val="center"/>
        <w:rPr>
          <w:rFonts w:hint="eastAsia" w:ascii="宋体" w:hAnsi="宋体" w:eastAsia="宋体" w:cs="宋体"/>
          <w:b/>
          <w:bCs/>
          <w:color w:val="000000"/>
          <w:kern w:val="0"/>
          <w:sz w:val="72"/>
          <w:szCs w:val="72"/>
          <w:highlight w:val="none"/>
          <w:lang w:val="en-US" w:eastAsia="zh-CN" w:bidi="ar"/>
        </w:rPr>
      </w:pPr>
      <w:r>
        <w:rPr>
          <w:rFonts w:hint="eastAsia" w:ascii="宋体" w:hAnsi="宋体" w:eastAsia="宋体" w:cs="宋体"/>
          <w:b/>
          <w:bCs/>
          <w:color w:val="000000"/>
          <w:kern w:val="0"/>
          <w:sz w:val="72"/>
          <w:szCs w:val="72"/>
          <w:highlight w:val="none"/>
          <w:lang w:val="en-US" w:eastAsia="zh-CN" w:bidi="ar"/>
        </w:rPr>
        <w:t>响应文件</w:t>
      </w:r>
    </w:p>
    <w:p w14:paraId="58DFC767">
      <w:pPr>
        <w:pStyle w:val="4"/>
        <w:rPr>
          <w:highlight w:val="none"/>
        </w:rPr>
      </w:pPr>
    </w:p>
    <w:p w14:paraId="6412169A">
      <w:pPr>
        <w:keepNext w:val="0"/>
        <w:keepLines w:val="0"/>
        <w:pageBreakBefore w:val="0"/>
        <w:widowControl/>
        <w:suppressLineNumbers w:val="0"/>
        <w:kinsoku/>
        <w:wordWrap/>
        <w:overflowPunct/>
        <w:topLinePunct w:val="0"/>
        <w:autoSpaceDE/>
        <w:autoSpaceDN/>
        <w:bidi w:val="0"/>
        <w:adjustRightInd/>
        <w:snapToGrid/>
        <w:spacing w:before="313" w:beforeLines="100" w:after="313" w:afterLines="100" w:line="720" w:lineRule="auto"/>
        <w:jc w:val="center"/>
        <w:textAlignment w:val="auto"/>
        <w:rPr>
          <w:rFonts w:hint="eastAsia" w:ascii="宋体" w:hAnsi="宋体" w:eastAsia="宋体" w:cs="宋体"/>
          <w:b/>
          <w:bCs/>
          <w:color w:val="000000"/>
          <w:kern w:val="0"/>
          <w:sz w:val="55"/>
          <w:szCs w:val="55"/>
          <w:highlight w:val="none"/>
          <w:lang w:val="en-US" w:eastAsia="zh-CN" w:bidi="ar"/>
        </w:rPr>
      </w:pPr>
      <w:r>
        <w:rPr>
          <w:rFonts w:hint="eastAsia" w:ascii="宋体" w:hAnsi="宋体" w:eastAsia="宋体" w:cs="宋体"/>
          <w:b/>
          <w:bCs/>
          <w:color w:val="000000"/>
          <w:kern w:val="0"/>
          <w:sz w:val="55"/>
          <w:szCs w:val="55"/>
          <w:highlight w:val="none"/>
          <w:lang w:val="en-US" w:eastAsia="zh-CN" w:bidi="ar"/>
        </w:rPr>
        <w:t>经</w:t>
      </w:r>
    </w:p>
    <w:p w14:paraId="42D0295F">
      <w:pPr>
        <w:keepNext w:val="0"/>
        <w:keepLines w:val="0"/>
        <w:pageBreakBefore w:val="0"/>
        <w:widowControl/>
        <w:suppressLineNumbers w:val="0"/>
        <w:kinsoku/>
        <w:wordWrap/>
        <w:overflowPunct/>
        <w:topLinePunct w:val="0"/>
        <w:autoSpaceDE/>
        <w:autoSpaceDN/>
        <w:bidi w:val="0"/>
        <w:adjustRightInd/>
        <w:snapToGrid/>
        <w:spacing w:before="313" w:beforeLines="100" w:after="313" w:afterLines="100" w:line="720" w:lineRule="auto"/>
        <w:jc w:val="center"/>
        <w:textAlignment w:val="auto"/>
        <w:rPr>
          <w:rFonts w:hint="eastAsia" w:eastAsia="宋体"/>
          <w:highlight w:val="none"/>
          <w:lang w:val="en-US" w:eastAsia="zh-CN"/>
        </w:rPr>
      </w:pPr>
      <w:r>
        <w:rPr>
          <w:rFonts w:hint="eastAsia" w:ascii="宋体" w:hAnsi="宋体" w:eastAsia="宋体" w:cs="宋体"/>
          <w:b/>
          <w:bCs/>
          <w:color w:val="000000"/>
          <w:kern w:val="0"/>
          <w:sz w:val="55"/>
          <w:szCs w:val="55"/>
          <w:highlight w:val="none"/>
          <w:lang w:val="en-US" w:eastAsia="zh-CN" w:bidi="ar"/>
        </w:rPr>
        <w:t>济</w:t>
      </w:r>
    </w:p>
    <w:p w14:paraId="17B5A885">
      <w:pPr>
        <w:keepNext w:val="0"/>
        <w:keepLines w:val="0"/>
        <w:pageBreakBefore w:val="0"/>
        <w:widowControl/>
        <w:suppressLineNumbers w:val="0"/>
        <w:kinsoku/>
        <w:wordWrap/>
        <w:overflowPunct/>
        <w:topLinePunct w:val="0"/>
        <w:autoSpaceDE/>
        <w:autoSpaceDN/>
        <w:bidi w:val="0"/>
        <w:adjustRightInd/>
        <w:snapToGrid/>
        <w:spacing w:before="313" w:beforeLines="100" w:after="313" w:afterLines="100" w:line="720" w:lineRule="auto"/>
        <w:jc w:val="center"/>
        <w:textAlignment w:val="auto"/>
        <w:rPr>
          <w:rFonts w:hint="eastAsia" w:ascii="宋体" w:hAnsi="宋体" w:eastAsia="宋体" w:cs="宋体"/>
          <w:b/>
          <w:bCs/>
          <w:color w:val="000000"/>
          <w:kern w:val="0"/>
          <w:sz w:val="55"/>
          <w:szCs w:val="55"/>
          <w:highlight w:val="none"/>
          <w:lang w:val="en-US" w:eastAsia="zh-CN" w:bidi="ar"/>
        </w:rPr>
      </w:pPr>
      <w:r>
        <w:rPr>
          <w:rFonts w:hint="eastAsia" w:ascii="宋体" w:hAnsi="宋体" w:eastAsia="宋体" w:cs="宋体"/>
          <w:b/>
          <w:bCs/>
          <w:color w:val="000000"/>
          <w:kern w:val="0"/>
          <w:sz w:val="55"/>
          <w:szCs w:val="55"/>
          <w:highlight w:val="none"/>
          <w:lang w:val="en-US" w:eastAsia="zh-CN" w:bidi="ar"/>
        </w:rPr>
        <w:t>部</w:t>
      </w:r>
    </w:p>
    <w:p w14:paraId="35DD89CE">
      <w:pPr>
        <w:keepNext w:val="0"/>
        <w:keepLines w:val="0"/>
        <w:pageBreakBefore w:val="0"/>
        <w:widowControl/>
        <w:suppressLineNumbers w:val="0"/>
        <w:kinsoku/>
        <w:wordWrap/>
        <w:overflowPunct/>
        <w:topLinePunct w:val="0"/>
        <w:autoSpaceDE/>
        <w:autoSpaceDN/>
        <w:bidi w:val="0"/>
        <w:adjustRightInd/>
        <w:snapToGrid/>
        <w:spacing w:before="313" w:beforeLines="100" w:after="313" w:afterLines="100" w:line="720" w:lineRule="auto"/>
        <w:jc w:val="center"/>
        <w:textAlignment w:val="auto"/>
        <w:rPr>
          <w:rFonts w:hint="eastAsia" w:ascii="宋体" w:hAnsi="宋体" w:eastAsia="宋体" w:cs="宋体"/>
          <w:b/>
          <w:bCs/>
          <w:color w:val="000000"/>
          <w:kern w:val="0"/>
          <w:sz w:val="55"/>
          <w:szCs w:val="55"/>
          <w:highlight w:val="none"/>
          <w:lang w:val="en-US" w:eastAsia="zh-CN" w:bidi="ar"/>
        </w:rPr>
      </w:pPr>
      <w:r>
        <w:rPr>
          <w:rFonts w:hint="eastAsia" w:ascii="宋体" w:hAnsi="宋体" w:eastAsia="宋体" w:cs="宋体"/>
          <w:b/>
          <w:bCs/>
          <w:color w:val="000000"/>
          <w:kern w:val="0"/>
          <w:sz w:val="55"/>
          <w:szCs w:val="55"/>
          <w:highlight w:val="none"/>
          <w:lang w:val="en-US" w:eastAsia="zh-CN" w:bidi="ar"/>
        </w:rPr>
        <w:t>分</w:t>
      </w:r>
    </w:p>
    <w:p w14:paraId="5B402152">
      <w:pPr>
        <w:rPr>
          <w:rFonts w:hint="eastAsia" w:ascii="宋体" w:hAnsi="宋体" w:eastAsia="宋体" w:cs="宋体"/>
          <w:b/>
          <w:bCs/>
          <w:color w:val="000000"/>
          <w:kern w:val="0"/>
          <w:sz w:val="55"/>
          <w:szCs w:val="55"/>
          <w:highlight w:val="none"/>
          <w:lang w:val="en-US" w:eastAsia="zh-CN" w:bidi="ar"/>
        </w:rPr>
      </w:pPr>
      <w:r>
        <w:rPr>
          <w:rFonts w:hint="eastAsia" w:ascii="宋体" w:hAnsi="宋体" w:eastAsia="宋体" w:cs="宋体"/>
          <w:b/>
          <w:bCs/>
          <w:color w:val="000000"/>
          <w:kern w:val="0"/>
          <w:sz w:val="55"/>
          <w:szCs w:val="55"/>
          <w:highlight w:val="none"/>
          <w:lang w:val="en-US" w:eastAsia="zh-CN" w:bidi="ar"/>
        </w:rPr>
        <w:br w:type="page"/>
      </w:r>
    </w:p>
    <w:p w14:paraId="7C223275">
      <w:pPr>
        <w:pStyle w:val="4"/>
        <w:spacing w:line="240" w:lineRule="auto"/>
        <w:jc w:val="center"/>
        <w:rPr>
          <w:rFonts w:hint="eastAsia" w:ascii="宋体" w:hAnsi="宋体" w:eastAsia="宋体" w:cs="宋体"/>
          <w:b w:val="0"/>
          <w:bCs w:val="0"/>
          <w:color w:val="auto"/>
          <w:spacing w:val="0"/>
          <w:kern w:val="2"/>
          <w:position w:val="0"/>
          <w:sz w:val="24"/>
          <w:szCs w:val="24"/>
          <w:highlight w:val="none"/>
          <w:u w:val="none"/>
          <w:lang w:val="en-US" w:eastAsia="zh-CN" w:bidi="ar-SA"/>
        </w:rPr>
      </w:pPr>
      <w:bookmarkStart w:id="1314" w:name="_Toc23306"/>
      <w:r>
        <w:rPr>
          <w:rFonts w:hint="eastAsia" w:ascii="宋体" w:hAnsi="宋体" w:eastAsia="宋体" w:cs="宋体"/>
          <w:b/>
          <w:bCs/>
          <w:color w:val="auto"/>
          <w:spacing w:val="0"/>
          <w:kern w:val="2"/>
          <w:position w:val="0"/>
          <w:sz w:val="24"/>
          <w:szCs w:val="24"/>
          <w:highlight w:val="none"/>
          <w:u w:val="none"/>
          <w:lang w:val="en-US" w:eastAsia="zh-CN" w:bidi="ar-SA"/>
        </w:rPr>
        <w:t>经济标目录（以单独发送的清单格式为主）</w:t>
      </w:r>
      <w:bookmarkEnd w:id="1314"/>
    </w:p>
    <w:p w14:paraId="496C4E2C">
      <w:pPr>
        <w:pStyle w:val="4"/>
        <w:spacing w:line="240" w:lineRule="auto"/>
        <w:rPr>
          <w:rFonts w:hint="eastAsia" w:ascii="宋体" w:hAnsi="宋体" w:eastAsia="宋体" w:cs="宋体"/>
          <w:b w:val="0"/>
          <w:bCs w:val="0"/>
          <w:color w:val="auto"/>
          <w:spacing w:val="0"/>
          <w:kern w:val="2"/>
          <w:position w:val="0"/>
          <w:sz w:val="24"/>
          <w:szCs w:val="24"/>
          <w:highlight w:val="none"/>
          <w:u w:val="none"/>
          <w:lang w:val="en-US" w:eastAsia="zh-CN" w:bidi="ar-SA"/>
        </w:rPr>
      </w:pPr>
      <w:bookmarkStart w:id="1315" w:name="_Toc27160"/>
      <w:r>
        <w:rPr>
          <w:rFonts w:hint="eastAsia" w:ascii="宋体" w:hAnsi="宋体" w:eastAsia="宋体" w:cs="宋体"/>
          <w:b w:val="0"/>
          <w:bCs w:val="0"/>
          <w:color w:val="auto"/>
          <w:spacing w:val="0"/>
          <w:kern w:val="2"/>
          <w:position w:val="0"/>
          <w:sz w:val="24"/>
          <w:szCs w:val="24"/>
          <w:highlight w:val="none"/>
          <w:u w:val="none"/>
          <w:lang w:val="en-US" w:eastAsia="zh-CN" w:bidi="ar-SA"/>
        </w:rPr>
        <w:t>1.总价封面</w:t>
      </w:r>
      <w:bookmarkEnd w:id="1315"/>
    </w:p>
    <w:p w14:paraId="2873B1D4">
      <w:pPr>
        <w:pStyle w:val="4"/>
        <w:spacing w:line="240" w:lineRule="auto"/>
        <w:rPr>
          <w:rFonts w:hint="eastAsia" w:ascii="宋体" w:hAnsi="宋体" w:eastAsia="宋体" w:cs="宋体"/>
          <w:b w:val="0"/>
          <w:bCs w:val="0"/>
          <w:color w:val="auto"/>
          <w:spacing w:val="0"/>
          <w:kern w:val="2"/>
          <w:position w:val="0"/>
          <w:sz w:val="24"/>
          <w:szCs w:val="24"/>
          <w:highlight w:val="none"/>
          <w:u w:val="none"/>
          <w:lang w:val="en-US" w:eastAsia="zh-CN" w:bidi="ar-SA"/>
        </w:rPr>
      </w:pPr>
      <w:bookmarkStart w:id="1316" w:name="_Toc11435"/>
      <w:r>
        <w:rPr>
          <w:rFonts w:hint="eastAsia" w:ascii="宋体" w:hAnsi="宋体" w:eastAsia="宋体" w:cs="宋体"/>
          <w:b w:val="0"/>
          <w:bCs w:val="0"/>
          <w:color w:val="auto"/>
          <w:spacing w:val="0"/>
          <w:kern w:val="2"/>
          <w:position w:val="0"/>
          <w:sz w:val="24"/>
          <w:szCs w:val="24"/>
          <w:highlight w:val="none"/>
          <w:u w:val="none"/>
          <w:lang w:val="en-US" w:eastAsia="zh-CN" w:bidi="ar-SA"/>
        </w:rPr>
        <w:t>2.总价扉页</w:t>
      </w:r>
      <w:bookmarkEnd w:id="1316"/>
    </w:p>
    <w:p w14:paraId="11B2B881">
      <w:pPr>
        <w:pStyle w:val="4"/>
        <w:spacing w:line="240" w:lineRule="auto"/>
        <w:rPr>
          <w:rFonts w:hint="eastAsia" w:ascii="宋体" w:hAnsi="宋体" w:eastAsia="宋体" w:cs="宋体"/>
          <w:b w:val="0"/>
          <w:bCs w:val="0"/>
          <w:color w:val="auto"/>
          <w:spacing w:val="0"/>
          <w:kern w:val="2"/>
          <w:position w:val="0"/>
          <w:sz w:val="24"/>
          <w:szCs w:val="24"/>
          <w:highlight w:val="none"/>
          <w:u w:val="none"/>
          <w:lang w:val="en-US" w:eastAsia="zh-CN" w:bidi="ar-SA"/>
        </w:rPr>
      </w:pPr>
      <w:bookmarkStart w:id="1317" w:name="_Toc18862"/>
      <w:r>
        <w:rPr>
          <w:rFonts w:hint="eastAsia" w:ascii="宋体" w:hAnsi="宋体" w:eastAsia="宋体" w:cs="宋体"/>
          <w:b w:val="0"/>
          <w:bCs w:val="0"/>
          <w:color w:val="auto"/>
          <w:spacing w:val="0"/>
          <w:kern w:val="2"/>
          <w:position w:val="0"/>
          <w:sz w:val="24"/>
          <w:szCs w:val="24"/>
          <w:highlight w:val="none"/>
          <w:u w:val="none"/>
          <w:lang w:val="en-US" w:eastAsia="zh-CN" w:bidi="ar-SA"/>
        </w:rPr>
        <w:t>3.总说明</w:t>
      </w:r>
      <w:bookmarkEnd w:id="1317"/>
    </w:p>
    <w:p w14:paraId="7EFBA31E">
      <w:pPr>
        <w:pStyle w:val="4"/>
        <w:spacing w:line="240" w:lineRule="auto"/>
        <w:rPr>
          <w:rFonts w:hint="eastAsia" w:ascii="宋体" w:hAnsi="宋体" w:eastAsia="宋体" w:cs="宋体"/>
          <w:b w:val="0"/>
          <w:bCs w:val="0"/>
          <w:color w:val="auto"/>
          <w:spacing w:val="0"/>
          <w:kern w:val="2"/>
          <w:position w:val="0"/>
          <w:sz w:val="24"/>
          <w:szCs w:val="24"/>
          <w:highlight w:val="none"/>
          <w:u w:val="none"/>
          <w:lang w:val="en-US" w:eastAsia="zh-CN" w:bidi="ar-SA"/>
        </w:rPr>
      </w:pPr>
      <w:bookmarkStart w:id="1318" w:name="_Toc26785"/>
      <w:r>
        <w:rPr>
          <w:rFonts w:hint="eastAsia" w:ascii="宋体" w:hAnsi="宋体" w:eastAsia="宋体" w:cs="宋体"/>
          <w:b w:val="0"/>
          <w:bCs w:val="0"/>
          <w:color w:val="auto"/>
          <w:spacing w:val="0"/>
          <w:kern w:val="2"/>
          <w:position w:val="0"/>
          <w:sz w:val="24"/>
          <w:szCs w:val="24"/>
          <w:highlight w:val="none"/>
          <w:u w:val="none"/>
          <w:lang w:val="en-US" w:eastAsia="zh-CN" w:bidi="ar-SA"/>
        </w:rPr>
        <w:t>4.建设项目投标报价汇总表</w:t>
      </w:r>
      <w:bookmarkEnd w:id="1318"/>
    </w:p>
    <w:p w14:paraId="19FDB107">
      <w:pPr>
        <w:pStyle w:val="4"/>
        <w:spacing w:line="240" w:lineRule="auto"/>
        <w:rPr>
          <w:rFonts w:hint="eastAsia" w:ascii="宋体" w:hAnsi="宋体" w:eastAsia="宋体" w:cs="宋体"/>
          <w:b w:val="0"/>
          <w:bCs w:val="0"/>
          <w:color w:val="auto"/>
          <w:spacing w:val="0"/>
          <w:kern w:val="2"/>
          <w:position w:val="0"/>
          <w:sz w:val="24"/>
          <w:szCs w:val="24"/>
          <w:highlight w:val="none"/>
          <w:u w:val="none"/>
          <w:lang w:val="en-US" w:eastAsia="zh-CN" w:bidi="ar-SA"/>
        </w:rPr>
      </w:pPr>
      <w:bookmarkStart w:id="1319" w:name="_Toc32063"/>
      <w:r>
        <w:rPr>
          <w:rFonts w:hint="eastAsia" w:ascii="宋体" w:hAnsi="宋体" w:eastAsia="宋体" w:cs="宋体"/>
          <w:b w:val="0"/>
          <w:bCs w:val="0"/>
          <w:color w:val="auto"/>
          <w:spacing w:val="0"/>
          <w:kern w:val="2"/>
          <w:position w:val="0"/>
          <w:sz w:val="24"/>
          <w:szCs w:val="24"/>
          <w:highlight w:val="none"/>
          <w:u w:val="none"/>
          <w:lang w:val="en-US" w:eastAsia="zh-CN" w:bidi="ar-SA"/>
        </w:rPr>
        <w:t>5.单项工程投标报价汇总表</w:t>
      </w:r>
      <w:bookmarkEnd w:id="1319"/>
    </w:p>
    <w:p w14:paraId="273E77E3">
      <w:pPr>
        <w:pStyle w:val="4"/>
        <w:spacing w:line="240" w:lineRule="auto"/>
        <w:rPr>
          <w:rFonts w:hint="eastAsia" w:ascii="宋体" w:hAnsi="宋体" w:eastAsia="宋体" w:cs="宋体"/>
          <w:b w:val="0"/>
          <w:bCs w:val="0"/>
          <w:color w:val="auto"/>
          <w:spacing w:val="0"/>
          <w:kern w:val="2"/>
          <w:position w:val="0"/>
          <w:sz w:val="24"/>
          <w:szCs w:val="24"/>
          <w:highlight w:val="none"/>
          <w:u w:val="none"/>
          <w:lang w:val="en-US" w:eastAsia="zh-CN" w:bidi="ar-SA"/>
        </w:rPr>
      </w:pPr>
      <w:bookmarkStart w:id="1320" w:name="_Toc12469"/>
      <w:r>
        <w:rPr>
          <w:rFonts w:hint="eastAsia" w:ascii="宋体" w:hAnsi="宋体" w:eastAsia="宋体" w:cs="宋体"/>
          <w:b w:val="0"/>
          <w:bCs w:val="0"/>
          <w:color w:val="auto"/>
          <w:spacing w:val="0"/>
          <w:kern w:val="2"/>
          <w:position w:val="0"/>
          <w:sz w:val="24"/>
          <w:szCs w:val="24"/>
          <w:highlight w:val="none"/>
          <w:u w:val="none"/>
          <w:lang w:val="en-US" w:eastAsia="zh-CN" w:bidi="ar-SA"/>
        </w:rPr>
        <w:t>6.单位工程投标报价汇总表</w:t>
      </w:r>
      <w:bookmarkEnd w:id="1320"/>
    </w:p>
    <w:p w14:paraId="16049E17">
      <w:pPr>
        <w:pStyle w:val="4"/>
        <w:spacing w:line="240" w:lineRule="auto"/>
        <w:rPr>
          <w:rFonts w:hint="eastAsia" w:ascii="宋体" w:hAnsi="宋体" w:eastAsia="宋体" w:cs="宋体"/>
          <w:b w:val="0"/>
          <w:bCs w:val="0"/>
          <w:color w:val="auto"/>
          <w:spacing w:val="0"/>
          <w:kern w:val="2"/>
          <w:position w:val="0"/>
          <w:sz w:val="24"/>
          <w:szCs w:val="24"/>
          <w:highlight w:val="none"/>
          <w:u w:val="none"/>
          <w:lang w:val="en-US" w:eastAsia="zh-CN" w:bidi="ar-SA"/>
        </w:rPr>
      </w:pPr>
      <w:bookmarkStart w:id="1321" w:name="_Toc12630"/>
      <w:r>
        <w:rPr>
          <w:rFonts w:hint="eastAsia" w:ascii="宋体" w:hAnsi="宋体" w:eastAsia="宋体" w:cs="宋体"/>
          <w:b w:val="0"/>
          <w:bCs w:val="0"/>
          <w:color w:val="auto"/>
          <w:spacing w:val="0"/>
          <w:kern w:val="2"/>
          <w:position w:val="0"/>
          <w:sz w:val="24"/>
          <w:szCs w:val="24"/>
          <w:highlight w:val="none"/>
          <w:u w:val="none"/>
          <w:lang w:val="en-US" w:eastAsia="zh-CN" w:bidi="ar-SA"/>
        </w:rPr>
        <w:t>7.分部分项工程和单价措施项目清单与计价表</w:t>
      </w:r>
      <w:bookmarkEnd w:id="1321"/>
    </w:p>
    <w:p w14:paraId="23490170">
      <w:pPr>
        <w:pStyle w:val="4"/>
        <w:spacing w:line="240" w:lineRule="auto"/>
        <w:rPr>
          <w:rFonts w:hint="eastAsia" w:ascii="宋体" w:hAnsi="宋体" w:eastAsia="宋体" w:cs="宋体"/>
          <w:b w:val="0"/>
          <w:bCs w:val="0"/>
          <w:color w:val="auto"/>
          <w:spacing w:val="0"/>
          <w:kern w:val="2"/>
          <w:position w:val="0"/>
          <w:sz w:val="24"/>
          <w:szCs w:val="24"/>
          <w:highlight w:val="none"/>
          <w:u w:val="none"/>
          <w:lang w:val="en-US" w:eastAsia="zh-CN" w:bidi="ar-SA"/>
        </w:rPr>
      </w:pPr>
      <w:bookmarkStart w:id="1322" w:name="_Toc20889"/>
      <w:r>
        <w:rPr>
          <w:rFonts w:hint="eastAsia" w:ascii="宋体" w:hAnsi="宋体" w:eastAsia="宋体" w:cs="宋体"/>
          <w:b w:val="0"/>
          <w:bCs w:val="0"/>
          <w:color w:val="auto"/>
          <w:spacing w:val="0"/>
          <w:kern w:val="2"/>
          <w:position w:val="0"/>
          <w:sz w:val="24"/>
          <w:szCs w:val="24"/>
          <w:highlight w:val="none"/>
          <w:u w:val="none"/>
          <w:lang w:val="en-US" w:eastAsia="zh-CN" w:bidi="ar-SA"/>
        </w:rPr>
        <w:t>8.综合单价分析表</w:t>
      </w:r>
      <w:bookmarkEnd w:id="1322"/>
    </w:p>
    <w:p w14:paraId="384AFA1E">
      <w:pPr>
        <w:pStyle w:val="4"/>
        <w:spacing w:line="240" w:lineRule="auto"/>
        <w:rPr>
          <w:rFonts w:hint="eastAsia" w:ascii="宋体" w:hAnsi="宋体" w:eastAsia="宋体" w:cs="宋体"/>
          <w:b w:val="0"/>
          <w:bCs w:val="0"/>
          <w:color w:val="auto"/>
          <w:spacing w:val="0"/>
          <w:kern w:val="2"/>
          <w:position w:val="0"/>
          <w:sz w:val="24"/>
          <w:szCs w:val="24"/>
          <w:highlight w:val="none"/>
          <w:u w:val="none"/>
          <w:lang w:val="en-US" w:eastAsia="zh-CN" w:bidi="ar-SA"/>
        </w:rPr>
      </w:pPr>
      <w:bookmarkStart w:id="1323" w:name="_Toc28875"/>
      <w:r>
        <w:rPr>
          <w:rFonts w:hint="eastAsia" w:ascii="宋体" w:hAnsi="宋体" w:eastAsia="宋体" w:cs="宋体"/>
          <w:b w:val="0"/>
          <w:bCs w:val="0"/>
          <w:color w:val="auto"/>
          <w:spacing w:val="0"/>
          <w:kern w:val="2"/>
          <w:position w:val="0"/>
          <w:sz w:val="24"/>
          <w:szCs w:val="24"/>
          <w:highlight w:val="none"/>
          <w:u w:val="none"/>
          <w:lang w:val="en-US" w:eastAsia="zh-CN" w:bidi="ar-SA"/>
        </w:rPr>
        <w:t>9.总价措施项目清单与计价表</w:t>
      </w:r>
      <w:bookmarkEnd w:id="1323"/>
    </w:p>
    <w:p w14:paraId="2C76670F">
      <w:pPr>
        <w:pStyle w:val="4"/>
        <w:spacing w:line="240" w:lineRule="auto"/>
        <w:rPr>
          <w:rFonts w:hint="eastAsia" w:ascii="宋体" w:hAnsi="宋体" w:eastAsia="宋体" w:cs="宋体"/>
          <w:b w:val="0"/>
          <w:bCs w:val="0"/>
          <w:color w:val="auto"/>
          <w:spacing w:val="0"/>
          <w:kern w:val="2"/>
          <w:position w:val="0"/>
          <w:sz w:val="24"/>
          <w:szCs w:val="24"/>
          <w:highlight w:val="none"/>
          <w:u w:val="none"/>
          <w:lang w:val="en-US" w:eastAsia="zh-CN" w:bidi="ar-SA"/>
        </w:rPr>
      </w:pPr>
      <w:bookmarkStart w:id="1324" w:name="_Toc8178"/>
      <w:r>
        <w:rPr>
          <w:rFonts w:hint="eastAsia" w:ascii="宋体" w:hAnsi="宋体" w:eastAsia="宋体" w:cs="宋体"/>
          <w:b w:val="0"/>
          <w:bCs w:val="0"/>
          <w:color w:val="auto"/>
          <w:spacing w:val="0"/>
          <w:kern w:val="2"/>
          <w:position w:val="0"/>
          <w:sz w:val="24"/>
          <w:szCs w:val="24"/>
          <w:highlight w:val="none"/>
          <w:u w:val="none"/>
          <w:lang w:val="en-US" w:eastAsia="zh-CN" w:bidi="ar-SA"/>
        </w:rPr>
        <w:t>10.其他项目清单与计价汇总表</w:t>
      </w:r>
      <w:bookmarkEnd w:id="1324"/>
    </w:p>
    <w:p w14:paraId="63DC3D83">
      <w:pPr>
        <w:pStyle w:val="4"/>
        <w:spacing w:line="240" w:lineRule="auto"/>
        <w:rPr>
          <w:rFonts w:hint="eastAsia" w:ascii="宋体" w:hAnsi="宋体" w:eastAsia="宋体" w:cs="宋体"/>
          <w:b w:val="0"/>
          <w:bCs w:val="0"/>
          <w:color w:val="auto"/>
          <w:spacing w:val="0"/>
          <w:kern w:val="2"/>
          <w:position w:val="0"/>
          <w:sz w:val="24"/>
          <w:szCs w:val="24"/>
          <w:highlight w:val="none"/>
          <w:u w:val="none"/>
          <w:lang w:val="en-US" w:eastAsia="zh-CN" w:bidi="ar-SA"/>
        </w:rPr>
      </w:pPr>
      <w:bookmarkStart w:id="1325" w:name="_Toc1588"/>
      <w:r>
        <w:rPr>
          <w:rFonts w:hint="eastAsia" w:ascii="宋体" w:hAnsi="宋体" w:eastAsia="宋体" w:cs="宋体"/>
          <w:b w:val="0"/>
          <w:bCs w:val="0"/>
          <w:color w:val="auto"/>
          <w:spacing w:val="0"/>
          <w:kern w:val="2"/>
          <w:position w:val="0"/>
          <w:sz w:val="24"/>
          <w:szCs w:val="24"/>
          <w:highlight w:val="none"/>
          <w:u w:val="none"/>
          <w:lang w:val="en-US" w:eastAsia="zh-CN" w:bidi="ar-SA"/>
        </w:rPr>
        <w:t>10.1 暂列金额明细表</w:t>
      </w:r>
      <w:bookmarkEnd w:id="1325"/>
    </w:p>
    <w:p w14:paraId="37E11D7B">
      <w:pPr>
        <w:pStyle w:val="4"/>
        <w:spacing w:line="240" w:lineRule="auto"/>
        <w:rPr>
          <w:rFonts w:hint="eastAsia" w:ascii="宋体" w:hAnsi="宋体" w:eastAsia="宋体" w:cs="宋体"/>
          <w:b w:val="0"/>
          <w:bCs w:val="0"/>
          <w:color w:val="auto"/>
          <w:spacing w:val="0"/>
          <w:kern w:val="2"/>
          <w:position w:val="0"/>
          <w:sz w:val="24"/>
          <w:szCs w:val="24"/>
          <w:highlight w:val="none"/>
          <w:u w:val="none"/>
          <w:lang w:val="en-US" w:eastAsia="zh-CN" w:bidi="ar-SA"/>
        </w:rPr>
      </w:pPr>
      <w:bookmarkStart w:id="1326" w:name="_Toc27258"/>
      <w:r>
        <w:rPr>
          <w:rFonts w:hint="eastAsia" w:ascii="宋体" w:hAnsi="宋体" w:eastAsia="宋体" w:cs="宋体"/>
          <w:b w:val="0"/>
          <w:bCs w:val="0"/>
          <w:color w:val="auto"/>
          <w:spacing w:val="0"/>
          <w:kern w:val="2"/>
          <w:position w:val="0"/>
          <w:sz w:val="24"/>
          <w:szCs w:val="24"/>
          <w:highlight w:val="none"/>
          <w:u w:val="none"/>
          <w:lang w:val="en-US" w:eastAsia="zh-CN" w:bidi="ar-SA"/>
        </w:rPr>
        <w:t>10.2 材料(工程设备)暂估单价及调整表</w:t>
      </w:r>
      <w:bookmarkEnd w:id="1326"/>
    </w:p>
    <w:p w14:paraId="2434E1D8">
      <w:pPr>
        <w:pStyle w:val="4"/>
        <w:spacing w:line="240" w:lineRule="auto"/>
        <w:rPr>
          <w:rFonts w:hint="eastAsia" w:ascii="宋体" w:hAnsi="宋体" w:eastAsia="宋体" w:cs="宋体"/>
          <w:b w:val="0"/>
          <w:bCs w:val="0"/>
          <w:color w:val="auto"/>
          <w:spacing w:val="0"/>
          <w:kern w:val="2"/>
          <w:position w:val="0"/>
          <w:sz w:val="24"/>
          <w:szCs w:val="24"/>
          <w:highlight w:val="none"/>
          <w:u w:val="none"/>
          <w:lang w:val="en-US" w:eastAsia="zh-CN" w:bidi="ar-SA"/>
        </w:rPr>
      </w:pPr>
      <w:bookmarkStart w:id="1327" w:name="_Toc25076"/>
      <w:r>
        <w:rPr>
          <w:rFonts w:hint="eastAsia" w:ascii="宋体" w:hAnsi="宋体" w:eastAsia="宋体" w:cs="宋体"/>
          <w:b w:val="0"/>
          <w:bCs w:val="0"/>
          <w:color w:val="auto"/>
          <w:spacing w:val="0"/>
          <w:kern w:val="2"/>
          <w:position w:val="0"/>
          <w:sz w:val="24"/>
          <w:szCs w:val="24"/>
          <w:highlight w:val="none"/>
          <w:u w:val="none"/>
          <w:lang w:val="en-US" w:eastAsia="zh-CN" w:bidi="ar-SA"/>
        </w:rPr>
        <w:t>10.3 专业工程暂估价及结算价表</w:t>
      </w:r>
      <w:bookmarkEnd w:id="1327"/>
    </w:p>
    <w:p w14:paraId="385198AE">
      <w:pPr>
        <w:pStyle w:val="4"/>
        <w:spacing w:line="240" w:lineRule="auto"/>
        <w:rPr>
          <w:rFonts w:hint="eastAsia" w:ascii="宋体" w:hAnsi="宋体" w:eastAsia="宋体" w:cs="宋体"/>
          <w:b w:val="0"/>
          <w:bCs w:val="0"/>
          <w:color w:val="auto"/>
          <w:spacing w:val="0"/>
          <w:kern w:val="2"/>
          <w:position w:val="0"/>
          <w:sz w:val="24"/>
          <w:szCs w:val="24"/>
          <w:highlight w:val="none"/>
          <w:u w:val="none"/>
          <w:lang w:val="en-US" w:eastAsia="zh-CN" w:bidi="ar-SA"/>
        </w:rPr>
      </w:pPr>
      <w:bookmarkStart w:id="1328" w:name="_Toc4687"/>
      <w:r>
        <w:rPr>
          <w:rFonts w:hint="eastAsia" w:ascii="宋体" w:hAnsi="宋体" w:eastAsia="宋体" w:cs="宋体"/>
          <w:b w:val="0"/>
          <w:bCs w:val="0"/>
          <w:color w:val="auto"/>
          <w:spacing w:val="0"/>
          <w:kern w:val="2"/>
          <w:position w:val="0"/>
          <w:sz w:val="24"/>
          <w:szCs w:val="24"/>
          <w:highlight w:val="none"/>
          <w:u w:val="none"/>
          <w:lang w:val="en-US" w:eastAsia="zh-CN" w:bidi="ar-SA"/>
        </w:rPr>
        <w:t>10.4 计日工表</w:t>
      </w:r>
      <w:bookmarkEnd w:id="1328"/>
    </w:p>
    <w:p w14:paraId="62FD2DB5">
      <w:pPr>
        <w:pStyle w:val="4"/>
        <w:spacing w:line="240" w:lineRule="auto"/>
        <w:rPr>
          <w:rFonts w:hint="eastAsia" w:ascii="宋体" w:hAnsi="宋体" w:eastAsia="宋体" w:cs="宋体"/>
          <w:b w:val="0"/>
          <w:bCs w:val="0"/>
          <w:color w:val="auto"/>
          <w:spacing w:val="0"/>
          <w:kern w:val="2"/>
          <w:position w:val="0"/>
          <w:sz w:val="24"/>
          <w:szCs w:val="24"/>
          <w:highlight w:val="none"/>
          <w:u w:val="none"/>
          <w:lang w:val="en-US" w:eastAsia="zh-CN" w:bidi="ar-SA"/>
        </w:rPr>
      </w:pPr>
      <w:bookmarkStart w:id="1329" w:name="_Toc29140"/>
      <w:r>
        <w:rPr>
          <w:rFonts w:hint="eastAsia" w:ascii="宋体" w:hAnsi="宋体" w:eastAsia="宋体" w:cs="宋体"/>
          <w:b w:val="0"/>
          <w:bCs w:val="0"/>
          <w:color w:val="auto"/>
          <w:spacing w:val="0"/>
          <w:kern w:val="2"/>
          <w:position w:val="0"/>
          <w:sz w:val="24"/>
          <w:szCs w:val="24"/>
          <w:highlight w:val="none"/>
          <w:u w:val="none"/>
          <w:lang w:val="en-US" w:eastAsia="zh-CN" w:bidi="ar-SA"/>
        </w:rPr>
        <w:t>10.5 总承包服务费计价表</w:t>
      </w:r>
      <w:bookmarkEnd w:id="1329"/>
    </w:p>
    <w:p w14:paraId="6EC7972A">
      <w:pPr>
        <w:pStyle w:val="4"/>
        <w:spacing w:line="240" w:lineRule="auto"/>
        <w:rPr>
          <w:rFonts w:hint="eastAsia" w:ascii="宋体" w:hAnsi="宋体" w:eastAsia="宋体" w:cs="宋体"/>
          <w:b w:val="0"/>
          <w:bCs w:val="0"/>
          <w:color w:val="auto"/>
          <w:spacing w:val="0"/>
          <w:kern w:val="2"/>
          <w:position w:val="0"/>
          <w:sz w:val="24"/>
          <w:szCs w:val="24"/>
          <w:highlight w:val="none"/>
          <w:u w:val="none"/>
          <w:lang w:val="en-US" w:eastAsia="zh-CN" w:bidi="ar-SA"/>
        </w:rPr>
      </w:pPr>
      <w:bookmarkStart w:id="1330" w:name="_Toc8882"/>
      <w:r>
        <w:rPr>
          <w:rFonts w:hint="eastAsia" w:ascii="宋体" w:hAnsi="宋体" w:eastAsia="宋体" w:cs="宋体"/>
          <w:b w:val="0"/>
          <w:bCs w:val="0"/>
          <w:color w:val="auto"/>
          <w:spacing w:val="0"/>
          <w:kern w:val="2"/>
          <w:position w:val="0"/>
          <w:sz w:val="24"/>
          <w:szCs w:val="24"/>
          <w:highlight w:val="none"/>
          <w:u w:val="none"/>
          <w:lang w:val="en-US" w:eastAsia="zh-CN" w:bidi="ar-SA"/>
        </w:rPr>
        <w:t>11 规费、税金项目计价表</w:t>
      </w:r>
      <w:bookmarkEnd w:id="1330"/>
    </w:p>
    <w:p w14:paraId="3BA10969">
      <w:pPr>
        <w:pStyle w:val="4"/>
        <w:spacing w:line="240" w:lineRule="auto"/>
        <w:rPr>
          <w:rFonts w:hint="eastAsia" w:ascii="宋体" w:hAnsi="宋体" w:eastAsia="宋体" w:cs="宋体"/>
          <w:b w:val="0"/>
          <w:bCs w:val="0"/>
          <w:color w:val="auto"/>
          <w:spacing w:val="0"/>
          <w:kern w:val="2"/>
          <w:position w:val="0"/>
          <w:sz w:val="24"/>
          <w:szCs w:val="24"/>
          <w:highlight w:val="none"/>
          <w:u w:val="none"/>
          <w:lang w:val="en-US" w:eastAsia="zh-CN" w:bidi="ar-SA"/>
        </w:rPr>
      </w:pPr>
      <w:bookmarkStart w:id="1331" w:name="_Toc32324"/>
      <w:r>
        <w:rPr>
          <w:rFonts w:hint="eastAsia" w:ascii="宋体" w:hAnsi="宋体" w:eastAsia="宋体" w:cs="宋体"/>
          <w:b w:val="0"/>
          <w:bCs w:val="0"/>
          <w:color w:val="auto"/>
          <w:spacing w:val="0"/>
          <w:kern w:val="2"/>
          <w:position w:val="0"/>
          <w:sz w:val="24"/>
          <w:szCs w:val="24"/>
          <w:highlight w:val="none"/>
          <w:u w:val="none"/>
          <w:lang w:val="en-US" w:eastAsia="zh-CN" w:bidi="ar-SA"/>
        </w:rPr>
        <w:t>12 扬尘污染防治措施增加费计取明细表计价表（单独提供的清单中，若有则提供，</w:t>
      </w:r>
      <w:bookmarkEnd w:id="1331"/>
    </w:p>
    <w:p w14:paraId="3F767C06">
      <w:pPr>
        <w:pStyle w:val="4"/>
        <w:spacing w:line="240" w:lineRule="auto"/>
        <w:rPr>
          <w:rFonts w:hint="eastAsia" w:ascii="宋体" w:hAnsi="宋体" w:eastAsia="宋体" w:cs="宋体"/>
          <w:b w:val="0"/>
          <w:bCs w:val="0"/>
          <w:color w:val="auto"/>
          <w:spacing w:val="0"/>
          <w:kern w:val="2"/>
          <w:position w:val="0"/>
          <w:sz w:val="24"/>
          <w:szCs w:val="24"/>
          <w:highlight w:val="none"/>
          <w:u w:val="none"/>
          <w:lang w:val="en-US" w:eastAsia="zh-CN" w:bidi="ar-SA"/>
        </w:rPr>
      </w:pPr>
      <w:bookmarkStart w:id="1332" w:name="_Toc19391"/>
      <w:r>
        <w:rPr>
          <w:rFonts w:hint="eastAsia" w:ascii="宋体" w:hAnsi="宋体" w:eastAsia="宋体" w:cs="宋体"/>
          <w:b w:val="0"/>
          <w:bCs w:val="0"/>
          <w:color w:val="auto"/>
          <w:spacing w:val="0"/>
          <w:kern w:val="2"/>
          <w:position w:val="0"/>
          <w:sz w:val="24"/>
          <w:szCs w:val="24"/>
          <w:highlight w:val="none"/>
          <w:u w:val="none"/>
          <w:lang w:val="en-US" w:eastAsia="zh-CN" w:bidi="ar-SA"/>
        </w:rPr>
        <w:t>若无可删除）</w:t>
      </w:r>
      <w:bookmarkEnd w:id="1332"/>
    </w:p>
    <w:p w14:paraId="377D4BD0">
      <w:pPr>
        <w:pStyle w:val="4"/>
        <w:spacing w:line="240" w:lineRule="auto"/>
        <w:rPr>
          <w:rFonts w:hint="eastAsia" w:ascii="宋体" w:hAnsi="宋体" w:eastAsia="宋体" w:cs="宋体"/>
          <w:b w:val="0"/>
          <w:bCs w:val="0"/>
          <w:color w:val="auto"/>
          <w:spacing w:val="0"/>
          <w:kern w:val="2"/>
          <w:position w:val="0"/>
          <w:sz w:val="24"/>
          <w:szCs w:val="24"/>
          <w:highlight w:val="none"/>
          <w:u w:val="none"/>
          <w:lang w:val="en-US" w:eastAsia="zh-CN" w:bidi="ar-SA"/>
        </w:rPr>
      </w:pPr>
      <w:bookmarkStart w:id="1333" w:name="_Toc688"/>
      <w:r>
        <w:rPr>
          <w:rFonts w:hint="eastAsia" w:ascii="宋体" w:hAnsi="宋体" w:eastAsia="宋体" w:cs="宋体"/>
          <w:b w:val="0"/>
          <w:bCs w:val="0"/>
          <w:color w:val="auto"/>
          <w:spacing w:val="0"/>
          <w:kern w:val="2"/>
          <w:position w:val="0"/>
          <w:sz w:val="24"/>
          <w:szCs w:val="24"/>
          <w:highlight w:val="none"/>
          <w:u w:val="none"/>
          <w:lang w:val="en-US" w:eastAsia="zh-CN" w:bidi="ar-SA"/>
        </w:rPr>
        <w:t>13 发包人提供材料和工程设备一览表</w:t>
      </w:r>
      <w:bookmarkEnd w:id="1333"/>
    </w:p>
    <w:p w14:paraId="552BF7C0">
      <w:pPr>
        <w:pStyle w:val="4"/>
        <w:spacing w:line="240" w:lineRule="auto"/>
        <w:rPr>
          <w:rFonts w:hint="eastAsia" w:ascii="宋体" w:hAnsi="宋体" w:eastAsia="宋体" w:cs="宋体"/>
          <w:b w:val="0"/>
          <w:bCs w:val="0"/>
          <w:color w:val="auto"/>
          <w:spacing w:val="0"/>
          <w:kern w:val="2"/>
          <w:position w:val="0"/>
          <w:sz w:val="24"/>
          <w:szCs w:val="24"/>
          <w:highlight w:val="none"/>
          <w:u w:val="none"/>
          <w:lang w:val="en-US" w:eastAsia="zh-CN" w:bidi="ar-SA"/>
        </w:rPr>
      </w:pPr>
      <w:bookmarkStart w:id="1334" w:name="_Toc32741"/>
      <w:r>
        <w:rPr>
          <w:rFonts w:hint="eastAsia" w:ascii="宋体" w:hAnsi="宋体" w:eastAsia="宋体" w:cs="宋体"/>
          <w:b w:val="0"/>
          <w:bCs w:val="0"/>
          <w:color w:val="auto"/>
          <w:spacing w:val="0"/>
          <w:kern w:val="2"/>
          <w:position w:val="0"/>
          <w:sz w:val="24"/>
          <w:szCs w:val="24"/>
          <w:highlight w:val="none"/>
          <w:u w:val="none"/>
          <w:lang w:val="en-US" w:eastAsia="zh-CN" w:bidi="ar-SA"/>
        </w:rPr>
        <w:t>14 承包人提供主要材料和工程设备一览表</w:t>
      </w:r>
      <w:bookmarkEnd w:id="1334"/>
    </w:p>
    <w:p w14:paraId="34C90C9D">
      <w:pPr>
        <w:rPr>
          <w:rFonts w:hint="eastAsia" w:ascii="宋体" w:hAnsi="宋体" w:eastAsia="宋体" w:cs="宋体"/>
          <w:b w:val="0"/>
          <w:bCs w:val="0"/>
          <w:color w:val="auto"/>
          <w:spacing w:val="0"/>
          <w:kern w:val="2"/>
          <w:position w:val="0"/>
          <w:sz w:val="24"/>
          <w:szCs w:val="24"/>
          <w:highlight w:val="none"/>
          <w:u w:val="none"/>
          <w:lang w:val="en-US" w:eastAsia="zh-CN" w:bidi="ar-SA"/>
        </w:rPr>
      </w:pPr>
      <w:r>
        <w:rPr>
          <w:rFonts w:hint="eastAsia" w:ascii="宋体" w:hAnsi="宋体" w:eastAsia="宋体" w:cs="宋体"/>
          <w:b w:val="0"/>
          <w:bCs w:val="0"/>
          <w:color w:val="auto"/>
          <w:spacing w:val="0"/>
          <w:kern w:val="2"/>
          <w:position w:val="0"/>
          <w:sz w:val="24"/>
          <w:szCs w:val="24"/>
          <w:highlight w:val="none"/>
          <w:u w:val="none"/>
          <w:lang w:val="en-US" w:eastAsia="zh-CN" w:bidi="ar-SA"/>
        </w:rPr>
        <w:br w:type="page"/>
      </w:r>
    </w:p>
    <w:p w14:paraId="2CC6FAE6">
      <w:pPr>
        <w:keepNext w:val="0"/>
        <w:keepLines w:val="0"/>
        <w:pageBreakBefore w:val="0"/>
        <w:widowControl/>
        <w:suppressLineNumbers w:val="0"/>
        <w:kinsoku/>
        <w:wordWrap/>
        <w:overflowPunct/>
        <w:topLinePunct w:val="0"/>
        <w:autoSpaceDE/>
        <w:autoSpaceDN/>
        <w:bidi w:val="0"/>
        <w:adjustRightInd/>
        <w:snapToGrid/>
        <w:spacing w:before="157" w:beforeLines="50" w:after="313" w:afterLines="100"/>
        <w:jc w:val="center"/>
        <w:textAlignment w:val="auto"/>
        <w:rPr>
          <w:rFonts w:hint="eastAsia" w:ascii="黑体" w:hAnsi="黑体" w:eastAsia="黑体" w:cs="黑体"/>
          <w:color w:val="000000"/>
          <w:kern w:val="0"/>
          <w:sz w:val="36"/>
          <w:szCs w:val="36"/>
          <w:highlight w:val="none"/>
          <w:lang w:val="en-US" w:eastAsia="zh-CN" w:bidi="ar"/>
        </w:rPr>
      </w:pPr>
      <w:r>
        <w:rPr>
          <w:rFonts w:hint="eastAsia" w:ascii="黑体" w:hAnsi="黑体" w:eastAsia="黑体" w:cs="黑体"/>
          <w:color w:val="000000"/>
          <w:kern w:val="0"/>
          <w:sz w:val="36"/>
          <w:szCs w:val="36"/>
          <w:highlight w:val="none"/>
          <w:lang w:val="en-US" w:eastAsia="zh-CN" w:bidi="ar"/>
        </w:rPr>
        <w:t>磋商总报价</w:t>
      </w:r>
    </w:p>
    <w:p w14:paraId="450679A0">
      <w:pPr>
        <w:pStyle w:val="4"/>
        <w:pageBreakBefore w:val="0"/>
        <w:kinsoku/>
        <w:wordWrap/>
        <w:overflowPunct/>
        <w:topLinePunct w:val="0"/>
        <w:autoSpaceDE/>
        <w:autoSpaceDN/>
        <w:bidi w:val="0"/>
        <w:adjustRightInd/>
        <w:snapToGrid/>
        <w:spacing w:before="157" w:beforeLines="50" w:after="313" w:afterLines="100"/>
        <w:textAlignment w:val="auto"/>
        <w:rPr>
          <w:highlight w:val="none"/>
        </w:rPr>
      </w:pPr>
    </w:p>
    <w:p w14:paraId="65C862B8">
      <w:pPr>
        <w:pStyle w:val="4"/>
        <w:pageBreakBefore w:val="0"/>
        <w:kinsoku/>
        <w:wordWrap/>
        <w:overflowPunct/>
        <w:topLinePunct w:val="0"/>
        <w:autoSpaceDE/>
        <w:autoSpaceDN/>
        <w:bidi w:val="0"/>
        <w:adjustRightInd/>
        <w:snapToGrid/>
        <w:spacing w:before="157" w:beforeLines="50" w:after="313" w:afterLines="100" w:line="240" w:lineRule="auto"/>
        <w:textAlignment w:val="auto"/>
        <w:rPr>
          <w:rFonts w:hint="eastAsia" w:ascii="宋体" w:hAnsi="宋体" w:eastAsia="宋体" w:cs="宋体"/>
          <w:b w:val="0"/>
          <w:bCs w:val="0"/>
          <w:color w:val="auto"/>
          <w:spacing w:val="0"/>
          <w:kern w:val="2"/>
          <w:position w:val="0"/>
          <w:sz w:val="24"/>
          <w:szCs w:val="24"/>
          <w:highlight w:val="none"/>
          <w:u w:val="single"/>
          <w:lang w:val="en-US" w:eastAsia="zh-CN" w:bidi="ar-SA"/>
        </w:rPr>
      </w:pPr>
      <w:bookmarkStart w:id="1335" w:name="_Toc24986"/>
      <w:r>
        <w:rPr>
          <w:rFonts w:hint="eastAsia" w:ascii="宋体" w:hAnsi="宋体" w:eastAsia="宋体" w:cs="宋体"/>
          <w:b w:val="0"/>
          <w:bCs w:val="0"/>
          <w:color w:val="auto"/>
          <w:spacing w:val="0"/>
          <w:kern w:val="2"/>
          <w:position w:val="0"/>
          <w:sz w:val="24"/>
          <w:szCs w:val="24"/>
          <w:highlight w:val="none"/>
          <w:u w:val="none"/>
          <w:lang w:val="en-US" w:eastAsia="zh-CN" w:bidi="ar-SA"/>
        </w:rPr>
        <w:t>采购人：</w:t>
      </w:r>
      <w:bookmarkEnd w:id="1335"/>
      <w:r>
        <w:rPr>
          <w:rFonts w:hint="eastAsia" w:ascii="宋体" w:hAnsi="宋体" w:eastAsia="宋体" w:cs="宋体"/>
          <w:b w:val="0"/>
          <w:bCs w:val="0"/>
          <w:color w:val="auto"/>
          <w:spacing w:val="0"/>
          <w:kern w:val="2"/>
          <w:position w:val="0"/>
          <w:sz w:val="24"/>
          <w:szCs w:val="24"/>
          <w:highlight w:val="none"/>
          <w:u w:val="single"/>
          <w:lang w:val="en-US" w:eastAsia="zh-CN" w:bidi="ar-SA"/>
        </w:rPr>
        <w:t xml:space="preserve">                                                         </w:t>
      </w:r>
    </w:p>
    <w:p w14:paraId="508BA71F">
      <w:pPr>
        <w:pStyle w:val="4"/>
        <w:pageBreakBefore w:val="0"/>
        <w:kinsoku/>
        <w:wordWrap/>
        <w:overflowPunct/>
        <w:topLinePunct w:val="0"/>
        <w:autoSpaceDE/>
        <w:autoSpaceDN/>
        <w:bidi w:val="0"/>
        <w:adjustRightInd/>
        <w:snapToGrid/>
        <w:spacing w:before="157" w:beforeLines="50" w:after="313" w:afterLines="100" w:line="240" w:lineRule="auto"/>
        <w:textAlignment w:val="auto"/>
        <w:rPr>
          <w:rFonts w:hint="eastAsia" w:ascii="宋体" w:hAnsi="宋体" w:eastAsia="宋体" w:cs="宋体"/>
          <w:b w:val="0"/>
          <w:bCs w:val="0"/>
          <w:color w:val="auto"/>
          <w:spacing w:val="0"/>
          <w:kern w:val="2"/>
          <w:position w:val="0"/>
          <w:sz w:val="24"/>
          <w:szCs w:val="24"/>
          <w:highlight w:val="none"/>
          <w:u w:val="none"/>
          <w:lang w:val="en-US" w:eastAsia="zh-CN" w:bidi="ar-SA"/>
        </w:rPr>
      </w:pPr>
      <w:bookmarkStart w:id="1336" w:name="_Toc12844"/>
      <w:r>
        <w:rPr>
          <w:rFonts w:hint="eastAsia" w:ascii="宋体" w:hAnsi="宋体" w:eastAsia="宋体" w:cs="宋体"/>
          <w:b w:val="0"/>
          <w:bCs w:val="0"/>
          <w:color w:val="auto"/>
          <w:spacing w:val="0"/>
          <w:kern w:val="2"/>
          <w:position w:val="0"/>
          <w:sz w:val="24"/>
          <w:szCs w:val="24"/>
          <w:highlight w:val="none"/>
          <w:u w:val="none"/>
          <w:lang w:val="en-US" w:eastAsia="zh-CN" w:bidi="ar-SA"/>
        </w:rPr>
        <w:t>工程名称：</w:t>
      </w:r>
      <w:bookmarkEnd w:id="1336"/>
      <w:r>
        <w:rPr>
          <w:rFonts w:hint="eastAsia" w:ascii="宋体" w:hAnsi="宋体" w:eastAsia="宋体" w:cs="宋体"/>
          <w:b w:val="0"/>
          <w:bCs w:val="0"/>
          <w:color w:val="auto"/>
          <w:spacing w:val="0"/>
          <w:kern w:val="2"/>
          <w:position w:val="0"/>
          <w:sz w:val="24"/>
          <w:szCs w:val="24"/>
          <w:highlight w:val="none"/>
          <w:u w:val="single"/>
          <w:lang w:val="en-US" w:eastAsia="zh-CN" w:bidi="ar-SA"/>
        </w:rPr>
        <w:t xml:space="preserve">                                                       </w:t>
      </w:r>
      <w:r>
        <w:rPr>
          <w:rFonts w:hint="eastAsia" w:ascii="宋体" w:hAnsi="宋体" w:eastAsia="宋体" w:cs="宋体"/>
          <w:b w:val="0"/>
          <w:bCs w:val="0"/>
          <w:color w:val="auto"/>
          <w:spacing w:val="0"/>
          <w:kern w:val="2"/>
          <w:position w:val="0"/>
          <w:sz w:val="24"/>
          <w:szCs w:val="24"/>
          <w:highlight w:val="none"/>
          <w:u w:val="none"/>
          <w:lang w:val="en-US" w:eastAsia="zh-CN" w:bidi="ar-SA"/>
        </w:rPr>
        <w:t xml:space="preserve"> </w:t>
      </w:r>
    </w:p>
    <w:p w14:paraId="44B1F76D">
      <w:pPr>
        <w:pStyle w:val="4"/>
        <w:pageBreakBefore w:val="0"/>
        <w:kinsoku/>
        <w:wordWrap/>
        <w:overflowPunct/>
        <w:topLinePunct w:val="0"/>
        <w:autoSpaceDE/>
        <w:autoSpaceDN/>
        <w:bidi w:val="0"/>
        <w:adjustRightInd/>
        <w:snapToGrid/>
        <w:spacing w:before="157" w:beforeLines="50" w:after="313" w:afterLines="100" w:line="240" w:lineRule="auto"/>
        <w:textAlignment w:val="auto"/>
        <w:rPr>
          <w:rFonts w:hint="eastAsia" w:ascii="宋体" w:hAnsi="宋体" w:eastAsia="宋体" w:cs="宋体"/>
          <w:b w:val="0"/>
          <w:bCs w:val="0"/>
          <w:color w:val="auto"/>
          <w:spacing w:val="0"/>
          <w:kern w:val="2"/>
          <w:position w:val="0"/>
          <w:sz w:val="24"/>
          <w:szCs w:val="24"/>
          <w:highlight w:val="none"/>
          <w:u w:val="none"/>
          <w:lang w:val="en-US" w:eastAsia="zh-CN" w:bidi="ar-SA"/>
        </w:rPr>
      </w:pPr>
      <w:bookmarkStart w:id="1337" w:name="_Toc6737"/>
      <w:r>
        <w:rPr>
          <w:rFonts w:hint="eastAsia" w:ascii="宋体" w:hAnsi="宋体" w:eastAsia="宋体" w:cs="宋体"/>
          <w:b w:val="0"/>
          <w:bCs w:val="0"/>
          <w:color w:val="auto"/>
          <w:spacing w:val="0"/>
          <w:kern w:val="2"/>
          <w:position w:val="0"/>
          <w:sz w:val="24"/>
          <w:szCs w:val="24"/>
          <w:highlight w:val="none"/>
          <w:u w:val="none"/>
          <w:lang w:val="en-US" w:eastAsia="zh-CN" w:bidi="ar-SA"/>
        </w:rPr>
        <w:t>磋商总价（小写）：</w:t>
      </w:r>
      <w:bookmarkEnd w:id="1337"/>
      <w:r>
        <w:rPr>
          <w:rFonts w:hint="eastAsia" w:ascii="宋体" w:hAnsi="宋体" w:eastAsia="宋体" w:cs="宋体"/>
          <w:b w:val="0"/>
          <w:bCs w:val="0"/>
          <w:color w:val="auto"/>
          <w:spacing w:val="0"/>
          <w:kern w:val="2"/>
          <w:position w:val="0"/>
          <w:sz w:val="24"/>
          <w:szCs w:val="24"/>
          <w:highlight w:val="none"/>
          <w:u w:val="single"/>
          <w:lang w:val="en-US" w:eastAsia="zh-CN" w:bidi="ar-SA"/>
        </w:rPr>
        <w:t xml:space="preserve">                                               </w:t>
      </w:r>
      <w:r>
        <w:rPr>
          <w:rFonts w:hint="eastAsia" w:ascii="宋体" w:hAnsi="宋体" w:eastAsia="宋体" w:cs="宋体"/>
          <w:b w:val="0"/>
          <w:bCs w:val="0"/>
          <w:color w:val="auto"/>
          <w:spacing w:val="0"/>
          <w:kern w:val="2"/>
          <w:position w:val="0"/>
          <w:sz w:val="24"/>
          <w:szCs w:val="24"/>
          <w:highlight w:val="none"/>
          <w:u w:val="none"/>
          <w:lang w:val="en-US" w:eastAsia="zh-CN" w:bidi="ar-SA"/>
        </w:rPr>
        <w:t xml:space="preserve"> </w:t>
      </w:r>
    </w:p>
    <w:p w14:paraId="43418E74">
      <w:pPr>
        <w:pStyle w:val="4"/>
        <w:pageBreakBefore w:val="0"/>
        <w:kinsoku/>
        <w:wordWrap/>
        <w:overflowPunct/>
        <w:topLinePunct w:val="0"/>
        <w:autoSpaceDE/>
        <w:autoSpaceDN/>
        <w:bidi w:val="0"/>
        <w:adjustRightInd/>
        <w:snapToGrid/>
        <w:spacing w:before="157" w:beforeLines="50" w:after="313" w:afterLines="100" w:line="240" w:lineRule="auto"/>
        <w:ind w:firstLine="960" w:firstLineChars="400"/>
        <w:textAlignment w:val="auto"/>
        <w:rPr>
          <w:rFonts w:hint="eastAsia" w:ascii="宋体" w:hAnsi="宋体" w:eastAsia="宋体" w:cs="宋体"/>
          <w:b w:val="0"/>
          <w:bCs w:val="0"/>
          <w:color w:val="auto"/>
          <w:spacing w:val="0"/>
          <w:kern w:val="2"/>
          <w:position w:val="0"/>
          <w:sz w:val="24"/>
          <w:szCs w:val="24"/>
          <w:highlight w:val="none"/>
          <w:u w:val="single"/>
          <w:lang w:val="en-US" w:eastAsia="zh-CN" w:bidi="ar-SA"/>
        </w:rPr>
      </w:pPr>
      <w:bookmarkStart w:id="1338" w:name="_Toc25476"/>
      <w:r>
        <w:rPr>
          <w:rFonts w:hint="eastAsia" w:ascii="宋体" w:hAnsi="宋体" w:eastAsia="宋体" w:cs="宋体"/>
          <w:b w:val="0"/>
          <w:bCs w:val="0"/>
          <w:color w:val="auto"/>
          <w:spacing w:val="0"/>
          <w:kern w:val="2"/>
          <w:position w:val="0"/>
          <w:sz w:val="24"/>
          <w:szCs w:val="24"/>
          <w:highlight w:val="none"/>
          <w:u w:val="none"/>
          <w:lang w:val="en-US" w:eastAsia="zh-CN" w:bidi="ar-SA"/>
        </w:rPr>
        <w:t>（大写）：</w:t>
      </w:r>
      <w:bookmarkEnd w:id="1338"/>
      <w:r>
        <w:rPr>
          <w:rFonts w:hint="eastAsia" w:ascii="宋体" w:hAnsi="宋体" w:eastAsia="宋体" w:cs="宋体"/>
          <w:b w:val="0"/>
          <w:bCs w:val="0"/>
          <w:color w:val="auto"/>
          <w:spacing w:val="0"/>
          <w:kern w:val="2"/>
          <w:position w:val="0"/>
          <w:sz w:val="24"/>
          <w:szCs w:val="24"/>
          <w:highlight w:val="none"/>
          <w:u w:val="single"/>
          <w:lang w:val="en-US" w:eastAsia="zh-CN" w:bidi="ar-SA"/>
        </w:rPr>
        <w:t xml:space="preserve">                                               </w:t>
      </w:r>
    </w:p>
    <w:p w14:paraId="0B47F8E6">
      <w:pPr>
        <w:pStyle w:val="4"/>
        <w:pageBreakBefore w:val="0"/>
        <w:kinsoku/>
        <w:wordWrap/>
        <w:overflowPunct/>
        <w:topLinePunct w:val="0"/>
        <w:autoSpaceDE/>
        <w:autoSpaceDN/>
        <w:bidi w:val="0"/>
        <w:adjustRightInd/>
        <w:snapToGrid/>
        <w:spacing w:before="157" w:beforeLines="50" w:after="313" w:afterLines="100" w:line="240" w:lineRule="auto"/>
        <w:ind w:firstLine="960" w:firstLineChars="400"/>
        <w:textAlignment w:val="auto"/>
        <w:rPr>
          <w:rFonts w:hint="eastAsia" w:ascii="宋体" w:hAnsi="宋体" w:eastAsia="宋体" w:cs="宋体"/>
          <w:b w:val="0"/>
          <w:bCs w:val="0"/>
          <w:color w:val="auto"/>
          <w:spacing w:val="0"/>
          <w:kern w:val="2"/>
          <w:position w:val="0"/>
          <w:sz w:val="24"/>
          <w:szCs w:val="24"/>
          <w:highlight w:val="none"/>
          <w:u w:val="none"/>
          <w:lang w:val="en-US" w:eastAsia="zh-CN" w:bidi="ar-SA"/>
        </w:rPr>
      </w:pPr>
      <w:r>
        <w:rPr>
          <w:rFonts w:hint="eastAsia" w:ascii="宋体" w:hAnsi="宋体" w:eastAsia="宋体" w:cs="宋体"/>
          <w:b w:val="0"/>
          <w:bCs w:val="0"/>
          <w:color w:val="auto"/>
          <w:spacing w:val="0"/>
          <w:kern w:val="2"/>
          <w:position w:val="0"/>
          <w:sz w:val="24"/>
          <w:szCs w:val="24"/>
          <w:highlight w:val="none"/>
          <w:u w:val="none"/>
          <w:lang w:val="en-US" w:eastAsia="zh-CN" w:bidi="ar-SA"/>
        </w:rPr>
        <w:t xml:space="preserve"> </w:t>
      </w:r>
    </w:p>
    <w:p w14:paraId="63217751">
      <w:pPr>
        <w:pStyle w:val="4"/>
        <w:pageBreakBefore w:val="0"/>
        <w:kinsoku/>
        <w:wordWrap/>
        <w:overflowPunct/>
        <w:topLinePunct w:val="0"/>
        <w:autoSpaceDE/>
        <w:autoSpaceDN/>
        <w:bidi w:val="0"/>
        <w:adjustRightInd/>
        <w:snapToGrid/>
        <w:spacing w:before="157" w:beforeLines="50" w:after="313" w:afterLines="100" w:line="240" w:lineRule="auto"/>
        <w:textAlignment w:val="auto"/>
        <w:rPr>
          <w:rFonts w:hint="eastAsia" w:ascii="宋体" w:hAnsi="宋体" w:eastAsia="宋体" w:cs="宋体"/>
          <w:b w:val="0"/>
          <w:bCs w:val="0"/>
          <w:color w:val="auto"/>
          <w:spacing w:val="0"/>
          <w:kern w:val="2"/>
          <w:position w:val="0"/>
          <w:sz w:val="24"/>
          <w:szCs w:val="24"/>
          <w:highlight w:val="none"/>
          <w:u w:val="none"/>
          <w:lang w:val="en-US" w:eastAsia="zh-CN" w:bidi="ar-SA"/>
        </w:rPr>
      </w:pPr>
      <w:bookmarkStart w:id="1339" w:name="_Toc5493"/>
      <w:r>
        <w:rPr>
          <w:rFonts w:hint="eastAsia" w:ascii="宋体" w:hAnsi="宋体" w:eastAsia="宋体" w:cs="宋体"/>
          <w:b w:val="0"/>
          <w:bCs w:val="0"/>
          <w:color w:val="auto"/>
          <w:spacing w:val="0"/>
          <w:kern w:val="2"/>
          <w:position w:val="0"/>
          <w:sz w:val="24"/>
          <w:szCs w:val="24"/>
          <w:highlight w:val="none"/>
          <w:u w:val="none"/>
          <w:lang w:val="en-US" w:eastAsia="zh-CN" w:bidi="ar-SA"/>
        </w:rPr>
        <w:t>供应商：</w:t>
      </w:r>
      <w:bookmarkEnd w:id="1339"/>
      <w:r>
        <w:rPr>
          <w:rFonts w:hint="eastAsia" w:ascii="宋体" w:hAnsi="宋体" w:eastAsia="宋体" w:cs="宋体"/>
          <w:b w:val="0"/>
          <w:bCs w:val="0"/>
          <w:color w:val="auto"/>
          <w:spacing w:val="0"/>
          <w:kern w:val="2"/>
          <w:position w:val="0"/>
          <w:sz w:val="24"/>
          <w:szCs w:val="24"/>
          <w:highlight w:val="none"/>
          <w:u w:val="single"/>
          <w:lang w:val="en-US" w:eastAsia="zh-CN" w:bidi="ar-SA"/>
        </w:rPr>
        <w:t xml:space="preserve">                                                         </w:t>
      </w:r>
      <w:r>
        <w:rPr>
          <w:rFonts w:hint="eastAsia" w:ascii="宋体" w:hAnsi="宋体" w:eastAsia="宋体" w:cs="宋体"/>
          <w:b w:val="0"/>
          <w:bCs w:val="0"/>
          <w:color w:val="auto"/>
          <w:spacing w:val="0"/>
          <w:kern w:val="2"/>
          <w:position w:val="0"/>
          <w:sz w:val="24"/>
          <w:szCs w:val="24"/>
          <w:highlight w:val="none"/>
          <w:u w:val="none"/>
          <w:lang w:val="en-US" w:eastAsia="zh-CN" w:bidi="ar-SA"/>
        </w:rPr>
        <w:t xml:space="preserve"> </w:t>
      </w:r>
    </w:p>
    <w:p w14:paraId="4A898E68">
      <w:pPr>
        <w:pStyle w:val="4"/>
        <w:pageBreakBefore w:val="0"/>
        <w:kinsoku/>
        <w:wordWrap/>
        <w:overflowPunct/>
        <w:topLinePunct w:val="0"/>
        <w:autoSpaceDE/>
        <w:autoSpaceDN/>
        <w:bidi w:val="0"/>
        <w:adjustRightInd/>
        <w:snapToGrid/>
        <w:spacing w:before="157" w:beforeLines="50" w:after="313" w:afterLines="100" w:line="240" w:lineRule="auto"/>
        <w:jc w:val="center"/>
        <w:textAlignment w:val="auto"/>
        <w:rPr>
          <w:rFonts w:hint="eastAsia" w:ascii="宋体" w:hAnsi="宋体" w:eastAsia="宋体" w:cs="宋体"/>
          <w:b w:val="0"/>
          <w:bCs w:val="0"/>
          <w:color w:val="auto"/>
          <w:spacing w:val="0"/>
          <w:kern w:val="2"/>
          <w:position w:val="0"/>
          <w:sz w:val="24"/>
          <w:szCs w:val="24"/>
          <w:highlight w:val="none"/>
          <w:u w:val="none"/>
          <w:lang w:val="en-US" w:eastAsia="zh-CN" w:bidi="ar-SA"/>
        </w:rPr>
      </w:pPr>
      <w:bookmarkStart w:id="1340" w:name="_Toc24499"/>
      <w:r>
        <w:rPr>
          <w:rFonts w:hint="eastAsia" w:ascii="宋体" w:hAnsi="宋体" w:eastAsia="宋体" w:cs="宋体"/>
          <w:b w:val="0"/>
          <w:bCs w:val="0"/>
          <w:color w:val="auto"/>
          <w:spacing w:val="0"/>
          <w:kern w:val="2"/>
          <w:position w:val="0"/>
          <w:sz w:val="24"/>
          <w:szCs w:val="24"/>
          <w:highlight w:val="none"/>
          <w:u w:val="none"/>
          <w:lang w:val="en-US" w:eastAsia="zh-CN" w:bidi="ar-SA"/>
        </w:rPr>
        <w:t>（单位盖章）</w:t>
      </w:r>
      <w:bookmarkEnd w:id="1340"/>
    </w:p>
    <w:p w14:paraId="28DE4AB5">
      <w:pPr>
        <w:pageBreakBefore w:val="0"/>
        <w:kinsoku/>
        <w:wordWrap/>
        <w:overflowPunct/>
        <w:topLinePunct w:val="0"/>
        <w:autoSpaceDE/>
        <w:autoSpaceDN/>
        <w:bidi w:val="0"/>
        <w:adjustRightInd/>
        <w:snapToGrid/>
        <w:spacing w:before="157" w:beforeLines="50" w:after="313" w:afterLines="100"/>
        <w:textAlignment w:val="auto"/>
        <w:rPr>
          <w:rFonts w:hint="eastAsia"/>
          <w:highlight w:val="none"/>
          <w:lang w:val="en-US" w:eastAsia="zh-CN"/>
        </w:rPr>
      </w:pPr>
    </w:p>
    <w:p w14:paraId="16C8F465">
      <w:pPr>
        <w:pStyle w:val="4"/>
        <w:pageBreakBefore w:val="0"/>
        <w:kinsoku/>
        <w:wordWrap/>
        <w:overflowPunct/>
        <w:topLinePunct w:val="0"/>
        <w:autoSpaceDE/>
        <w:autoSpaceDN/>
        <w:bidi w:val="0"/>
        <w:adjustRightInd/>
        <w:snapToGrid/>
        <w:spacing w:before="157" w:beforeLines="50" w:after="313" w:afterLines="100" w:line="240" w:lineRule="auto"/>
        <w:textAlignment w:val="auto"/>
        <w:rPr>
          <w:rFonts w:hint="eastAsia" w:ascii="宋体" w:hAnsi="宋体" w:eastAsia="宋体" w:cs="宋体"/>
          <w:b w:val="0"/>
          <w:bCs w:val="0"/>
          <w:color w:val="auto"/>
          <w:spacing w:val="0"/>
          <w:kern w:val="2"/>
          <w:position w:val="0"/>
          <w:sz w:val="24"/>
          <w:szCs w:val="24"/>
          <w:highlight w:val="none"/>
          <w:u w:val="none"/>
          <w:lang w:val="en-US" w:eastAsia="zh-CN" w:bidi="ar-SA"/>
        </w:rPr>
      </w:pPr>
      <w:bookmarkStart w:id="1341" w:name="_Toc1719"/>
      <w:r>
        <w:rPr>
          <w:rFonts w:hint="eastAsia" w:ascii="宋体" w:hAnsi="宋体" w:eastAsia="宋体" w:cs="宋体"/>
          <w:b w:val="0"/>
          <w:bCs w:val="0"/>
          <w:color w:val="auto"/>
          <w:spacing w:val="0"/>
          <w:kern w:val="2"/>
          <w:position w:val="0"/>
          <w:sz w:val="24"/>
          <w:szCs w:val="24"/>
          <w:highlight w:val="none"/>
          <w:u w:val="none"/>
          <w:lang w:val="en-US" w:eastAsia="zh-CN" w:bidi="ar-SA"/>
        </w:rPr>
        <w:t>法定代表人</w:t>
      </w:r>
      <w:bookmarkEnd w:id="1341"/>
      <w:r>
        <w:rPr>
          <w:rFonts w:hint="eastAsia" w:ascii="宋体" w:hAnsi="宋体" w:eastAsia="宋体" w:cs="宋体"/>
          <w:b w:val="0"/>
          <w:bCs w:val="0"/>
          <w:color w:val="auto"/>
          <w:spacing w:val="0"/>
          <w:kern w:val="2"/>
          <w:position w:val="0"/>
          <w:sz w:val="24"/>
          <w:szCs w:val="24"/>
          <w:highlight w:val="none"/>
          <w:u w:val="none"/>
          <w:lang w:val="en-US" w:eastAsia="zh-CN" w:bidi="ar-SA"/>
        </w:rPr>
        <w:t xml:space="preserve"> </w:t>
      </w:r>
    </w:p>
    <w:p w14:paraId="672237B9">
      <w:pPr>
        <w:pStyle w:val="4"/>
        <w:pageBreakBefore w:val="0"/>
        <w:kinsoku/>
        <w:wordWrap/>
        <w:overflowPunct/>
        <w:topLinePunct w:val="0"/>
        <w:autoSpaceDE/>
        <w:autoSpaceDN/>
        <w:bidi w:val="0"/>
        <w:adjustRightInd/>
        <w:snapToGrid/>
        <w:spacing w:before="157" w:beforeLines="50" w:after="313" w:afterLines="100" w:line="240" w:lineRule="auto"/>
        <w:textAlignment w:val="auto"/>
        <w:rPr>
          <w:rFonts w:hint="eastAsia" w:ascii="宋体" w:hAnsi="宋体" w:eastAsia="宋体" w:cs="宋体"/>
          <w:b w:val="0"/>
          <w:bCs w:val="0"/>
          <w:color w:val="auto"/>
          <w:spacing w:val="0"/>
          <w:kern w:val="2"/>
          <w:position w:val="0"/>
          <w:sz w:val="24"/>
          <w:szCs w:val="24"/>
          <w:highlight w:val="none"/>
          <w:u w:val="none"/>
          <w:lang w:val="en-US" w:eastAsia="zh-CN" w:bidi="ar-SA"/>
        </w:rPr>
      </w:pPr>
      <w:bookmarkStart w:id="1342" w:name="_Toc20129"/>
      <w:r>
        <w:rPr>
          <w:rFonts w:hint="eastAsia" w:ascii="宋体" w:hAnsi="宋体" w:eastAsia="宋体" w:cs="宋体"/>
          <w:b w:val="0"/>
          <w:bCs w:val="0"/>
          <w:color w:val="auto"/>
          <w:spacing w:val="0"/>
          <w:kern w:val="2"/>
          <w:position w:val="0"/>
          <w:sz w:val="24"/>
          <w:szCs w:val="24"/>
          <w:highlight w:val="none"/>
          <w:u w:val="none"/>
          <w:lang w:val="en-US" w:eastAsia="zh-CN" w:bidi="ar-SA"/>
        </w:rPr>
        <w:t>或其授权人：</w:t>
      </w:r>
      <w:bookmarkEnd w:id="1342"/>
      <w:r>
        <w:rPr>
          <w:rFonts w:hint="eastAsia" w:ascii="宋体" w:hAnsi="宋体" w:eastAsia="宋体" w:cs="宋体"/>
          <w:b w:val="0"/>
          <w:bCs w:val="0"/>
          <w:color w:val="auto"/>
          <w:spacing w:val="0"/>
          <w:kern w:val="2"/>
          <w:position w:val="0"/>
          <w:sz w:val="24"/>
          <w:szCs w:val="24"/>
          <w:highlight w:val="none"/>
          <w:u w:val="single"/>
          <w:lang w:val="en-US" w:eastAsia="zh-CN" w:bidi="ar-SA"/>
        </w:rPr>
        <w:t xml:space="preserve">                                                    </w:t>
      </w:r>
      <w:r>
        <w:rPr>
          <w:rFonts w:hint="eastAsia" w:ascii="宋体" w:hAnsi="宋体" w:eastAsia="宋体" w:cs="宋体"/>
          <w:b w:val="0"/>
          <w:bCs w:val="0"/>
          <w:color w:val="auto"/>
          <w:spacing w:val="0"/>
          <w:kern w:val="2"/>
          <w:position w:val="0"/>
          <w:sz w:val="24"/>
          <w:szCs w:val="24"/>
          <w:highlight w:val="none"/>
          <w:u w:val="none"/>
          <w:lang w:val="en-US" w:eastAsia="zh-CN" w:bidi="ar-SA"/>
        </w:rPr>
        <w:t xml:space="preserve"> </w:t>
      </w:r>
    </w:p>
    <w:p w14:paraId="0E941ECC">
      <w:pPr>
        <w:pStyle w:val="4"/>
        <w:pageBreakBefore w:val="0"/>
        <w:kinsoku/>
        <w:wordWrap/>
        <w:overflowPunct/>
        <w:topLinePunct w:val="0"/>
        <w:autoSpaceDE/>
        <w:autoSpaceDN/>
        <w:bidi w:val="0"/>
        <w:adjustRightInd/>
        <w:snapToGrid/>
        <w:spacing w:before="157" w:beforeLines="50" w:after="313" w:afterLines="100" w:line="240" w:lineRule="auto"/>
        <w:jc w:val="center"/>
        <w:textAlignment w:val="auto"/>
        <w:rPr>
          <w:rFonts w:hint="eastAsia" w:ascii="宋体" w:hAnsi="宋体" w:eastAsia="宋体" w:cs="宋体"/>
          <w:b w:val="0"/>
          <w:bCs w:val="0"/>
          <w:color w:val="auto"/>
          <w:spacing w:val="0"/>
          <w:kern w:val="2"/>
          <w:position w:val="0"/>
          <w:sz w:val="24"/>
          <w:szCs w:val="24"/>
          <w:highlight w:val="none"/>
          <w:u w:val="none"/>
          <w:lang w:val="en-US" w:eastAsia="zh-CN" w:bidi="ar-SA"/>
        </w:rPr>
      </w:pPr>
      <w:bookmarkStart w:id="1343" w:name="_Toc5487"/>
      <w:r>
        <w:rPr>
          <w:rFonts w:hint="eastAsia" w:ascii="宋体" w:hAnsi="宋体" w:eastAsia="宋体" w:cs="宋体"/>
          <w:b w:val="0"/>
          <w:bCs w:val="0"/>
          <w:color w:val="auto"/>
          <w:spacing w:val="0"/>
          <w:kern w:val="2"/>
          <w:position w:val="0"/>
          <w:sz w:val="24"/>
          <w:szCs w:val="24"/>
          <w:highlight w:val="none"/>
          <w:u w:val="none"/>
          <w:lang w:val="en-US" w:eastAsia="zh-CN" w:bidi="ar-SA"/>
        </w:rPr>
        <w:t>（签字或盖章）</w:t>
      </w:r>
      <w:bookmarkEnd w:id="1343"/>
    </w:p>
    <w:p w14:paraId="28E5192C">
      <w:pPr>
        <w:pageBreakBefore w:val="0"/>
        <w:kinsoku/>
        <w:wordWrap/>
        <w:overflowPunct/>
        <w:topLinePunct w:val="0"/>
        <w:autoSpaceDE/>
        <w:autoSpaceDN/>
        <w:bidi w:val="0"/>
        <w:adjustRightInd/>
        <w:snapToGrid/>
        <w:spacing w:before="157" w:beforeLines="50" w:after="313" w:afterLines="100"/>
        <w:textAlignment w:val="auto"/>
        <w:rPr>
          <w:rFonts w:hint="eastAsia"/>
          <w:highlight w:val="none"/>
          <w:lang w:val="en-US" w:eastAsia="zh-CN"/>
        </w:rPr>
      </w:pPr>
    </w:p>
    <w:p w14:paraId="3537EA30">
      <w:pPr>
        <w:pStyle w:val="4"/>
        <w:pageBreakBefore w:val="0"/>
        <w:kinsoku/>
        <w:wordWrap/>
        <w:overflowPunct/>
        <w:topLinePunct w:val="0"/>
        <w:autoSpaceDE/>
        <w:autoSpaceDN/>
        <w:bidi w:val="0"/>
        <w:adjustRightInd/>
        <w:snapToGrid/>
        <w:spacing w:before="157" w:beforeLines="50" w:after="313" w:afterLines="100" w:line="240" w:lineRule="auto"/>
        <w:textAlignment w:val="auto"/>
        <w:rPr>
          <w:rFonts w:hint="eastAsia" w:ascii="宋体" w:hAnsi="宋体" w:eastAsia="宋体" w:cs="宋体"/>
          <w:b w:val="0"/>
          <w:bCs w:val="0"/>
          <w:color w:val="auto"/>
          <w:spacing w:val="0"/>
          <w:kern w:val="2"/>
          <w:position w:val="0"/>
          <w:sz w:val="24"/>
          <w:szCs w:val="24"/>
          <w:highlight w:val="none"/>
          <w:u w:val="none"/>
          <w:lang w:val="en-US" w:eastAsia="zh-CN" w:bidi="ar-SA"/>
        </w:rPr>
      </w:pPr>
      <w:bookmarkStart w:id="1344" w:name="_Toc9488"/>
      <w:r>
        <w:rPr>
          <w:rFonts w:hint="eastAsia" w:ascii="宋体" w:hAnsi="宋体" w:eastAsia="宋体" w:cs="宋体"/>
          <w:b w:val="0"/>
          <w:bCs w:val="0"/>
          <w:color w:val="auto"/>
          <w:spacing w:val="0"/>
          <w:kern w:val="2"/>
          <w:position w:val="0"/>
          <w:sz w:val="24"/>
          <w:szCs w:val="24"/>
          <w:highlight w:val="none"/>
          <w:u w:val="none"/>
          <w:lang w:val="en-US" w:eastAsia="zh-CN" w:bidi="ar-SA"/>
        </w:rPr>
        <w:t>编制人：</w:t>
      </w:r>
      <w:bookmarkEnd w:id="1344"/>
      <w:r>
        <w:rPr>
          <w:rFonts w:hint="eastAsia" w:ascii="宋体" w:hAnsi="宋体" w:eastAsia="宋体" w:cs="宋体"/>
          <w:b w:val="0"/>
          <w:bCs w:val="0"/>
          <w:color w:val="auto"/>
          <w:spacing w:val="0"/>
          <w:kern w:val="2"/>
          <w:position w:val="0"/>
          <w:sz w:val="24"/>
          <w:szCs w:val="24"/>
          <w:highlight w:val="none"/>
          <w:u w:val="single"/>
          <w:lang w:val="en-US" w:eastAsia="zh-CN" w:bidi="ar-SA"/>
        </w:rPr>
        <w:t xml:space="preserve">                                                        </w:t>
      </w:r>
      <w:r>
        <w:rPr>
          <w:rFonts w:hint="eastAsia" w:ascii="宋体" w:hAnsi="宋体" w:eastAsia="宋体" w:cs="宋体"/>
          <w:b w:val="0"/>
          <w:bCs w:val="0"/>
          <w:color w:val="auto"/>
          <w:spacing w:val="0"/>
          <w:kern w:val="2"/>
          <w:position w:val="0"/>
          <w:sz w:val="24"/>
          <w:szCs w:val="24"/>
          <w:highlight w:val="none"/>
          <w:u w:val="none"/>
          <w:lang w:val="en-US" w:eastAsia="zh-CN" w:bidi="ar-SA"/>
        </w:rPr>
        <w:t xml:space="preserve"> </w:t>
      </w:r>
    </w:p>
    <w:p w14:paraId="02D9C5E0">
      <w:pPr>
        <w:pStyle w:val="4"/>
        <w:pageBreakBefore w:val="0"/>
        <w:kinsoku/>
        <w:wordWrap/>
        <w:overflowPunct/>
        <w:topLinePunct w:val="0"/>
        <w:autoSpaceDE/>
        <w:autoSpaceDN/>
        <w:bidi w:val="0"/>
        <w:adjustRightInd/>
        <w:snapToGrid/>
        <w:spacing w:before="157" w:beforeLines="50" w:after="313" w:afterLines="100" w:line="240" w:lineRule="auto"/>
        <w:jc w:val="center"/>
        <w:textAlignment w:val="auto"/>
        <w:rPr>
          <w:rFonts w:hint="eastAsia" w:ascii="宋体" w:hAnsi="宋体" w:eastAsia="宋体" w:cs="宋体"/>
          <w:b w:val="0"/>
          <w:bCs w:val="0"/>
          <w:color w:val="auto"/>
          <w:spacing w:val="0"/>
          <w:kern w:val="2"/>
          <w:position w:val="0"/>
          <w:sz w:val="24"/>
          <w:szCs w:val="24"/>
          <w:highlight w:val="none"/>
          <w:u w:val="none"/>
          <w:lang w:val="en-US" w:eastAsia="zh-CN" w:bidi="ar-SA"/>
        </w:rPr>
      </w:pPr>
      <w:bookmarkStart w:id="1345" w:name="_Toc19195"/>
      <w:r>
        <w:rPr>
          <w:rFonts w:hint="eastAsia" w:ascii="宋体" w:hAnsi="宋体" w:eastAsia="宋体" w:cs="宋体"/>
          <w:b w:val="0"/>
          <w:bCs w:val="0"/>
          <w:color w:val="auto"/>
          <w:spacing w:val="0"/>
          <w:kern w:val="2"/>
          <w:position w:val="0"/>
          <w:sz w:val="24"/>
          <w:szCs w:val="24"/>
          <w:highlight w:val="none"/>
          <w:u w:val="none"/>
          <w:lang w:val="en-US" w:eastAsia="zh-CN" w:bidi="ar-SA"/>
        </w:rPr>
        <w:t>（造价人员签字并盖章）</w:t>
      </w:r>
      <w:bookmarkEnd w:id="1345"/>
    </w:p>
    <w:p w14:paraId="26FFD9EC">
      <w:pPr>
        <w:pageBreakBefore w:val="0"/>
        <w:kinsoku/>
        <w:wordWrap/>
        <w:overflowPunct/>
        <w:topLinePunct w:val="0"/>
        <w:autoSpaceDE/>
        <w:autoSpaceDN/>
        <w:bidi w:val="0"/>
        <w:adjustRightInd/>
        <w:snapToGrid/>
        <w:spacing w:before="157" w:beforeLines="50" w:after="313" w:afterLines="100"/>
        <w:textAlignment w:val="auto"/>
        <w:rPr>
          <w:rFonts w:hint="eastAsia"/>
          <w:highlight w:val="none"/>
          <w:lang w:val="en-US" w:eastAsia="zh-CN"/>
        </w:rPr>
      </w:pPr>
    </w:p>
    <w:p w14:paraId="12F8DECE">
      <w:pPr>
        <w:pStyle w:val="4"/>
        <w:pageBreakBefore w:val="0"/>
        <w:kinsoku/>
        <w:wordWrap/>
        <w:overflowPunct/>
        <w:topLinePunct w:val="0"/>
        <w:autoSpaceDE/>
        <w:autoSpaceDN/>
        <w:bidi w:val="0"/>
        <w:adjustRightInd/>
        <w:snapToGrid/>
        <w:spacing w:before="157" w:beforeLines="50" w:after="313" w:afterLines="100" w:line="240" w:lineRule="auto"/>
        <w:textAlignment w:val="auto"/>
        <w:rPr>
          <w:rFonts w:hint="eastAsia" w:ascii="宋体" w:hAnsi="宋体" w:eastAsia="宋体" w:cs="宋体"/>
          <w:b w:val="0"/>
          <w:bCs w:val="0"/>
          <w:color w:val="auto"/>
          <w:spacing w:val="0"/>
          <w:kern w:val="2"/>
          <w:position w:val="0"/>
          <w:sz w:val="24"/>
          <w:szCs w:val="24"/>
          <w:highlight w:val="none"/>
          <w:u w:val="none"/>
          <w:lang w:val="en-US" w:eastAsia="zh-CN" w:bidi="ar-SA"/>
        </w:rPr>
      </w:pPr>
      <w:bookmarkStart w:id="1346" w:name="_Toc6146"/>
      <w:r>
        <w:rPr>
          <w:rFonts w:hint="eastAsia" w:ascii="宋体" w:hAnsi="宋体" w:eastAsia="宋体" w:cs="宋体"/>
          <w:b w:val="0"/>
          <w:bCs w:val="0"/>
          <w:color w:val="auto"/>
          <w:spacing w:val="0"/>
          <w:kern w:val="2"/>
          <w:position w:val="0"/>
          <w:sz w:val="24"/>
          <w:szCs w:val="24"/>
          <w:highlight w:val="none"/>
          <w:u w:val="none"/>
          <w:lang w:val="en-US" w:eastAsia="zh-CN" w:bidi="ar-SA"/>
        </w:rPr>
        <w:t>编制时间：</w:t>
      </w:r>
      <w:r>
        <w:rPr>
          <w:rFonts w:hint="eastAsia" w:ascii="宋体" w:hAnsi="宋体" w:eastAsia="宋体" w:cs="宋体"/>
          <w:b w:val="0"/>
          <w:bCs w:val="0"/>
          <w:color w:val="auto"/>
          <w:spacing w:val="0"/>
          <w:kern w:val="2"/>
          <w:position w:val="0"/>
          <w:sz w:val="24"/>
          <w:szCs w:val="24"/>
          <w:highlight w:val="none"/>
          <w:u w:val="single"/>
          <w:lang w:val="en-US" w:eastAsia="zh-CN" w:bidi="ar-SA"/>
        </w:rPr>
        <w:t xml:space="preserve">        </w:t>
      </w:r>
      <w:r>
        <w:rPr>
          <w:rFonts w:hint="eastAsia" w:ascii="宋体" w:hAnsi="宋体" w:eastAsia="宋体" w:cs="宋体"/>
          <w:b w:val="0"/>
          <w:bCs w:val="0"/>
          <w:color w:val="auto"/>
          <w:spacing w:val="0"/>
          <w:kern w:val="2"/>
          <w:position w:val="0"/>
          <w:sz w:val="24"/>
          <w:szCs w:val="24"/>
          <w:highlight w:val="none"/>
          <w:u w:val="none"/>
          <w:lang w:val="en-US" w:eastAsia="zh-CN" w:bidi="ar-SA"/>
        </w:rPr>
        <w:t>年</w:t>
      </w:r>
      <w:r>
        <w:rPr>
          <w:rFonts w:hint="eastAsia" w:ascii="宋体" w:hAnsi="宋体" w:eastAsia="宋体" w:cs="宋体"/>
          <w:b w:val="0"/>
          <w:bCs w:val="0"/>
          <w:color w:val="auto"/>
          <w:spacing w:val="0"/>
          <w:kern w:val="2"/>
          <w:position w:val="0"/>
          <w:sz w:val="24"/>
          <w:szCs w:val="24"/>
          <w:highlight w:val="none"/>
          <w:u w:val="single"/>
          <w:lang w:val="en-US" w:eastAsia="zh-CN" w:bidi="ar-SA"/>
        </w:rPr>
        <w:t xml:space="preserve">       </w:t>
      </w:r>
      <w:r>
        <w:rPr>
          <w:rFonts w:hint="eastAsia" w:ascii="宋体" w:hAnsi="宋体" w:eastAsia="宋体" w:cs="宋体"/>
          <w:b w:val="0"/>
          <w:bCs w:val="0"/>
          <w:color w:val="auto"/>
          <w:spacing w:val="0"/>
          <w:kern w:val="2"/>
          <w:position w:val="0"/>
          <w:sz w:val="24"/>
          <w:szCs w:val="24"/>
          <w:highlight w:val="none"/>
          <w:u w:val="none"/>
          <w:lang w:val="en-US" w:eastAsia="zh-CN" w:bidi="ar-SA"/>
        </w:rPr>
        <w:t>月</w:t>
      </w:r>
      <w:r>
        <w:rPr>
          <w:rFonts w:hint="eastAsia" w:ascii="宋体" w:hAnsi="宋体" w:eastAsia="宋体" w:cs="宋体"/>
          <w:b w:val="0"/>
          <w:bCs w:val="0"/>
          <w:color w:val="auto"/>
          <w:spacing w:val="0"/>
          <w:kern w:val="2"/>
          <w:position w:val="0"/>
          <w:sz w:val="24"/>
          <w:szCs w:val="24"/>
          <w:highlight w:val="none"/>
          <w:u w:val="single"/>
          <w:lang w:val="en-US" w:eastAsia="zh-CN" w:bidi="ar-SA"/>
        </w:rPr>
        <w:t xml:space="preserve">       </w:t>
      </w:r>
      <w:r>
        <w:rPr>
          <w:rFonts w:hint="eastAsia" w:ascii="宋体" w:hAnsi="宋体" w:eastAsia="宋体" w:cs="宋体"/>
          <w:b w:val="0"/>
          <w:bCs w:val="0"/>
          <w:color w:val="auto"/>
          <w:spacing w:val="0"/>
          <w:kern w:val="2"/>
          <w:position w:val="0"/>
          <w:sz w:val="24"/>
          <w:szCs w:val="24"/>
          <w:highlight w:val="none"/>
          <w:u w:val="none"/>
          <w:lang w:val="en-US" w:eastAsia="zh-CN" w:bidi="ar-SA"/>
        </w:rPr>
        <w:t>日</w:t>
      </w:r>
      <w:bookmarkEnd w:id="1346"/>
    </w:p>
    <w:p w14:paraId="63B886DF">
      <w:pPr>
        <w:pStyle w:val="4"/>
        <w:spacing w:line="240" w:lineRule="auto"/>
        <w:rPr>
          <w:rFonts w:hint="eastAsia" w:ascii="宋体" w:hAnsi="宋体" w:eastAsia="宋体" w:cs="宋体"/>
          <w:b w:val="0"/>
          <w:bCs w:val="0"/>
          <w:color w:val="auto"/>
          <w:spacing w:val="0"/>
          <w:kern w:val="2"/>
          <w:position w:val="0"/>
          <w:sz w:val="24"/>
          <w:szCs w:val="24"/>
          <w:highlight w:val="none"/>
          <w:u w:val="none"/>
          <w:lang w:val="en-US" w:eastAsia="zh-CN" w:bidi="ar-SA"/>
        </w:rPr>
      </w:pPr>
    </w:p>
    <w:p w14:paraId="44F92C5A">
      <w:pPr>
        <w:pStyle w:val="18"/>
        <w:kinsoku/>
        <w:wordWrap/>
        <w:overflowPunct/>
        <w:bidi w:val="0"/>
        <w:rPr>
          <w:rFonts w:hint="eastAsia" w:ascii="宋体" w:hAnsi="宋体" w:eastAsia="宋体" w:cs="宋体"/>
          <w:b/>
          <w:bCs/>
          <w:color w:val="auto"/>
          <w:spacing w:val="0"/>
          <w:position w:val="0"/>
          <w:sz w:val="28"/>
          <w:szCs w:val="28"/>
          <w:highlight w:val="none"/>
          <w:lang w:eastAsia="zh-CN"/>
        </w:rPr>
      </w:pPr>
    </w:p>
    <w:p w14:paraId="6E20AB34">
      <w:pPr>
        <w:rPr>
          <w:rFonts w:hint="eastAsia" w:ascii="宋体" w:hAnsi="宋体" w:eastAsia="宋体" w:cs="宋体"/>
          <w:b/>
          <w:bCs/>
          <w:color w:val="auto"/>
          <w:spacing w:val="0"/>
          <w:position w:val="0"/>
          <w:sz w:val="28"/>
          <w:szCs w:val="28"/>
          <w:highlight w:val="none"/>
          <w:lang w:eastAsia="zh-CN"/>
        </w:rPr>
      </w:pPr>
      <w:r>
        <w:rPr>
          <w:rFonts w:hint="eastAsia" w:ascii="宋体" w:hAnsi="宋体" w:eastAsia="宋体" w:cs="宋体"/>
          <w:b/>
          <w:bCs/>
          <w:color w:val="auto"/>
          <w:spacing w:val="0"/>
          <w:position w:val="0"/>
          <w:sz w:val="28"/>
          <w:szCs w:val="28"/>
          <w:highlight w:val="none"/>
          <w:lang w:eastAsia="zh-CN"/>
        </w:rPr>
        <w:br w:type="page"/>
      </w:r>
    </w:p>
    <w:p w14:paraId="35A087B7">
      <w:pPr>
        <w:keepNext w:val="0"/>
        <w:keepLines w:val="0"/>
        <w:widowControl/>
        <w:suppressLineNumbers w:val="0"/>
        <w:jc w:val="center"/>
        <w:rPr>
          <w:rFonts w:hint="eastAsia" w:ascii="黑体" w:hAnsi="黑体" w:eastAsia="黑体" w:cs="黑体"/>
          <w:color w:val="000000"/>
          <w:kern w:val="0"/>
          <w:sz w:val="36"/>
          <w:szCs w:val="36"/>
          <w:highlight w:val="none"/>
          <w:lang w:val="en-US" w:eastAsia="zh-CN" w:bidi="ar"/>
        </w:rPr>
      </w:pPr>
      <w:r>
        <w:rPr>
          <w:rFonts w:hint="eastAsia" w:ascii="黑体" w:hAnsi="黑体" w:eastAsia="黑体" w:cs="黑体"/>
          <w:color w:val="000000"/>
          <w:kern w:val="0"/>
          <w:sz w:val="36"/>
          <w:szCs w:val="36"/>
          <w:highlight w:val="none"/>
          <w:lang w:val="en-US" w:eastAsia="zh-CN" w:bidi="ar"/>
        </w:rPr>
        <w:t>总 说 明</w:t>
      </w:r>
    </w:p>
    <w:p w14:paraId="0B15B015">
      <w:pPr>
        <w:pStyle w:val="4"/>
        <w:rPr>
          <w:highlight w:val="none"/>
        </w:rPr>
      </w:pPr>
    </w:p>
    <w:p w14:paraId="0EB7B9D5">
      <w:pPr>
        <w:keepNext w:val="0"/>
        <w:keepLines w:val="0"/>
        <w:widowControl/>
        <w:suppressLineNumbers w:val="0"/>
        <w:jc w:val="left"/>
        <w:rPr>
          <w:rFonts w:hint="eastAsia" w:ascii="宋体" w:hAnsi="宋体" w:eastAsia="宋体" w:cs="宋体"/>
          <w:b w:val="0"/>
          <w:bCs w:val="0"/>
          <w:color w:val="auto"/>
          <w:spacing w:val="0"/>
          <w:kern w:val="2"/>
          <w:position w:val="0"/>
          <w:sz w:val="24"/>
          <w:szCs w:val="24"/>
          <w:highlight w:val="none"/>
          <w:u w:val="none"/>
          <w:lang w:val="en-US" w:eastAsia="zh-CN" w:bidi="ar-SA"/>
        </w:rPr>
      </w:pPr>
      <w:r>
        <w:rPr>
          <w:rFonts w:hint="eastAsia" w:ascii="宋体" w:hAnsi="宋体" w:eastAsia="宋体" w:cs="宋体"/>
          <w:b w:val="0"/>
          <w:bCs w:val="0"/>
          <w:color w:val="auto"/>
          <w:spacing w:val="0"/>
          <w:kern w:val="2"/>
          <w:position w:val="0"/>
          <w:sz w:val="24"/>
          <w:szCs w:val="24"/>
          <w:highlight w:val="none"/>
          <w:u w:val="none"/>
          <w:lang w:val="en-US" w:eastAsia="zh-CN" w:bidi="ar-SA"/>
        </w:rPr>
        <w:t xml:space="preserve">工程名称：                                            </w:t>
      </w:r>
      <w:r>
        <w:rPr>
          <w:rFonts w:hint="eastAsia" w:ascii="宋体" w:hAnsi="宋体" w:cs="宋体"/>
          <w:b w:val="0"/>
          <w:bCs w:val="0"/>
          <w:color w:val="auto"/>
          <w:spacing w:val="0"/>
          <w:kern w:val="2"/>
          <w:position w:val="0"/>
          <w:sz w:val="24"/>
          <w:szCs w:val="24"/>
          <w:highlight w:val="none"/>
          <w:u w:val="none"/>
          <w:lang w:val="en-US" w:eastAsia="zh-CN" w:bidi="ar-SA"/>
        </w:rPr>
        <w:t xml:space="preserve">   </w:t>
      </w:r>
      <w:r>
        <w:rPr>
          <w:rFonts w:hint="eastAsia" w:ascii="宋体" w:hAnsi="宋体" w:eastAsia="宋体" w:cs="宋体"/>
          <w:b w:val="0"/>
          <w:bCs w:val="0"/>
          <w:color w:val="auto"/>
          <w:spacing w:val="0"/>
          <w:kern w:val="2"/>
          <w:position w:val="0"/>
          <w:sz w:val="24"/>
          <w:szCs w:val="24"/>
          <w:highlight w:val="none"/>
          <w:u w:val="none"/>
          <w:lang w:val="en-US" w:eastAsia="zh-CN" w:bidi="ar-SA"/>
        </w:rPr>
        <w:t xml:space="preserve">     第 页 共 页</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2"/>
      </w:tblGrid>
      <w:tr w14:paraId="6E147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8" w:hRule="atLeast"/>
        </w:trPr>
        <w:tc>
          <w:tcPr>
            <w:tcW w:w="8922" w:type="dxa"/>
          </w:tcPr>
          <w:p w14:paraId="2F582431">
            <w:pPr>
              <w:pStyle w:val="4"/>
              <w:rPr>
                <w:rFonts w:hint="eastAsia"/>
                <w:highlight w:val="none"/>
                <w:vertAlign w:val="baseline"/>
                <w:lang w:val="en-US" w:eastAsia="zh-CN"/>
              </w:rPr>
            </w:pPr>
          </w:p>
        </w:tc>
      </w:tr>
    </w:tbl>
    <w:p w14:paraId="1164F9AD">
      <w:pPr>
        <w:rPr>
          <w:rFonts w:hint="eastAsia" w:ascii="宋体" w:hAnsi="宋体" w:eastAsia="宋体" w:cs="宋体"/>
          <w:b/>
          <w:bCs/>
          <w:color w:val="000000"/>
          <w:kern w:val="0"/>
          <w:sz w:val="72"/>
          <w:szCs w:val="72"/>
          <w:highlight w:val="none"/>
          <w:lang w:val="en-US" w:eastAsia="zh-CN" w:bidi="ar"/>
        </w:rPr>
      </w:pPr>
      <w:bookmarkStart w:id="1347" w:name="_Toc10571"/>
      <w:r>
        <w:rPr>
          <w:rFonts w:hint="eastAsia" w:ascii="宋体" w:hAnsi="宋体" w:eastAsia="宋体" w:cs="宋体"/>
          <w:b/>
          <w:bCs/>
          <w:color w:val="000000"/>
          <w:kern w:val="0"/>
          <w:sz w:val="72"/>
          <w:szCs w:val="72"/>
          <w:highlight w:val="none"/>
          <w:lang w:val="en-US" w:eastAsia="zh-CN" w:bidi="ar"/>
        </w:rPr>
        <w:br w:type="page"/>
      </w:r>
    </w:p>
    <w:p w14:paraId="06FFBAC7">
      <w:pPr>
        <w:pStyle w:val="4"/>
        <w:rPr>
          <w:rFonts w:hint="eastAsia"/>
          <w:highlight w:val="none"/>
          <w:lang w:val="en-US" w:eastAsia="zh-CN"/>
        </w:rPr>
      </w:pPr>
    </w:p>
    <w:p w14:paraId="201B1E44">
      <w:pPr>
        <w:keepNext w:val="0"/>
        <w:keepLines w:val="0"/>
        <w:widowControl/>
        <w:suppressLineNumbers w:val="0"/>
        <w:jc w:val="center"/>
        <w:rPr>
          <w:rFonts w:hint="eastAsia" w:ascii="宋体" w:hAnsi="宋体" w:eastAsia="宋体" w:cs="宋体"/>
          <w:b/>
          <w:bCs/>
          <w:color w:val="000000"/>
          <w:kern w:val="0"/>
          <w:sz w:val="72"/>
          <w:szCs w:val="72"/>
          <w:highlight w:val="none"/>
          <w:lang w:val="en-US" w:eastAsia="zh-CN" w:bidi="ar"/>
        </w:rPr>
      </w:pPr>
      <w:r>
        <w:rPr>
          <w:rFonts w:hint="eastAsia" w:ascii="宋体" w:hAnsi="宋体" w:eastAsia="宋体" w:cs="宋体"/>
          <w:b/>
          <w:bCs/>
          <w:color w:val="000000"/>
          <w:kern w:val="0"/>
          <w:sz w:val="72"/>
          <w:szCs w:val="72"/>
          <w:highlight w:val="none"/>
          <w:lang w:val="en-US" w:eastAsia="zh-CN" w:bidi="ar"/>
        </w:rPr>
        <w:t>响应文件</w:t>
      </w:r>
    </w:p>
    <w:p w14:paraId="0E6BF29E">
      <w:pPr>
        <w:pStyle w:val="4"/>
        <w:rPr>
          <w:highlight w:val="none"/>
        </w:rPr>
      </w:pPr>
    </w:p>
    <w:p w14:paraId="11473005">
      <w:pPr>
        <w:keepNext w:val="0"/>
        <w:keepLines w:val="0"/>
        <w:pageBreakBefore w:val="0"/>
        <w:widowControl/>
        <w:suppressLineNumbers w:val="0"/>
        <w:kinsoku/>
        <w:wordWrap/>
        <w:overflowPunct/>
        <w:topLinePunct w:val="0"/>
        <w:autoSpaceDE/>
        <w:autoSpaceDN/>
        <w:bidi w:val="0"/>
        <w:adjustRightInd/>
        <w:snapToGrid/>
        <w:spacing w:before="313" w:beforeLines="100" w:after="313" w:afterLines="100" w:line="720" w:lineRule="auto"/>
        <w:jc w:val="center"/>
        <w:textAlignment w:val="auto"/>
        <w:rPr>
          <w:highlight w:val="none"/>
        </w:rPr>
      </w:pPr>
      <w:r>
        <w:rPr>
          <w:rFonts w:hint="eastAsia" w:ascii="宋体" w:hAnsi="宋体" w:eastAsia="宋体" w:cs="宋体"/>
          <w:b/>
          <w:bCs/>
          <w:color w:val="000000"/>
          <w:kern w:val="0"/>
          <w:sz w:val="55"/>
          <w:szCs w:val="55"/>
          <w:highlight w:val="none"/>
          <w:lang w:val="en-US" w:eastAsia="zh-CN" w:bidi="ar"/>
        </w:rPr>
        <w:t>技</w:t>
      </w:r>
    </w:p>
    <w:p w14:paraId="5388A196">
      <w:pPr>
        <w:keepNext w:val="0"/>
        <w:keepLines w:val="0"/>
        <w:pageBreakBefore w:val="0"/>
        <w:widowControl/>
        <w:suppressLineNumbers w:val="0"/>
        <w:kinsoku/>
        <w:wordWrap/>
        <w:overflowPunct/>
        <w:topLinePunct w:val="0"/>
        <w:autoSpaceDE/>
        <w:autoSpaceDN/>
        <w:bidi w:val="0"/>
        <w:adjustRightInd/>
        <w:snapToGrid/>
        <w:spacing w:before="313" w:beforeLines="100" w:after="313" w:afterLines="100" w:line="720" w:lineRule="auto"/>
        <w:jc w:val="center"/>
        <w:textAlignment w:val="auto"/>
        <w:rPr>
          <w:highlight w:val="none"/>
        </w:rPr>
      </w:pPr>
      <w:r>
        <w:rPr>
          <w:rFonts w:hint="eastAsia" w:ascii="宋体" w:hAnsi="宋体" w:eastAsia="宋体" w:cs="宋体"/>
          <w:b/>
          <w:bCs/>
          <w:color w:val="000000"/>
          <w:kern w:val="0"/>
          <w:sz w:val="55"/>
          <w:szCs w:val="55"/>
          <w:highlight w:val="none"/>
          <w:lang w:val="en-US" w:eastAsia="zh-CN" w:bidi="ar"/>
        </w:rPr>
        <w:t>术</w:t>
      </w:r>
    </w:p>
    <w:p w14:paraId="26BB7FD0">
      <w:pPr>
        <w:keepNext w:val="0"/>
        <w:keepLines w:val="0"/>
        <w:pageBreakBefore w:val="0"/>
        <w:widowControl/>
        <w:suppressLineNumbers w:val="0"/>
        <w:kinsoku/>
        <w:wordWrap/>
        <w:overflowPunct/>
        <w:topLinePunct w:val="0"/>
        <w:autoSpaceDE/>
        <w:autoSpaceDN/>
        <w:bidi w:val="0"/>
        <w:adjustRightInd/>
        <w:snapToGrid/>
        <w:spacing w:before="313" w:beforeLines="100" w:after="313" w:afterLines="100" w:line="720" w:lineRule="auto"/>
        <w:jc w:val="center"/>
        <w:textAlignment w:val="auto"/>
        <w:rPr>
          <w:highlight w:val="none"/>
        </w:rPr>
      </w:pPr>
      <w:r>
        <w:rPr>
          <w:rFonts w:hint="eastAsia" w:ascii="宋体" w:hAnsi="宋体" w:eastAsia="宋体" w:cs="宋体"/>
          <w:b/>
          <w:bCs/>
          <w:color w:val="000000"/>
          <w:kern w:val="0"/>
          <w:sz w:val="55"/>
          <w:szCs w:val="55"/>
          <w:highlight w:val="none"/>
          <w:lang w:val="en-US" w:eastAsia="zh-CN" w:bidi="ar"/>
        </w:rPr>
        <w:t>部</w:t>
      </w:r>
    </w:p>
    <w:p w14:paraId="210727D9">
      <w:pPr>
        <w:keepNext w:val="0"/>
        <w:keepLines w:val="0"/>
        <w:pageBreakBefore w:val="0"/>
        <w:widowControl/>
        <w:suppressLineNumbers w:val="0"/>
        <w:kinsoku/>
        <w:wordWrap/>
        <w:overflowPunct/>
        <w:topLinePunct w:val="0"/>
        <w:autoSpaceDE/>
        <w:autoSpaceDN/>
        <w:bidi w:val="0"/>
        <w:adjustRightInd/>
        <w:snapToGrid/>
        <w:spacing w:before="313" w:beforeLines="100" w:after="313" w:afterLines="100" w:line="720" w:lineRule="auto"/>
        <w:jc w:val="center"/>
        <w:textAlignment w:val="auto"/>
        <w:rPr>
          <w:highlight w:val="none"/>
        </w:rPr>
      </w:pPr>
      <w:r>
        <w:rPr>
          <w:rFonts w:hint="eastAsia" w:ascii="宋体" w:hAnsi="宋体" w:eastAsia="宋体" w:cs="宋体"/>
          <w:b/>
          <w:bCs/>
          <w:color w:val="000000"/>
          <w:kern w:val="0"/>
          <w:sz w:val="55"/>
          <w:szCs w:val="55"/>
          <w:highlight w:val="none"/>
          <w:lang w:val="en-US" w:eastAsia="zh-CN" w:bidi="ar"/>
        </w:rPr>
        <w:t>分</w:t>
      </w:r>
    </w:p>
    <w:p w14:paraId="67B5B3FC">
      <w:pPr>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br w:type="page"/>
      </w:r>
    </w:p>
    <w:p w14:paraId="29303BC5">
      <w:pPr>
        <w:pStyle w:val="3"/>
        <w:kinsoku/>
        <w:wordWrap/>
        <w:overflowPunct/>
        <w:bidi w:val="0"/>
        <w:spacing w:line="360" w:lineRule="auto"/>
        <w:jc w:val="center"/>
        <w:rPr>
          <w:rFonts w:hint="default" w:ascii="宋体" w:hAnsi="宋体" w:eastAsia="宋体" w:cs="宋体"/>
          <w:b/>
          <w:bCs/>
          <w:color w:val="auto"/>
          <w:spacing w:val="0"/>
          <w:position w:val="0"/>
          <w:sz w:val="24"/>
          <w:szCs w:val="24"/>
          <w:highlight w:val="none"/>
          <w:lang w:val="en-US" w:eastAsia="zh-CN"/>
        </w:rPr>
      </w:pPr>
      <w:bookmarkStart w:id="1348" w:name="_Toc32008"/>
      <w:r>
        <w:rPr>
          <w:rFonts w:hint="eastAsia" w:ascii="宋体" w:hAnsi="宋体" w:eastAsia="宋体" w:cs="宋体"/>
          <w:b/>
          <w:bCs/>
          <w:color w:val="auto"/>
          <w:spacing w:val="0"/>
          <w:position w:val="0"/>
          <w:sz w:val="24"/>
          <w:szCs w:val="24"/>
          <w:highlight w:val="none"/>
          <w:lang w:val="en-US" w:eastAsia="zh-CN"/>
        </w:rPr>
        <w:t>技术</w:t>
      </w:r>
      <w:r>
        <w:rPr>
          <w:rFonts w:hint="eastAsia" w:ascii="宋体" w:hAnsi="宋体" w:cs="宋体"/>
          <w:b/>
          <w:bCs/>
          <w:color w:val="auto"/>
          <w:spacing w:val="0"/>
          <w:position w:val="0"/>
          <w:sz w:val="24"/>
          <w:szCs w:val="24"/>
          <w:highlight w:val="none"/>
          <w:lang w:val="en-US" w:eastAsia="zh-CN"/>
        </w:rPr>
        <w:t>部分</w:t>
      </w:r>
      <w:bookmarkEnd w:id="1347"/>
      <w:r>
        <w:rPr>
          <w:rFonts w:hint="eastAsia" w:ascii="宋体" w:hAnsi="宋体" w:cs="宋体"/>
          <w:b/>
          <w:bCs/>
          <w:color w:val="auto"/>
          <w:spacing w:val="0"/>
          <w:position w:val="0"/>
          <w:sz w:val="24"/>
          <w:szCs w:val="24"/>
          <w:highlight w:val="none"/>
          <w:lang w:val="en-US" w:eastAsia="zh-CN"/>
        </w:rPr>
        <w:t>内容</w:t>
      </w:r>
      <w:bookmarkEnd w:id="1348"/>
    </w:p>
    <w:p w14:paraId="6C5154A2">
      <w:pPr>
        <w:kinsoku/>
        <w:wordWrap/>
        <w:overflowPunct/>
        <w:bidi w:val="0"/>
        <w:spacing w:line="36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一、供应商应根据招标工程的具体情况，编制相应的施工组织设计。</w:t>
      </w:r>
    </w:p>
    <w:p w14:paraId="785D6388">
      <w:pPr>
        <w:kinsoku/>
        <w:wordWrap/>
        <w:overflowPunct/>
        <w:bidi w:val="0"/>
        <w:spacing w:line="36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二、施工组织设计包括下列内容：</w:t>
      </w:r>
    </w:p>
    <w:p w14:paraId="72200D6E">
      <w:pPr>
        <w:kinsoku/>
        <w:wordWrap/>
        <w:overflowPunct/>
        <w:bidi w:val="0"/>
        <w:spacing w:line="36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1、项目施工方案</w:t>
      </w:r>
    </w:p>
    <w:p w14:paraId="5F8D7560">
      <w:pPr>
        <w:kinsoku/>
        <w:wordWrap/>
        <w:overflowPunct/>
        <w:bidi w:val="0"/>
        <w:spacing w:line="36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2、质量保证措施</w:t>
      </w:r>
    </w:p>
    <w:p w14:paraId="3257A3DE">
      <w:pPr>
        <w:kinsoku/>
        <w:wordWrap/>
        <w:overflowPunct/>
        <w:bidi w:val="0"/>
        <w:spacing w:line="36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3、安全管理体系与措施</w:t>
      </w:r>
    </w:p>
    <w:p w14:paraId="3FAB0537">
      <w:pPr>
        <w:kinsoku/>
        <w:wordWrap/>
        <w:overflowPunct/>
        <w:bidi w:val="0"/>
        <w:spacing w:line="36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4、环保和文明施工措施</w:t>
      </w:r>
    </w:p>
    <w:p w14:paraId="19B83DA3">
      <w:pPr>
        <w:kinsoku/>
        <w:wordWrap/>
        <w:overflowPunct/>
        <w:bidi w:val="0"/>
        <w:spacing w:line="36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5、工程进度计划</w:t>
      </w:r>
    </w:p>
    <w:p w14:paraId="10CC56CA">
      <w:pPr>
        <w:kinsoku/>
        <w:wordWrap/>
        <w:overflowPunct/>
        <w:bidi w:val="0"/>
        <w:spacing w:line="36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6、应急预案</w:t>
      </w:r>
    </w:p>
    <w:p w14:paraId="0565EDCF">
      <w:pPr>
        <w:kinsoku/>
        <w:wordWrap/>
        <w:overflowPunct/>
        <w:bidi w:val="0"/>
        <w:spacing w:line="36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7、后续服务</w:t>
      </w:r>
    </w:p>
    <w:p w14:paraId="07BA0D40">
      <w:pPr>
        <w:kinsoku/>
        <w:wordWrap/>
        <w:overflowPunct/>
        <w:bidi w:val="0"/>
        <w:spacing w:line="36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8、其他技术方案</w:t>
      </w:r>
    </w:p>
    <w:p w14:paraId="7E0E9D09">
      <w:pPr>
        <w:kinsoku/>
        <w:wordWrap/>
        <w:overflowPunct/>
        <w:bidi w:val="0"/>
        <w:spacing w:line="36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供应商应结合工程实际，依据（乌建发【2017】71 号）等我市有关现行文件精神编制。</w:t>
      </w:r>
    </w:p>
    <w:p w14:paraId="7F3048BB">
      <w:pPr>
        <w:kinsoku/>
        <w:wordWrap/>
        <w:overflowPunct/>
        <w:bidi w:val="0"/>
        <w:spacing w:line="36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注：上述内容中若需要表格请供应商自行编制</w:t>
      </w:r>
    </w:p>
    <w:p w14:paraId="52C6625B">
      <w:pPr>
        <w:kinsoku/>
        <w:wordWrap/>
        <w:overflowPunct/>
        <w:bidi w:val="0"/>
        <w:jc w:val="center"/>
        <w:rPr>
          <w:rStyle w:val="56"/>
          <w:rFonts w:hint="eastAsia" w:ascii="宋体" w:hAnsi="宋体" w:eastAsia="宋体" w:cs="宋体"/>
          <w:b/>
          <w:bCs/>
          <w:i w:val="0"/>
          <w:caps w:val="0"/>
          <w:color w:val="auto"/>
          <w:spacing w:val="0"/>
          <w:w w:val="100"/>
          <w:kern w:val="2"/>
          <w:position w:val="0"/>
          <w:sz w:val="28"/>
          <w:szCs w:val="28"/>
          <w:highlight w:val="none"/>
          <w:lang w:val="en-US" w:eastAsia="zh-CN" w:bidi="ar-SA"/>
        </w:rPr>
      </w:pPr>
      <w:r>
        <w:rPr>
          <w:rFonts w:hint="eastAsia" w:ascii="宋体" w:hAnsi="宋体" w:eastAsia="宋体" w:cs="宋体"/>
          <w:color w:val="auto"/>
          <w:spacing w:val="0"/>
          <w:position w:val="0"/>
          <w:highlight w:val="none"/>
        </w:rPr>
        <w:br w:type="page"/>
      </w:r>
      <w:r>
        <w:rPr>
          <w:rStyle w:val="56"/>
          <w:rFonts w:hint="eastAsia" w:ascii="宋体" w:hAnsi="宋体" w:eastAsia="宋体" w:cs="宋体"/>
          <w:b/>
          <w:bCs/>
          <w:i w:val="0"/>
          <w:caps w:val="0"/>
          <w:color w:val="auto"/>
          <w:spacing w:val="0"/>
          <w:w w:val="100"/>
          <w:kern w:val="2"/>
          <w:position w:val="0"/>
          <w:sz w:val="28"/>
          <w:szCs w:val="28"/>
          <w:highlight w:val="none"/>
          <w:lang w:val="en-US" w:eastAsia="zh-CN" w:bidi="ar-SA"/>
        </w:rPr>
        <w:t>招标文件补充材料</w:t>
      </w:r>
    </w:p>
    <w:p w14:paraId="755F8C7C">
      <w:pPr>
        <w:keepNext w:val="0"/>
        <w:keepLines w:val="0"/>
        <w:widowControl/>
        <w:suppressLineNumbers w:val="0"/>
        <w:kinsoku/>
        <w:wordWrap/>
        <w:overflowPunct/>
        <w:bidi w:val="0"/>
        <w:jc w:val="left"/>
        <w:rPr>
          <w:rFonts w:hint="eastAsia" w:ascii="宋体" w:hAnsi="宋体" w:eastAsia="宋体" w:cs="宋体"/>
          <w:color w:val="auto"/>
          <w:spacing w:val="0"/>
          <w:position w:val="0"/>
          <w:highlight w:val="none"/>
        </w:rPr>
      </w:pPr>
      <w:r>
        <w:rPr>
          <w:rFonts w:hint="eastAsia" w:ascii="宋体" w:hAnsi="宋体" w:eastAsia="宋体" w:cs="宋体"/>
          <w:b/>
          <w:bCs/>
          <w:color w:val="auto"/>
          <w:spacing w:val="0"/>
          <w:kern w:val="0"/>
          <w:position w:val="0"/>
          <w:sz w:val="24"/>
          <w:szCs w:val="24"/>
          <w:highlight w:val="none"/>
          <w:lang w:val="en-US" w:eastAsia="zh-CN" w:bidi="ar"/>
        </w:rPr>
        <w:t>1、关于印发中小企业划型标准规定的通知（不属于投标文件格式，仅作为判断中小企业的依据）</w:t>
      </w:r>
    </w:p>
    <w:p w14:paraId="2DE20C9A">
      <w:pPr>
        <w:pStyle w:val="35"/>
        <w:keepNext w:val="0"/>
        <w:keepLines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0" w:beforeAutospacing="0" w:after="0" w:afterAutospacing="0"/>
        <w:ind w:left="0" w:right="0" w:firstLine="0"/>
        <w:jc w:val="center"/>
        <w:textAlignment w:val="center"/>
        <w:rPr>
          <w:rStyle w:val="42"/>
          <w:rFonts w:hint="eastAsia" w:ascii="宋体" w:hAnsi="宋体" w:eastAsia="宋体" w:cs="宋体"/>
          <w:i w:val="0"/>
          <w:iCs w:val="0"/>
          <w:caps w:val="0"/>
          <w:color w:val="auto"/>
          <w:spacing w:val="0"/>
          <w:position w:val="0"/>
          <w:sz w:val="36"/>
          <w:szCs w:val="36"/>
          <w:highlight w:val="none"/>
          <w:lang w:eastAsia="zh-CN"/>
        </w:rPr>
      </w:pPr>
      <w:r>
        <w:rPr>
          <w:rStyle w:val="42"/>
          <w:rFonts w:hint="eastAsia" w:ascii="宋体" w:hAnsi="宋体" w:eastAsia="宋体" w:cs="宋体"/>
          <w:i w:val="0"/>
          <w:iCs w:val="0"/>
          <w:caps w:val="0"/>
          <w:color w:val="auto"/>
          <w:spacing w:val="0"/>
          <w:position w:val="0"/>
          <w:sz w:val="36"/>
          <w:szCs w:val="36"/>
          <w:highlight w:val="none"/>
        </w:rPr>
        <w:t>关于印发中小企业划型标准规定的通知</w:t>
      </w:r>
    </w:p>
    <w:p w14:paraId="108A2CE7">
      <w:pPr>
        <w:pStyle w:val="35"/>
        <w:keepNext w:val="0"/>
        <w:keepLines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0" w:beforeAutospacing="0" w:after="0" w:afterAutospacing="0"/>
        <w:ind w:left="0" w:right="0" w:firstLine="0"/>
        <w:jc w:val="center"/>
        <w:textAlignment w:val="center"/>
        <w:rPr>
          <w:rFonts w:hint="eastAsia" w:ascii="宋体" w:hAnsi="宋体" w:eastAsia="宋体" w:cs="宋体"/>
          <w:i w:val="0"/>
          <w:iCs w:val="0"/>
          <w:caps w:val="0"/>
          <w:color w:val="auto"/>
          <w:spacing w:val="0"/>
          <w:position w:val="0"/>
          <w:sz w:val="21"/>
          <w:szCs w:val="21"/>
          <w:highlight w:val="none"/>
        </w:rPr>
      </w:pPr>
      <w:r>
        <w:rPr>
          <w:rFonts w:hint="eastAsia" w:ascii="宋体" w:hAnsi="宋体" w:eastAsia="宋体" w:cs="宋体"/>
          <w:i w:val="0"/>
          <w:iCs w:val="0"/>
          <w:caps w:val="0"/>
          <w:color w:val="auto"/>
          <w:spacing w:val="0"/>
          <w:position w:val="0"/>
          <w:sz w:val="21"/>
          <w:szCs w:val="21"/>
          <w:highlight w:val="none"/>
        </w:rPr>
        <w:t>工信部联企业〔2011〕300号</w:t>
      </w:r>
    </w:p>
    <w:p w14:paraId="6953930A">
      <w:pPr>
        <w:pStyle w:val="35"/>
        <w:keepNext w:val="0"/>
        <w:keepLines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0" w:beforeAutospacing="0" w:after="0" w:afterAutospacing="0"/>
        <w:ind w:left="0" w:right="0" w:firstLine="0"/>
        <w:textAlignment w:val="center"/>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各省、自治区、直辖市人民政府，国务院各部委、各直属机构及有关单位：</w:t>
      </w:r>
    </w:p>
    <w:p w14:paraId="28C440DF">
      <w:pPr>
        <w:pStyle w:val="35"/>
        <w:keepNext w:val="0"/>
        <w:keepLines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0" w:beforeAutospacing="0" w:after="0" w:afterAutospacing="0"/>
        <w:ind w:left="0" w:right="0" w:firstLine="0"/>
        <w:textAlignment w:val="center"/>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7B243D4D">
      <w:pPr>
        <w:pStyle w:val="35"/>
        <w:keepNext w:val="0"/>
        <w:keepLines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0" w:beforeAutospacing="0" w:after="0" w:afterAutospacing="0"/>
        <w:ind w:left="0" w:right="0" w:firstLine="0"/>
        <w:textAlignment w:val="center"/>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工业和信息化部　国家统计局</w:t>
      </w:r>
    </w:p>
    <w:p w14:paraId="5376A039">
      <w:pPr>
        <w:pStyle w:val="35"/>
        <w:keepNext w:val="0"/>
        <w:keepLines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0" w:beforeAutospacing="0" w:after="0" w:afterAutospacing="0"/>
        <w:ind w:left="0" w:right="0" w:firstLine="0"/>
        <w:textAlignment w:val="center"/>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国家发展和改革委员会　财政部</w:t>
      </w:r>
    </w:p>
    <w:p w14:paraId="17A3A9F6">
      <w:pPr>
        <w:pStyle w:val="35"/>
        <w:keepNext w:val="0"/>
        <w:keepLines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0" w:beforeAutospacing="0" w:after="0" w:afterAutospacing="0"/>
        <w:ind w:left="0" w:right="0" w:firstLine="0"/>
        <w:textAlignment w:val="center"/>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二○一一年六月十八日</w:t>
      </w:r>
    </w:p>
    <w:p w14:paraId="5FA90EB1">
      <w:pPr>
        <w:pStyle w:val="35"/>
        <w:keepNext w:val="0"/>
        <w:keepLines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0" w:beforeAutospacing="0" w:after="0" w:afterAutospacing="0"/>
        <w:ind w:left="0" w:right="0" w:firstLine="0"/>
        <w:textAlignment w:val="center"/>
        <w:rPr>
          <w:rFonts w:hint="eastAsia" w:ascii="宋体" w:hAnsi="宋体" w:eastAsia="宋体" w:cs="宋体"/>
          <w:i w:val="0"/>
          <w:iCs w:val="0"/>
          <w:caps w:val="0"/>
          <w:color w:val="auto"/>
          <w:spacing w:val="0"/>
          <w:position w:val="0"/>
          <w:sz w:val="21"/>
          <w:szCs w:val="21"/>
          <w:highlight w:val="none"/>
        </w:rPr>
      </w:pPr>
      <w:r>
        <w:rPr>
          <w:rFonts w:hint="eastAsia" w:ascii="宋体" w:hAnsi="宋体" w:eastAsia="宋体" w:cs="宋体"/>
          <w:i w:val="0"/>
          <w:iCs w:val="0"/>
          <w:caps w:val="0"/>
          <w:color w:val="auto"/>
          <w:spacing w:val="0"/>
          <w:position w:val="0"/>
          <w:sz w:val="21"/>
          <w:szCs w:val="21"/>
          <w:highlight w:val="none"/>
        </w:rPr>
        <w:t> </w:t>
      </w:r>
    </w:p>
    <w:p w14:paraId="11888EAB">
      <w:pPr>
        <w:pStyle w:val="35"/>
        <w:keepNext w:val="0"/>
        <w:keepLines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0" w:beforeAutospacing="0" w:after="0" w:afterAutospacing="0"/>
        <w:ind w:left="0" w:right="0" w:firstLine="0"/>
        <w:jc w:val="center"/>
        <w:textAlignment w:val="center"/>
        <w:rPr>
          <w:rFonts w:hint="eastAsia" w:ascii="宋体" w:hAnsi="宋体" w:eastAsia="宋体" w:cs="宋体"/>
          <w:i w:val="0"/>
          <w:iCs w:val="0"/>
          <w:caps w:val="0"/>
          <w:color w:val="auto"/>
          <w:spacing w:val="0"/>
          <w:position w:val="0"/>
          <w:sz w:val="21"/>
          <w:szCs w:val="21"/>
          <w:highlight w:val="none"/>
        </w:rPr>
      </w:pPr>
      <w:r>
        <w:rPr>
          <w:rStyle w:val="42"/>
          <w:rFonts w:hint="eastAsia" w:ascii="宋体" w:hAnsi="宋体" w:eastAsia="宋体" w:cs="宋体"/>
          <w:i w:val="0"/>
          <w:iCs w:val="0"/>
          <w:caps w:val="0"/>
          <w:color w:val="auto"/>
          <w:spacing w:val="0"/>
          <w:position w:val="0"/>
          <w:sz w:val="36"/>
          <w:szCs w:val="36"/>
          <w:highlight w:val="none"/>
        </w:rPr>
        <w:t>中小企业划型标准规定</w:t>
      </w:r>
    </w:p>
    <w:p w14:paraId="6032E1B9">
      <w:pPr>
        <w:pStyle w:val="13"/>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0" w:leftChars="0" w:firstLine="480" w:firstLineChars="200"/>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一、根据《中华人民共和国中小企业促进法》和《国务院关于进一步促进中小企业发展的若干意见》(国发〔2009〕36号)，制定本规定。</w:t>
      </w:r>
    </w:p>
    <w:p w14:paraId="4B537CC7">
      <w:pPr>
        <w:pStyle w:val="13"/>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0" w:leftChars="0" w:firstLine="480" w:firstLineChars="200"/>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二、中小企业划分为中型、小型、微型三种类型，具体标准根据企业从业人员、营业收入、资产总额等指标，结合行业特点制定。</w:t>
      </w:r>
    </w:p>
    <w:p w14:paraId="3B09C5DC">
      <w:pPr>
        <w:pStyle w:val="13"/>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0" w:leftChars="0" w:firstLine="480" w:firstLineChars="200"/>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4145388">
      <w:pPr>
        <w:pStyle w:val="13"/>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0" w:leftChars="0" w:firstLine="480" w:firstLineChars="200"/>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四、各行业划型标准为：</w:t>
      </w:r>
    </w:p>
    <w:p w14:paraId="7350FCF8">
      <w:pPr>
        <w:pStyle w:val="13"/>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0" w:leftChars="0" w:firstLine="480" w:firstLineChars="200"/>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（一）农、林、牧、渔业。营业收入20000万元以下的为中小微型企业。其中，营业收入500万元及以上的为中型企业，营业收入50万元及以上的为小型企业，营业收入50万元以下的为微型企业。</w:t>
      </w:r>
    </w:p>
    <w:p w14:paraId="0A3F3C79">
      <w:pPr>
        <w:pStyle w:val="13"/>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0" w:leftChars="0" w:firstLine="480" w:firstLineChars="200"/>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D455315">
      <w:pPr>
        <w:pStyle w:val="13"/>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0" w:leftChars="0" w:firstLine="480" w:firstLineChars="200"/>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DC7384A">
      <w:pPr>
        <w:pStyle w:val="13"/>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0" w:leftChars="0" w:firstLine="480" w:firstLineChars="200"/>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D90C6F9">
      <w:pPr>
        <w:pStyle w:val="13"/>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0" w:leftChars="0" w:firstLine="480" w:firstLineChars="200"/>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B41D46B">
      <w:pPr>
        <w:pStyle w:val="13"/>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0" w:leftChars="0" w:firstLine="480" w:firstLineChars="200"/>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6AC9BD3">
      <w:pPr>
        <w:pStyle w:val="13"/>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0" w:leftChars="0" w:firstLine="480" w:firstLineChars="200"/>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675B2C1">
      <w:pPr>
        <w:pStyle w:val="13"/>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0" w:leftChars="0" w:firstLine="480" w:firstLineChars="200"/>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5F0AC18">
      <w:pPr>
        <w:pStyle w:val="13"/>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0" w:leftChars="0" w:firstLine="480" w:firstLineChars="200"/>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E413B4C">
      <w:pPr>
        <w:pStyle w:val="13"/>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0" w:leftChars="0" w:firstLine="480" w:firstLineChars="200"/>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7404508">
      <w:pPr>
        <w:pStyle w:val="13"/>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0" w:leftChars="0" w:firstLine="480" w:firstLineChars="200"/>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956E230">
      <w:pPr>
        <w:pStyle w:val="13"/>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0" w:leftChars="0" w:firstLine="480" w:firstLineChars="200"/>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9632CC6">
      <w:pPr>
        <w:pStyle w:val="13"/>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0" w:leftChars="0" w:firstLine="480" w:firstLineChars="200"/>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60B282B">
      <w:pPr>
        <w:pStyle w:val="13"/>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0" w:leftChars="0" w:firstLine="480" w:firstLineChars="200"/>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DAB4133">
      <w:pPr>
        <w:pStyle w:val="13"/>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0" w:leftChars="0" w:firstLine="480" w:firstLineChars="200"/>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8CC2D0C">
      <w:pPr>
        <w:pStyle w:val="13"/>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0" w:leftChars="0" w:firstLine="480" w:firstLineChars="200"/>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（十六）其他未列明行业。从业人员300人以下的为中小微型企业。其中，从业人员100人及以上的为中型企业；从业人员10人及以上的为小型企业；从业人员10人以下的为微型企业。</w:t>
      </w:r>
    </w:p>
    <w:p w14:paraId="5CEA0F6B">
      <w:pPr>
        <w:pStyle w:val="13"/>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0" w:leftChars="0" w:firstLine="480" w:firstLineChars="200"/>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五、企业类型的划分以统计部门的统计数据为依据。</w:t>
      </w:r>
    </w:p>
    <w:p w14:paraId="46F480AA">
      <w:pPr>
        <w:pStyle w:val="13"/>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0" w:leftChars="0" w:firstLine="480" w:firstLineChars="200"/>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六、本规定适用于在中华人民共和国境内依法设立的各类所有制和各种组织形式的企业。个体工商户和本规定以外的行业，参照本规定进行划型。</w:t>
      </w:r>
    </w:p>
    <w:p w14:paraId="61D1243B">
      <w:pPr>
        <w:pStyle w:val="13"/>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0" w:leftChars="0" w:firstLine="480" w:firstLineChars="200"/>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七、本规定的中型企业标准上限即为大型企业标准的下限，国家统计部门据此制定大中小微型企业的统计分类。国务院有关部门据此进行相关数据分析，不得制定与本规定不一致的企业划型标准。</w:t>
      </w:r>
    </w:p>
    <w:p w14:paraId="53E56880">
      <w:pPr>
        <w:pStyle w:val="13"/>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0" w:leftChars="0" w:firstLine="480" w:firstLineChars="200"/>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八、本规定由工业和信息化部、国家统计局会同有关部门根据《国民经济行业分类》修订情况和企业发展变化情况适时修订。</w:t>
      </w:r>
    </w:p>
    <w:p w14:paraId="0A0F9919">
      <w:pPr>
        <w:pStyle w:val="13"/>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0" w:leftChars="0" w:firstLine="480" w:firstLineChars="200"/>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九、本规定由工业和信息化部、国家统计局会同有关部门负责解释。</w:t>
      </w:r>
    </w:p>
    <w:p w14:paraId="1933702F">
      <w:pPr>
        <w:pStyle w:val="13"/>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0" w:leftChars="0" w:firstLine="480" w:firstLineChars="200"/>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十、本规定自发布之日起执行，原国家经贸委、原国家计委、财政部和国家统计局2003年颁布的《中小企业标准暂行规定》同时废止。</w:t>
      </w:r>
    </w:p>
    <w:p w14:paraId="37F0FB48">
      <w:pPr>
        <w:kinsoku/>
        <w:wordWrap/>
        <w:overflowPunct/>
        <w:bidi w:val="0"/>
        <w:rPr>
          <w:rFonts w:hint="eastAsia" w:ascii="宋体" w:hAnsi="宋体" w:eastAsia="宋体" w:cs="宋体"/>
          <w:color w:val="auto"/>
          <w:highlight w:val="none"/>
        </w:rPr>
      </w:pPr>
    </w:p>
    <w:sectPr>
      <w:headerReference r:id="rId23" w:type="default"/>
      <w:footerReference r:id="rId24" w:type="default"/>
      <w:pgSz w:w="11906" w:h="16838"/>
      <w:pgMar w:top="1440" w:right="1531" w:bottom="1440" w:left="1531"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390493-B46B-4BEA-A375-CFEBBAD807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3F6F5FF-D24B-499F-9445-E630A8006E61}"/>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3AFF4724-36B3-4CB7-AEBC-8F5C374DAEF4}"/>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embedRegular r:id="rId4" w:fontKey="{B03CFB34-8CFC-4623-BB0A-029539ED8E09}"/>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embedRegular r:id="rId5" w:fontKey="{995B9021-109F-4042-8111-A65F467D3487}"/>
  </w:font>
  <w:font w:name="方正仿宋_GB2312">
    <w:panose1 w:val="02000000000000000000"/>
    <w:charset w:val="86"/>
    <w:family w:val="auto"/>
    <w:pitch w:val="default"/>
    <w:sig w:usb0="A00002BF" w:usb1="184F6CFA" w:usb2="00000012" w:usb3="00000000" w:csb0="00040001" w:csb1="00000000"/>
    <w:embedRegular r:id="rId6" w:fontKey="{2A6B6165-53AD-46DF-8555-06BF55354A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4C621">
    <w:pPr>
      <w:pStyle w:val="27"/>
      <w:ind w:left="300" w:right="360" w:hanging="300" w:hangingChars="100"/>
      <w:jc w:val="right"/>
      <w:rPr>
        <w:rFonts w:hint="eastAsia" w:ascii="仿宋_GB2312" w:eastAsia="仿宋_GB2312"/>
        <w:sz w:val="30"/>
        <w:szCs w:val="30"/>
      </w:rPr>
    </w:pPr>
  </w:p>
  <w:p w14:paraId="2B28BAC6">
    <w:pPr>
      <w:pStyle w:val="27"/>
      <w:ind w:left="180" w:hanging="180" w:hangingChars="100"/>
      <w:jc w:val="right"/>
      <w:rPr>
        <w:rFonts w:hint="eastAsia" w:eastAsia="楷体_GB2312"/>
      </w:rPr>
    </w:pPr>
    <w:r>
      <w:rPr>
        <w:rFonts w:hint="eastAsia" w:eastAsia="楷体_GB2312"/>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1CFE4">
    <w:pPr>
      <w:pStyle w:val="27"/>
      <w:rPr>
        <w:rFonts w:ascii="Times New Roman" w:hAnsi="Times New Roman" w:eastAsia="仿宋_GB2312"/>
        <w:sz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28C609">
                          <w:pPr>
                            <w:pStyle w:val="27"/>
                          </w:pPr>
                          <w:r>
                            <w:fldChar w:fldCharType="begin"/>
                          </w:r>
                          <w:r>
                            <w:instrText xml:space="preserve"> PAGE  \* MERGEFORMAT </w:instrText>
                          </w:r>
                          <w:r>
                            <w:fldChar w:fldCharType="separate"/>
                          </w:r>
                          <w:r>
                            <w:t>- 0 -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628C609">
                    <w:pPr>
                      <w:pStyle w:val="27"/>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C20B1">
    <w:pPr>
      <w:pStyle w:val="27"/>
      <w:rPr>
        <w:rFonts w:ascii="Times New Roman" w:hAnsi="Times New Roman" w:eastAsia="仿宋_GB2312"/>
        <w:sz w:val="24"/>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5B2268">
                          <w:pPr>
                            <w:pStyle w:val="27"/>
                          </w:pPr>
                          <w:r>
                            <w:fldChar w:fldCharType="begin"/>
                          </w:r>
                          <w:r>
                            <w:instrText xml:space="preserve"> PAGE  \* MERGEFORMAT </w:instrText>
                          </w:r>
                          <w:r>
                            <w:fldChar w:fldCharType="separate"/>
                          </w:r>
                          <w:r>
                            <w:t>- 0 -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485B2268">
                    <w:pPr>
                      <w:pStyle w:val="27"/>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95652">
    <w:pPr>
      <w:pStyle w:val="27"/>
      <w:rPr>
        <w:rFonts w:ascii="Times New Roman" w:hAnsi="Times New Roman" w:eastAsia="仿宋_GB2312"/>
        <w:sz w:val="24"/>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8EFC0B">
                          <w:pPr>
                            <w:pStyle w:val="27"/>
                          </w:pPr>
                          <w:r>
                            <w:fldChar w:fldCharType="begin"/>
                          </w:r>
                          <w:r>
                            <w:instrText xml:space="preserve"> PAGE  \* MERGEFORMAT </w:instrText>
                          </w:r>
                          <w:r>
                            <w:fldChar w:fldCharType="separate"/>
                          </w:r>
                          <w:r>
                            <w:t>- 0 -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158EFC0B">
                    <w:pPr>
                      <w:pStyle w:val="27"/>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180AD">
    <w:pPr>
      <w:pStyle w:val="27"/>
      <w:rPr>
        <w:rFonts w:ascii="Times New Roman" w:hAnsi="Times New Roman" w:eastAsia="仿宋_GB2312"/>
        <w:sz w:val="24"/>
      </w:rPr>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F4FE99">
                          <w:pPr>
                            <w:pStyle w:val="27"/>
                          </w:pPr>
                          <w:r>
                            <w:fldChar w:fldCharType="begin"/>
                          </w:r>
                          <w:r>
                            <w:instrText xml:space="preserve"> PAGE  \* MERGEFORMAT </w:instrText>
                          </w:r>
                          <w:r>
                            <w:fldChar w:fldCharType="separate"/>
                          </w:r>
                          <w:r>
                            <w:t>- 0 -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14:paraId="56F4FE99">
                    <w:pPr>
                      <w:pStyle w:val="27"/>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2CAF8">
    <w:pPr>
      <w:pStyle w:val="27"/>
      <w:rPr>
        <w:rFonts w:ascii="Times New Roman" w:hAnsi="Times New Roman" w:eastAsia="仿宋_GB2312"/>
        <w:sz w:val="24"/>
      </w:rPr>
    </w:pPr>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5F388B">
                          <w:pPr>
                            <w:pStyle w:val="27"/>
                          </w:pPr>
                          <w:r>
                            <w:fldChar w:fldCharType="begin"/>
                          </w:r>
                          <w:r>
                            <w:instrText xml:space="preserve"> PAGE  \* MERGEFORMAT </w:instrText>
                          </w:r>
                          <w:r>
                            <w:fldChar w:fldCharType="separate"/>
                          </w:r>
                          <w:r>
                            <w:t>- 0 -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gUys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GaEsctTvz888f515/z7+8E&#10;fShQH6DGvIeAmWn44AdMnv2Azsx7UNHmLzIiGEd5Txd55ZCIyI9Wy9WqwpDA2HxBfPb4PERIH6W3&#10;JBsNjTi/Iis/3kEaU+eUXM35W21MmaFx/zkQM3tY7n3sMVtp2A0ToZ1vT8inx9E31OGmU2I+OVQ2&#10;b8lsxNnYzcYhRL3vyhrlehDeHxI2UXrLFUbYqTDOrLCb9isvxb/3kvX4T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BTKyQEAAJsDAAAOAAAAAAAAAAEAIAAAAB4BAABkcnMvZTJvRG9j&#10;LnhtbFBLBQYAAAAABgAGAFkBAABZBQAAAAA=&#10;">
              <v:fill on="f" focussize="0,0"/>
              <v:stroke on="f"/>
              <v:imagedata o:title=""/>
              <o:lock v:ext="edit" aspectratio="f"/>
              <v:textbox inset="0mm,0mm,0mm,0mm" style="mso-fit-shape-to-text:t;">
                <w:txbxContent>
                  <w:p w14:paraId="1C5F388B">
                    <w:pPr>
                      <w:pStyle w:val="27"/>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D230B">
    <w:pPr>
      <w:pStyle w:val="27"/>
      <w:rPr>
        <w:rFonts w:ascii="Times New Roman" w:hAnsi="Times New Roman" w:eastAsia="仿宋_GB2312"/>
        <w:sz w:val="24"/>
      </w:rPr>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18067F">
                          <w:pPr>
                            <w:pStyle w:val="27"/>
                          </w:pPr>
                          <w:r>
                            <w:fldChar w:fldCharType="begin"/>
                          </w:r>
                          <w:r>
                            <w:instrText xml:space="preserve"> PAGE  \* MERGEFORMAT </w:instrText>
                          </w:r>
                          <w:r>
                            <w:fldChar w:fldCharType="separate"/>
                          </w:r>
                          <w:r>
                            <w:t>- 0 -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FvRG8k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sJbShy3OPHzzx/nX4/nh+8E&#10;fShQH6DGvLuAmWl47wdMnv2Azsx7UNHmLzIiGEd5Txd55ZCIyI9Wy9WqwpDA2HxBfPb0PERIH6S3&#10;JBsNjTi/Iis/foI0ps4puZrzt9qYMkPj/nIgZvaw3PvYY7bSsBsmQjvfnpBPj6NvqMNNp8R8dKhs&#10;3pLZiLOxm41DiHrflTXK9SC8Oy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9EbyQEAAJsDAAAOAAAAAAAAAAEAIAAAAB4BAABkcnMvZTJvRG9j&#10;LnhtbFBLBQYAAAAABgAGAFkBAABZBQAAAAA=&#10;">
              <v:fill on="f" focussize="0,0"/>
              <v:stroke on="f"/>
              <v:imagedata o:title=""/>
              <o:lock v:ext="edit" aspectratio="f"/>
              <v:textbox inset="0mm,0mm,0mm,0mm" style="mso-fit-shape-to-text:t;">
                <w:txbxContent>
                  <w:p w14:paraId="1918067F">
                    <w:pPr>
                      <w:pStyle w:val="27"/>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272C7">
    <w:pPr>
      <w:pStyle w:val="27"/>
      <w:jc w:val="center"/>
      <w:rPr>
        <w:rFonts w:ascii="Times New Roman" w:hAnsi="Times New Roman" w:eastAsia="仿宋_GB2312"/>
        <w:sz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0D65FC">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90D65FC">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5AC8D">
    <w:pPr>
      <w:pStyle w:val="27"/>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3EB18">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333EB18">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77236">
    <w:pPr>
      <w:pStyle w:val="27"/>
      <w:ind w:left="300" w:right="360" w:hanging="300" w:hangingChars="100"/>
      <w:jc w:val="right"/>
      <w:rPr>
        <w:rFonts w:hint="eastAsia" w:ascii="仿宋_GB2312" w:eastAsia="仿宋_GB2312"/>
        <w:sz w:val="30"/>
        <w:szCs w:val="30"/>
      </w:rPr>
    </w:pPr>
    <w:r>
      <w:rPr>
        <w:sz w:val="3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6B06CE7">
                          <w:pPr>
                            <w:pStyle w:val="27"/>
                          </w:pPr>
                          <w:r>
                            <w:fldChar w:fldCharType="begin"/>
                          </w:r>
                          <w:r>
                            <w:instrText xml:space="preserve"> PAGE  \* MERGEFORMAT </w:instrText>
                          </w:r>
                          <w:r>
                            <w:fldChar w:fldCharType="separate"/>
                          </w:r>
                          <w:r>
                            <w:t>１</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BTkCeIBAADNAwAADgAAAGRycy9lMm9Eb2MueG1srVNNrtMwEN4jcQfL&#10;e5q0EqiKmj4B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hvahCVnTli68cv3b5cfvy4/v7Ln&#10;SZ/eY0Vld54K4/AKBqqd40jBRHtog01/IsQoT+qer+qqITKZDq1X63VJKUm52SH84v64DxjfKLAs&#10;GTUPdH1ZVXF6h3EsnUtSNwe32ph8hcb9FSDMMaLyDkynE5Nx4mTFYT9M9PbQnIkdvQrq2kH4wllP&#10;O1FzR0+AM/PWkeRpfWYjzMZ+NoSTdLDmkbPRfB3HNTv6oA9dXrw0IvqXx0hzZzppjLE3yZAcuuUs&#10;yLSRaY3+9HPV/Svc/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jBTkCeIBAADNAwAADgAA&#10;AAAAAAABACAAAAAeAQAAZHJzL2Uyb0RvYy54bWxQSwUGAAAAAAYABgBZAQAAcgUAAAAA&#10;">
              <v:fill on="f" focussize="0,0"/>
              <v:stroke on="f"/>
              <v:imagedata o:title=""/>
              <o:lock v:ext="edit" aspectratio="f"/>
              <v:textbox inset="0mm,0mm,0mm,0mm" style="mso-fit-shape-to-text:t;">
                <w:txbxContent>
                  <w:p w14:paraId="36B06CE7">
                    <w:pPr>
                      <w:pStyle w:val="27"/>
                    </w:pPr>
                    <w:r>
                      <w:fldChar w:fldCharType="begin"/>
                    </w:r>
                    <w:r>
                      <w:instrText xml:space="preserve"> PAGE  \* MERGEFORMAT </w:instrText>
                    </w:r>
                    <w:r>
                      <w:fldChar w:fldCharType="separate"/>
                    </w:r>
                    <w:r>
                      <w:t>１</w:t>
                    </w:r>
                    <w:r>
                      <w:fldChar w:fldCharType="end"/>
                    </w:r>
                  </w:p>
                </w:txbxContent>
              </v:textbox>
            </v:shape>
          </w:pict>
        </mc:Fallback>
      </mc:AlternateContent>
    </w:r>
  </w:p>
  <w:p w14:paraId="3884AC34">
    <w:pPr>
      <w:pStyle w:val="27"/>
      <w:ind w:left="180" w:hanging="180" w:hangingChars="100"/>
      <w:jc w:val="right"/>
      <w:rPr>
        <w:rFonts w:hint="eastAsia" w:eastAsia="楷体_GB2312"/>
      </w:rPr>
    </w:pPr>
    <w:r>
      <w:rPr>
        <w:rFonts w:hint="eastAsia" w:eastAsia="楷体_GB231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DE7BF">
    <w:pPr>
      <w:pStyle w:val="27"/>
      <w:jc w:val="center"/>
    </w:pPr>
    <w:r>
      <w:fldChar w:fldCharType="begin"/>
    </w:r>
    <w:r>
      <w:rPr>
        <w:highlight w:val="white"/>
      </w:rPr>
      <w:instrText xml:space="preserve">PAGE   \* MERGEFORMAT</w:instrText>
    </w:r>
    <w:r>
      <w:fldChar w:fldCharType="separate"/>
    </w:r>
    <w:r>
      <w:t>36</w:t>
    </w:r>
    <w:r>
      <w:fldChar w:fldCharType="end"/>
    </w:r>
  </w:p>
  <w:p w14:paraId="0B08C25F">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0968C">
    <w:pPr>
      <w:pStyle w:val="27"/>
      <w:jc w:val="center"/>
      <w:rPr>
        <w:rFonts w:ascii="Times New Roman" w:hAnsi="Times New Roman" w:eastAsia="仿宋_GB2312"/>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587208">
                          <w:pPr>
                            <w:pStyle w:val="27"/>
                            <w:jc w:val="cente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9</w:t>
                          </w:r>
                          <w:r>
                            <w:rPr>
                              <w:rFonts w:ascii="Times New Roman" w:hAnsi="Times New Roman" w:eastAsia="仿宋_GB2312"/>
                              <w:sz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10587208">
                    <w:pPr>
                      <w:pStyle w:val="27"/>
                      <w:jc w:val="cente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9</w:t>
                    </w:r>
                    <w:r>
                      <w:rPr>
                        <w:rFonts w:ascii="Times New Roman" w:hAnsi="Times New Roman" w:eastAsia="仿宋_GB2312"/>
                        <w:sz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C623A">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C1722">
    <w:pPr>
      <w:pStyle w:val="2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06EACD">
                          <w:pPr>
                            <w:pStyle w:val="27"/>
                          </w:pPr>
                          <w:r>
                            <w:fldChar w:fldCharType="begin"/>
                          </w:r>
                          <w:r>
                            <w:instrText xml:space="preserve"> PAGE  \* MERGEFORMAT </w:instrText>
                          </w:r>
                          <w:r>
                            <w:fldChar w:fldCharType="separate"/>
                          </w:r>
                          <w:r>
                            <w:t>- 0 -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7F06EACD">
                    <w:pPr>
                      <w:pStyle w:val="27"/>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180B9">
    <w:pPr>
      <w:pStyle w:val="27"/>
      <w:rPr>
        <w:rFonts w:ascii="Times New Roman" w:hAnsi="Times New Roman" w:eastAsia="仿宋_GB2312"/>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9838D3">
                          <w:pPr>
                            <w:pStyle w:val="27"/>
                          </w:pPr>
                          <w:r>
                            <w:fldChar w:fldCharType="begin"/>
                          </w:r>
                          <w:r>
                            <w:instrText xml:space="preserve"> PAGE  \* MERGEFORMAT </w:instrText>
                          </w:r>
                          <w:r>
                            <w:fldChar w:fldCharType="separate"/>
                          </w:r>
                          <w:r>
                            <w:t>- 0 -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14:paraId="4E9838D3">
                    <w:pPr>
                      <w:pStyle w:val="27"/>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42953">
    <w:pPr>
      <w:pStyle w:val="2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B5E19C">
                          <w:pPr>
                            <w:pStyle w:val="27"/>
                          </w:pPr>
                          <w:r>
                            <w:fldChar w:fldCharType="begin"/>
                          </w:r>
                          <w:r>
                            <w:instrText xml:space="preserve"> PAGE  \* MERGEFORMAT </w:instrText>
                          </w:r>
                          <w:r>
                            <w:fldChar w:fldCharType="separate"/>
                          </w:r>
                          <w:r>
                            <w:t>- 0 -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2B5E19C">
                    <w:pPr>
                      <w:pStyle w:val="27"/>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4D8EC">
    <w:pPr>
      <w:pStyle w:val="27"/>
      <w:rPr>
        <w:rFonts w:ascii="Times New Roman" w:hAnsi="Times New Roman" w:eastAsia="仿宋_GB2312"/>
        <w:sz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E5F17A">
                          <w:pPr>
                            <w:pStyle w:val="27"/>
                          </w:pPr>
                          <w:r>
                            <w:fldChar w:fldCharType="begin"/>
                          </w:r>
                          <w:r>
                            <w:instrText xml:space="preserve"> PAGE  \* MERGEFORMAT </w:instrText>
                          </w:r>
                          <w:r>
                            <w:fldChar w:fldCharType="separate"/>
                          </w:r>
                          <w:r>
                            <w:t>- 0 -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15E5F17A">
                    <w:pPr>
                      <w:pStyle w:val="27"/>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E770B">
    <w:pPr>
      <w:pStyle w:val="27"/>
      <w:rPr>
        <w:rFonts w:ascii="Times New Roman" w:hAnsi="Times New Roman" w:eastAsia="仿宋_GB2312"/>
        <w:sz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59BA38">
                          <w:pPr>
                            <w:pStyle w:val="27"/>
                          </w:pPr>
                          <w:r>
                            <w:fldChar w:fldCharType="begin"/>
                          </w:r>
                          <w:r>
                            <w:instrText xml:space="preserve"> PAGE  \* MERGEFORMAT </w:instrText>
                          </w:r>
                          <w:r>
                            <w:fldChar w:fldCharType="separate"/>
                          </w:r>
                          <w:r>
                            <w:t>- 0 -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1B59BA38">
                    <w:pPr>
                      <w:pStyle w:val="27"/>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B1741">
    <w:pPr>
      <w:snapToGrid w:val="0"/>
      <w:ind w:firstLine="4515" w:firstLineChars="2150"/>
      <w:rPr>
        <w:rFonts w:ascii="Calibri" w:hAnsi="Calibri" w:eastAsia="黑体"/>
        <w:szCs w:val="21"/>
      </w:rPr>
    </w:pPr>
    <w:r>
      <w:rPr>
        <w:rFonts w:ascii="黑体" w:hAnsi="宋体" w:eastAsia="黑体"/>
        <w:szCs w:val="21"/>
      </w:rPr>
      <mc:AlternateContent>
        <mc:Choice Requires="wps">
          <w:drawing>
            <wp:anchor distT="0" distB="0" distL="0" distR="0" simplePos="0" relativeHeight="251662336" behindDoc="1" locked="0" layoutInCell="0" allowOverlap="1">
              <wp:simplePos x="0" y="0"/>
              <wp:positionH relativeFrom="page">
                <wp:posOffset>962025</wp:posOffset>
              </wp:positionH>
              <wp:positionV relativeFrom="page">
                <wp:posOffset>539750</wp:posOffset>
              </wp:positionV>
              <wp:extent cx="5277485" cy="374015"/>
              <wp:effectExtent l="0" t="0" r="0" b="0"/>
              <wp:wrapNone/>
              <wp:docPr id="3" name="文本框 2"/>
              <wp:cNvGraphicFramePr/>
              <a:graphic xmlns:a="http://schemas.openxmlformats.org/drawingml/2006/main">
                <a:graphicData uri="http://schemas.microsoft.com/office/word/2010/wordprocessingShape">
                  <wps:wsp>
                    <wps:cNvSpPr txBox="1"/>
                    <wps:spPr>
                      <a:xfrm>
                        <a:off x="0" y="0"/>
                        <a:ext cx="5277485" cy="374015"/>
                      </a:xfrm>
                      <a:prstGeom prst="rect">
                        <a:avLst/>
                      </a:prstGeom>
                      <a:noFill/>
                      <a:ln>
                        <a:noFill/>
                      </a:ln>
                      <a:effectLst>
                        <a:outerShdw algn="ctr" rotWithShape="0">
                          <a:srgbClr val="A0A0A4"/>
                        </a:outerShdw>
                      </a:effectLst>
                    </wps:spPr>
                    <wps:bodyPr wrap="square" lIns="0" tIns="0" rIns="0" bIns="0" upright="1"/>
                  </wps:wsp>
                </a:graphicData>
              </a:graphic>
            </wp:anchor>
          </w:drawing>
        </mc:Choice>
        <mc:Fallback>
          <w:pict>
            <v:shape id="文本框 2" o:spid="_x0000_s1026" o:spt="202" type="#_x0000_t202" style="position:absolute;left:0pt;margin-left:75.75pt;margin-top:42.5pt;height:29.45pt;width:415.55pt;mso-position-horizontal-relative:page;mso-position-vertical-relative:page;z-index:-251654144;mso-width-relative:page;mso-height-relative:page;" filled="f" stroked="f" coordsize="21600,21600" o:allowincell="f" o:gfxdata="UEsDBAoAAAAAAIdO4kAAAAAAAAAAAAAAAAAEAAAAZHJzL1BLAwQUAAAACACHTuJAnzaG4NcAAAAK&#10;AQAADwAAAGRycy9kb3ducmV2LnhtbE2PzU7DMBCE70i8g7VI3KiTQKIkxKlUBBy4tSV3N3adtPY6&#10;it0f3p7lRI+jGc180yyvzrKznsPoUUC6SIBp7L0a0Qj43n48lcBClKik9agF/OgAy/b+rpG18hdc&#10;6/MmGkYlGGopYIhxqjkP/aCdDAs/aSRv72cnI8nZcDXLC5U7y7MkKbiTI9LCICf9Nuj+uDk52p2t&#10;6fjnvlsVqluvvrJD9W62Qjw+pMkrsKiv8T8Mf/iEDi0x7fwJVWCWdJ7mFBVQ5vSJAlWZFcB25Lw8&#10;V8Dbht9eaH8BUEsDBBQAAAAIAIdO4kBlWubl9AEAAOADAAAOAAAAZHJzL2Uyb0RvYy54bWytU82O&#10;0zAQviPxDpbvNGm3pauo6QqoFiEhQCqIs+s4iSX/MXab9AXgDThx4c5z9TkYO00py2UPKJIzmRl/&#10;M983k9VdrxU5CPDSmpJOJzklwnBbSdOU9NPH+2e3lPjATMWUNaKkR+Hp3frpk1XnCjGzrVWVAIIg&#10;xhedK2kbgiuyzPNWaOYn1gmDwdqCZgE/ockqYB2ia5XN8vx51lmoHFguvEfvZgjSMyI8BtDWteRi&#10;Y/leCxMGVBCKBaTkW+k8Xadu61rw8L6uvQhElRSZhnRiEbR38czWK1Y0wFwr+bkF9pgWHnDSTBos&#10;eoHasMDIHuQ/UFpysN7WYcKtzgYiSRFkMc0faLNtmROJC0rt3UV0//9g+bvDByCyKukNJYZpHPjp&#10;+7fTj1+nn1/JLMrTOV9g1tZhXuhf2h6XZvR7dEbWfQ06vpEPwTiKe7yIK/pAODoXs+VyfrughGPs&#10;ZjnPp4sIk/257cCH18JqEo2SAg4vacoOb30YUseUWMzYe6lUGqAyfzkQc/CItAF4OzW3DwK2bdUR&#10;phpcfR6AErDhswxtUjq2HBM9NLtXCsiB4dK8yPGZnzu1I0Tq+wo9iyoNakRrZ6sjytXhXpXUf9kz&#10;EJSoNwYHF5dwNGA0dqOxdyCbFskniRMqDj5VOy9p3Kzrb7Svf8z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82huDXAAAACgEAAA8AAAAAAAAAAQAgAAAAIgAAAGRycy9kb3ducmV2LnhtbFBLAQIU&#10;ABQAAAAIAIdO4kBlWubl9AEAAOADAAAOAAAAAAAAAAEAIAAAACYBAABkcnMvZTJvRG9jLnhtbFBL&#10;BQYAAAAABgAGAFkBAACMBQAAAAA=&#10;">
              <v:fill on="f" focussize="0,0"/>
              <v:stroke on="f"/>
              <v:imagedata o:title=""/>
              <o:lock v:ext="edit" aspectratio="f"/>
              <v:shadow on="t" color="#A0A0A4" offset="0pt,0pt" origin="0f,0f" matrix="65536f,0f,0f,65536f"/>
              <v:textbox inset="0mm,0mm,0mm,0mm"/>
            </v:shape>
          </w:pict>
        </mc:Fallback>
      </mc:AlternateContent>
    </w:r>
    <w:r>
      <w:rPr>
        <w:rFonts w:ascii="Calibri" w:hAnsi="Calibri" w:eastAsia="黑体"/>
        <w:szCs w:val="21"/>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20E75">
    <w:pPr>
      <w:rPr>
        <w:rFonts w:hint="eastAsia"/>
        <w:sz w:val="18"/>
        <w:szCs w:val="18"/>
      </w:rPr>
    </w:pPr>
    <w:r>
      <w:rPr>
        <w:rFonts w:hint="eastAsia"/>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1B9E8">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6A70C">
    <w:pPr>
      <w:snapToGrid w:val="0"/>
      <w:ind w:firstLine="4515" w:firstLineChars="2150"/>
      <w:rPr>
        <w:rFonts w:ascii="Calibri" w:hAnsi="Calibri" w:eastAsia="黑体"/>
        <w:szCs w:val="21"/>
      </w:rPr>
    </w:pPr>
    <w:r>
      <w:rPr>
        <w:rFonts w:ascii="黑体" w:hAnsi="宋体" w:eastAsia="黑体"/>
        <w:szCs w:val="21"/>
      </w:rPr>
      <mc:AlternateContent>
        <mc:Choice Requires="wps">
          <w:drawing>
            <wp:anchor distT="0" distB="0" distL="0" distR="0" simplePos="0" relativeHeight="251660288" behindDoc="1" locked="0" layoutInCell="0" allowOverlap="1">
              <wp:simplePos x="0" y="0"/>
              <wp:positionH relativeFrom="page">
                <wp:posOffset>962025</wp:posOffset>
              </wp:positionH>
              <wp:positionV relativeFrom="page">
                <wp:posOffset>539750</wp:posOffset>
              </wp:positionV>
              <wp:extent cx="5277485" cy="374015"/>
              <wp:effectExtent l="0" t="0" r="0" b="0"/>
              <wp:wrapNone/>
              <wp:docPr id="10" name="文本框 2"/>
              <wp:cNvGraphicFramePr/>
              <a:graphic xmlns:a="http://schemas.openxmlformats.org/drawingml/2006/main">
                <a:graphicData uri="http://schemas.microsoft.com/office/word/2010/wordprocessingShape">
                  <wps:wsp>
                    <wps:cNvSpPr txBox="1"/>
                    <wps:spPr>
                      <a:xfrm>
                        <a:off x="0" y="0"/>
                        <a:ext cx="5277485" cy="374015"/>
                      </a:xfrm>
                      <a:prstGeom prst="rect">
                        <a:avLst/>
                      </a:prstGeom>
                      <a:noFill/>
                      <a:ln>
                        <a:noFill/>
                      </a:ln>
                      <a:effectLst>
                        <a:outerShdw algn="ctr" rotWithShape="0">
                          <a:srgbClr val="A0A0A4"/>
                        </a:outerShdw>
                      </a:effectLst>
                    </wps:spPr>
                    <wps:bodyPr vert="horz" wrap="square" lIns="0" tIns="0" rIns="0" bIns="0" anchor="t" anchorCtr="0" upright="1"/>
                  </wps:wsp>
                </a:graphicData>
              </a:graphic>
            </wp:anchor>
          </w:drawing>
        </mc:Choice>
        <mc:Fallback>
          <w:pict>
            <v:shape id="文本框 2" o:spid="_x0000_s1026" o:spt="202" type="#_x0000_t202" style="position:absolute;left:0pt;margin-left:75.75pt;margin-top:42.5pt;height:29.45pt;width:415.55pt;mso-position-horizontal-relative:page;mso-position-vertical-relative:page;z-index:-251656192;mso-width-relative:page;mso-height-relative:page;" filled="f" stroked="f" coordsize="21600,21600" o:allowincell="f" o:gfxdata="UEsDBAoAAAAAAIdO4kAAAAAAAAAAAAAAAAAEAAAAZHJzL1BLAwQUAAAACACHTuJAnzaG4NcAAAAK&#10;AQAADwAAAGRycy9kb3ducmV2LnhtbE2PzU7DMBCE70i8g7VI3KiTQKIkxKlUBBy4tSV3N3adtPY6&#10;it0f3p7lRI+jGc180yyvzrKznsPoUUC6SIBp7L0a0Qj43n48lcBClKik9agF/OgAy/b+rpG18hdc&#10;6/MmGkYlGGopYIhxqjkP/aCdDAs/aSRv72cnI8nZcDXLC5U7y7MkKbiTI9LCICf9Nuj+uDk52p2t&#10;6fjnvlsVqluvvrJD9W62Qjw+pMkrsKiv8T8Mf/iEDi0x7fwJVWCWdJ7mFBVQ5vSJAlWZFcB25Lw8&#10;V8Dbht9eaH8BUEsDBBQAAAAIAIdO4kCRuaBpCQIAAAYEAAAOAAAAZHJzL2Uyb0RvYy54bWytU82O&#10;0zAQviPxDpbvNGlp6SpquoKtFiEhQOquOLuOk1jyH2O3aXkAeANOe+HOc/U5GDtNKctlDyhSMhmP&#10;P8/3zefF9V4rshPgpTUlHY9ySoThtpKmKen93e2LK0p8YKZiyhpR0oPw9Hr5/Nmic4WY2NaqSgBB&#10;EOOLzpW0DcEVWeZ5KzTzI+uEwcXagmYBf6HJKmAdomuVTfL8VdZZqBxYLrzH7KpfpCdEeAqgrWvJ&#10;xcryrRYm9KggFAtIybfSebpM3da14OFjXXsRiCopMg3pjYdgvInvbLlgRQPMtZKfWmBPaeERJ82k&#10;wUPPUCsWGNmC/AdKSw7W2zqMuNVZTyQpgizG+SNt1i1zInFBqb07i+7/Hyz/sPsERFboBJTEMI0T&#10;P/74fnz4dfz5jUyiPp3zBZatHRaG/Ru7x9oh7zEZae9r0PGLhAiuI9ThrK7YB8IxOZvM59OrGSUc&#10;117Op/l4FmGyP7sd+PBWWE1iUFLA6SVR2e69D33pUBIPM/ZWKpUmqMxfCcTsMyJZAHen5rZBwLqt&#10;OsJUg97nASgBGz7L0CapY8ux0EOzuVFAdgxd8zrHZ3rq1A4Qqe8L9Cyq1KsRo42tDigXXjPk0Vr4&#10;SkmHJiup/7JlIChR7wxOMTpyCGAINkPADMetJQ2U9OFN6J27dSCbFpHTHNLRaI/U0snK0X+X/xhf&#10;Xt/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82huDXAAAACgEAAA8AAAAAAAAAAQAgAAAAIgAA&#10;AGRycy9kb3ducmV2LnhtbFBLAQIUABQAAAAIAIdO4kCRuaBpCQIAAAYEAAAOAAAAAAAAAAEAIAAA&#10;ACYBAABkcnMvZTJvRG9jLnhtbFBLBQYAAAAABgAGAFkBAAChBQAAAAA=&#10;">
              <v:fill on="f" focussize="0,0"/>
              <v:stroke on="f"/>
              <v:imagedata o:title=""/>
              <o:lock v:ext="edit" aspectratio="f"/>
              <v:shadow on="t" color="#A0A0A4" offset="0pt,0pt" origin="0f,0f" matrix="65536f,0f,0f,65536f"/>
              <v:textbox inset="0mm,0mm,0mm,0mm"/>
            </v:shape>
          </w:pict>
        </mc:Fallback>
      </mc:AlternateContent>
    </w:r>
    <w:r>
      <w:rPr>
        <w:rFonts w:ascii="Calibri" w:hAnsi="Calibri" w:eastAsia="黑体"/>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1B1C5"/>
    <w:multiLevelType w:val="singleLevel"/>
    <w:tmpl w:val="8FF1B1C5"/>
    <w:lvl w:ilvl="0" w:tentative="0">
      <w:start w:val="4"/>
      <w:numFmt w:val="chineseCounting"/>
      <w:suff w:val="space"/>
      <w:lvlText w:val="第%1章"/>
      <w:lvlJc w:val="left"/>
      <w:rPr>
        <w:rFonts w:hint="eastAsia"/>
      </w:rPr>
    </w:lvl>
  </w:abstractNum>
  <w:abstractNum w:abstractNumId="1">
    <w:nsid w:val="98DFAF43"/>
    <w:multiLevelType w:val="singleLevel"/>
    <w:tmpl w:val="98DFAF43"/>
    <w:lvl w:ilvl="0" w:tentative="0">
      <w:start w:val="2"/>
      <w:numFmt w:val="decimal"/>
      <w:suff w:val="nothing"/>
      <w:lvlText w:val="%1、"/>
      <w:lvlJc w:val="left"/>
    </w:lvl>
  </w:abstractNum>
  <w:abstractNum w:abstractNumId="2">
    <w:nsid w:val="9B2EED2B"/>
    <w:multiLevelType w:val="singleLevel"/>
    <w:tmpl w:val="9B2EED2B"/>
    <w:lvl w:ilvl="0" w:tentative="0">
      <w:start w:val="2"/>
      <w:numFmt w:val="decimal"/>
      <w:suff w:val="nothing"/>
      <w:lvlText w:val="（%1）"/>
      <w:lvlJc w:val="left"/>
    </w:lvl>
  </w:abstractNum>
  <w:abstractNum w:abstractNumId="3">
    <w:nsid w:val="00000001"/>
    <w:multiLevelType w:val="singleLevel"/>
    <w:tmpl w:val="00000001"/>
    <w:lvl w:ilvl="0" w:tentative="0">
      <w:start w:val="1"/>
      <w:numFmt w:val="chineseCounting"/>
      <w:suff w:val="space"/>
      <w:lvlText w:val="第%1部分"/>
      <w:lvlJc w:val="left"/>
      <w:rPr>
        <w:rFonts w:hint="eastAsia"/>
      </w:rPr>
    </w:lvl>
  </w:abstractNum>
  <w:abstractNum w:abstractNumId="4">
    <w:nsid w:val="00000002"/>
    <w:multiLevelType w:val="singleLevel"/>
    <w:tmpl w:val="00000002"/>
    <w:lvl w:ilvl="0" w:tentative="0">
      <w:start w:val="1"/>
      <w:numFmt w:val="decimal"/>
      <w:suff w:val="nothing"/>
      <w:lvlText w:val="（%1）"/>
      <w:lvlJc w:val="left"/>
    </w:lvl>
  </w:abstractNum>
  <w:abstractNum w:abstractNumId="5">
    <w:nsid w:val="0000000A"/>
    <w:multiLevelType w:val="multilevel"/>
    <w:tmpl w:val="0000000A"/>
    <w:lvl w:ilvl="0" w:tentative="0">
      <w:start w:val="0"/>
      <w:numFmt w:val="bullet"/>
      <w:pStyle w:val="65"/>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0B"/>
    <w:multiLevelType w:val="multilevel"/>
    <w:tmpl w:val="0000000B"/>
    <w:lvl w:ilvl="0" w:tentative="0">
      <w:start w:val="1"/>
      <w:numFmt w:val="decimal"/>
      <w:lvlText w:val="%1、"/>
      <w:lvlJc w:val="left"/>
      <w:pPr>
        <w:tabs>
          <w:tab w:val="left" w:pos="840"/>
        </w:tabs>
        <w:ind w:left="840" w:hanging="360"/>
      </w:pPr>
      <w:rPr>
        <w:rFonts w:hint="eastAsia"/>
      </w:rPr>
    </w:lvl>
    <w:lvl w:ilvl="1" w:tentative="0">
      <w:start w:val="1"/>
      <w:numFmt w:val="japaneseCounting"/>
      <w:pStyle w:val="77"/>
      <w:lvlText w:val="第%2章"/>
      <w:lvlJc w:val="left"/>
      <w:pPr>
        <w:tabs>
          <w:tab w:val="left" w:pos="2175"/>
        </w:tabs>
        <w:ind w:left="2175" w:hanging="1275"/>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5"/>
  </w:num>
  <w:num w:numId="2">
    <w:abstractNumId w:val="6"/>
  </w:num>
  <w:num w:numId="3">
    <w:abstractNumId w:val="1"/>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NTM1NDU5ZTRiOTIxMjI5NDUyNTgwYjRjMjJjMTYifQ=="/>
  </w:docVars>
  <w:rsids>
    <w:rsidRoot w:val="00172A27"/>
    <w:rsid w:val="000001B5"/>
    <w:rsid w:val="000004DC"/>
    <w:rsid w:val="0000187E"/>
    <w:rsid w:val="000018AB"/>
    <w:rsid w:val="00002187"/>
    <w:rsid w:val="00003423"/>
    <w:rsid w:val="000056BE"/>
    <w:rsid w:val="0000667E"/>
    <w:rsid w:val="00007C41"/>
    <w:rsid w:val="000103BE"/>
    <w:rsid w:val="00010722"/>
    <w:rsid w:val="000113B5"/>
    <w:rsid w:val="000122D9"/>
    <w:rsid w:val="000138B6"/>
    <w:rsid w:val="0001478D"/>
    <w:rsid w:val="00015220"/>
    <w:rsid w:val="00015F40"/>
    <w:rsid w:val="0001741F"/>
    <w:rsid w:val="0002067B"/>
    <w:rsid w:val="00021C09"/>
    <w:rsid w:val="000274E2"/>
    <w:rsid w:val="00034FE1"/>
    <w:rsid w:val="00035086"/>
    <w:rsid w:val="0003638D"/>
    <w:rsid w:val="000377B1"/>
    <w:rsid w:val="000407AE"/>
    <w:rsid w:val="00040DF7"/>
    <w:rsid w:val="000445C2"/>
    <w:rsid w:val="00045157"/>
    <w:rsid w:val="00045493"/>
    <w:rsid w:val="000461C2"/>
    <w:rsid w:val="00047C6F"/>
    <w:rsid w:val="000534D2"/>
    <w:rsid w:val="00054847"/>
    <w:rsid w:val="00055B03"/>
    <w:rsid w:val="000563BB"/>
    <w:rsid w:val="000576A5"/>
    <w:rsid w:val="000579A2"/>
    <w:rsid w:val="00057D09"/>
    <w:rsid w:val="00060D85"/>
    <w:rsid w:val="00064BDA"/>
    <w:rsid w:val="00065E7C"/>
    <w:rsid w:val="00066483"/>
    <w:rsid w:val="0006659E"/>
    <w:rsid w:val="000668A0"/>
    <w:rsid w:val="000671E0"/>
    <w:rsid w:val="000732A6"/>
    <w:rsid w:val="0007459F"/>
    <w:rsid w:val="000751DF"/>
    <w:rsid w:val="00077100"/>
    <w:rsid w:val="0007798E"/>
    <w:rsid w:val="00080281"/>
    <w:rsid w:val="000807CC"/>
    <w:rsid w:val="00084519"/>
    <w:rsid w:val="00084C4A"/>
    <w:rsid w:val="00084D37"/>
    <w:rsid w:val="00086F5D"/>
    <w:rsid w:val="00091760"/>
    <w:rsid w:val="00093C00"/>
    <w:rsid w:val="000976F6"/>
    <w:rsid w:val="000A064E"/>
    <w:rsid w:val="000A45FE"/>
    <w:rsid w:val="000A643F"/>
    <w:rsid w:val="000A7218"/>
    <w:rsid w:val="000A78B6"/>
    <w:rsid w:val="000A7FCF"/>
    <w:rsid w:val="000B08ED"/>
    <w:rsid w:val="000B0C4C"/>
    <w:rsid w:val="000B295C"/>
    <w:rsid w:val="000B420C"/>
    <w:rsid w:val="000B4A4C"/>
    <w:rsid w:val="000B51A7"/>
    <w:rsid w:val="000B64A9"/>
    <w:rsid w:val="000B7C72"/>
    <w:rsid w:val="000C011F"/>
    <w:rsid w:val="000C14E9"/>
    <w:rsid w:val="000C19A7"/>
    <w:rsid w:val="000C243C"/>
    <w:rsid w:val="000C4247"/>
    <w:rsid w:val="000C432F"/>
    <w:rsid w:val="000C4EA4"/>
    <w:rsid w:val="000C7794"/>
    <w:rsid w:val="000C7984"/>
    <w:rsid w:val="000C7EFD"/>
    <w:rsid w:val="000D07D3"/>
    <w:rsid w:val="000D1CED"/>
    <w:rsid w:val="000D34F6"/>
    <w:rsid w:val="000D39F2"/>
    <w:rsid w:val="000D76CB"/>
    <w:rsid w:val="000E01E8"/>
    <w:rsid w:val="000E134B"/>
    <w:rsid w:val="000E161F"/>
    <w:rsid w:val="000E1B35"/>
    <w:rsid w:val="000E337C"/>
    <w:rsid w:val="000E39D8"/>
    <w:rsid w:val="000E43DD"/>
    <w:rsid w:val="000E5F7C"/>
    <w:rsid w:val="000F1441"/>
    <w:rsid w:val="000F297C"/>
    <w:rsid w:val="000F2A64"/>
    <w:rsid w:val="000F7089"/>
    <w:rsid w:val="000F78FF"/>
    <w:rsid w:val="001028AA"/>
    <w:rsid w:val="001032DD"/>
    <w:rsid w:val="00103567"/>
    <w:rsid w:val="00104EE7"/>
    <w:rsid w:val="00105D63"/>
    <w:rsid w:val="001060D0"/>
    <w:rsid w:val="00110DF2"/>
    <w:rsid w:val="001166BB"/>
    <w:rsid w:val="00117B2D"/>
    <w:rsid w:val="00123676"/>
    <w:rsid w:val="001254DF"/>
    <w:rsid w:val="001262E8"/>
    <w:rsid w:val="0012633E"/>
    <w:rsid w:val="001264C5"/>
    <w:rsid w:val="00127567"/>
    <w:rsid w:val="001309AC"/>
    <w:rsid w:val="00134306"/>
    <w:rsid w:val="00135C61"/>
    <w:rsid w:val="001375F6"/>
    <w:rsid w:val="0013790D"/>
    <w:rsid w:val="00137B7F"/>
    <w:rsid w:val="001443BE"/>
    <w:rsid w:val="0014535B"/>
    <w:rsid w:val="00161639"/>
    <w:rsid w:val="001623AC"/>
    <w:rsid w:val="0016273D"/>
    <w:rsid w:val="00162D3B"/>
    <w:rsid w:val="0016493E"/>
    <w:rsid w:val="00164D0D"/>
    <w:rsid w:val="00165700"/>
    <w:rsid w:val="00165D04"/>
    <w:rsid w:val="00166997"/>
    <w:rsid w:val="00167E67"/>
    <w:rsid w:val="001703E3"/>
    <w:rsid w:val="001821A9"/>
    <w:rsid w:val="001859D2"/>
    <w:rsid w:val="00185FC4"/>
    <w:rsid w:val="001868E4"/>
    <w:rsid w:val="00187A29"/>
    <w:rsid w:val="00187AEF"/>
    <w:rsid w:val="0019759B"/>
    <w:rsid w:val="00197786"/>
    <w:rsid w:val="00197B68"/>
    <w:rsid w:val="001A17C3"/>
    <w:rsid w:val="001A1B1C"/>
    <w:rsid w:val="001A2BB4"/>
    <w:rsid w:val="001A4378"/>
    <w:rsid w:val="001A6DB5"/>
    <w:rsid w:val="001A7119"/>
    <w:rsid w:val="001B033E"/>
    <w:rsid w:val="001B1DAD"/>
    <w:rsid w:val="001B2912"/>
    <w:rsid w:val="001B330D"/>
    <w:rsid w:val="001B7E6D"/>
    <w:rsid w:val="001C12A2"/>
    <w:rsid w:val="001C258D"/>
    <w:rsid w:val="001C3198"/>
    <w:rsid w:val="001C3F72"/>
    <w:rsid w:val="001C5C4B"/>
    <w:rsid w:val="001C5DC9"/>
    <w:rsid w:val="001D0DC8"/>
    <w:rsid w:val="001D0EEA"/>
    <w:rsid w:val="001D1875"/>
    <w:rsid w:val="001D2710"/>
    <w:rsid w:val="001D5613"/>
    <w:rsid w:val="001D5C10"/>
    <w:rsid w:val="001E091F"/>
    <w:rsid w:val="001E26DC"/>
    <w:rsid w:val="001E3005"/>
    <w:rsid w:val="001E62ED"/>
    <w:rsid w:val="001E7A0A"/>
    <w:rsid w:val="001F019D"/>
    <w:rsid w:val="001F056D"/>
    <w:rsid w:val="001F3166"/>
    <w:rsid w:val="001F6F92"/>
    <w:rsid w:val="00200092"/>
    <w:rsid w:val="0020108F"/>
    <w:rsid w:val="00204233"/>
    <w:rsid w:val="00206C07"/>
    <w:rsid w:val="00207080"/>
    <w:rsid w:val="00207AD2"/>
    <w:rsid w:val="00215583"/>
    <w:rsid w:val="002155F0"/>
    <w:rsid w:val="00215DCA"/>
    <w:rsid w:val="00216455"/>
    <w:rsid w:val="00217689"/>
    <w:rsid w:val="002217FB"/>
    <w:rsid w:val="00222596"/>
    <w:rsid w:val="002227F9"/>
    <w:rsid w:val="00231E8C"/>
    <w:rsid w:val="00233087"/>
    <w:rsid w:val="002334CE"/>
    <w:rsid w:val="00234F3D"/>
    <w:rsid w:val="002351A6"/>
    <w:rsid w:val="00235CEB"/>
    <w:rsid w:val="00236614"/>
    <w:rsid w:val="002366B8"/>
    <w:rsid w:val="00240C9C"/>
    <w:rsid w:val="00241D7C"/>
    <w:rsid w:val="00242FEF"/>
    <w:rsid w:val="00243FBA"/>
    <w:rsid w:val="00244FBF"/>
    <w:rsid w:val="00246B4C"/>
    <w:rsid w:val="002474D5"/>
    <w:rsid w:val="002476FD"/>
    <w:rsid w:val="00250095"/>
    <w:rsid w:val="002505F2"/>
    <w:rsid w:val="002506EA"/>
    <w:rsid w:val="00250E31"/>
    <w:rsid w:val="002516AB"/>
    <w:rsid w:val="00251AD5"/>
    <w:rsid w:val="00252A95"/>
    <w:rsid w:val="00256367"/>
    <w:rsid w:val="00260DDF"/>
    <w:rsid w:val="002612FF"/>
    <w:rsid w:val="00261AF5"/>
    <w:rsid w:val="00265828"/>
    <w:rsid w:val="002666B3"/>
    <w:rsid w:val="00277496"/>
    <w:rsid w:val="00280435"/>
    <w:rsid w:val="00280E4A"/>
    <w:rsid w:val="00282AE5"/>
    <w:rsid w:val="00291139"/>
    <w:rsid w:val="00292EF9"/>
    <w:rsid w:val="00294621"/>
    <w:rsid w:val="00295530"/>
    <w:rsid w:val="002A0308"/>
    <w:rsid w:val="002A3C04"/>
    <w:rsid w:val="002A797F"/>
    <w:rsid w:val="002B00BE"/>
    <w:rsid w:val="002B219A"/>
    <w:rsid w:val="002B51F1"/>
    <w:rsid w:val="002B5C1A"/>
    <w:rsid w:val="002B5F0B"/>
    <w:rsid w:val="002B7161"/>
    <w:rsid w:val="002B7259"/>
    <w:rsid w:val="002B7EFC"/>
    <w:rsid w:val="002C0161"/>
    <w:rsid w:val="002C06F0"/>
    <w:rsid w:val="002C4293"/>
    <w:rsid w:val="002C45C3"/>
    <w:rsid w:val="002C5089"/>
    <w:rsid w:val="002C7044"/>
    <w:rsid w:val="002D2E4A"/>
    <w:rsid w:val="002D3339"/>
    <w:rsid w:val="002D37FC"/>
    <w:rsid w:val="002D4AFE"/>
    <w:rsid w:val="002D5833"/>
    <w:rsid w:val="002E1C5B"/>
    <w:rsid w:val="002E1E86"/>
    <w:rsid w:val="002E2074"/>
    <w:rsid w:val="002E21FA"/>
    <w:rsid w:val="002E2795"/>
    <w:rsid w:val="002E75D6"/>
    <w:rsid w:val="002F0386"/>
    <w:rsid w:val="002F04BC"/>
    <w:rsid w:val="002F1D5E"/>
    <w:rsid w:val="002F2BB7"/>
    <w:rsid w:val="002F30CA"/>
    <w:rsid w:val="002F7413"/>
    <w:rsid w:val="00301417"/>
    <w:rsid w:val="00301A00"/>
    <w:rsid w:val="003024C0"/>
    <w:rsid w:val="00303967"/>
    <w:rsid w:val="003049B9"/>
    <w:rsid w:val="0030582C"/>
    <w:rsid w:val="00305971"/>
    <w:rsid w:val="00307A61"/>
    <w:rsid w:val="00311A06"/>
    <w:rsid w:val="00312330"/>
    <w:rsid w:val="00314792"/>
    <w:rsid w:val="00315173"/>
    <w:rsid w:val="003158D8"/>
    <w:rsid w:val="00315D42"/>
    <w:rsid w:val="00316489"/>
    <w:rsid w:val="00317127"/>
    <w:rsid w:val="0032086D"/>
    <w:rsid w:val="00323CDA"/>
    <w:rsid w:val="00324649"/>
    <w:rsid w:val="00325098"/>
    <w:rsid w:val="003260BF"/>
    <w:rsid w:val="00326685"/>
    <w:rsid w:val="00331013"/>
    <w:rsid w:val="00331DF5"/>
    <w:rsid w:val="00334E15"/>
    <w:rsid w:val="00335286"/>
    <w:rsid w:val="00335EE7"/>
    <w:rsid w:val="00337B9D"/>
    <w:rsid w:val="003413EB"/>
    <w:rsid w:val="00343A2B"/>
    <w:rsid w:val="00345316"/>
    <w:rsid w:val="00353035"/>
    <w:rsid w:val="00363572"/>
    <w:rsid w:val="00364BAC"/>
    <w:rsid w:val="00367A76"/>
    <w:rsid w:val="00371731"/>
    <w:rsid w:val="00371A73"/>
    <w:rsid w:val="00371F43"/>
    <w:rsid w:val="00371F6E"/>
    <w:rsid w:val="00373080"/>
    <w:rsid w:val="00373685"/>
    <w:rsid w:val="00374FBC"/>
    <w:rsid w:val="00375685"/>
    <w:rsid w:val="00375CED"/>
    <w:rsid w:val="00376988"/>
    <w:rsid w:val="00376DE0"/>
    <w:rsid w:val="00377199"/>
    <w:rsid w:val="00381ECB"/>
    <w:rsid w:val="00382996"/>
    <w:rsid w:val="00382AD1"/>
    <w:rsid w:val="00382C26"/>
    <w:rsid w:val="00382EBB"/>
    <w:rsid w:val="0038543E"/>
    <w:rsid w:val="0039019E"/>
    <w:rsid w:val="003902F5"/>
    <w:rsid w:val="00391BA1"/>
    <w:rsid w:val="00392A88"/>
    <w:rsid w:val="0039532C"/>
    <w:rsid w:val="00396060"/>
    <w:rsid w:val="00396263"/>
    <w:rsid w:val="003A019E"/>
    <w:rsid w:val="003A2999"/>
    <w:rsid w:val="003A6632"/>
    <w:rsid w:val="003A7E8B"/>
    <w:rsid w:val="003B0B0B"/>
    <w:rsid w:val="003B27C9"/>
    <w:rsid w:val="003B34C1"/>
    <w:rsid w:val="003B47D9"/>
    <w:rsid w:val="003B4AAB"/>
    <w:rsid w:val="003B5F87"/>
    <w:rsid w:val="003C1678"/>
    <w:rsid w:val="003C38BC"/>
    <w:rsid w:val="003C56ED"/>
    <w:rsid w:val="003C62FF"/>
    <w:rsid w:val="003C65A0"/>
    <w:rsid w:val="003C68B3"/>
    <w:rsid w:val="003C783F"/>
    <w:rsid w:val="003C7AB1"/>
    <w:rsid w:val="003D17FD"/>
    <w:rsid w:val="003D20E2"/>
    <w:rsid w:val="003E125A"/>
    <w:rsid w:val="003E12C8"/>
    <w:rsid w:val="003E3702"/>
    <w:rsid w:val="003E41D1"/>
    <w:rsid w:val="003E7009"/>
    <w:rsid w:val="003E79BB"/>
    <w:rsid w:val="003E7FBF"/>
    <w:rsid w:val="003F0231"/>
    <w:rsid w:val="003F191C"/>
    <w:rsid w:val="003F272B"/>
    <w:rsid w:val="003F2CFE"/>
    <w:rsid w:val="003F3888"/>
    <w:rsid w:val="003F3CEC"/>
    <w:rsid w:val="003F4F4A"/>
    <w:rsid w:val="003F5B23"/>
    <w:rsid w:val="003F6E39"/>
    <w:rsid w:val="00401F82"/>
    <w:rsid w:val="00402392"/>
    <w:rsid w:val="00403915"/>
    <w:rsid w:val="00403BE2"/>
    <w:rsid w:val="00403CA6"/>
    <w:rsid w:val="00404725"/>
    <w:rsid w:val="004052EF"/>
    <w:rsid w:val="004054D1"/>
    <w:rsid w:val="004068BB"/>
    <w:rsid w:val="00407B04"/>
    <w:rsid w:val="004122B7"/>
    <w:rsid w:val="0041291E"/>
    <w:rsid w:val="004164E2"/>
    <w:rsid w:val="00417C88"/>
    <w:rsid w:val="0042038B"/>
    <w:rsid w:val="00420EC6"/>
    <w:rsid w:val="00421522"/>
    <w:rsid w:val="00425B56"/>
    <w:rsid w:val="004261A7"/>
    <w:rsid w:val="004268CA"/>
    <w:rsid w:val="00430772"/>
    <w:rsid w:val="004308C5"/>
    <w:rsid w:val="00433E5F"/>
    <w:rsid w:val="00435C44"/>
    <w:rsid w:val="0043784D"/>
    <w:rsid w:val="00440150"/>
    <w:rsid w:val="00440B99"/>
    <w:rsid w:val="0044547D"/>
    <w:rsid w:val="0045082A"/>
    <w:rsid w:val="00451494"/>
    <w:rsid w:val="00452CC9"/>
    <w:rsid w:val="00453EEA"/>
    <w:rsid w:val="00454504"/>
    <w:rsid w:val="0045491E"/>
    <w:rsid w:val="00454F35"/>
    <w:rsid w:val="00455C69"/>
    <w:rsid w:val="0046367E"/>
    <w:rsid w:val="004644B1"/>
    <w:rsid w:val="00464D1D"/>
    <w:rsid w:val="0046536A"/>
    <w:rsid w:val="0046667C"/>
    <w:rsid w:val="00467048"/>
    <w:rsid w:val="00467BEC"/>
    <w:rsid w:val="0047142A"/>
    <w:rsid w:val="0047203B"/>
    <w:rsid w:val="004721CA"/>
    <w:rsid w:val="0047289D"/>
    <w:rsid w:val="0047497C"/>
    <w:rsid w:val="0047666A"/>
    <w:rsid w:val="004773DD"/>
    <w:rsid w:val="00483F28"/>
    <w:rsid w:val="00484286"/>
    <w:rsid w:val="0048487C"/>
    <w:rsid w:val="00485F5B"/>
    <w:rsid w:val="00486831"/>
    <w:rsid w:val="00487529"/>
    <w:rsid w:val="00487F56"/>
    <w:rsid w:val="004936B8"/>
    <w:rsid w:val="00496932"/>
    <w:rsid w:val="004A0EA8"/>
    <w:rsid w:val="004A18F5"/>
    <w:rsid w:val="004A2308"/>
    <w:rsid w:val="004A417C"/>
    <w:rsid w:val="004A627C"/>
    <w:rsid w:val="004A6E34"/>
    <w:rsid w:val="004A7164"/>
    <w:rsid w:val="004A7BB7"/>
    <w:rsid w:val="004B4FF8"/>
    <w:rsid w:val="004B5261"/>
    <w:rsid w:val="004B53CC"/>
    <w:rsid w:val="004B5F04"/>
    <w:rsid w:val="004B70D7"/>
    <w:rsid w:val="004B7E95"/>
    <w:rsid w:val="004C1CEC"/>
    <w:rsid w:val="004C2F81"/>
    <w:rsid w:val="004C2F9B"/>
    <w:rsid w:val="004C3A0E"/>
    <w:rsid w:val="004C4579"/>
    <w:rsid w:val="004C7583"/>
    <w:rsid w:val="004D0523"/>
    <w:rsid w:val="004D25A0"/>
    <w:rsid w:val="004D2D34"/>
    <w:rsid w:val="004D3A3A"/>
    <w:rsid w:val="004D5871"/>
    <w:rsid w:val="004D734F"/>
    <w:rsid w:val="004E0DF3"/>
    <w:rsid w:val="004E273F"/>
    <w:rsid w:val="004E2F12"/>
    <w:rsid w:val="004E31BB"/>
    <w:rsid w:val="004E3279"/>
    <w:rsid w:val="004E3822"/>
    <w:rsid w:val="004E7255"/>
    <w:rsid w:val="004E76F5"/>
    <w:rsid w:val="004F2A84"/>
    <w:rsid w:val="004F2EC8"/>
    <w:rsid w:val="004F7F87"/>
    <w:rsid w:val="00503A74"/>
    <w:rsid w:val="00506D3D"/>
    <w:rsid w:val="00507447"/>
    <w:rsid w:val="005107AC"/>
    <w:rsid w:val="0051156B"/>
    <w:rsid w:val="00511614"/>
    <w:rsid w:val="00511CF7"/>
    <w:rsid w:val="00511E82"/>
    <w:rsid w:val="00514765"/>
    <w:rsid w:val="005164FF"/>
    <w:rsid w:val="0051685A"/>
    <w:rsid w:val="00521DF3"/>
    <w:rsid w:val="00525492"/>
    <w:rsid w:val="00527A2D"/>
    <w:rsid w:val="00532610"/>
    <w:rsid w:val="00533C6C"/>
    <w:rsid w:val="00537492"/>
    <w:rsid w:val="00540D74"/>
    <w:rsid w:val="00540F70"/>
    <w:rsid w:val="00541F98"/>
    <w:rsid w:val="0054224C"/>
    <w:rsid w:val="0054405A"/>
    <w:rsid w:val="00546F59"/>
    <w:rsid w:val="005475F0"/>
    <w:rsid w:val="00552444"/>
    <w:rsid w:val="00553422"/>
    <w:rsid w:val="005542C0"/>
    <w:rsid w:val="0055547E"/>
    <w:rsid w:val="00556488"/>
    <w:rsid w:val="0055649B"/>
    <w:rsid w:val="005612CD"/>
    <w:rsid w:val="0056240B"/>
    <w:rsid w:val="005656AE"/>
    <w:rsid w:val="00566313"/>
    <w:rsid w:val="0057004E"/>
    <w:rsid w:val="0057050D"/>
    <w:rsid w:val="00570655"/>
    <w:rsid w:val="00571573"/>
    <w:rsid w:val="00571F51"/>
    <w:rsid w:val="005725B8"/>
    <w:rsid w:val="00574FA9"/>
    <w:rsid w:val="00580570"/>
    <w:rsid w:val="00581C8D"/>
    <w:rsid w:val="005821A6"/>
    <w:rsid w:val="00584C62"/>
    <w:rsid w:val="00586D1D"/>
    <w:rsid w:val="005909E9"/>
    <w:rsid w:val="00590FC7"/>
    <w:rsid w:val="00592746"/>
    <w:rsid w:val="005929E8"/>
    <w:rsid w:val="005943B6"/>
    <w:rsid w:val="00594C08"/>
    <w:rsid w:val="0059711E"/>
    <w:rsid w:val="005978AB"/>
    <w:rsid w:val="005A7EC5"/>
    <w:rsid w:val="005B04EB"/>
    <w:rsid w:val="005B23CC"/>
    <w:rsid w:val="005B7489"/>
    <w:rsid w:val="005C0179"/>
    <w:rsid w:val="005C230B"/>
    <w:rsid w:val="005C256D"/>
    <w:rsid w:val="005C63A5"/>
    <w:rsid w:val="005D2C3E"/>
    <w:rsid w:val="005D364F"/>
    <w:rsid w:val="005D467E"/>
    <w:rsid w:val="005D5733"/>
    <w:rsid w:val="005D5C09"/>
    <w:rsid w:val="005E0408"/>
    <w:rsid w:val="005E3BAC"/>
    <w:rsid w:val="005E4B65"/>
    <w:rsid w:val="005E4E3D"/>
    <w:rsid w:val="005E7561"/>
    <w:rsid w:val="005E7C5F"/>
    <w:rsid w:val="005F08B0"/>
    <w:rsid w:val="005F10B9"/>
    <w:rsid w:val="005F16C9"/>
    <w:rsid w:val="005F1E15"/>
    <w:rsid w:val="005F53A2"/>
    <w:rsid w:val="00600033"/>
    <w:rsid w:val="006018A0"/>
    <w:rsid w:val="00603D18"/>
    <w:rsid w:val="00606721"/>
    <w:rsid w:val="00606770"/>
    <w:rsid w:val="00611BB6"/>
    <w:rsid w:val="00612FA8"/>
    <w:rsid w:val="006136BA"/>
    <w:rsid w:val="006144B5"/>
    <w:rsid w:val="0061761D"/>
    <w:rsid w:val="0062157E"/>
    <w:rsid w:val="006219C7"/>
    <w:rsid w:val="00627229"/>
    <w:rsid w:val="00627B0A"/>
    <w:rsid w:val="00630488"/>
    <w:rsid w:val="00630C6F"/>
    <w:rsid w:val="00630FC5"/>
    <w:rsid w:val="00631099"/>
    <w:rsid w:val="00631C0C"/>
    <w:rsid w:val="00631FCE"/>
    <w:rsid w:val="0063238B"/>
    <w:rsid w:val="00633AE5"/>
    <w:rsid w:val="0063696C"/>
    <w:rsid w:val="00640507"/>
    <w:rsid w:val="006405F4"/>
    <w:rsid w:val="0064202E"/>
    <w:rsid w:val="00642155"/>
    <w:rsid w:val="00642534"/>
    <w:rsid w:val="00642791"/>
    <w:rsid w:val="00642B7C"/>
    <w:rsid w:val="00642C0A"/>
    <w:rsid w:val="00642E8E"/>
    <w:rsid w:val="00644715"/>
    <w:rsid w:val="00644EA6"/>
    <w:rsid w:val="00645701"/>
    <w:rsid w:val="006469BD"/>
    <w:rsid w:val="006474F4"/>
    <w:rsid w:val="0064791A"/>
    <w:rsid w:val="006500E0"/>
    <w:rsid w:val="00652199"/>
    <w:rsid w:val="00655561"/>
    <w:rsid w:val="00655A38"/>
    <w:rsid w:val="00655D62"/>
    <w:rsid w:val="00657E00"/>
    <w:rsid w:val="00664319"/>
    <w:rsid w:val="00664B22"/>
    <w:rsid w:val="00666DC2"/>
    <w:rsid w:val="00667682"/>
    <w:rsid w:val="00667CAF"/>
    <w:rsid w:val="00672245"/>
    <w:rsid w:val="00672F60"/>
    <w:rsid w:val="0067351A"/>
    <w:rsid w:val="00673EAF"/>
    <w:rsid w:val="00675430"/>
    <w:rsid w:val="0067680D"/>
    <w:rsid w:val="00677B5B"/>
    <w:rsid w:val="00680EB6"/>
    <w:rsid w:val="006817BE"/>
    <w:rsid w:val="006824F6"/>
    <w:rsid w:val="00682A4F"/>
    <w:rsid w:val="00684A74"/>
    <w:rsid w:val="00686A0A"/>
    <w:rsid w:val="006875A9"/>
    <w:rsid w:val="00687FD2"/>
    <w:rsid w:val="00693322"/>
    <w:rsid w:val="00696B92"/>
    <w:rsid w:val="006A0D6A"/>
    <w:rsid w:val="006A3B7E"/>
    <w:rsid w:val="006A6BB0"/>
    <w:rsid w:val="006A7939"/>
    <w:rsid w:val="006B4692"/>
    <w:rsid w:val="006B4FB9"/>
    <w:rsid w:val="006C07F9"/>
    <w:rsid w:val="006C19BF"/>
    <w:rsid w:val="006C2137"/>
    <w:rsid w:val="006C23C7"/>
    <w:rsid w:val="006C36A9"/>
    <w:rsid w:val="006D2275"/>
    <w:rsid w:val="006D355B"/>
    <w:rsid w:val="006D6C5D"/>
    <w:rsid w:val="006D7036"/>
    <w:rsid w:val="006E0AD4"/>
    <w:rsid w:val="006E0E47"/>
    <w:rsid w:val="006E2837"/>
    <w:rsid w:val="006E32DD"/>
    <w:rsid w:val="006E6196"/>
    <w:rsid w:val="006E79DD"/>
    <w:rsid w:val="006F3A27"/>
    <w:rsid w:val="006F48CA"/>
    <w:rsid w:val="006F5C37"/>
    <w:rsid w:val="006F5CA3"/>
    <w:rsid w:val="00701EB2"/>
    <w:rsid w:val="00702017"/>
    <w:rsid w:val="0070429B"/>
    <w:rsid w:val="007051C8"/>
    <w:rsid w:val="00705277"/>
    <w:rsid w:val="007076DE"/>
    <w:rsid w:val="00710136"/>
    <w:rsid w:val="0071233A"/>
    <w:rsid w:val="0071304D"/>
    <w:rsid w:val="00713912"/>
    <w:rsid w:val="007145E3"/>
    <w:rsid w:val="00714BCC"/>
    <w:rsid w:val="00715095"/>
    <w:rsid w:val="007173C6"/>
    <w:rsid w:val="0071793D"/>
    <w:rsid w:val="00717B17"/>
    <w:rsid w:val="007215B0"/>
    <w:rsid w:val="0072422C"/>
    <w:rsid w:val="00727B24"/>
    <w:rsid w:val="00730FBD"/>
    <w:rsid w:val="00734CDB"/>
    <w:rsid w:val="00735339"/>
    <w:rsid w:val="00735528"/>
    <w:rsid w:val="00736014"/>
    <w:rsid w:val="00736A9E"/>
    <w:rsid w:val="00741DA9"/>
    <w:rsid w:val="00744FD1"/>
    <w:rsid w:val="0075107C"/>
    <w:rsid w:val="0075113C"/>
    <w:rsid w:val="00752B0A"/>
    <w:rsid w:val="00757325"/>
    <w:rsid w:val="00757359"/>
    <w:rsid w:val="007576FE"/>
    <w:rsid w:val="0076060E"/>
    <w:rsid w:val="0076292B"/>
    <w:rsid w:val="0076453B"/>
    <w:rsid w:val="00764E21"/>
    <w:rsid w:val="00765009"/>
    <w:rsid w:val="00766465"/>
    <w:rsid w:val="0076664F"/>
    <w:rsid w:val="00766A47"/>
    <w:rsid w:val="00766D69"/>
    <w:rsid w:val="0077146A"/>
    <w:rsid w:val="0077215C"/>
    <w:rsid w:val="007723FF"/>
    <w:rsid w:val="0077305E"/>
    <w:rsid w:val="00774E9A"/>
    <w:rsid w:val="0077653E"/>
    <w:rsid w:val="0077754F"/>
    <w:rsid w:val="007775FF"/>
    <w:rsid w:val="00783CBC"/>
    <w:rsid w:val="007859AA"/>
    <w:rsid w:val="00785D44"/>
    <w:rsid w:val="00785E29"/>
    <w:rsid w:val="007909AE"/>
    <w:rsid w:val="00791623"/>
    <w:rsid w:val="00793F1B"/>
    <w:rsid w:val="00793FFB"/>
    <w:rsid w:val="0079482C"/>
    <w:rsid w:val="00794C63"/>
    <w:rsid w:val="007962A8"/>
    <w:rsid w:val="00796920"/>
    <w:rsid w:val="00797A45"/>
    <w:rsid w:val="007A2FB9"/>
    <w:rsid w:val="007A331F"/>
    <w:rsid w:val="007A3561"/>
    <w:rsid w:val="007A51B4"/>
    <w:rsid w:val="007A5607"/>
    <w:rsid w:val="007A6C54"/>
    <w:rsid w:val="007B248C"/>
    <w:rsid w:val="007B32FB"/>
    <w:rsid w:val="007B7091"/>
    <w:rsid w:val="007B78E0"/>
    <w:rsid w:val="007C3A67"/>
    <w:rsid w:val="007C3F75"/>
    <w:rsid w:val="007C7B94"/>
    <w:rsid w:val="007D19B8"/>
    <w:rsid w:val="007D1DDC"/>
    <w:rsid w:val="007D1EE9"/>
    <w:rsid w:val="007D22D4"/>
    <w:rsid w:val="007D4341"/>
    <w:rsid w:val="007E2985"/>
    <w:rsid w:val="007E49B2"/>
    <w:rsid w:val="007E4E4E"/>
    <w:rsid w:val="007E5380"/>
    <w:rsid w:val="007E6930"/>
    <w:rsid w:val="007F04B1"/>
    <w:rsid w:val="007F5DDC"/>
    <w:rsid w:val="007F61A4"/>
    <w:rsid w:val="007F6649"/>
    <w:rsid w:val="007F71F0"/>
    <w:rsid w:val="008013AD"/>
    <w:rsid w:val="008014E3"/>
    <w:rsid w:val="00802573"/>
    <w:rsid w:val="0080756B"/>
    <w:rsid w:val="008101B9"/>
    <w:rsid w:val="0081075F"/>
    <w:rsid w:val="00810BE5"/>
    <w:rsid w:val="008110FB"/>
    <w:rsid w:val="00812D4F"/>
    <w:rsid w:val="00815070"/>
    <w:rsid w:val="00822AC1"/>
    <w:rsid w:val="0082452D"/>
    <w:rsid w:val="00824BCB"/>
    <w:rsid w:val="00827FEA"/>
    <w:rsid w:val="00832D8B"/>
    <w:rsid w:val="00834700"/>
    <w:rsid w:val="0083704B"/>
    <w:rsid w:val="00841184"/>
    <w:rsid w:val="00841C67"/>
    <w:rsid w:val="00843D04"/>
    <w:rsid w:val="008441C7"/>
    <w:rsid w:val="0084512D"/>
    <w:rsid w:val="008463BC"/>
    <w:rsid w:val="00847A01"/>
    <w:rsid w:val="00851D33"/>
    <w:rsid w:val="00855E6C"/>
    <w:rsid w:val="00862022"/>
    <w:rsid w:val="008624F1"/>
    <w:rsid w:val="00863375"/>
    <w:rsid w:val="00863C23"/>
    <w:rsid w:val="00864AB6"/>
    <w:rsid w:val="00867EB2"/>
    <w:rsid w:val="00871770"/>
    <w:rsid w:val="008729C0"/>
    <w:rsid w:val="00872F4C"/>
    <w:rsid w:val="00873B8D"/>
    <w:rsid w:val="00874EDA"/>
    <w:rsid w:val="008753DF"/>
    <w:rsid w:val="0087546A"/>
    <w:rsid w:val="00876568"/>
    <w:rsid w:val="00877308"/>
    <w:rsid w:val="0088011D"/>
    <w:rsid w:val="00880E6A"/>
    <w:rsid w:val="00886FCB"/>
    <w:rsid w:val="00887FA0"/>
    <w:rsid w:val="00890E74"/>
    <w:rsid w:val="00891622"/>
    <w:rsid w:val="00895A9B"/>
    <w:rsid w:val="008967B6"/>
    <w:rsid w:val="008968FC"/>
    <w:rsid w:val="00896C5F"/>
    <w:rsid w:val="008A0390"/>
    <w:rsid w:val="008A044F"/>
    <w:rsid w:val="008A0952"/>
    <w:rsid w:val="008A2118"/>
    <w:rsid w:val="008A23DB"/>
    <w:rsid w:val="008A342A"/>
    <w:rsid w:val="008A4392"/>
    <w:rsid w:val="008A4828"/>
    <w:rsid w:val="008A5C28"/>
    <w:rsid w:val="008A654D"/>
    <w:rsid w:val="008A6D92"/>
    <w:rsid w:val="008B1162"/>
    <w:rsid w:val="008B182A"/>
    <w:rsid w:val="008B412B"/>
    <w:rsid w:val="008B5C32"/>
    <w:rsid w:val="008B7845"/>
    <w:rsid w:val="008C0207"/>
    <w:rsid w:val="008C0A13"/>
    <w:rsid w:val="008C2AA5"/>
    <w:rsid w:val="008C2CC1"/>
    <w:rsid w:val="008C4B4A"/>
    <w:rsid w:val="008D04C4"/>
    <w:rsid w:val="008D243A"/>
    <w:rsid w:val="008D5AB6"/>
    <w:rsid w:val="008D5F3B"/>
    <w:rsid w:val="008E76D6"/>
    <w:rsid w:val="008F09E5"/>
    <w:rsid w:val="008F2F22"/>
    <w:rsid w:val="008F3231"/>
    <w:rsid w:val="008F5255"/>
    <w:rsid w:val="008F73E6"/>
    <w:rsid w:val="008F7E07"/>
    <w:rsid w:val="0090145E"/>
    <w:rsid w:val="00902A70"/>
    <w:rsid w:val="0090417B"/>
    <w:rsid w:val="00904B49"/>
    <w:rsid w:val="00906EC7"/>
    <w:rsid w:val="0091026F"/>
    <w:rsid w:val="009112C5"/>
    <w:rsid w:val="009137FD"/>
    <w:rsid w:val="009155CB"/>
    <w:rsid w:val="009168E7"/>
    <w:rsid w:val="0092025A"/>
    <w:rsid w:val="009206BC"/>
    <w:rsid w:val="00920788"/>
    <w:rsid w:val="00921D11"/>
    <w:rsid w:val="00922066"/>
    <w:rsid w:val="00922F4C"/>
    <w:rsid w:val="009232B8"/>
    <w:rsid w:val="009252A5"/>
    <w:rsid w:val="00926674"/>
    <w:rsid w:val="00930C99"/>
    <w:rsid w:val="00931259"/>
    <w:rsid w:val="00931A53"/>
    <w:rsid w:val="009342F8"/>
    <w:rsid w:val="009427CA"/>
    <w:rsid w:val="00942962"/>
    <w:rsid w:val="009529C1"/>
    <w:rsid w:val="0095338C"/>
    <w:rsid w:val="0095446A"/>
    <w:rsid w:val="009557AB"/>
    <w:rsid w:val="00957CBF"/>
    <w:rsid w:val="00961550"/>
    <w:rsid w:val="00961B8D"/>
    <w:rsid w:val="00964FA0"/>
    <w:rsid w:val="009653F1"/>
    <w:rsid w:val="00965FC6"/>
    <w:rsid w:val="0096659D"/>
    <w:rsid w:val="00972B3E"/>
    <w:rsid w:val="00973839"/>
    <w:rsid w:val="00973886"/>
    <w:rsid w:val="009756D7"/>
    <w:rsid w:val="00981189"/>
    <w:rsid w:val="0098124A"/>
    <w:rsid w:val="00986C60"/>
    <w:rsid w:val="0098731E"/>
    <w:rsid w:val="00987CF3"/>
    <w:rsid w:val="00990054"/>
    <w:rsid w:val="009905B9"/>
    <w:rsid w:val="009912B4"/>
    <w:rsid w:val="009916FA"/>
    <w:rsid w:val="009A12C9"/>
    <w:rsid w:val="009A185F"/>
    <w:rsid w:val="009A1DD7"/>
    <w:rsid w:val="009A49EC"/>
    <w:rsid w:val="009A554E"/>
    <w:rsid w:val="009A5B8B"/>
    <w:rsid w:val="009A6C91"/>
    <w:rsid w:val="009A72C7"/>
    <w:rsid w:val="009B4268"/>
    <w:rsid w:val="009B7280"/>
    <w:rsid w:val="009C3B61"/>
    <w:rsid w:val="009C5211"/>
    <w:rsid w:val="009C538B"/>
    <w:rsid w:val="009C65B2"/>
    <w:rsid w:val="009D05B7"/>
    <w:rsid w:val="009D0F77"/>
    <w:rsid w:val="009D2BEB"/>
    <w:rsid w:val="009D4B31"/>
    <w:rsid w:val="009D5508"/>
    <w:rsid w:val="009D6014"/>
    <w:rsid w:val="009E4D44"/>
    <w:rsid w:val="009E5581"/>
    <w:rsid w:val="009E6941"/>
    <w:rsid w:val="009F5915"/>
    <w:rsid w:val="009F6DC7"/>
    <w:rsid w:val="00A003B3"/>
    <w:rsid w:val="00A01089"/>
    <w:rsid w:val="00A07E3C"/>
    <w:rsid w:val="00A11357"/>
    <w:rsid w:val="00A1405E"/>
    <w:rsid w:val="00A14576"/>
    <w:rsid w:val="00A15C51"/>
    <w:rsid w:val="00A221D0"/>
    <w:rsid w:val="00A2425E"/>
    <w:rsid w:val="00A256A9"/>
    <w:rsid w:val="00A26393"/>
    <w:rsid w:val="00A319AC"/>
    <w:rsid w:val="00A33D43"/>
    <w:rsid w:val="00A34AE8"/>
    <w:rsid w:val="00A3538A"/>
    <w:rsid w:val="00A367BF"/>
    <w:rsid w:val="00A40443"/>
    <w:rsid w:val="00A41740"/>
    <w:rsid w:val="00A43DFE"/>
    <w:rsid w:val="00A47F26"/>
    <w:rsid w:val="00A53AAA"/>
    <w:rsid w:val="00A562BD"/>
    <w:rsid w:val="00A606EF"/>
    <w:rsid w:val="00A60EF9"/>
    <w:rsid w:val="00A61B8F"/>
    <w:rsid w:val="00A64D48"/>
    <w:rsid w:val="00A66DD7"/>
    <w:rsid w:val="00A72742"/>
    <w:rsid w:val="00A733F4"/>
    <w:rsid w:val="00A741F0"/>
    <w:rsid w:val="00A75A67"/>
    <w:rsid w:val="00A77E2C"/>
    <w:rsid w:val="00A815A1"/>
    <w:rsid w:val="00A81C97"/>
    <w:rsid w:val="00A82CA5"/>
    <w:rsid w:val="00A834A9"/>
    <w:rsid w:val="00A837AB"/>
    <w:rsid w:val="00A83E0D"/>
    <w:rsid w:val="00A9024E"/>
    <w:rsid w:val="00A914CC"/>
    <w:rsid w:val="00A928A5"/>
    <w:rsid w:val="00A95803"/>
    <w:rsid w:val="00A96022"/>
    <w:rsid w:val="00AA47E3"/>
    <w:rsid w:val="00AA4888"/>
    <w:rsid w:val="00AB0304"/>
    <w:rsid w:val="00AB3089"/>
    <w:rsid w:val="00AB6560"/>
    <w:rsid w:val="00AC3A65"/>
    <w:rsid w:val="00AC426F"/>
    <w:rsid w:val="00AC698E"/>
    <w:rsid w:val="00AC744C"/>
    <w:rsid w:val="00AD1620"/>
    <w:rsid w:val="00AD16CA"/>
    <w:rsid w:val="00AD58A2"/>
    <w:rsid w:val="00AE0D2D"/>
    <w:rsid w:val="00AE32BC"/>
    <w:rsid w:val="00AE371F"/>
    <w:rsid w:val="00AE4C76"/>
    <w:rsid w:val="00AE51FA"/>
    <w:rsid w:val="00AE6563"/>
    <w:rsid w:val="00AE6925"/>
    <w:rsid w:val="00AE729E"/>
    <w:rsid w:val="00AF23E2"/>
    <w:rsid w:val="00AF26D5"/>
    <w:rsid w:val="00AF536C"/>
    <w:rsid w:val="00AF7A6F"/>
    <w:rsid w:val="00AF7AEB"/>
    <w:rsid w:val="00B02772"/>
    <w:rsid w:val="00B03C98"/>
    <w:rsid w:val="00B05D42"/>
    <w:rsid w:val="00B100AE"/>
    <w:rsid w:val="00B12ACC"/>
    <w:rsid w:val="00B12CC6"/>
    <w:rsid w:val="00B13F3F"/>
    <w:rsid w:val="00B15469"/>
    <w:rsid w:val="00B156CA"/>
    <w:rsid w:val="00B166EC"/>
    <w:rsid w:val="00B16865"/>
    <w:rsid w:val="00B21A2B"/>
    <w:rsid w:val="00B23DB8"/>
    <w:rsid w:val="00B251BE"/>
    <w:rsid w:val="00B33B58"/>
    <w:rsid w:val="00B35A29"/>
    <w:rsid w:val="00B41569"/>
    <w:rsid w:val="00B44582"/>
    <w:rsid w:val="00B514A8"/>
    <w:rsid w:val="00B517EB"/>
    <w:rsid w:val="00B51AB4"/>
    <w:rsid w:val="00B52847"/>
    <w:rsid w:val="00B52944"/>
    <w:rsid w:val="00B53D44"/>
    <w:rsid w:val="00B56A5C"/>
    <w:rsid w:val="00B56C0A"/>
    <w:rsid w:val="00B575CB"/>
    <w:rsid w:val="00B60E82"/>
    <w:rsid w:val="00B61BA5"/>
    <w:rsid w:val="00B70E03"/>
    <w:rsid w:val="00B74ED0"/>
    <w:rsid w:val="00B80433"/>
    <w:rsid w:val="00B81AD2"/>
    <w:rsid w:val="00B83671"/>
    <w:rsid w:val="00B83919"/>
    <w:rsid w:val="00B83CA9"/>
    <w:rsid w:val="00B87454"/>
    <w:rsid w:val="00B91585"/>
    <w:rsid w:val="00B916A5"/>
    <w:rsid w:val="00B92EB7"/>
    <w:rsid w:val="00BA0FDC"/>
    <w:rsid w:val="00BA197D"/>
    <w:rsid w:val="00BA2517"/>
    <w:rsid w:val="00BA2627"/>
    <w:rsid w:val="00BA33BB"/>
    <w:rsid w:val="00BA5FCB"/>
    <w:rsid w:val="00BA74C7"/>
    <w:rsid w:val="00BB0829"/>
    <w:rsid w:val="00BB089A"/>
    <w:rsid w:val="00BB10FE"/>
    <w:rsid w:val="00BB31D1"/>
    <w:rsid w:val="00BB5075"/>
    <w:rsid w:val="00BB6AE2"/>
    <w:rsid w:val="00BB78AB"/>
    <w:rsid w:val="00BC2CD2"/>
    <w:rsid w:val="00BC63F6"/>
    <w:rsid w:val="00BC7625"/>
    <w:rsid w:val="00BD1211"/>
    <w:rsid w:val="00BD285A"/>
    <w:rsid w:val="00BD5B0A"/>
    <w:rsid w:val="00BD5DB6"/>
    <w:rsid w:val="00BD6DC8"/>
    <w:rsid w:val="00BE365C"/>
    <w:rsid w:val="00BE414F"/>
    <w:rsid w:val="00BE52F8"/>
    <w:rsid w:val="00BE62DB"/>
    <w:rsid w:val="00BF0AD2"/>
    <w:rsid w:val="00BF22E2"/>
    <w:rsid w:val="00BF65E3"/>
    <w:rsid w:val="00BF7608"/>
    <w:rsid w:val="00C005E7"/>
    <w:rsid w:val="00C0122C"/>
    <w:rsid w:val="00C02B5F"/>
    <w:rsid w:val="00C05526"/>
    <w:rsid w:val="00C065D1"/>
    <w:rsid w:val="00C06EC5"/>
    <w:rsid w:val="00C111FD"/>
    <w:rsid w:val="00C121E3"/>
    <w:rsid w:val="00C1236E"/>
    <w:rsid w:val="00C12714"/>
    <w:rsid w:val="00C14F83"/>
    <w:rsid w:val="00C2000F"/>
    <w:rsid w:val="00C20211"/>
    <w:rsid w:val="00C20CA7"/>
    <w:rsid w:val="00C20CFC"/>
    <w:rsid w:val="00C23178"/>
    <w:rsid w:val="00C30C6B"/>
    <w:rsid w:val="00C32F9F"/>
    <w:rsid w:val="00C34D9A"/>
    <w:rsid w:val="00C35903"/>
    <w:rsid w:val="00C364E7"/>
    <w:rsid w:val="00C3673D"/>
    <w:rsid w:val="00C37FD2"/>
    <w:rsid w:val="00C42B97"/>
    <w:rsid w:val="00C43AE4"/>
    <w:rsid w:val="00C44E90"/>
    <w:rsid w:val="00C47265"/>
    <w:rsid w:val="00C51B8F"/>
    <w:rsid w:val="00C525CC"/>
    <w:rsid w:val="00C53C33"/>
    <w:rsid w:val="00C637E0"/>
    <w:rsid w:val="00C65530"/>
    <w:rsid w:val="00C6735D"/>
    <w:rsid w:val="00C674DA"/>
    <w:rsid w:val="00C67D52"/>
    <w:rsid w:val="00C71716"/>
    <w:rsid w:val="00C71E62"/>
    <w:rsid w:val="00C72CB6"/>
    <w:rsid w:val="00C75D24"/>
    <w:rsid w:val="00C75F15"/>
    <w:rsid w:val="00C80A4F"/>
    <w:rsid w:val="00C80C16"/>
    <w:rsid w:val="00C80EBE"/>
    <w:rsid w:val="00C8110F"/>
    <w:rsid w:val="00C81340"/>
    <w:rsid w:val="00C83AD3"/>
    <w:rsid w:val="00C843A7"/>
    <w:rsid w:val="00C85789"/>
    <w:rsid w:val="00C866E2"/>
    <w:rsid w:val="00C908B1"/>
    <w:rsid w:val="00C95078"/>
    <w:rsid w:val="00C96D1B"/>
    <w:rsid w:val="00CA0914"/>
    <w:rsid w:val="00CA301F"/>
    <w:rsid w:val="00CA40A0"/>
    <w:rsid w:val="00CA40B5"/>
    <w:rsid w:val="00CA518A"/>
    <w:rsid w:val="00CA52B9"/>
    <w:rsid w:val="00CA5C35"/>
    <w:rsid w:val="00CB037E"/>
    <w:rsid w:val="00CB0768"/>
    <w:rsid w:val="00CB1A68"/>
    <w:rsid w:val="00CB2B10"/>
    <w:rsid w:val="00CB3922"/>
    <w:rsid w:val="00CB4051"/>
    <w:rsid w:val="00CB51A6"/>
    <w:rsid w:val="00CB7A7F"/>
    <w:rsid w:val="00CC02B5"/>
    <w:rsid w:val="00CC0BE9"/>
    <w:rsid w:val="00CC18B5"/>
    <w:rsid w:val="00CC26AB"/>
    <w:rsid w:val="00CC3ACF"/>
    <w:rsid w:val="00CC3D46"/>
    <w:rsid w:val="00CC4F5F"/>
    <w:rsid w:val="00CD04DE"/>
    <w:rsid w:val="00CD0F53"/>
    <w:rsid w:val="00CD3536"/>
    <w:rsid w:val="00CD35E6"/>
    <w:rsid w:val="00CD7DFA"/>
    <w:rsid w:val="00CE2856"/>
    <w:rsid w:val="00CE309C"/>
    <w:rsid w:val="00CE4A82"/>
    <w:rsid w:val="00CE57A3"/>
    <w:rsid w:val="00CF0748"/>
    <w:rsid w:val="00CF3958"/>
    <w:rsid w:val="00CF4000"/>
    <w:rsid w:val="00CF4D41"/>
    <w:rsid w:val="00CF50DD"/>
    <w:rsid w:val="00D00691"/>
    <w:rsid w:val="00D00AF4"/>
    <w:rsid w:val="00D01872"/>
    <w:rsid w:val="00D02C93"/>
    <w:rsid w:val="00D0336D"/>
    <w:rsid w:val="00D062CC"/>
    <w:rsid w:val="00D06E16"/>
    <w:rsid w:val="00D076FB"/>
    <w:rsid w:val="00D126F3"/>
    <w:rsid w:val="00D12BB6"/>
    <w:rsid w:val="00D1476A"/>
    <w:rsid w:val="00D148D3"/>
    <w:rsid w:val="00D220DA"/>
    <w:rsid w:val="00D224FB"/>
    <w:rsid w:val="00D2400E"/>
    <w:rsid w:val="00D2610A"/>
    <w:rsid w:val="00D2619D"/>
    <w:rsid w:val="00D26762"/>
    <w:rsid w:val="00D26808"/>
    <w:rsid w:val="00D3219D"/>
    <w:rsid w:val="00D342F9"/>
    <w:rsid w:val="00D3701C"/>
    <w:rsid w:val="00D37066"/>
    <w:rsid w:val="00D40DEA"/>
    <w:rsid w:val="00D41052"/>
    <w:rsid w:val="00D43A72"/>
    <w:rsid w:val="00D44C90"/>
    <w:rsid w:val="00D45D9F"/>
    <w:rsid w:val="00D470C1"/>
    <w:rsid w:val="00D47FA3"/>
    <w:rsid w:val="00D52806"/>
    <w:rsid w:val="00D53697"/>
    <w:rsid w:val="00D551EA"/>
    <w:rsid w:val="00D57268"/>
    <w:rsid w:val="00D6179C"/>
    <w:rsid w:val="00D64B7E"/>
    <w:rsid w:val="00D6677D"/>
    <w:rsid w:val="00D67E27"/>
    <w:rsid w:val="00D71922"/>
    <w:rsid w:val="00D72F36"/>
    <w:rsid w:val="00D746C9"/>
    <w:rsid w:val="00D75902"/>
    <w:rsid w:val="00D765AC"/>
    <w:rsid w:val="00D76D6E"/>
    <w:rsid w:val="00D779FA"/>
    <w:rsid w:val="00D8049B"/>
    <w:rsid w:val="00D81395"/>
    <w:rsid w:val="00D82043"/>
    <w:rsid w:val="00D82077"/>
    <w:rsid w:val="00D835D6"/>
    <w:rsid w:val="00DA1032"/>
    <w:rsid w:val="00DA209B"/>
    <w:rsid w:val="00DA2797"/>
    <w:rsid w:val="00DA29A0"/>
    <w:rsid w:val="00DA4A18"/>
    <w:rsid w:val="00DB2219"/>
    <w:rsid w:val="00DB34E4"/>
    <w:rsid w:val="00DB4747"/>
    <w:rsid w:val="00DB6469"/>
    <w:rsid w:val="00DB6C0D"/>
    <w:rsid w:val="00DB6EC3"/>
    <w:rsid w:val="00DB77F0"/>
    <w:rsid w:val="00DC00E8"/>
    <w:rsid w:val="00DC1466"/>
    <w:rsid w:val="00DD037D"/>
    <w:rsid w:val="00DD63A4"/>
    <w:rsid w:val="00DD7480"/>
    <w:rsid w:val="00DE19CE"/>
    <w:rsid w:val="00DE1F49"/>
    <w:rsid w:val="00DE3BEA"/>
    <w:rsid w:val="00DE4191"/>
    <w:rsid w:val="00DE4A6B"/>
    <w:rsid w:val="00DE4F42"/>
    <w:rsid w:val="00DE6302"/>
    <w:rsid w:val="00DF0D8B"/>
    <w:rsid w:val="00E001EC"/>
    <w:rsid w:val="00E00271"/>
    <w:rsid w:val="00E00C56"/>
    <w:rsid w:val="00E04D7C"/>
    <w:rsid w:val="00E05DFF"/>
    <w:rsid w:val="00E108DF"/>
    <w:rsid w:val="00E115C6"/>
    <w:rsid w:val="00E12FF6"/>
    <w:rsid w:val="00E13080"/>
    <w:rsid w:val="00E13473"/>
    <w:rsid w:val="00E16946"/>
    <w:rsid w:val="00E16AE4"/>
    <w:rsid w:val="00E17448"/>
    <w:rsid w:val="00E216CD"/>
    <w:rsid w:val="00E22F6C"/>
    <w:rsid w:val="00E23C4B"/>
    <w:rsid w:val="00E23F39"/>
    <w:rsid w:val="00E24005"/>
    <w:rsid w:val="00E2670A"/>
    <w:rsid w:val="00E27320"/>
    <w:rsid w:val="00E27363"/>
    <w:rsid w:val="00E27FBC"/>
    <w:rsid w:val="00E41060"/>
    <w:rsid w:val="00E465CB"/>
    <w:rsid w:val="00E46D70"/>
    <w:rsid w:val="00E507FD"/>
    <w:rsid w:val="00E512F5"/>
    <w:rsid w:val="00E51C39"/>
    <w:rsid w:val="00E52543"/>
    <w:rsid w:val="00E55487"/>
    <w:rsid w:val="00E55C07"/>
    <w:rsid w:val="00E56667"/>
    <w:rsid w:val="00E57038"/>
    <w:rsid w:val="00E62831"/>
    <w:rsid w:val="00E67CD3"/>
    <w:rsid w:val="00E75517"/>
    <w:rsid w:val="00E755F4"/>
    <w:rsid w:val="00E75C54"/>
    <w:rsid w:val="00E80207"/>
    <w:rsid w:val="00E805F2"/>
    <w:rsid w:val="00E8176C"/>
    <w:rsid w:val="00E82E8B"/>
    <w:rsid w:val="00E83FD7"/>
    <w:rsid w:val="00E8431A"/>
    <w:rsid w:val="00E87B2A"/>
    <w:rsid w:val="00E93068"/>
    <w:rsid w:val="00E930AD"/>
    <w:rsid w:val="00E938BB"/>
    <w:rsid w:val="00E94C00"/>
    <w:rsid w:val="00E9532B"/>
    <w:rsid w:val="00E95733"/>
    <w:rsid w:val="00E95C2B"/>
    <w:rsid w:val="00E97A79"/>
    <w:rsid w:val="00EA005E"/>
    <w:rsid w:val="00EA0F7A"/>
    <w:rsid w:val="00EA186C"/>
    <w:rsid w:val="00EA4DE2"/>
    <w:rsid w:val="00EA4E80"/>
    <w:rsid w:val="00EA56BC"/>
    <w:rsid w:val="00EB08B6"/>
    <w:rsid w:val="00EB0941"/>
    <w:rsid w:val="00EB1260"/>
    <w:rsid w:val="00EB2BDA"/>
    <w:rsid w:val="00EB614D"/>
    <w:rsid w:val="00EB7D95"/>
    <w:rsid w:val="00EC085D"/>
    <w:rsid w:val="00EC2899"/>
    <w:rsid w:val="00EC2C04"/>
    <w:rsid w:val="00EC344C"/>
    <w:rsid w:val="00EC5642"/>
    <w:rsid w:val="00EC6410"/>
    <w:rsid w:val="00EC7199"/>
    <w:rsid w:val="00EC724A"/>
    <w:rsid w:val="00EC73FA"/>
    <w:rsid w:val="00ED07E5"/>
    <w:rsid w:val="00ED1579"/>
    <w:rsid w:val="00ED23EA"/>
    <w:rsid w:val="00ED720F"/>
    <w:rsid w:val="00EE036C"/>
    <w:rsid w:val="00EE1F31"/>
    <w:rsid w:val="00EE4B51"/>
    <w:rsid w:val="00EE6497"/>
    <w:rsid w:val="00EF05B0"/>
    <w:rsid w:val="00EF4511"/>
    <w:rsid w:val="00EF7302"/>
    <w:rsid w:val="00F01DCB"/>
    <w:rsid w:val="00F0252C"/>
    <w:rsid w:val="00F033BF"/>
    <w:rsid w:val="00F057F0"/>
    <w:rsid w:val="00F0750C"/>
    <w:rsid w:val="00F07B05"/>
    <w:rsid w:val="00F13154"/>
    <w:rsid w:val="00F1540D"/>
    <w:rsid w:val="00F15D14"/>
    <w:rsid w:val="00F16560"/>
    <w:rsid w:val="00F16BA3"/>
    <w:rsid w:val="00F257AD"/>
    <w:rsid w:val="00F42945"/>
    <w:rsid w:val="00F43C8C"/>
    <w:rsid w:val="00F45898"/>
    <w:rsid w:val="00F45CC0"/>
    <w:rsid w:val="00F463C4"/>
    <w:rsid w:val="00F47608"/>
    <w:rsid w:val="00F57DE3"/>
    <w:rsid w:val="00F60A81"/>
    <w:rsid w:val="00F62DFC"/>
    <w:rsid w:val="00F64DF0"/>
    <w:rsid w:val="00F7027B"/>
    <w:rsid w:val="00F71166"/>
    <w:rsid w:val="00F72EDF"/>
    <w:rsid w:val="00F750FD"/>
    <w:rsid w:val="00F77CAD"/>
    <w:rsid w:val="00F804FD"/>
    <w:rsid w:val="00F809D4"/>
    <w:rsid w:val="00F819F8"/>
    <w:rsid w:val="00F83911"/>
    <w:rsid w:val="00F85005"/>
    <w:rsid w:val="00F851DE"/>
    <w:rsid w:val="00F853E7"/>
    <w:rsid w:val="00F86EF4"/>
    <w:rsid w:val="00F875AE"/>
    <w:rsid w:val="00F87BC8"/>
    <w:rsid w:val="00F93B8A"/>
    <w:rsid w:val="00F96167"/>
    <w:rsid w:val="00F96F1E"/>
    <w:rsid w:val="00F975AB"/>
    <w:rsid w:val="00F97A41"/>
    <w:rsid w:val="00F97FBB"/>
    <w:rsid w:val="00FA452D"/>
    <w:rsid w:val="00FA474B"/>
    <w:rsid w:val="00FA5699"/>
    <w:rsid w:val="00FA5D09"/>
    <w:rsid w:val="00FA7911"/>
    <w:rsid w:val="00FB026E"/>
    <w:rsid w:val="00FB1FA2"/>
    <w:rsid w:val="00FB4FB2"/>
    <w:rsid w:val="00FB5061"/>
    <w:rsid w:val="00FB5AA4"/>
    <w:rsid w:val="00FC0D6A"/>
    <w:rsid w:val="00FC1454"/>
    <w:rsid w:val="00FC2353"/>
    <w:rsid w:val="00FC321E"/>
    <w:rsid w:val="00FC3A96"/>
    <w:rsid w:val="00FC431A"/>
    <w:rsid w:val="00FD036A"/>
    <w:rsid w:val="00FD04DE"/>
    <w:rsid w:val="00FD116C"/>
    <w:rsid w:val="00FD3C38"/>
    <w:rsid w:val="00FD4E43"/>
    <w:rsid w:val="00FD53D7"/>
    <w:rsid w:val="00FD56C7"/>
    <w:rsid w:val="00FE0877"/>
    <w:rsid w:val="00FE1DA4"/>
    <w:rsid w:val="00FE397C"/>
    <w:rsid w:val="00FE4B30"/>
    <w:rsid w:val="00FE5A7E"/>
    <w:rsid w:val="00FE62F2"/>
    <w:rsid w:val="00FE6687"/>
    <w:rsid w:val="00FF0984"/>
    <w:rsid w:val="00FF0C13"/>
    <w:rsid w:val="00FF3B9F"/>
    <w:rsid w:val="00FF50C4"/>
    <w:rsid w:val="00FF5963"/>
    <w:rsid w:val="00FF7CFB"/>
    <w:rsid w:val="02993815"/>
    <w:rsid w:val="02C24BF1"/>
    <w:rsid w:val="02F218A1"/>
    <w:rsid w:val="03CA4BC5"/>
    <w:rsid w:val="04C3537C"/>
    <w:rsid w:val="0558753C"/>
    <w:rsid w:val="05CA273A"/>
    <w:rsid w:val="072D1C58"/>
    <w:rsid w:val="079A065D"/>
    <w:rsid w:val="09150507"/>
    <w:rsid w:val="09644C54"/>
    <w:rsid w:val="09BC683E"/>
    <w:rsid w:val="09D21BBD"/>
    <w:rsid w:val="0AE35BAF"/>
    <w:rsid w:val="0B330D82"/>
    <w:rsid w:val="0BFA53FB"/>
    <w:rsid w:val="0C160487"/>
    <w:rsid w:val="0C6055F1"/>
    <w:rsid w:val="0CEE4F60"/>
    <w:rsid w:val="0D4032E2"/>
    <w:rsid w:val="0DCE6B40"/>
    <w:rsid w:val="0E7D2A40"/>
    <w:rsid w:val="0E8D3235"/>
    <w:rsid w:val="0EA0672E"/>
    <w:rsid w:val="0EB24C43"/>
    <w:rsid w:val="0EBF6DE1"/>
    <w:rsid w:val="0F476BAA"/>
    <w:rsid w:val="0F655282"/>
    <w:rsid w:val="110F1949"/>
    <w:rsid w:val="1213497F"/>
    <w:rsid w:val="1222745A"/>
    <w:rsid w:val="12701D45"/>
    <w:rsid w:val="12E30150"/>
    <w:rsid w:val="13367661"/>
    <w:rsid w:val="136B11F9"/>
    <w:rsid w:val="14B720DC"/>
    <w:rsid w:val="15882CA0"/>
    <w:rsid w:val="16021A7C"/>
    <w:rsid w:val="16493207"/>
    <w:rsid w:val="165D4B6D"/>
    <w:rsid w:val="16F2564D"/>
    <w:rsid w:val="193463F1"/>
    <w:rsid w:val="1AF5491F"/>
    <w:rsid w:val="1AFC1A94"/>
    <w:rsid w:val="1B012DA9"/>
    <w:rsid w:val="1B46065D"/>
    <w:rsid w:val="1B4D379A"/>
    <w:rsid w:val="1BA9560D"/>
    <w:rsid w:val="1BCD305F"/>
    <w:rsid w:val="1C844F99"/>
    <w:rsid w:val="1CA306CB"/>
    <w:rsid w:val="1CF163A7"/>
    <w:rsid w:val="1D277FFE"/>
    <w:rsid w:val="1D5C4168"/>
    <w:rsid w:val="1E252F2B"/>
    <w:rsid w:val="1EAC632A"/>
    <w:rsid w:val="1FAE057F"/>
    <w:rsid w:val="209658DC"/>
    <w:rsid w:val="20B565B7"/>
    <w:rsid w:val="2254540E"/>
    <w:rsid w:val="22755496"/>
    <w:rsid w:val="22AC2922"/>
    <w:rsid w:val="22C5630B"/>
    <w:rsid w:val="22EE5862"/>
    <w:rsid w:val="23A45F21"/>
    <w:rsid w:val="23C6233B"/>
    <w:rsid w:val="23D74548"/>
    <w:rsid w:val="24045437"/>
    <w:rsid w:val="24E82FC7"/>
    <w:rsid w:val="251A293E"/>
    <w:rsid w:val="257C53A7"/>
    <w:rsid w:val="257D64BE"/>
    <w:rsid w:val="25AD6F5A"/>
    <w:rsid w:val="25C24D84"/>
    <w:rsid w:val="26F35E32"/>
    <w:rsid w:val="271F5171"/>
    <w:rsid w:val="27D8516B"/>
    <w:rsid w:val="27E97D12"/>
    <w:rsid w:val="289B3D96"/>
    <w:rsid w:val="28CD5F1A"/>
    <w:rsid w:val="28D30187"/>
    <w:rsid w:val="29541649"/>
    <w:rsid w:val="29CA7090"/>
    <w:rsid w:val="2AE15CAC"/>
    <w:rsid w:val="2B6F4ECB"/>
    <w:rsid w:val="2BD355F5"/>
    <w:rsid w:val="2CA376BD"/>
    <w:rsid w:val="2CA7105B"/>
    <w:rsid w:val="2E2F6D2F"/>
    <w:rsid w:val="2E8B0409"/>
    <w:rsid w:val="2EA63495"/>
    <w:rsid w:val="2EA96AE1"/>
    <w:rsid w:val="2EC102CF"/>
    <w:rsid w:val="2F4A2072"/>
    <w:rsid w:val="2F7470EF"/>
    <w:rsid w:val="30E402A4"/>
    <w:rsid w:val="32D57101"/>
    <w:rsid w:val="330A7653"/>
    <w:rsid w:val="33640870"/>
    <w:rsid w:val="33666445"/>
    <w:rsid w:val="33737CCB"/>
    <w:rsid w:val="34346E4D"/>
    <w:rsid w:val="344C063B"/>
    <w:rsid w:val="34A57D4B"/>
    <w:rsid w:val="351B0998"/>
    <w:rsid w:val="353A0493"/>
    <w:rsid w:val="357E18BF"/>
    <w:rsid w:val="357F1DB0"/>
    <w:rsid w:val="35CF507F"/>
    <w:rsid w:val="36CF7301"/>
    <w:rsid w:val="37503F9E"/>
    <w:rsid w:val="39041099"/>
    <w:rsid w:val="392C71CB"/>
    <w:rsid w:val="39A95BE7"/>
    <w:rsid w:val="3A1F5997"/>
    <w:rsid w:val="3A322E64"/>
    <w:rsid w:val="3AB02FA5"/>
    <w:rsid w:val="3AE456B1"/>
    <w:rsid w:val="3B3F2CA7"/>
    <w:rsid w:val="3B9E60C3"/>
    <w:rsid w:val="3C964B49"/>
    <w:rsid w:val="3CB054DF"/>
    <w:rsid w:val="3CD967E3"/>
    <w:rsid w:val="3D8B21D4"/>
    <w:rsid w:val="3E1A70B4"/>
    <w:rsid w:val="3EB2553E"/>
    <w:rsid w:val="3F9D1D4A"/>
    <w:rsid w:val="3FA4672B"/>
    <w:rsid w:val="3FCA7786"/>
    <w:rsid w:val="4033445D"/>
    <w:rsid w:val="414C1C7A"/>
    <w:rsid w:val="417033F2"/>
    <w:rsid w:val="420619FF"/>
    <w:rsid w:val="42383FAC"/>
    <w:rsid w:val="428E73A5"/>
    <w:rsid w:val="42FB3958"/>
    <w:rsid w:val="43972F54"/>
    <w:rsid w:val="45132AAF"/>
    <w:rsid w:val="458723D9"/>
    <w:rsid w:val="463D6035"/>
    <w:rsid w:val="46A460B4"/>
    <w:rsid w:val="4823125B"/>
    <w:rsid w:val="488A12DA"/>
    <w:rsid w:val="48C12F4D"/>
    <w:rsid w:val="49266B57"/>
    <w:rsid w:val="494D47E1"/>
    <w:rsid w:val="497E79BF"/>
    <w:rsid w:val="49B05831"/>
    <w:rsid w:val="49D071C0"/>
    <w:rsid w:val="49E527A4"/>
    <w:rsid w:val="4A897A9B"/>
    <w:rsid w:val="4AA169FB"/>
    <w:rsid w:val="4B241572"/>
    <w:rsid w:val="4C9C4AC3"/>
    <w:rsid w:val="4CA50490"/>
    <w:rsid w:val="4D9F38D2"/>
    <w:rsid w:val="4E6F0D56"/>
    <w:rsid w:val="4ED4791F"/>
    <w:rsid w:val="4F4246BC"/>
    <w:rsid w:val="4FC42B01"/>
    <w:rsid w:val="4FE17A31"/>
    <w:rsid w:val="5028682C"/>
    <w:rsid w:val="50715259"/>
    <w:rsid w:val="51EE6435"/>
    <w:rsid w:val="52495D62"/>
    <w:rsid w:val="52E31D12"/>
    <w:rsid w:val="551B1C37"/>
    <w:rsid w:val="55B61960"/>
    <w:rsid w:val="56D025AE"/>
    <w:rsid w:val="56D4209E"/>
    <w:rsid w:val="571903F8"/>
    <w:rsid w:val="57376AD1"/>
    <w:rsid w:val="584C035A"/>
    <w:rsid w:val="58CE6FC1"/>
    <w:rsid w:val="599B50F5"/>
    <w:rsid w:val="59C507F0"/>
    <w:rsid w:val="5A581238"/>
    <w:rsid w:val="5A6E2809"/>
    <w:rsid w:val="5C074C5C"/>
    <w:rsid w:val="5C423F4D"/>
    <w:rsid w:val="5C835DA4"/>
    <w:rsid w:val="5D4F5EF1"/>
    <w:rsid w:val="5D6972B8"/>
    <w:rsid w:val="5F0D5F64"/>
    <w:rsid w:val="60EB6BBC"/>
    <w:rsid w:val="6185600B"/>
    <w:rsid w:val="61A13D7C"/>
    <w:rsid w:val="63BD3EBA"/>
    <w:rsid w:val="63D66F90"/>
    <w:rsid w:val="644D16E1"/>
    <w:rsid w:val="65270184"/>
    <w:rsid w:val="653700E4"/>
    <w:rsid w:val="67C47F0C"/>
    <w:rsid w:val="684828EC"/>
    <w:rsid w:val="6898631B"/>
    <w:rsid w:val="69074555"/>
    <w:rsid w:val="693B5FAC"/>
    <w:rsid w:val="69D16911"/>
    <w:rsid w:val="6A3D7B02"/>
    <w:rsid w:val="6A6B28C1"/>
    <w:rsid w:val="6A973C6D"/>
    <w:rsid w:val="6D673814"/>
    <w:rsid w:val="6F1B28B0"/>
    <w:rsid w:val="6F993A2D"/>
    <w:rsid w:val="709B5583"/>
    <w:rsid w:val="7189187F"/>
    <w:rsid w:val="718D5813"/>
    <w:rsid w:val="718F50E7"/>
    <w:rsid w:val="71AB4182"/>
    <w:rsid w:val="72395053"/>
    <w:rsid w:val="737364F4"/>
    <w:rsid w:val="74444D46"/>
    <w:rsid w:val="74797D1B"/>
    <w:rsid w:val="747C5250"/>
    <w:rsid w:val="752244C4"/>
    <w:rsid w:val="76805E09"/>
    <w:rsid w:val="76B12E23"/>
    <w:rsid w:val="771440E1"/>
    <w:rsid w:val="77176F4C"/>
    <w:rsid w:val="775A5A6A"/>
    <w:rsid w:val="779571D0"/>
    <w:rsid w:val="77C27899"/>
    <w:rsid w:val="7806553B"/>
    <w:rsid w:val="78906183"/>
    <w:rsid w:val="79224A93"/>
    <w:rsid w:val="7ABA3126"/>
    <w:rsid w:val="7BC04649"/>
    <w:rsid w:val="7BE57DD3"/>
    <w:rsid w:val="7C0C5586"/>
    <w:rsid w:val="7C8354D1"/>
    <w:rsid w:val="7D344D95"/>
    <w:rsid w:val="7D97719A"/>
    <w:rsid w:val="7DBC3788"/>
    <w:rsid w:val="7E633B84"/>
    <w:rsid w:val="7F9D17B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jc w:val="center"/>
      <w:outlineLvl w:val="0"/>
    </w:pPr>
    <w:rPr>
      <w:b/>
      <w:bCs/>
      <w:sz w:val="24"/>
      <w:szCs w:val="20"/>
    </w:rPr>
  </w:style>
  <w:style w:type="paragraph" w:styleId="3">
    <w:name w:val="heading 2"/>
    <w:basedOn w:val="1"/>
    <w:next w:val="1"/>
    <w:link w:val="48"/>
    <w:qFormat/>
    <w:uiPriority w:val="0"/>
    <w:pPr>
      <w:keepNext/>
      <w:keepLines/>
      <w:spacing w:line="360" w:lineRule="auto"/>
      <w:outlineLvl w:val="1"/>
    </w:pPr>
    <w:rPr>
      <w:rFonts w:ascii="Arial" w:hAnsi="Arial"/>
      <w:sz w:val="24"/>
      <w:szCs w:val="32"/>
    </w:rPr>
  </w:style>
  <w:style w:type="paragraph" w:styleId="4">
    <w:name w:val="heading 3"/>
    <w:basedOn w:val="1"/>
    <w:next w:val="1"/>
    <w:link w:val="50"/>
    <w:qFormat/>
    <w:uiPriority w:val="0"/>
    <w:pPr>
      <w:keepNext/>
      <w:keepLines/>
      <w:spacing w:before="260" w:beforeLines="0" w:after="260" w:afterLines="0" w:line="413" w:lineRule="auto"/>
      <w:outlineLvl w:val="2"/>
    </w:pPr>
    <w:rPr>
      <w:b/>
      <w:bCs/>
      <w:sz w:val="32"/>
      <w:szCs w:val="32"/>
    </w:rPr>
  </w:style>
  <w:style w:type="paragraph" w:styleId="5">
    <w:name w:val="heading 4"/>
    <w:basedOn w:val="1"/>
    <w:next w:val="1"/>
    <w:qFormat/>
    <w:uiPriority w:val="0"/>
    <w:pPr>
      <w:keepNext/>
      <w:keepLines/>
      <w:spacing w:before="280" w:beforeLines="0" w:after="290" w:afterLines="0" w:line="372" w:lineRule="auto"/>
      <w:outlineLvl w:val="3"/>
    </w:pPr>
    <w:rPr>
      <w:rFonts w:ascii="Arial" w:hAnsi="Arial" w:eastAsia="黑体"/>
      <w:b/>
      <w:bCs/>
      <w:sz w:val="28"/>
      <w:szCs w:val="28"/>
    </w:rPr>
  </w:style>
  <w:style w:type="paragraph" w:styleId="6">
    <w:name w:val="heading 5"/>
    <w:basedOn w:val="1"/>
    <w:next w:val="1"/>
    <w:qFormat/>
    <w:uiPriority w:val="0"/>
    <w:pPr>
      <w:keepNext/>
      <w:keepLines/>
      <w:adjustRightInd w:val="0"/>
      <w:spacing w:before="280" w:beforeLines="0" w:after="290" w:afterLines="0" w:line="376" w:lineRule="atLeast"/>
      <w:jc w:val="left"/>
      <w:textAlignment w:val="baseline"/>
      <w:outlineLvl w:val="4"/>
    </w:pPr>
    <w:rPr>
      <w:b/>
      <w:bCs/>
      <w:kern w:val="0"/>
      <w:sz w:val="28"/>
      <w:szCs w:val="28"/>
    </w:rPr>
  </w:style>
  <w:style w:type="paragraph" w:styleId="7">
    <w:name w:val="heading 6"/>
    <w:basedOn w:val="1"/>
    <w:next w:val="1"/>
    <w:qFormat/>
    <w:uiPriority w:val="0"/>
    <w:pPr>
      <w:keepNext/>
      <w:keepLines/>
      <w:adjustRightInd w:val="0"/>
      <w:spacing w:before="240" w:beforeLines="0" w:after="64" w:afterLines="0" w:line="320" w:lineRule="atLeast"/>
      <w:jc w:val="left"/>
      <w:textAlignment w:val="baseline"/>
      <w:outlineLvl w:val="5"/>
    </w:pPr>
    <w:rPr>
      <w:rFonts w:ascii="Arial" w:hAnsi="Arial" w:eastAsia="黑体"/>
      <w:b/>
      <w:bCs/>
      <w:kern w:val="0"/>
      <w:sz w:val="24"/>
    </w:rPr>
  </w:style>
  <w:style w:type="paragraph" w:styleId="8">
    <w:name w:val="heading 7"/>
    <w:basedOn w:val="1"/>
    <w:next w:val="1"/>
    <w:qFormat/>
    <w:uiPriority w:val="0"/>
    <w:pPr>
      <w:keepNext/>
      <w:keepLines/>
      <w:adjustRightInd w:val="0"/>
      <w:spacing w:before="240" w:beforeLines="0" w:after="64" w:afterLines="0" w:line="320" w:lineRule="atLeast"/>
      <w:jc w:val="left"/>
      <w:textAlignment w:val="baseline"/>
      <w:outlineLvl w:val="6"/>
    </w:pPr>
    <w:rPr>
      <w:b/>
      <w:bCs/>
      <w:kern w:val="0"/>
      <w:sz w:val="24"/>
    </w:rPr>
  </w:style>
  <w:style w:type="paragraph" w:styleId="9">
    <w:name w:val="heading 8"/>
    <w:basedOn w:val="1"/>
    <w:next w:val="1"/>
    <w:qFormat/>
    <w:uiPriority w:val="0"/>
    <w:pPr>
      <w:keepNext/>
      <w:keepLines/>
      <w:adjustRightInd w:val="0"/>
      <w:spacing w:before="240" w:beforeLines="0" w:after="64" w:afterLines="0" w:line="320" w:lineRule="atLeast"/>
      <w:jc w:val="left"/>
      <w:textAlignment w:val="baseline"/>
      <w:outlineLvl w:val="7"/>
    </w:pPr>
    <w:rPr>
      <w:rFonts w:ascii="Arial" w:hAnsi="Arial" w:eastAsia="黑体"/>
      <w:kern w:val="0"/>
      <w:sz w:val="24"/>
    </w:rPr>
  </w:style>
  <w:style w:type="paragraph" w:styleId="10">
    <w:name w:val="heading 9"/>
    <w:basedOn w:val="1"/>
    <w:next w:val="1"/>
    <w:qFormat/>
    <w:uiPriority w:val="0"/>
    <w:pPr>
      <w:keepNext/>
      <w:keepLines/>
      <w:adjustRightInd w:val="0"/>
      <w:spacing w:before="240" w:beforeLines="0" w:after="64" w:afterLines="0" w:line="320" w:lineRule="atLeast"/>
      <w:jc w:val="left"/>
      <w:textAlignment w:val="baseline"/>
      <w:outlineLvl w:val="8"/>
    </w:pPr>
    <w:rPr>
      <w:rFonts w:ascii="Arial" w:hAnsi="Arial" w:eastAsia="黑体"/>
      <w:kern w:val="0"/>
      <w:szCs w:val="21"/>
    </w:rPr>
  </w:style>
  <w:style w:type="character" w:default="1" w:styleId="41">
    <w:name w:val="Default Paragraph Font"/>
    <w:qFormat/>
    <w:uiPriority w:val="0"/>
  </w:style>
  <w:style w:type="table" w:default="1" w:styleId="39">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widowControl/>
      <w:ind w:firstLine="420"/>
      <w:jc w:val="left"/>
    </w:pPr>
    <w:rPr>
      <w:kern w:val="0"/>
      <w:sz w:val="20"/>
      <w:szCs w:val="20"/>
    </w:rPr>
  </w:style>
  <w:style w:type="paragraph" w:styleId="12">
    <w:name w:val="Document Map"/>
    <w:basedOn w:val="1"/>
    <w:qFormat/>
    <w:uiPriority w:val="0"/>
    <w:pPr>
      <w:shd w:val="clear" w:color="auto" w:fill="000080"/>
    </w:pPr>
  </w:style>
  <w:style w:type="paragraph" w:styleId="13">
    <w:name w:val="toa heading"/>
    <w:basedOn w:val="1"/>
    <w:next w:val="1"/>
    <w:qFormat/>
    <w:uiPriority w:val="0"/>
    <w:pPr>
      <w:spacing w:before="120"/>
    </w:pPr>
    <w:rPr>
      <w:rFonts w:ascii="Cambria" w:hAnsi="Cambria"/>
      <w:sz w:val="24"/>
      <w:szCs w:val="24"/>
    </w:rPr>
  </w:style>
  <w:style w:type="paragraph" w:styleId="14">
    <w:name w:val="annotation text"/>
    <w:basedOn w:val="1"/>
    <w:link w:val="51"/>
    <w:qFormat/>
    <w:uiPriority w:val="0"/>
    <w:pPr>
      <w:jc w:val="left"/>
    </w:pPr>
  </w:style>
  <w:style w:type="paragraph" w:styleId="15">
    <w:name w:val="Salutation"/>
    <w:basedOn w:val="1"/>
    <w:next w:val="1"/>
    <w:qFormat/>
    <w:uiPriority w:val="0"/>
    <w:rPr>
      <w:rFonts w:ascii="仿宋_GB2312" w:eastAsia="仿宋_GB2312"/>
      <w:sz w:val="24"/>
    </w:rPr>
  </w:style>
  <w:style w:type="paragraph" w:styleId="16">
    <w:name w:val="Body Text 3"/>
    <w:basedOn w:val="1"/>
    <w:link w:val="52"/>
    <w:qFormat/>
    <w:uiPriority w:val="0"/>
    <w:pPr>
      <w:spacing w:after="120"/>
    </w:pPr>
    <w:rPr>
      <w:sz w:val="16"/>
      <w:szCs w:val="16"/>
    </w:rPr>
  </w:style>
  <w:style w:type="paragraph" w:styleId="17">
    <w:name w:val="Body Text"/>
    <w:basedOn w:val="1"/>
    <w:next w:val="18"/>
    <w:link w:val="47"/>
    <w:qFormat/>
    <w:uiPriority w:val="0"/>
    <w:pPr>
      <w:spacing w:after="120" w:afterLines="0"/>
    </w:pPr>
  </w:style>
  <w:style w:type="paragraph" w:styleId="18">
    <w:name w:val="Body Text First Indent"/>
    <w:basedOn w:val="17"/>
    <w:unhideWhenUsed/>
    <w:qFormat/>
    <w:uiPriority w:val="99"/>
    <w:pPr>
      <w:spacing w:before="0" w:beforeAutospacing="0" w:after="120" w:afterAutospacing="0" w:line="360" w:lineRule="auto"/>
      <w:ind w:firstLine="420" w:firstLineChars="100"/>
    </w:pPr>
    <w:rPr>
      <w:rFonts w:ascii="Calibri" w:hAnsi="Calibri" w:eastAsia="仿宋"/>
      <w:sz w:val="28"/>
    </w:rPr>
  </w:style>
  <w:style w:type="paragraph" w:styleId="19">
    <w:name w:val="Body Text Indent"/>
    <w:basedOn w:val="1"/>
    <w:qFormat/>
    <w:uiPriority w:val="0"/>
    <w:pPr>
      <w:spacing w:after="120" w:afterLines="0"/>
      <w:ind w:left="420" w:leftChars="200"/>
    </w:pPr>
  </w:style>
  <w:style w:type="paragraph" w:styleId="20">
    <w:name w:val="Block Text"/>
    <w:basedOn w:val="1"/>
    <w:qFormat/>
    <w:uiPriority w:val="0"/>
    <w:pPr>
      <w:ind w:left="1171" w:right="91" w:hanging="1080"/>
    </w:pPr>
    <w:rPr>
      <w:rFonts w:eastAsia="楷体_GB2312"/>
      <w:szCs w:val="20"/>
    </w:rPr>
  </w:style>
  <w:style w:type="paragraph" w:styleId="21">
    <w:name w:val="toc 5"/>
    <w:basedOn w:val="1"/>
    <w:next w:val="1"/>
    <w:qFormat/>
    <w:uiPriority w:val="0"/>
    <w:pPr>
      <w:tabs>
        <w:tab w:val="right" w:leader="dot" w:pos="8296"/>
      </w:tabs>
      <w:ind w:left="1050" w:leftChars="500"/>
    </w:pPr>
  </w:style>
  <w:style w:type="paragraph" w:styleId="22">
    <w:name w:val="toc 3"/>
    <w:basedOn w:val="1"/>
    <w:next w:val="1"/>
    <w:qFormat/>
    <w:uiPriority w:val="0"/>
    <w:pPr>
      <w:ind w:left="840" w:leftChars="400"/>
    </w:pPr>
  </w:style>
  <w:style w:type="paragraph" w:styleId="23">
    <w:name w:val="Plain Text"/>
    <w:basedOn w:val="1"/>
    <w:link w:val="53"/>
    <w:qFormat/>
    <w:uiPriority w:val="0"/>
    <w:rPr>
      <w:rFonts w:ascii="宋体" w:hAnsi="Courier New" w:cs="Courier New"/>
      <w:szCs w:val="21"/>
    </w:rPr>
  </w:style>
  <w:style w:type="paragraph" w:styleId="24">
    <w:name w:val="Date"/>
    <w:basedOn w:val="1"/>
    <w:next w:val="1"/>
    <w:qFormat/>
    <w:uiPriority w:val="0"/>
    <w:rPr>
      <w:sz w:val="24"/>
      <w:szCs w:val="20"/>
    </w:rPr>
  </w:style>
  <w:style w:type="paragraph" w:styleId="25">
    <w:name w:val="Body Text Indent 2"/>
    <w:basedOn w:val="1"/>
    <w:qFormat/>
    <w:uiPriority w:val="0"/>
    <w:pPr>
      <w:spacing w:after="120" w:afterLines="0" w:line="480" w:lineRule="auto"/>
      <w:ind w:left="420" w:leftChars="200"/>
    </w:pPr>
  </w:style>
  <w:style w:type="paragraph" w:styleId="26">
    <w:name w:val="Balloon Text"/>
    <w:basedOn w:val="1"/>
    <w:qFormat/>
    <w:uiPriority w:val="0"/>
    <w:rPr>
      <w:sz w:val="18"/>
      <w:szCs w:val="18"/>
    </w:rPr>
  </w:style>
  <w:style w:type="paragraph" w:styleId="27">
    <w:name w:val="footer"/>
    <w:basedOn w:val="1"/>
    <w:qFormat/>
    <w:uiPriority w:val="0"/>
    <w:pPr>
      <w:tabs>
        <w:tab w:val="center" w:pos="4153"/>
        <w:tab w:val="right" w:pos="8306"/>
      </w:tabs>
      <w:snapToGrid w:val="0"/>
      <w:jc w:val="left"/>
    </w:pPr>
    <w:rPr>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pPr>
      <w:spacing w:before="156" w:beforeLines="50"/>
    </w:pPr>
    <w:rPr>
      <w:rFonts w:ascii="仿宋_GB2312" w:eastAsia="仿宋_GB2312"/>
      <w:sz w:val="24"/>
    </w:rPr>
  </w:style>
  <w:style w:type="paragraph" w:styleId="30">
    <w:name w:val="toc 4"/>
    <w:basedOn w:val="1"/>
    <w:next w:val="1"/>
    <w:qFormat/>
    <w:uiPriority w:val="0"/>
    <w:pPr>
      <w:tabs>
        <w:tab w:val="left" w:pos="1890"/>
        <w:tab w:val="right" w:leader="dot" w:pos="8296"/>
      </w:tabs>
      <w:ind w:left="630" w:leftChars="300"/>
    </w:pPr>
  </w:style>
  <w:style w:type="paragraph" w:styleId="31">
    <w:name w:val="Body Text Indent 3"/>
    <w:basedOn w:val="1"/>
    <w:qFormat/>
    <w:uiPriority w:val="0"/>
    <w:pPr>
      <w:spacing w:after="120" w:afterLines="0"/>
      <w:ind w:left="420" w:leftChars="200"/>
    </w:pPr>
    <w:rPr>
      <w:sz w:val="16"/>
      <w:szCs w:val="16"/>
    </w:rPr>
  </w:style>
  <w:style w:type="paragraph" w:styleId="32">
    <w:name w:val="toc 2"/>
    <w:basedOn w:val="1"/>
    <w:next w:val="1"/>
    <w:qFormat/>
    <w:uiPriority w:val="0"/>
    <w:pPr>
      <w:ind w:left="420" w:leftChars="200"/>
    </w:pPr>
  </w:style>
  <w:style w:type="paragraph" w:styleId="33">
    <w:name w:val="Body Text 2"/>
    <w:basedOn w:val="1"/>
    <w:qFormat/>
    <w:uiPriority w:val="0"/>
    <w:pPr>
      <w:spacing w:after="120" w:afterLines="0" w:line="480" w:lineRule="auto"/>
    </w:pPr>
  </w:style>
  <w:style w:type="paragraph" w:styleId="3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36">
    <w:name w:val="index 1"/>
    <w:basedOn w:val="1"/>
    <w:next w:val="1"/>
    <w:qFormat/>
    <w:uiPriority w:val="0"/>
    <w:pPr>
      <w:spacing w:line="220" w:lineRule="exact"/>
      <w:jc w:val="center"/>
    </w:pPr>
    <w:rPr>
      <w:rFonts w:ascii="仿宋_GB2312" w:eastAsia="仿宋_GB2312"/>
      <w:szCs w:val="20"/>
    </w:rPr>
  </w:style>
  <w:style w:type="paragraph" w:styleId="37">
    <w:name w:val="Title"/>
    <w:basedOn w:val="1"/>
    <w:next w:val="1"/>
    <w:link w:val="54"/>
    <w:qFormat/>
    <w:uiPriority w:val="0"/>
    <w:pPr>
      <w:spacing w:line="360" w:lineRule="auto"/>
      <w:jc w:val="center"/>
      <w:outlineLvl w:val="0"/>
    </w:pPr>
    <w:rPr>
      <w:rFonts w:ascii="Cambria" w:hAnsi="Cambria"/>
      <w:b/>
      <w:bCs/>
      <w:sz w:val="36"/>
      <w:szCs w:val="32"/>
    </w:rPr>
  </w:style>
  <w:style w:type="paragraph" w:styleId="38">
    <w:name w:val="annotation subject"/>
    <w:basedOn w:val="14"/>
    <w:next w:val="14"/>
    <w:qFormat/>
    <w:uiPriority w:val="0"/>
    <w:rPr>
      <w:b/>
      <w:bCs/>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basedOn w:val="41"/>
    <w:qFormat/>
    <w:uiPriority w:val="0"/>
    <w:rPr>
      <w:kern w:val="2"/>
      <w:sz w:val="21"/>
      <w:szCs w:val="24"/>
      <w:lang w:val="en-US" w:eastAsia="zh-CN" w:bidi="ar-SA"/>
    </w:rPr>
  </w:style>
  <w:style w:type="character" w:styleId="43">
    <w:name w:val="page number"/>
    <w:basedOn w:val="41"/>
    <w:qFormat/>
    <w:uiPriority w:val="0"/>
  </w:style>
  <w:style w:type="character" w:styleId="44">
    <w:name w:val="FollowedHyperlink"/>
    <w:qFormat/>
    <w:uiPriority w:val="0"/>
    <w:rPr>
      <w:color w:val="800080"/>
      <w:u w:val="single"/>
    </w:rPr>
  </w:style>
  <w:style w:type="character" w:styleId="45">
    <w:name w:val="Hyperlink"/>
    <w:qFormat/>
    <w:uiPriority w:val="0"/>
    <w:rPr>
      <w:color w:val="136EC2"/>
      <w:u w:val="single"/>
    </w:rPr>
  </w:style>
  <w:style w:type="character" w:styleId="46">
    <w:name w:val="annotation reference"/>
    <w:qFormat/>
    <w:uiPriority w:val="0"/>
    <w:rPr>
      <w:sz w:val="21"/>
      <w:szCs w:val="21"/>
    </w:rPr>
  </w:style>
  <w:style w:type="character" w:customStyle="1" w:styleId="47">
    <w:name w:val="正文文本 Char"/>
    <w:link w:val="17"/>
    <w:qFormat/>
    <w:uiPriority w:val="0"/>
    <w:rPr>
      <w:kern w:val="2"/>
      <w:sz w:val="21"/>
      <w:szCs w:val="24"/>
    </w:rPr>
  </w:style>
  <w:style w:type="character" w:customStyle="1" w:styleId="48">
    <w:name w:val="标题 2 Char"/>
    <w:link w:val="3"/>
    <w:qFormat/>
    <w:uiPriority w:val="0"/>
    <w:rPr>
      <w:rFonts w:ascii="Arial" w:hAnsi="Arial"/>
      <w:b/>
      <w:bCs/>
      <w:sz w:val="24"/>
      <w:szCs w:val="32"/>
    </w:rPr>
  </w:style>
  <w:style w:type="character" w:customStyle="1" w:styleId="49">
    <w:name w:val="标题 1 Char"/>
    <w:link w:val="2"/>
    <w:qFormat/>
    <w:uiPriority w:val="0"/>
    <w:rPr>
      <w:b/>
      <w:bCs/>
      <w:sz w:val="24"/>
      <w:szCs w:val="20"/>
    </w:rPr>
  </w:style>
  <w:style w:type="character" w:customStyle="1" w:styleId="50">
    <w:name w:val="标题 3 Char"/>
    <w:link w:val="4"/>
    <w:qFormat/>
    <w:uiPriority w:val="0"/>
    <w:rPr>
      <w:rFonts w:eastAsia="宋体"/>
      <w:b/>
      <w:bCs/>
      <w:kern w:val="2"/>
      <w:sz w:val="32"/>
      <w:szCs w:val="32"/>
      <w:lang w:val="en-US" w:eastAsia="zh-CN" w:bidi="ar-SA"/>
    </w:rPr>
  </w:style>
  <w:style w:type="character" w:customStyle="1" w:styleId="51">
    <w:name w:val="批注文字 Char"/>
    <w:link w:val="14"/>
    <w:qFormat/>
    <w:uiPriority w:val="0"/>
    <w:rPr>
      <w:kern w:val="2"/>
      <w:sz w:val="21"/>
      <w:szCs w:val="24"/>
    </w:rPr>
  </w:style>
  <w:style w:type="character" w:customStyle="1" w:styleId="52">
    <w:name w:val="正文文本 3 Char"/>
    <w:link w:val="16"/>
    <w:qFormat/>
    <w:uiPriority w:val="0"/>
    <w:rPr>
      <w:kern w:val="2"/>
      <w:sz w:val="16"/>
      <w:szCs w:val="16"/>
    </w:rPr>
  </w:style>
  <w:style w:type="character" w:customStyle="1" w:styleId="53">
    <w:name w:val="纯文本 Char"/>
    <w:link w:val="23"/>
    <w:qFormat/>
    <w:uiPriority w:val="0"/>
    <w:rPr>
      <w:rFonts w:ascii="宋体" w:hAnsi="Courier New" w:cs="Courier New"/>
      <w:kern w:val="2"/>
      <w:sz w:val="21"/>
      <w:szCs w:val="21"/>
    </w:rPr>
  </w:style>
  <w:style w:type="character" w:customStyle="1" w:styleId="54">
    <w:name w:val="标题 Char"/>
    <w:link w:val="37"/>
    <w:qFormat/>
    <w:uiPriority w:val="0"/>
    <w:rPr>
      <w:rFonts w:ascii="Cambria" w:hAnsi="Cambria" w:eastAsia="宋体"/>
      <w:b/>
      <w:bCs/>
      <w:kern w:val="2"/>
      <w:sz w:val="36"/>
      <w:szCs w:val="32"/>
      <w:lang w:val="en-US" w:eastAsia="zh-CN" w:bidi="ar-SA"/>
    </w:rPr>
  </w:style>
  <w:style w:type="paragraph" w:customStyle="1" w:styleId="55">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56">
    <w:name w:val="NormalCharacter"/>
    <w:link w:val="57"/>
    <w:semiHidden/>
    <w:qFormat/>
    <w:uiPriority w:val="0"/>
  </w:style>
  <w:style w:type="paragraph" w:customStyle="1" w:styleId="57">
    <w:name w:val="UserStyle_5"/>
    <w:basedOn w:val="1"/>
    <w:link w:val="56"/>
    <w:qFormat/>
    <w:uiPriority w:val="0"/>
    <w:pPr>
      <w:widowControl/>
      <w:spacing w:after="160" w:line="240" w:lineRule="exact"/>
      <w:jc w:val="left"/>
      <w:textAlignment w:val="baseline"/>
    </w:pPr>
  </w:style>
  <w:style w:type="character" w:customStyle="1" w:styleId="58">
    <w:name w:val="标题 2 Char Char"/>
    <w:qFormat/>
    <w:uiPriority w:val="0"/>
    <w:rPr>
      <w:rFonts w:ascii="Arial" w:hAnsi="Arial" w:eastAsia="黑体" w:cs="Times New Roman"/>
      <w:b/>
      <w:bCs/>
      <w:kern w:val="2"/>
      <w:sz w:val="32"/>
      <w:szCs w:val="32"/>
      <w:lang w:val="en-US" w:eastAsia="zh-CN" w:bidi="ar-SA"/>
    </w:rPr>
  </w:style>
  <w:style w:type="character" w:customStyle="1" w:styleId="59">
    <w:name w:val="txt7"/>
    <w:basedOn w:val="41"/>
    <w:qFormat/>
    <w:uiPriority w:val="0"/>
  </w:style>
  <w:style w:type="character" w:customStyle="1" w:styleId="60">
    <w:name w:val="p0 Char"/>
    <w:link w:val="61"/>
    <w:qFormat/>
    <w:uiPriority w:val="0"/>
    <w:rPr>
      <w:rFonts w:eastAsia="宋体"/>
      <w:sz w:val="21"/>
      <w:szCs w:val="21"/>
      <w:lang w:val="en-US" w:eastAsia="zh-CN" w:bidi="ar-SA"/>
    </w:rPr>
  </w:style>
  <w:style w:type="paragraph" w:customStyle="1" w:styleId="61">
    <w:name w:val="p0"/>
    <w:basedOn w:val="1"/>
    <w:link w:val="60"/>
    <w:qFormat/>
    <w:uiPriority w:val="0"/>
    <w:pPr>
      <w:widowControl/>
    </w:pPr>
    <w:rPr>
      <w:kern w:val="0"/>
      <w:szCs w:val="21"/>
    </w:rPr>
  </w:style>
  <w:style w:type="character" w:customStyle="1" w:styleId="62">
    <w:name w:val="apple-converted-space"/>
    <w:basedOn w:val="41"/>
    <w:qFormat/>
    <w:uiPriority w:val="0"/>
  </w:style>
  <w:style w:type="paragraph" w:customStyle="1" w:styleId="63">
    <w:name w:val="xl25"/>
    <w:basedOn w:val="1"/>
    <w:qFormat/>
    <w:uiPriority w:val="0"/>
    <w:pPr>
      <w:widowControl/>
      <w:pBdr>
        <w:left w:val="single" w:color="auto" w:sz="4" w:space="0"/>
        <w:bottom w:val="single" w:color="auto" w:sz="4" w:space="0"/>
        <w:right w:val="double" w:color="auto" w:sz="6" w:space="0"/>
      </w:pBdr>
      <w:spacing w:before="100" w:beforeLines="0" w:beforeAutospacing="1" w:after="100" w:afterLines="0" w:afterAutospacing="1"/>
      <w:jc w:val="center"/>
    </w:pPr>
    <w:rPr>
      <w:rFonts w:ascii="Arial Unicode MS" w:hAnsi="Arial Unicode MS" w:eastAsia="Arial Unicode MS" w:cs="Arial Unicode MS"/>
      <w:kern w:val="0"/>
      <w:sz w:val="24"/>
    </w:rPr>
  </w:style>
  <w:style w:type="paragraph" w:customStyle="1" w:styleId="64">
    <w:name w:val="Char Char1 Char Char Char Char Char1 Char Char Char Char"/>
    <w:basedOn w:val="12"/>
    <w:qFormat/>
    <w:uiPriority w:val="0"/>
    <w:rPr>
      <w:rFonts w:ascii="Tahoma" w:hAnsi="Tahoma"/>
    </w:rPr>
  </w:style>
  <w:style w:type="paragraph" w:customStyle="1" w:styleId="65">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66">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67">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68">
    <w:name w:val=" Char Char Char"/>
    <w:basedOn w:val="1"/>
    <w:qFormat/>
    <w:uiPriority w:val="0"/>
    <w:rPr>
      <w:rFonts w:ascii="宋体" w:hAnsi="宋体"/>
      <w:b/>
      <w:sz w:val="28"/>
      <w:szCs w:val="28"/>
    </w:rPr>
  </w:style>
  <w:style w:type="paragraph" w:customStyle="1" w:styleId="69">
    <w:name w:val="Normal_1"/>
    <w:qFormat/>
    <w:uiPriority w:val="0"/>
    <w:rPr>
      <w:rFonts w:ascii="黑体" w:hAnsi="黑体" w:eastAsia="黑体" w:cs="Times New Roman"/>
      <w:b/>
      <w:sz w:val="32"/>
      <w:szCs w:val="24"/>
      <w:lang w:val="en-US" w:eastAsia="zh-CN" w:bidi="ar-SA"/>
    </w:rPr>
  </w:style>
  <w:style w:type="paragraph" w:customStyle="1" w:styleId="70">
    <w:name w:val=" Char Char Char Char Char Char Char"/>
    <w:basedOn w:val="1"/>
    <w:qFormat/>
    <w:uiPriority w:val="0"/>
    <w:pPr>
      <w:snapToGrid w:val="0"/>
      <w:spacing w:line="360" w:lineRule="auto"/>
      <w:ind w:firstLine="200" w:firstLineChars="200"/>
    </w:pPr>
    <w:rPr>
      <w:rFonts w:eastAsia="仿宋_GB2312"/>
      <w:sz w:val="24"/>
    </w:rPr>
  </w:style>
  <w:style w:type="paragraph" w:customStyle="1" w:styleId="71">
    <w:name w:val="正文_2"/>
    <w:basedOn w:val="72"/>
    <w:next w:val="73"/>
    <w:qFormat/>
    <w:uiPriority w:val="0"/>
    <w:pPr>
      <w:widowControl w:val="0"/>
      <w:jc w:val="both"/>
    </w:pPr>
    <w:rPr>
      <w:kern w:val="2"/>
      <w:sz w:val="21"/>
      <w:szCs w:val="24"/>
      <w:lang w:val="en-US" w:eastAsia="zh-CN" w:bidi="ar-SA"/>
    </w:rPr>
  </w:style>
  <w:style w:type="paragraph" w:customStyle="1" w:styleId="72">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正文缩进_0"/>
    <w:basedOn w:val="71"/>
    <w:qFormat/>
    <w:uiPriority w:val="0"/>
    <w:pPr>
      <w:adjustRightInd w:val="0"/>
      <w:spacing w:line="360" w:lineRule="atLeast"/>
      <w:ind w:firstLine="482"/>
      <w:textAlignment w:val="baseline"/>
    </w:pPr>
    <w:rPr>
      <w:kern w:val="0"/>
      <w:sz w:val="24"/>
      <w:szCs w:val="20"/>
    </w:rPr>
  </w:style>
  <w:style w:type="paragraph" w:customStyle="1" w:styleId="74">
    <w:name w:val="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75">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beforeLines="0"/>
      <w:ind w:left="840" w:hanging="420"/>
      <w:jc w:val="left"/>
      <w:textAlignment w:val="baseline"/>
      <w:outlineLvl w:val="1"/>
    </w:pPr>
    <w:rPr>
      <w:rFonts w:ascii="宋体" w:hAnsi="宋体"/>
      <w:b/>
      <w:bCs/>
      <w:color w:val="000000"/>
      <w:kern w:val="0"/>
      <w:szCs w:val="20"/>
    </w:rPr>
  </w:style>
  <w:style w:type="paragraph" w:customStyle="1" w:styleId="76">
    <w:name w:val="p16"/>
    <w:basedOn w:val="1"/>
    <w:qFormat/>
    <w:uiPriority w:val="0"/>
    <w:pPr>
      <w:widowControl/>
      <w:jc w:val="left"/>
    </w:pPr>
    <w:rPr>
      <w:kern w:val="0"/>
      <w:szCs w:val="21"/>
    </w:rPr>
  </w:style>
  <w:style w:type="paragraph" w:customStyle="1" w:styleId="77">
    <w:name w:val="样式 标题 2 + 宋体 五号 行距: 单倍行距"/>
    <w:basedOn w:val="3"/>
    <w:qFormat/>
    <w:uiPriority w:val="0"/>
    <w:pPr>
      <w:numPr>
        <w:ilvl w:val="1"/>
        <w:numId w:val="2"/>
      </w:numPr>
      <w:adjustRightInd w:val="0"/>
      <w:spacing w:before="260" w:beforeLines="0" w:after="260" w:afterLines="0" w:line="240" w:lineRule="auto"/>
      <w:jc w:val="left"/>
      <w:textAlignment w:val="baseline"/>
    </w:pPr>
    <w:rPr>
      <w:rFonts w:ascii="宋体" w:hAnsi="宋体"/>
      <w:kern w:val="0"/>
      <w:sz w:val="21"/>
      <w:szCs w:val="20"/>
    </w:rPr>
  </w:style>
  <w:style w:type="paragraph" w:customStyle="1" w:styleId="78">
    <w:name w:val=" Char Char Char1 Char"/>
    <w:basedOn w:val="1"/>
    <w:qFormat/>
    <w:uiPriority w:val="0"/>
    <w:pPr>
      <w:tabs>
        <w:tab w:val="left" w:pos="360"/>
      </w:tabs>
      <w:snapToGrid w:val="0"/>
      <w:spacing w:line="360" w:lineRule="auto"/>
    </w:pPr>
    <w:rPr>
      <w:rFonts w:eastAsia="仿宋_GB2312" w:cs="宋体"/>
      <w:sz w:val="24"/>
    </w:rPr>
  </w:style>
  <w:style w:type="paragraph" w:customStyle="1" w:styleId="79">
    <w:name w:val="Char"/>
    <w:basedOn w:val="1"/>
    <w:qFormat/>
    <w:uiPriority w:val="0"/>
    <w:pPr>
      <w:tabs>
        <w:tab w:val="left" w:pos="360"/>
      </w:tabs>
      <w:ind w:left="360" w:hanging="360" w:hangingChars="200"/>
    </w:pPr>
    <w:rPr>
      <w:sz w:val="24"/>
    </w:rPr>
  </w:style>
  <w:style w:type="paragraph" w:customStyle="1" w:styleId="80">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81">
    <w:name w:val="Char1"/>
    <w:basedOn w:val="1"/>
    <w:qFormat/>
    <w:uiPriority w:val="0"/>
    <w:pPr>
      <w:widowControl/>
      <w:spacing w:after="160" w:afterLines="0" w:line="240" w:lineRule="exact"/>
      <w:jc w:val="left"/>
    </w:pPr>
    <w:rPr>
      <w:rFonts w:ascii="Verdana" w:hAnsi="Verdana"/>
      <w:kern w:val="0"/>
      <w:sz w:val="20"/>
      <w:szCs w:val="20"/>
      <w:lang w:eastAsia="en-US"/>
    </w:rPr>
  </w:style>
  <w:style w:type="paragraph" w:styleId="82">
    <w:name w:val="List Paragraph"/>
    <w:basedOn w:val="1"/>
    <w:qFormat/>
    <w:uiPriority w:val="34"/>
    <w:pPr>
      <w:ind w:firstLine="420" w:firstLineChars="200"/>
    </w:pPr>
    <w:rPr>
      <w:rFonts w:ascii="Calibri" w:hAnsi="Calibri"/>
      <w:szCs w:val="22"/>
    </w:rPr>
  </w:style>
  <w:style w:type="paragraph" w:customStyle="1" w:styleId="83">
    <w:name w:val="Char1 Char Char Char 字元 Char Char 字元 Char 字元 Char1 Char Char Char"/>
    <w:basedOn w:val="1"/>
    <w:qFormat/>
    <w:uiPriority w:val="0"/>
    <w:rPr>
      <w:szCs w:val="20"/>
    </w:rPr>
  </w:style>
  <w:style w:type="paragraph" w:customStyle="1" w:styleId="84">
    <w:name w:val="样式 标题 2 + Times New Roman 四号 非加粗 段前: 5 磅 段后: 0 磅 行距: 固定值 20..."/>
    <w:basedOn w:val="3"/>
    <w:qFormat/>
    <w:uiPriority w:val="0"/>
    <w:pPr>
      <w:spacing w:before="100" w:beforeLines="0" w:line="400" w:lineRule="exact"/>
    </w:pPr>
    <w:rPr>
      <w:rFonts w:ascii="Times New Roman" w:hAnsi="Times New Roman" w:eastAsia="黑体"/>
      <w:b/>
      <w:bCs/>
      <w:sz w:val="28"/>
      <w:szCs w:val="20"/>
    </w:rPr>
  </w:style>
  <w:style w:type="paragraph" w:customStyle="1" w:styleId="85">
    <w:name w:val="表格内容"/>
    <w:basedOn w:val="17"/>
    <w:qFormat/>
    <w:uiPriority w:val="0"/>
    <w:pPr>
      <w:suppressLineNumbers/>
      <w:suppressAutoHyphens/>
      <w:jc w:val="left"/>
    </w:pPr>
    <w:rPr>
      <w:rFonts w:cs="Tahoma"/>
      <w:kern w:val="0"/>
      <w:sz w:val="24"/>
    </w:rPr>
  </w:style>
  <w:style w:type="paragraph" w:customStyle="1" w:styleId="86">
    <w:name w:val="1"/>
    <w:basedOn w:val="1"/>
    <w:qFormat/>
    <w:uiPriority w:val="0"/>
    <w:pPr>
      <w:spacing w:after="156" w:afterLines="50" w:line="360" w:lineRule="auto"/>
    </w:pPr>
    <w:rPr>
      <w:rFonts w:ascii="宋体" w:hAnsi="宋体"/>
      <w:b/>
      <w:sz w:val="30"/>
      <w:szCs w:val="21"/>
    </w:rPr>
  </w:style>
  <w:style w:type="paragraph" w:customStyle="1" w:styleId="87">
    <w:name w:val="标题 1 +"/>
    <w:basedOn w:val="2"/>
    <w:next w:val="1"/>
    <w:qFormat/>
    <w:uiPriority w:val="0"/>
    <w:pPr>
      <w:keepLines/>
      <w:spacing w:line="600" w:lineRule="auto"/>
    </w:pPr>
    <w:rPr>
      <w:rFonts w:eastAsia="黑体"/>
      <w:kern w:val="0"/>
      <w:sz w:val="32"/>
      <w:szCs w:val="32"/>
    </w:rPr>
  </w:style>
  <w:style w:type="paragraph" w:customStyle="1" w:styleId="8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9">
    <w:name w:val="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90">
    <w:name w:val="Char Char1 Char Char Char Char Char Char Char Char Char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91">
    <w:name w:val="xl31"/>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92">
    <w:name w:val="UserStyle_35"/>
    <w:qFormat/>
    <w:uiPriority w:val="0"/>
    <w:pPr>
      <w:textAlignment w:val="baseline"/>
    </w:pPr>
    <w:rPr>
      <w:rFonts w:ascii="Times New Roman" w:hAnsi="Times New Roman" w:eastAsia="宋体" w:cs="Times New Roman"/>
      <w:color w:val="000000"/>
      <w:szCs w:val="24"/>
      <w:lang w:val="en-US" w:eastAsia="zh-CN" w:bidi="ar-SA"/>
    </w:rPr>
  </w:style>
  <w:style w:type="paragraph" w:customStyle="1" w:styleId="93">
    <w:name w:val="UserStyle_121"/>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94">
    <w:name w:val="BodyTextIndent"/>
    <w:basedOn w:val="1"/>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paragraph" w:customStyle="1" w:styleId="95">
    <w:name w:val="UserStyle_37"/>
    <w:qFormat/>
    <w:uiPriority w:val="0"/>
    <w:pPr>
      <w:widowControl/>
      <w:textAlignment w:val="baseline"/>
    </w:pPr>
    <w:rPr>
      <w:rFonts w:ascii="黑体" w:hAnsi="黑体" w:eastAsia="黑体" w:cs="Times New Roman"/>
      <w:b/>
      <w:sz w:val="32"/>
      <w:szCs w:val="24"/>
      <w:lang w:val="en-US" w:bidi="ar-SA"/>
    </w:rPr>
  </w:style>
  <w:style w:type="paragraph" w:customStyle="1" w:styleId="96">
    <w:name w:val="UserStyle_38"/>
    <w:qFormat/>
    <w:uiPriority w:val="0"/>
    <w:pPr>
      <w:widowControl/>
      <w:textAlignment w:val="baseline"/>
    </w:pPr>
    <w:rPr>
      <w:rFonts w:ascii="黑体" w:hAnsi="黑体" w:eastAsia="黑体" w:cs="Times New Roman"/>
      <w:b/>
      <w:sz w:val="32"/>
      <w:szCs w:val="24"/>
      <w:lang w:val="en-US" w:bidi="ar-SA"/>
    </w:rPr>
  </w:style>
  <w:style w:type="paragraph" w:customStyle="1" w:styleId="97">
    <w:name w:val="UserStyle_66"/>
    <w:basedOn w:val="98"/>
    <w:qFormat/>
    <w:uiPriority w:val="0"/>
    <w:pPr>
      <w:jc w:val="both"/>
      <w:textAlignment w:val="baseline"/>
    </w:pPr>
    <w:rPr>
      <w:rFonts w:ascii="Calibri" w:hAnsi="Calibri" w:eastAsia="宋体"/>
      <w:kern w:val="2"/>
      <w:sz w:val="21"/>
      <w:szCs w:val="22"/>
      <w:lang w:val="en-US" w:eastAsia="zh-CN" w:bidi="ar-SA"/>
    </w:rPr>
  </w:style>
  <w:style w:type="paragraph" w:customStyle="1" w:styleId="98">
    <w:name w:val="UserStyle_67"/>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99">
    <w:name w:val="UserStyle_122"/>
    <w:basedOn w:val="98"/>
    <w:qFormat/>
    <w:uiPriority w:val="0"/>
    <w:pPr>
      <w:widowControl/>
      <w:jc w:val="left"/>
      <w:textAlignment w:val="baseline"/>
    </w:pPr>
    <w:rPr>
      <w:rFonts w:ascii="黑体" w:hAnsi="黑体" w:eastAsia="黑体" w:cs="宋体"/>
      <w:b/>
      <w:bCs/>
      <w:kern w:val="0"/>
      <w:sz w:val="32"/>
      <w:szCs w:val="32"/>
      <w:lang w:val="en-US" w:eastAsia="zh-CN" w:bidi="ar-SA"/>
    </w:rPr>
  </w:style>
  <w:style w:type="paragraph" w:customStyle="1" w:styleId="100">
    <w:name w:val="UserStyle_123"/>
    <w:basedOn w:val="98"/>
    <w:next w:val="101"/>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101">
    <w:name w:val="UserStyle_124"/>
    <w:basedOn w:val="100"/>
    <w:semiHidden/>
    <w:qFormat/>
    <w:uiPriority w:val="0"/>
    <w:pPr>
      <w:snapToGrid w:val="0"/>
      <w:jc w:val="left"/>
      <w:textAlignment w:val="baseline"/>
    </w:pPr>
    <w:rPr>
      <w:rFonts w:ascii="Calibri" w:hAnsi="Calibri" w:eastAsia="宋体"/>
      <w:kern w:val="2"/>
      <w:sz w:val="18"/>
      <w:szCs w:val="18"/>
      <w:lang w:val="en-US" w:eastAsia="zh-CN" w:bidi="ar-SA"/>
    </w:rPr>
  </w:style>
  <w:style w:type="paragraph" w:customStyle="1" w:styleId="102">
    <w:name w:val="UserStyle_100"/>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03">
    <w:name w:val="UserStyle_125"/>
    <w:basedOn w:val="98"/>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104">
    <w:name w:val="UserStyle_74"/>
    <w:qFormat/>
    <w:uiPriority w:val="0"/>
    <w:pPr>
      <w:widowControl/>
      <w:textAlignment w:val="baseline"/>
    </w:pPr>
    <w:rPr>
      <w:rFonts w:ascii="黑体" w:hAnsi="黑体" w:eastAsia="黑体" w:cs="Times New Roman"/>
      <w:b/>
      <w:sz w:val="32"/>
      <w:szCs w:val="24"/>
      <w:lang w:val="en-US" w:bidi="ar-SA"/>
    </w:rPr>
  </w:style>
  <w:style w:type="paragraph" w:customStyle="1" w:styleId="10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正文文本缩进_3"/>
    <w:basedOn w:val="105"/>
    <w:qFormat/>
    <w:uiPriority w:val="0"/>
    <w:pPr>
      <w:spacing w:line="500" w:lineRule="exact"/>
      <w:ind w:left="1588" w:leftChars="832" w:firstLine="433" w:firstLineChars="196"/>
    </w:pPr>
    <w:rPr>
      <w:kern w:val="0"/>
      <w:sz w:val="24"/>
    </w:rPr>
  </w:style>
  <w:style w:type="paragraph" w:customStyle="1" w:styleId="107">
    <w:name w:val="正"/>
    <w:basedOn w:val="108"/>
    <w:qFormat/>
    <w:uiPriority w:val="0"/>
    <w:pPr>
      <w:ind w:firstLine="525"/>
    </w:pPr>
    <w:rPr>
      <w:spacing w:val="20"/>
      <w:szCs w:val="20"/>
    </w:rPr>
  </w:style>
  <w:style w:type="paragraph" w:customStyle="1" w:styleId="108">
    <w:name w:val="正文_1"/>
    <w:basedOn w:val="71"/>
    <w:next w:val="107"/>
    <w:qFormat/>
    <w:uiPriority w:val="0"/>
    <w:rPr>
      <w:rFonts w:ascii="Calibri" w:hAnsi="Calibri" w:cs="Calibri"/>
      <w:szCs w:val="21"/>
    </w:rPr>
  </w:style>
  <w:style w:type="paragraph" w:customStyle="1" w:styleId="109">
    <w:name w:val="正文_13_0"/>
    <w:next w:val="1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0">
    <w:name w:val="正文文本_2_0"/>
    <w:basedOn w:val="109"/>
    <w:qFormat/>
    <w:uiPriority w:val="0"/>
    <w:pPr>
      <w:spacing w:after="120"/>
    </w:pPr>
  </w:style>
  <w:style w:type="paragraph" w:customStyle="1" w:styleId="111">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112">
    <w:name w:val="HtmlNormal"/>
    <w:basedOn w:val="1"/>
    <w:qFormat/>
    <w:uiPriority w:val="0"/>
    <w:pPr>
      <w:jc w:val="both"/>
      <w:textAlignment w:val="baseline"/>
    </w:pPr>
    <w:rPr>
      <w:rFonts w:ascii="Calibri" w:hAnsi="Calibri"/>
      <w:kern w:val="2"/>
      <w:sz w:val="24"/>
      <w:szCs w:val="22"/>
      <w:lang w:val="en-US" w:eastAsia="zh-CN" w:bidi="ar-SA"/>
    </w:rPr>
  </w:style>
  <w:style w:type="paragraph" w:customStyle="1" w:styleId="113">
    <w:name w:val="列出段落_0"/>
    <w:basedOn w:val="71"/>
    <w:qFormat/>
    <w:uiPriority w:val="0"/>
    <w:pPr>
      <w:ind w:firstLine="420" w:firstLineChars="200"/>
    </w:pPr>
    <w:rPr>
      <w:rFonts w:ascii="Calibri" w:hAnsi="Calibri"/>
    </w:rPr>
  </w:style>
  <w:style w:type="paragraph" w:customStyle="1" w:styleId="114">
    <w:name w:val="标题 4_0"/>
    <w:basedOn w:val="71"/>
    <w:next w:val="71"/>
    <w:qFormat/>
    <w:uiPriority w:val="0"/>
    <w:pPr>
      <w:keepNext/>
      <w:keepLines/>
      <w:spacing w:before="280" w:after="290" w:line="376" w:lineRule="auto"/>
      <w:outlineLvl w:val="3"/>
    </w:pPr>
    <w:rPr>
      <w:rFonts w:ascii="Arial" w:hAnsi="Arial" w:eastAsia="黑体"/>
      <w:b/>
      <w:bCs/>
      <w:sz w:val="28"/>
      <w:szCs w:val="28"/>
    </w:rPr>
  </w:style>
  <w:style w:type="paragraph" w:customStyle="1" w:styleId="115">
    <w:name w:val="正文文本_0"/>
    <w:basedOn w:val="71"/>
    <w:qFormat/>
    <w:uiPriority w:val="0"/>
    <w:rPr>
      <w:rFonts w:ascii="Calibri" w:hAnsi="Calibri" w:eastAsia="黑体"/>
      <w:sz w:val="36"/>
      <w:szCs w:val="24"/>
    </w:rPr>
  </w:style>
  <w:style w:type="paragraph" w:customStyle="1" w:styleId="116">
    <w:name w:val="标题 2_1"/>
    <w:basedOn w:val="71"/>
    <w:next w:val="71"/>
    <w:qFormat/>
    <w:uiPriority w:val="0"/>
    <w:pPr>
      <w:keepNext/>
      <w:keepLines/>
      <w:spacing w:before="260" w:after="260" w:line="413" w:lineRule="auto"/>
      <w:outlineLvl w:val="1"/>
    </w:pPr>
    <w:rPr>
      <w:rFonts w:ascii="Arial" w:hAnsi="Arial" w:eastAsia="黑体"/>
      <w:b/>
      <w:bCs/>
      <w:sz w:val="32"/>
      <w:szCs w:val="32"/>
    </w:rPr>
  </w:style>
  <w:style w:type="paragraph" w:customStyle="1" w:styleId="117">
    <w:name w:val="样式 标题 2 + Times New Roman 四号 非加粗 段前: 5 磅 段后: 0 磅 行距: 固定值 20..._0"/>
    <w:basedOn w:val="116"/>
    <w:qFormat/>
    <w:uiPriority w:val="0"/>
    <w:pPr>
      <w:spacing w:before="100" w:after="0" w:line="400" w:lineRule="exact"/>
    </w:pPr>
    <w:rPr>
      <w:rFonts w:ascii="Times New Roman" w:hAnsi="Times New Roman" w:eastAsia="宋体" w:cs="宋体"/>
      <w:b w:val="0"/>
      <w:bCs w:val="0"/>
      <w:sz w:val="28"/>
      <w:szCs w:val="20"/>
    </w:rPr>
  </w:style>
  <w:style w:type="paragraph" w:customStyle="1" w:styleId="118">
    <w:name w:val="批注文字_0"/>
    <w:basedOn w:val="71"/>
    <w:unhideWhenUsed/>
    <w:qFormat/>
    <w:uiPriority w:val="0"/>
    <w:pPr>
      <w:jc w:val="left"/>
    </w:pPr>
    <w:rPr>
      <w:rFonts w:ascii="Calibri" w:hAnsi="Calibri"/>
    </w:rPr>
  </w:style>
  <w:style w:type="paragraph" w:customStyle="1" w:styleId="119">
    <w:name w:val="Table Text"/>
    <w:basedOn w:val="1"/>
    <w:qFormat/>
    <w:uiPriority w:val="0"/>
    <w:rPr>
      <w:rFonts w:ascii="宋体" w:hAnsi="宋体" w:eastAsia="宋体"/>
      <w:sz w:val="22"/>
      <w:szCs w:val="22"/>
      <w:lang w:val="en-US" w:eastAsia="en-US" w:bidi="ar-SA"/>
    </w:rPr>
  </w:style>
  <w:style w:type="paragraph" w:customStyle="1" w:styleId="120">
    <w:name w:val="_Style 6"/>
    <w:basedOn w:val="2"/>
    <w:next w:val="1"/>
    <w:qFormat/>
    <w:uiPriority w:val="0"/>
    <w:pPr>
      <w:outlineLvl w:val="9"/>
    </w:pPr>
  </w:style>
  <w:style w:type="character" w:customStyle="1" w:styleId="121">
    <w:name w:val="font71"/>
    <w:qFormat/>
    <w:uiPriority w:val="0"/>
    <w:rPr>
      <w:rFonts w:hint="eastAsia" w:ascii="仿宋_GB2312" w:eastAsia="仿宋_GB2312" w:cs="仿宋_GB2312"/>
      <w:color w:val="000000"/>
      <w:sz w:val="28"/>
      <w:szCs w:val="28"/>
      <w:u w:val="none"/>
    </w:rPr>
  </w:style>
  <w:style w:type="paragraph" w:customStyle="1" w:styleId="122">
    <w:name w:val="BodyText"/>
    <w:basedOn w:val="1"/>
    <w:qFormat/>
    <w:uiPriority w:val="0"/>
    <w:pPr>
      <w:jc w:val="both"/>
      <w:textAlignment w:val="baseline"/>
    </w:pPr>
    <w:rPr>
      <w:rFonts w:eastAsia="黑体"/>
      <w:kern w:val="2"/>
      <w:sz w:val="40"/>
      <w:szCs w:val="24"/>
    </w:rPr>
  </w:style>
  <w:style w:type="paragraph" w:customStyle="1" w:styleId="123">
    <w:name w:val="_Style 2"/>
    <w:basedOn w:val="2"/>
    <w:next w:val="1"/>
    <w:qFormat/>
    <w:uiPriority w:val="0"/>
    <w:pPr>
      <w:outlineLvl w:val="9"/>
    </w:pPr>
    <w:rPr>
      <w:rFonts w:ascii="Calibri" w:hAnsi="Calibri" w:eastAsia="宋体" w:cs="Times New Roman"/>
    </w:rPr>
  </w:style>
  <w:style w:type="paragraph" w:customStyle="1" w:styleId="124">
    <w:name w:val="_Style 3"/>
    <w:basedOn w:val="2"/>
    <w:next w:val="1"/>
    <w:qFormat/>
    <w:uiPriority w:val="0"/>
    <w:pPr>
      <w:outlineLvl w:val="9"/>
    </w:pPr>
  </w:style>
  <w:style w:type="paragraph" w:customStyle="1" w:styleId="125">
    <w:name w:val="本文正文格式"/>
    <w:basedOn w:val="1"/>
    <w:qFormat/>
    <w:uiPriority w:val="0"/>
    <w:pPr>
      <w:spacing w:line="520" w:lineRule="exact"/>
      <w:ind w:firstLine="280" w:firstLineChars="100"/>
    </w:pPr>
    <w:rPr>
      <w:rFonts w:ascii="宋体" w:hAnsi="宋体" w:eastAsia="宋体" w:cs="宋体"/>
      <w:kern w:val="52"/>
      <w:sz w:val="28"/>
      <w:szCs w:val="28"/>
    </w:rPr>
  </w:style>
  <w:style w:type="paragraph" w:customStyle="1" w:styleId="126">
    <w:name w:val="正文缩进_2"/>
    <w:basedOn w:val="127"/>
    <w:qFormat/>
    <w:uiPriority w:val="0"/>
    <w:pPr>
      <w:ind w:firstLine="420" w:firstLineChars="200"/>
    </w:pPr>
  </w:style>
  <w:style w:type="paragraph" w:customStyle="1" w:styleId="127">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8">
    <w:name w:val="LO-Normal"/>
    <w:autoRedefine/>
    <w:qFormat/>
    <w:uiPriority w:val="0"/>
    <w:pPr>
      <w:suppressAutoHyphens/>
    </w:pPr>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5.wmf"/><Relationship Id="rId34" Type="http://schemas.openxmlformats.org/officeDocument/2006/relationships/oleObject" Target="embeddings/oleObject5.bin"/><Relationship Id="rId33" Type="http://schemas.openxmlformats.org/officeDocument/2006/relationships/image" Target="media/image4.wmf"/><Relationship Id="rId32" Type="http://schemas.openxmlformats.org/officeDocument/2006/relationships/oleObject" Target="embeddings/oleObject4.bin"/><Relationship Id="rId31" Type="http://schemas.openxmlformats.org/officeDocument/2006/relationships/image" Target="media/image3.wmf"/><Relationship Id="rId30" Type="http://schemas.openxmlformats.org/officeDocument/2006/relationships/oleObject" Target="embeddings/oleObject3.bin"/><Relationship Id="rId3" Type="http://schemas.openxmlformats.org/officeDocument/2006/relationships/header" Target="header1.xml"/><Relationship Id="rId29" Type="http://schemas.openxmlformats.org/officeDocument/2006/relationships/image" Target="media/image2.wmf"/><Relationship Id="rId28" Type="http://schemas.openxmlformats.org/officeDocument/2006/relationships/oleObject" Target="embeddings/oleObject2.bin"/><Relationship Id="rId27" Type="http://schemas.openxmlformats.org/officeDocument/2006/relationships/image" Target="media/image1.wmf"/><Relationship Id="rId26" Type="http://schemas.openxmlformats.org/officeDocument/2006/relationships/oleObject" Target="embeddings/oleObject1.bin"/><Relationship Id="rId25" Type="http://schemas.openxmlformats.org/officeDocument/2006/relationships/theme" Target="theme/theme1.xml"/><Relationship Id="rId24" Type="http://schemas.openxmlformats.org/officeDocument/2006/relationships/footer" Target="footer18.xml"/><Relationship Id="rId23" Type="http://schemas.openxmlformats.org/officeDocument/2006/relationships/header" Target="header4.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164</Pages>
  <Words>16831</Words>
  <Characters>18678</Characters>
  <Lines>175</Lines>
  <Paragraphs>49</Paragraphs>
  <TotalTime>14</TotalTime>
  <ScaleCrop>false</ScaleCrop>
  <LinksUpToDate>false</LinksUpToDate>
  <CharactersWithSpaces>19161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2016-01-21T06:10:00Z</dcterms:created>
  <dc:creator>Lenovo User</dc:creator>
  <cp:lastModifiedBy>Administrator</cp:lastModifiedBy>
  <dcterms:modified xsi:type="dcterms:W3CDTF">2025-06-05T09:23:35Z</dcterms:modified>
  <dc:title>竞争性谈判采购公告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DB2AFFCC60A942E68006EA04C41D9567_13</vt:lpwstr>
  </property>
  <property fmtid="{D5CDD505-2E9C-101B-9397-08002B2CF9AE}" pid="4" name="KSOTemplateDocerSaveRecord">
    <vt:lpwstr>eyJoZGlkIjoiYzE0NTRhOGJkODZlMWE0MTY3NDVlZTY3MWM1NDdkNjEiLCJ1c2VySWQiOiI0MjEyNDc0MzMifQ==</vt:lpwstr>
  </property>
</Properties>
</file>