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440801-2025-01633</w:t>
      </w:r>
    </w:p>
    <w:p>
      <w:pPr>
        <w:pStyle w:val="null3"/>
        <w:jc w:val="center"/>
        <w:outlineLvl w:val="3"/>
      </w:pPr>
      <w:r>
        <w:rPr>
          <w:sz w:val="24"/>
          <w:b/>
        </w:rPr>
        <w:t>采购项目编号：</w:t>
      </w:r>
      <w:r>
        <w:rPr>
          <w:sz w:val="24"/>
          <w:b/>
        </w:rPr>
        <w:t>ZJZB-2025-14929</w:t>
      </w:r>
    </w:p>
    <w:p>
      <w:pPr>
        <w:pStyle w:val="null3"/>
        <w:jc w:val="center"/>
        <w:outlineLvl w:val="3"/>
      </w:pPr>
      <w:r>
        <w:rPr>
          <w:sz w:val="24"/>
          <w:b/>
        </w:rPr>
        <w:t>项目名称：</w:t>
      </w:r>
      <w:r>
        <w:rPr>
          <w:sz w:val="24"/>
          <w:b/>
        </w:rPr>
        <w:t>湛江市城市更新专项规划（2026-2035年）</w:t>
      </w:r>
    </w:p>
    <w:p>
      <w:pPr>
        <w:pStyle w:val="null3"/>
        <w:jc w:val="center"/>
        <w:outlineLvl w:val="3"/>
      </w:pPr>
      <w:r>
        <w:rPr>
          <w:sz w:val="24"/>
          <w:b/>
        </w:rPr>
        <w:t>采购人：</w:t>
      </w:r>
      <w:r>
        <w:rPr>
          <w:sz w:val="24"/>
          <w:b/>
        </w:rPr>
        <w:t>湛江市自然资源局</w:t>
      </w:r>
    </w:p>
    <w:p>
      <w:pPr>
        <w:pStyle w:val="null3"/>
        <w:jc w:val="center"/>
        <w:outlineLvl w:val="3"/>
      </w:pPr>
      <w:r>
        <w:rPr>
          <w:sz w:val="24"/>
          <w:b/>
        </w:rPr>
        <w:t>采购代理机构：</w:t>
      </w:r>
      <w:r>
        <w:rPr>
          <w:sz w:val="24"/>
          <w:b/>
        </w:rPr>
        <w:t>中捷通信有限公司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中捷通信有限公司</w:t>
      </w:r>
      <w:r>
        <w:rPr/>
        <w:t>受</w:t>
      </w:r>
      <w:r>
        <w:rPr/>
        <w:t>湛江市自然资源局</w:t>
      </w:r>
      <w:r>
        <w:rPr/>
        <w:t>的委托，采用</w:t>
      </w:r>
      <w:r>
        <w:rPr/>
        <w:t>竞争性磋商</w:t>
      </w:r>
      <w:r>
        <w:rPr/>
        <w:t>方式组织采购</w:t>
      </w:r>
      <w:r>
        <w:rPr/>
        <w:t>湛江市城市更新专项规划（2026-2035年）</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湛江市城市更新专项规划（2026-2035年）</w:t>
      </w:r>
    </w:p>
    <w:p>
      <w:pPr>
        <w:pStyle w:val="null3"/>
        <w:ind w:firstLine="480"/>
      </w:pPr>
      <w:r>
        <w:rPr/>
        <w:t>采购计划编号：</w:t>
      </w:r>
      <w:r>
        <w:rPr/>
        <w:t>440801-2025-01633</w:t>
      </w:r>
    </w:p>
    <w:p>
      <w:pPr>
        <w:pStyle w:val="null3"/>
        <w:ind w:firstLine="480"/>
      </w:pPr>
      <w:r>
        <w:rPr/>
        <w:t>采购项目编号：</w:t>
      </w:r>
      <w:r>
        <w:rPr/>
        <w:t>ZJZB-2025-14929</w:t>
      </w:r>
    </w:p>
    <w:p>
      <w:pPr>
        <w:pStyle w:val="null3"/>
        <w:ind w:firstLine="480"/>
      </w:pPr>
      <w:r>
        <w:rPr/>
        <w:t>采购方式：</w:t>
      </w:r>
      <w:r>
        <w:rPr/>
        <w:t>竞争性磋商</w:t>
      </w:r>
    </w:p>
    <w:p>
      <w:pPr>
        <w:pStyle w:val="null3"/>
        <w:ind w:firstLine="480"/>
      </w:pPr>
      <w:r>
        <w:rPr/>
        <w:t>预算金额：</w:t>
      </w:r>
      <w:r>
        <w:rPr/>
        <w:t>1,848,000.00</w:t>
      </w:r>
      <w:r>
        <w:rPr/>
        <w:t>元</w:t>
      </w:r>
    </w:p>
    <w:p>
      <w:pPr>
        <w:pStyle w:val="null3"/>
        <w:outlineLvl w:val="3"/>
      </w:pPr>
      <w:r>
        <w:rPr>
          <w:sz w:val="24"/>
          <w:b/>
        </w:rPr>
        <w:t>2.项目内容及需求情况（采购项目技术规格、参数及要求）</w:t>
      </w:r>
    </w:p>
    <w:p>
      <w:pPr>
        <w:pStyle w:val="null3"/>
      </w:pPr>
      <w:r>
        <w:rPr/>
        <w:t>采购包1(湛江市城市更新专项规划（2026-2035年）):</w:t>
      </w:r>
    </w:p>
    <w:p>
      <w:pPr>
        <w:pStyle w:val="null3"/>
      </w:pPr>
      <w:r>
        <w:rPr/>
        <w:t>采购包预算金额：1,848,000.00元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区域规划和设计服务</w:t>
            </w:r>
          </w:p>
        </w:tc>
        <w:tc>
          <w:tcPr>
            <w:tcW w:type="dxa" w:w="2136"/>
          </w:tcPr>
          <w:p>
            <w:pPr>
              <w:pStyle w:val="null3"/>
            </w:pPr>
            <w:r>
              <w:rPr/>
              <w:t>湛江市城市更新专项规划（2026-2035年）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本采购包接受联合体响应</w:t>
      </w:r>
    </w:p>
    <w:p>
      <w:pPr>
        <w:pStyle w:val="null3"/>
      </w:pPr>
      <w:r>
        <w:rPr/>
        <w:t>合同分包：不允许合同分包</w:t>
      </w:r>
    </w:p>
    <w:p>
      <w:pPr>
        <w:pStyle w:val="null3"/>
      </w:pPr>
      <w:r>
        <w:rPr/>
        <w:t>合同履行期限：自签订合同日起120天。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1）具有独立承担民事责任的能力：供应商须是在中华人民共和国境内注册的能独立承担民事责任的法人或其他组织（提供有效期内的营业执照副本，组织机构代码证副本, 税务登记证副本复印件或“三证合一”新版营业执照副本复印件或事业法人登记证复印件)</w:t>
      </w:r>
    </w:p>
    <w:p>
      <w:pPr>
        <w:pStyle w:val="null3"/>
      </w:pPr>
      <w:r>
        <w:rPr/>
        <w:t>2）有依法缴纳税收和社会保障资金的良好记录：提供投标（响应）截止日前6个月内任意1个月依法缴纳税收和社会保障资金的相关材料。如依法免税或不需要缴纳社会保障资金的，提供相应证明材料），或提供《湛江市政府采购供应商资格信用承诺函》（格式见公告附件）；</w:t>
      </w:r>
    </w:p>
    <w:p>
      <w:pPr>
        <w:pStyle w:val="null3"/>
      </w:pPr>
      <w:r>
        <w:rPr/>
        <w:t>3）具有良好的商业信誉和健全的财务会计制度：提供2023年度财务状况报告或基本开户行（或基本存款账户行）出具的资信证明，或最近一期财务报表（适用在上一年度或本财务年度成立的法人或其他组织），或人民银行出具的个人信用报告（适用于自然人），或提供《湛江市政府采购供应商资格信用承诺函》（格式见公告附件）；</w:t>
      </w:r>
    </w:p>
    <w:p>
      <w:pPr>
        <w:pStyle w:val="null3"/>
      </w:pPr>
      <w:r>
        <w:rPr/>
        <w:t>4）履行合同所必需的设备和专业技术能力：按响应文件格式填报设备及专业技术能力情况或提供声明函(格式自拟)。</w:t>
      </w:r>
    </w:p>
    <w:p>
      <w:pPr>
        <w:pStyle w:val="null3"/>
      </w:pPr>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按投标（响应）文件格式和相关承诺要求内容提供《投标函》），或提供《湛江市政府采购供应商资格信用承诺函》（格式见公告附件）。</w:t>
      </w:r>
    </w:p>
    <w:p>
      <w:pPr>
        <w:pStyle w:val="null3"/>
        <w:outlineLvl w:val="3"/>
      </w:pPr>
      <w:r>
        <w:rPr>
          <w:sz w:val="24"/>
          <w:b/>
        </w:rPr>
        <w:t>2.落实政府采购政策需满足的资格要求：</w:t>
      </w:r>
    </w:p>
    <w:p>
      <w:pPr>
        <w:pStyle w:val="null3"/>
        <w:jc w:val="left"/>
      </w:pPr>
      <w:r>
        <w:rPr/>
        <w:t>采购包1（湛江市城市更新专项规划（2026-2035年））：</w:t>
      </w:r>
      <w:r>
        <w:rPr/>
        <w:t>本项目不属于专门面向中小企业采购的项目。</w:t>
      </w:r>
    </w:p>
    <w:p>
      <w:pPr>
        <w:pStyle w:val="null3"/>
        <w:outlineLvl w:val="3"/>
      </w:pPr>
      <w:r>
        <w:rPr>
          <w:sz w:val="24"/>
          <w:b/>
        </w:rPr>
        <w:t>3.本项目特定的资格要求：</w:t>
      </w:r>
    </w:p>
    <w:p>
      <w:pPr>
        <w:pStyle w:val="null3"/>
      </w:pPr>
      <w:r>
        <w:rPr/>
        <w:t>采购包1（湛江市城市更新专项规划（2026-2035年））：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3)投标人应具有行政主管部门核发的城乡规划编制乙级或以上资质证书。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湛江市自然资源局</w:t>
      </w:r>
    </w:p>
    <w:p>
      <w:pPr>
        <w:pStyle w:val="null3"/>
        <w:ind w:firstLine="480"/>
      </w:pPr>
      <w:r>
        <w:rPr/>
        <w:t>地址：</w:t>
      </w:r>
      <w:r>
        <w:rPr/>
        <w:t>湛江市军民路29号</w:t>
      </w:r>
    </w:p>
    <w:p>
      <w:pPr>
        <w:pStyle w:val="null3"/>
        <w:ind w:firstLine="480"/>
      </w:pPr>
      <w:r>
        <w:rPr/>
        <w:t>联系方式：</w:t>
      </w:r>
      <w:r>
        <w:rPr/>
        <w:t>0759-3390009</w:t>
      </w:r>
    </w:p>
    <w:p>
      <w:pPr>
        <w:pStyle w:val="null3"/>
        <w:outlineLvl w:val="3"/>
      </w:pPr>
      <w:r>
        <w:rPr>
          <w:sz w:val="24"/>
          <w:b/>
        </w:rPr>
        <w:t>2.采购代理机构信息</w:t>
      </w:r>
    </w:p>
    <w:p>
      <w:pPr>
        <w:pStyle w:val="null3"/>
        <w:ind w:firstLine="480"/>
      </w:pPr>
      <w:r>
        <w:rPr/>
        <w:t>名称：</w:t>
      </w:r>
      <w:r>
        <w:rPr/>
        <w:t>中捷通信有限公司</w:t>
      </w:r>
    </w:p>
    <w:p>
      <w:pPr>
        <w:pStyle w:val="null3"/>
        <w:ind w:firstLine="480"/>
      </w:pPr>
      <w:r>
        <w:rPr/>
        <w:t xml:space="preserve"> 地址：</w:t>
      </w:r>
      <w:r>
        <w:rPr/>
        <w:t>广东省广州市越秀区较场西路21号大院二栋首层</w:t>
      </w:r>
    </w:p>
    <w:p>
      <w:pPr>
        <w:pStyle w:val="null3"/>
        <w:ind w:firstLine="480"/>
      </w:pPr>
      <w:r>
        <w:rPr/>
        <w:t xml:space="preserve"> 联系方式：</w:t>
      </w:r>
      <w:r>
        <w:rPr/>
        <w:t>0759-3399616</w:t>
      </w:r>
    </w:p>
    <w:p>
      <w:pPr>
        <w:pStyle w:val="null3"/>
        <w:outlineLvl w:val="3"/>
      </w:pPr>
      <w:r>
        <w:rPr>
          <w:sz w:val="24"/>
          <w:b/>
        </w:rPr>
        <w:t xml:space="preserve"> 3.项目联系方式</w:t>
      </w:r>
    </w:p>
    <w:p>
      <w:pPr>
        <w:pStyle w:val="null3"/>
        <w:ind w:firstLine="480"/>
      </w:pPr>
      <w:r>
        <w:rPr/>
        <w:t xml:space="preserve"> 项目联系人：</w:t>
      </w:r>
      <w:r>
        <w:rPr/>
        <w:t>彭宇灵、黄世煌、梁杰</w:t>
      </w:r>
    </w:p>
    <w:p>
      <w:pPr>
        <w:pStyle w:val="null3"/>
        <w:ind w:firstLine="480"/>
      </w:pPr>
      <w:r>
        <w:rPr/>
        <w:t xml:space="preserve"> 电话：</w:t>
      </w:r>
      <w:r>
        <w:rPr/>
        <w:t>0759-3399616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中捷通信有限公司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1</w:t>
      </w:r>
      <w:r>
        <w:rPr>
          <w:sz w:val="24"/>
          <w:b/>
        </w:rPr>
        <w:t>、项目背景</w:t>
      </w:r>
    </w:p>
    <w:p>
      <w:pPr>
        <w:pStyle w:val="null3"/>
        <w:ind w:firstLine="480"/>
        <w:jc w:val="both"/>
      </w:pPr>
      <w:r>
        <w:rPr>
          <w:sz w:val="24"/>
        </w:rPr>
        <w:t>2025年1月20日，中央政治局委员、国务院副总理何立峰在全国城市更新工作部署视频会议中强调“实施城市更新行动要开展城市体检，聚焦居民急难愁盼问题，以及影响城市发展的突出短板，科学制定城市更新专项规划，发挥好专项规划的引领作用，做到资金和要素跟着项目走，项目跟着规划走”。</w:t>
      </w:r>
    </w:p>
    <w:p>
      <w:pPr>
        <w:pStyle w:val="null3"/>
        <w:ind w:firstLine="480"/>
        <w:jc w:val="both"/>
      </w:pPr>
      <w:r>
        <w:rPr>
          <w:sz w:val="24"/>
        </w:rPr>
        <w:t>2025年1月24日，广东省住房和城乡建设厅发布了《广东省住房和城乡建设厅关于抓紧启动城市更新专项规划编制的通知》（以下简称《通知》），要求各地级以上市城市更新主管部门加强统筹谋划，抓紧组织本市及所属县（市）开展城市更新专项规划编制工作。为落实省关于城市更新的工作要求，进一步提升湛江城区城市更新专项的科学性，促进城市高质量发展，亟需尽快启动《湛江市城市更新专项规划（2026-2035年）》的编制工作。</w:t>
      </w:r>
    </w:p>
    <w:p>
      <w:pPr>
        <w:pStyle w:val="null3"/>
        <w:jc w:val="both"/>
      </w:pPr>
      <w:r>
        <w:rPr>
          <w:sz w:val="24"/>
          <w:b/>
        </w:rPr>
        <w:t>2、规划范围</w:t>
      </w:r>
    </w:p>
    <w:p>
      <w:pPr>
        <w:pStyle w:val="null3"/>
        <w:ind w:firstLine="480"/>
        <w:jc w:val="both"/>
      </w:pPr>
      <w:r>
        <w:rPr>
          <w:sz w:val="24"/>
        </w:rPr>
        <w:t>本次工作范围为湛江市国土空间总体规划划定的中心城区，包括赤坎区、霞山区全域以及湛江经济技术开发区、麻章区、坡头区部分地区，陆海总面积</w:t>
      </w:r>
      <w:r>
        <w:rPr>
          <w:sz w:val="24"/>
        </w:rPr>
        <w:t>775.97平方公里。</w:t>
      </w:r>
    </w:p>
    <w:p>
      <w:pPr>
        <w:pStyle w:val="null3"/>
      </w:pPr>
      <w:r>
        <w:rPr/>
        <w:t>采购包1（湛江市城市更新专项规划（2026-2035年））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自签订合同日起120天。</w:t>
            </w:r>
          </w:p>
        </w:tc>
      </w:tr>
      <w:tr>
        <w:tc>
          <w:tcPr>
            <w:tcW w:type="dxa" w:w="4153"/>
          </w:tcPr>
          <w:p>
            <w:pPr>
              <w:pStyle w:val="null3"/>
            </w:pPr>
            <w:r>
              <w:rPr/>
              <w:t>标的提供的地点</w:t>
            </w:r>
          </w:p>
        </w:tc>
        <w:tc>
          <w:tcPr>
            <w:tcW w:type="dxa" w:w="4153"/>
          </w:tcPr>
          <w:p>
            <w:pPr>
              <w:pStyle w:val="null3"/>
            </w:pPr>
            <w:r>
              <w:rPr/>
              <w:t>广东省湛江市</w:t>
            </w:r>
          </w:p>
        </w:tc>
      </w:tr>
      <w:tr/>
      <w:tr/>
      <w:tr>
        <w:tc>
          <w:tcPr>
            <w:tcW w:type="dxa" w:w="4153"/>
          </w:tcPr>
          <w:p>
            <w:pPr>
              <w:pStyle w:val="null3"/>
            </w:pPr>
            <w:r>
              <w:rPr/>
              <w:t>付款方式</w:t>
            </w:r>
          </w:p>
        </w:tc>
        <w:tc>
          <w:tcPr>
            <w:tcW w:type="dxa" w:w="4153"/>
          </w:tcPr>
          <w:p>
            <w:pPr>
              <w:pStyle w:val="null3"/>
            </w:pPr>
            <w:r>
              <w:rPr/>
              <w:t>第1期为(预付款)：支付比例30%，自合同签订之日起30日内，采购人向市财政部门申请支付合同总金额的30%给成交供应商。</w:t>
            </w:r>
          </w:p>
          <w:p>
            <w:pPr>
              <w:pStyle w:val="null3"/>
            </w:pPr>
            <w:r>
              <w:rPr/>
              <w:t>第2期为(进度款)：支付比例30%，规划成果通过市国土空间规划委员会审议后30日内，采购人向市财政部门申请支付合同总金额的30%给成交供应商。</w:t>
            </w:r>
          </w:p>
          <w:p>
            <w:pPr>
              <w:pStyle w:val="null3"/>
            </w:pPr>
            <w:r>
              <w:rPr/>
              <w:t>第3期为(进度款)：支付比例30%，规划成果通过市政府常务会议审议后30日内，采购人向市财政部门申请支付合同总金额的30%给成交供应商。</w:t>
            </w:r>
          </w:p>
          <w:p>
            <w:pPr>
              <w:pStyle w:val="null3"/>
            </w:pPr>
            <w:r>
              <w:rPr/>
              <w:t>第4期为(尾款)：支付比例10%，成果获得审批，成交供应商按约定的时间节点（通过市政府审批后30日内）提交规划设计成果（最终成果稿）和正式有效发票后30日内，采购人向市财政部门申请支付合同总金额的10%给成交供应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1期：成交供应商按项目采购需求实施，向采购人提交经市政府审批通过的规划设计成果(最终成果稿)。</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在有效服务期内，如成交供应商在人员配置、作业管理、质量控制等各个方面不能满足采购文件、政府采购合同的相关要求或没有实现投标响应文件中的相关承诺，采购人有权单方面解除合同，并保留追究其法律责任的权利。 （2）成交供应商发生事业单位改革或者公司合并、分立等情况，不能以原机构名义履行合同的，拟继续履约的成交供应商应及时以书面方式报告采购人、提供相关证明材料，经采购人审查并报有关部门同意后方可继续履约。 （3）本项目需求中未作细化详尽的地方，采购人将在服务项目开始前制定具体的要求，服务机构应遵守执行；当政策法规发生调整或者工作形势发生变更，采购人可以调整有关工要求，服务机构应按采购人要求实施。 （4）供应商应根据项目实际需求，提供灵活可调整的驻场支持服务，包括但不限于人员数量、工作时长及服务周期等。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区域规划和设计服务</w:t>
            </w:r>
          </w:p>
        </w:tc>
        <w:tc>
          <w:tcPr>
            <w:tcW w:type="dxa" w:w="933"/>
          </w:tcPr>
          <w:p>
            <w:pPr>
              <w:pStyle w:val="null3"/>
              <w:jc w:val="left"/>
            </w:pPr>
            <w:r>
              <w:rPr/>
              <w:t>湛江市城市更新专项规划（2026-2035年）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1,848,000.00</w:t>
            </w:r>
          </w:p>
        </w:tc>
        <w:tc>
          <w:tcPr>
            <w:tcW w:type="dxa" w:w="933"/>
          </w:tcPr>
          <w:p>
            <w:pPr>
              <w:pStyle w:val="null3"/>
              <w:jc w:val="right"/>
            </w:pPr>
            <w:r>
              <w:rPr/>
              <w:t>1,848,000.00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湛江市城市更新专项规划（2026-2035年）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1"/>
            </w:pPr>
            <w:r>
              <w:rPr>
                <w:sz w:val="24"/>
                <w:b/>
              </w:rPr>
              <w:t>一</w:t>
            </w:r>
            <w:r>
              <w:rPr>
                <w:sz w:val="24"/>
                <w:b/>
              </w:rPr>
              <w:t>、规划范围</w:t>
            </w:r>
          </w:p>
          <w:p>
            <w:pPr>
              <w:pStyle w:val="null3"/>
              <w:jc w:val="both"/>
            </w:pPr>
            <w:r>
              <w:rPr>
                <w:sz w:val="24"/>
              </w:rPr>
              <w:t>本次工作范围为湛江市国土空间总体规划划定的中心城区，包括赤坎区、霞山区全域以及湛江经济技术开发区、麻章区、坡头区部分地区，陆海总面积</w:t>
            </w:r>
            <w:r>
              <w:rPr>
                <w:sz w:val="24"/>
              </w:rPr>
              <w:t>775.97平方公里。</w:t>
            </w:r>
          </w:p>
        </w:tc>
      </w:tr>
      <w:tr>
        <w:tc>
          <w:tcPr>
            <w:tcW w:type="dxa" w:w="2076"/>
          </w:tcPr>
          <w:p/>
        </w:tc>
        <w:tc>
          <w:tcPr>
            <w:tcW w:type="dxa" w:w="415"/>
          </w:tcPr>
          <w:p>
            <w:pPr>
              <w:pStyle w:val="null3"/>
            </w:pPr>
            <w:r>
              <w:rPr/>
              <w:t>2</w:t>
            </w:r>
          </w:p>
        </w:tc>
        <w:tc>
          <w:tcPr>
            <w:tcW w:type="dxa" w:w="5814"/>
          </w:tcPr>
          <w:p>
            <w:pPr>
              <w:pStyle w:val="null3"/>
              <w:jc w:val="both"/>
              <w:outlineLvl w:val="1"/>
            </w:pPr>
            <w:r>
              <w:rPr>
                <w:sz w:val="24"/>
                <w:b/>
              </w:rPr>
              <w:t>二</w:t>
            </w:r>
            <w:r>
              <w:rPr>
                <w:sz w:val="24"/>
                <w:b/>
              </w:rPr>
              <w:t>、编制内容</w:t>
            </w:r>
          </w:p>
          <w:p>
            <w:pPr>
              <w:pStyle w:val="null3"/>
              <w:ind w:firstLine="640"/>
              <w:jc w:val="both"/>
            </w:pPr>
            <w:r>
              <w:rPr>
                <w:sz w:val="24"/>
                <w:color w:val="000000"/>
              </w:rPr>
              <w:t>通过城市更新专项规划统筹，依据国民经济和社会发展规划，遵循国土空间总体规划刚醒管控要求，衔接相关专项规划，结合并转化运用城市体检评估成果，明确总体目标、重点任务和时序安排，提出存量资源统筹利用的指引要求，划定城市更新单元（片区），建立项目库，落实</w:t>
            </w:r>
            <w:r>
              <w:rPr>
                <w:sz w:val="24"/>
                <w:color w:val="000000"/>
              </w:rPr>
              <w:t>“城市结构优化、功能完善、品质提升”要求，指导城市更新单元（片区）规划和城市更新项目实施方案编制。主要包括以下工作：</w:t>
            </w:r>
          </w:p>
          <w:p>
            <w:pPr>
              <w:pStyle w:val="null3"/>
              <w:numPr>
                <w:ilvl w:val="0"/>
                <w:numId w:val="1"/>
              </w:numPr>
              <w:jc w:val="both"/>
            </w:pPr>
            <w:r>
              <w:rPr>
                <w:sz w:val="24"/>
                <w:b/>
                <w:color w:val="000000"/>
              </w:rPr>
              <w:t>分析现状与存量资源</w:t>
            </w:r>
          </w:p>
          <w:p>
            <w:pPr>
              <w:pStyle w:val="null3"/>
              <w:ind w:firstLine="640"/>
              <w:jc w:val="both"/>
            </w:pPr>
            <w:r>
              <w:rPr>
                <w:sz w:val="24"/>
                <w:color w:val="000000"/>
              </w:rPr>
              <w:t>分析规划背景，深化现状调查，摸查存量资源，综合评估更新潜力，开展重要专项研究。</w:t>
            </w:r>
          </w:p>
          <w:p>
            <w:pPr>
              <w:pStyle w:val="null3"/>
              <w:numPr>
                <w:ilvl w:val="0"/>
                <w:numId w:val="1"/>
              </w:numPr>
              <w:jc w:val="both"/>
            </w:pPr>
            <w:r>
              <w:rPr>
                <w:sz w:val="24"/>
                <w:b/>
                <w:color w:val="000000"/>
              </w:rPr>
              <w:t>明确目标与战略方向</w:t>
            </w:r>
          </w:p>
          <w:p>
            <w:pPr>
              <w:pStyle w:val="null3"/>
              <w:ind w:firstLine="640"/>
              <w:jc w:val="both"/>
            </w:pPr>
            <w:r>
              <w:rPr>
                <w:sz w:val="24"/>
                <w:color w:val="000000"/>
              </w:rPr>
              <w:t>衔接城市中长期建设发展需求，提出本规划期内城市更新的战略重点与总体思路。综合目标导向和问题导向提出城市更新总体目标、重点任务分目标及定量化的目标指标。提出总体设计引导要求。</w:t>
            </w:r>
          </w:p>
          <w:p>
            <w:pPr>
              <w:pStyle w:val="null3"/>
              <w:numPr>
                <w:ilvl w:val="0"/>
                <w:numId w:val="1"/>
              </w:numPr>
              <w:jc w:val="both"/>
            </w:pPr>
            <w:r>
              <w:rPr>
                <w:sz w:val="24"/>
                <w:b/>
                <w:color w:val="000000"/>
              </w:rPr>
              <w:t>拟定重点任务</w:t>
            </w:r>
          </w:p>
          <w:p>
            <w:pPr>
              <w:pStyle w:val="null3"/>
              <w:ind w:firstLine="660"/>
              <w:jc w:val="both"/>
            </w:pPr>
            <w:r>
              <w:rPr>
                <w:sz w:val="24"/>
                <w:color w:val="000000"/>
              </w:rPr>
              <w:t>从城市更新总体目标出发，针对以下八方面提出更新工作要求与指引：</w:t>
            </w:r>
          </w:p>
          <w:p>
            <w:pPr>
              <w:pStyle w:val="null3"/>
              <w:ind w:firstLine="660"/>
              <w:jc w:val="both"/>
            </w:pPr>
            <w:r>
              <w:rPr>
                <w:sz w:val="24"/>
                <w:color w:val="000000"/>
              </w:rPr>
              <w:t>1.既有建筑更新改造</w:t>
            </w:r>
          </w:p>
          <w:p>
            <w:pPr>
              <w:pStyle w:val="null3"/>
              <w:ind w:firstLine="660"/>
              <w:jc w:val="both"/>
            </w:pPr>
            <w:r>
              <w:rPr>
                <w:sz w:val="24"/>
                <w:color w:val="000000"/>
              </w:rPr>
              <w:t>提出城市危旧房屋改造的任务和规模，对存在抗震安全隐患且具备加固价值的城镇房屋进行抗震加固，对既有居住建筑和公共建筑开展节能改造，推进老旧厂房、低效楼宇、传统商业设施等存量房屋改造利用。</w:t>
            </w:r>
          </w:p>
          <w:p>
            <w:pPr>
              <w:pStyle w:val="null3"/>
              <w:ind w:firstLine="660"/>
              <w:jc w:val="both"/>
            </w:pPr>
            <w:r>
              <w:rPr>
                <w:sz w:val="24"/>
                <w:color w:val="000000"/>
              </w:rPr>
              <w:t>2.城镇老旧小区改造</w:t>
            </w:r>
          </w:p>
          <w:p>
            <w:pPr>
              <w:pStyle w:val="null3"/>
              <w:ind w:firstLine="660"/>
              <w:jc w:val="both"/>
            </w:pPr>
            <w:r>
              <w:rPr>
                <w:sz w:val="24"/>
                <w:color w:val="000000"/>
              </w:rPr>
              <w:t>提出城镇老旧小区改造的任务和要求，以推进</w:t>
            </w:r>
            <w:r>
              <w:rPr>
                <w:sz w:val="24"/>
                <w:color w:val="000000"/>
              </w:rPr>
              <w:t>“楼道革命”“环境革命”“管理革命”为重点，实施燃气等老化管线管道更新改造、楼栋内人行走道和排风烟道整治、小区及周边绿化照明环境整治、消防通道打通、配套基础设施和公共服务完善等工作，结合改造同步完善城镇老旧小区长效管理机制。</w:t>
            </w:r>
          </w:p>
          <w:p>
            <w:pPr>
              <w:pStyle w:val="null3"/>
              <w:ind w:firstLine="660"/>
              <w:jc w:val="both"/>
            </w:pPr>
            <w:r>
              <w:rPr>
                <w:sz w:val="24"/>
                <w:color w:val="000000"/>
              </w:rPr>
              <w:t>3.完整社区建设</w:t>
            </w:r>
          </w:p>
          <w:p>
            <w:pPr>
              <w:pStyle w:val="null3"/>
              <w:ind w:firstLine="660"/>
              <w:jc w:val="both"/>
            </w:pPr>
            <w:r>
              <w:rPr>
                <w:sz w:val="24"/>
                <w:color w:val="000000"/>
              </w:rPr>
              <w:t>提出完整社区建设的任务和要求，以建设安全健康、设施完善、管理有序的完整社区为目标，推进完善社区基本公共服务设施、便民商业服务设施、市政配套基础设施、公共活动场地和公共绿地，补齐社区养老、托育、停车、充电等设施短板。</w:t>
            </w:r>
          </w:p>
          <w:p>
            <w:pPr>
              <w:pStyle w:val="null3"/>
              <w:ind w:firstLine="660"/>
              <w:jc w:val="both"/>
            </w:pPr>
            <w:r>
              <w:rPr>
                <w:sz w:val="24"/>
                <w:color w:val="000000"/>
              </w:rPr>
              <w:t>4.老旧街区、老旧厂区、城中村改造</w:t>
            </w:r>
          </w:p>
          <w:p>
            <w:pPr>
              <w:pStyle w:val="null3"/>
              <w:ind w:firstLine="660"/>
              <w:jc w:val="both"/>
            </w:pPr>
            <w:r>
              <w:rPr>
                <w:sz w:val="24"/>
                <w:color w:val="000000"/>
              </w:rPr>
              <w:t>提出各类老旧街区更新改造的任务和要求，以推进街区功能转换、产业转型、活力提升为目标，推进老旧厂区更新改造引导利用闲置低效厂区、厂房和设施，推动功能转换、业态升级，推进商业步行街和旧商业街区改造提升，优化街区功能布局、商业业态，推动老旧火车站及周边街区统筹实施更新改造，积极稳步推进城中村改造等。</w:t>
            </w:r>
          </w:p>
          <w:p>
            <w:pPr>
              <w:pStyle w:val="null3"/>
              <w:ind w:firstLine="660"/>
              <w:jc w:val="both"/>
            </w:pPr>
            <w:r>
              <w:rPr>
                <w:sz w:val="24"/>
                <w:color w:val="000000"/>
              </w:rPr>
              <w:t>5.城市功能完善</w:t>
            </w:r>
          </w:p>
          <w:p>
            <w:pPr>
              <w:pStyle w:val="null3"/>
              <w:ind w:firstLine="660"/>
              <w:jc w:val="both"/>
            </w:pPr>
            <w:r>
              <w:rPr>
                <w:sz w:val="24"/>
                <w:color w:val="000000"/>
              </w:rPr>
              <w:t>提出城市各级各类公共服务设施补短板的任务和要求，以建立健全公共服务体系为导向，推进补足城市、街区、社区公共服务设施短板，积极稳步推进</w:t>
            </w:r>
            <w:r>
              <w:rPr>
                <w:sz w:val="24"/>
                <w:color w:val="000000"/>
              </w:rPr>
              <w:t>“平急两用”公共基础设施建设，推进适老化适儿化改造和无障碍环境建设，加强养老服务设施建设，补齐足球等城市全民健身场地设施短板，推动利用低效闲置用地建设保障性住房。</w:t>
            </w:r>
          </w:p>
          <w:p>
            <w:pPr>
              <w:pStyle w:val="null3"/>
              <w:ind w:firstLine="660"/>
              <w:jc w:val="both"/>
            </w:pPr>
            <w:r>
              <w:rPr>
                <w:sz w:val="24"/>
                <w:color w:val="000000"/>
              </w:rPr>
              <w:t>6.城市基础设施建设改造</w:t>
            </w:r>
          </w:p>
          <w:p>
            <w:pPr>
              <w:pStyle w:val="null3"/>
              <w:ind w:firstLine="660"/>
              <w:jc w:val="both"/>
            </w:pPr>
            <w:r>
              <w:rPr>
                <w:sz w:val="24"/>
                <w:color w:val="000000"/>
              </w:rPr>
              <w:t>提出城市基础设施更新改造的任务和要求，推进城市燃气管道等老化更新改造，补齐排水防涝设施短板，优化城市道路网络布局，补齐停车设施短板，推进新型城市基础设施建设，建设城市生命线安全工程等。</w:t>
            </w:r>
          </w:p>
          <w:p>
            <w:pPr>
              <w:pStyle w:val="null3"/>
              <w:ind w:firstLine="660"/>
              <w:jc w:val="both"/>
            </w:pPr>
            <w:r>
              <w:rPr>
                <w:sz w:val="24"/>
                <w:color w:val="000000"/>
              </w:rPr>
              <w:t>7.城市生态系统修复</w:t>
            </w:r>
          </w:p>
          <w:p>
            <w:pPr>
              <w:pStyle w:val="null3"/>
              <w:ind w:firstLine="660"/>
              <w:jc w:val="both"/>
            </w:pPr>
            <w:r>
              <w:rPr>
                <w:sz w:val="24"/>
                <w:color w:val="000000"/>
              </w:rPr>
              <w:t>提出城市生态修复的任务和要求，修复城市破损山体，保护修复城市湿地，推进海绵城市建设，推进城市黑臭水体治理强化建设用地土壤污染风险防控和修复，推进城市绿心绿环绿廊绿楔绿道建设，增加群众身边的社区公园和口袋公园，推动公园绿地开放共享。</w:t>
            </w:r>
          </w:p>
          <w:p>
            <w:pPr>
              <w:pStyle w:val="null3"/>
              <w:ind w:firstLine="660"/>
              <w:jc w:val="both"/>
            </w:pPr>
            <w:r>
              <w:rPr>
                <w:sz w:val="24"/>
                <w:color w:val="000000"/>
              </w:rPr>
              <w:t>8.城市历史文化保护传承</w:t>
            </w:r>
          </w:p>
          <w:p>
            <w:pPr>
              <w:pStyle w:val="null3"/>
              <w:ind w:firstLine="660"/>
              <w:jc w:val="both"/>
            </w:pPr>
            <w:r>
              <w:rPr>
                <w:sz w:val="24"/>
                <w:color w:val="000000"/>
              </w:rPr>
              <w:t>扎实开展城市历史文化遗产资源调查，采用</w:t>
            </w:r>
            <w:r>
              <w:rPr>
                <w:sz w:val="24"/>
                <w:color w:val="000000"/>
              </w:rPr>
              <w:t>“绣花”功夫进行修补织补式更新和微改造，推进历史文化街区修复和不可移动文物、历史建筑修缮，坚持以用促保，探索合理利用文化遗产的方式路径。</w:t>
            </w:r>
          </w:p>
          <w:p>
            <w:pPr>
              <w:pStyle w:val="null3"/>
              <w:numPr>
                <w:ilvl w:val="0"/>
                <w:numId w:val="1"/>
              </w:numPr>
              <w:jc w:val="both"/>
            </w:pPr>
            <w:r>
              <w:rPr>
                <w:sz w:val="24"/>
                <w:b/>
                <w:color w:val="000000"/>
              </w:rPr>
              <w:t>划定更新单元（片区）</w:t>
            </w:r>
          </w:p>
          <w:p>
            <w:pPr>
              <w:pStyle w:val="null3"/>
              <w:ind w:firstLine="640"/>
              <w:jc w:val="both"/>
            </w:pPr>
            <w:r>
              <w:rPr>
                <w:sz w:val="24"/>
                <w:color w:val="000000"/>
              </w:rPr>
              <w:t>科学划定城市更新单元（片区），考虑更新改造的紧迫性、重要性，识别城市更新重点领域，合理划定更新单元（片区），提出各单元（片区）的功能定位、更新规模、更新方式、更新内容、底线要求、重点项目等，指引下一步实施工作开展。</w:t>
            </w:r>
          </w:p>
          <w:p>
            <w:pPr>
              <w:pStyle w:val="null3"/>
              <w:numPr>
                <w:ilvl w:val="0"/>
                <w:numId w:val="1"/>
              </w:numPr>
              <w:jc w:val="both"/>
            </w:pPr>
            <w:r>
              <w:rPr>
                <w:sz w:val="24"/>
                <w:b/>
                <w:color w:val="000000"/>
              </w:rPr>
              <w:t>建立项目库</w:t>
            </w:r>
          </w:p>
          <w:p>
            <w:pPr>
              <w:pStyle w:val="null3"/>
              <w:ind w:firstLine="660"/>
              <w:jc w:val="both"/>
            </w:pPr>
            <w:r>
              <w:rPr>
                <w:sz w:val="24"/>
                <w:color w:val="000000"/>
              </w:rPr>
              <w:t>1.建立五年项目库</w:t>
            </w:r>
          </w:p>
          <w:p>
            <w:pPr>
              <w:pStyle w:val="null3"/>
              <w:ind w:firstLine="660"/>
              <w:jc w:val="both"/>
            </w:pPr>
            <w:r>
              <w:rPr>
                <w:sz w:val="24"/>
                <w:color w:val="000000"/>
              </w:rPr>
              <w:t>根据城市更新重点任务建立项目库，明确项目名称、类别、改造内容、实施方式、时序安排、位置规模、资金筹措等，为制定城市更新年度计划提供项目储备。按照五年计划，形成既有建筑改造、城中村、老旧街区、老旧厂区、城市基础设施改造等年度实施计划和项目库。</w:t>
            </w:r>
          </w:p>
          <w:p>
            <w:pPr>
              <w:pStyle w:val="null3"/>
              <w:ind w:firstLine="660"/>
              <w:jc w:val="both"/>
            </w:pPr>
            <w:r>
              <w:rPr>
                <w:sz w:val="24"/>
                <w:color w:val="000000"/>
              </w:rPr>
              <w:t>2.项目打包策划</w:t>
            </w:r>
          </w:p>
          <w:p>
            <w:pPr>
              <w:pStyle w:val="null3"/>
              <w:jc w:val="both"/>
            </w:pPr>
            <w:r>
              <w:rPr>
                <w:sz w:val="24"/>
                <w:color w:val="000000"/>
              </w:rPr>
              <w:t>针对五年项目库，根据国家相关政策要求进行分类打包策划，制定中央财政补助、中央预算内投资、超长期特别国债、专项借款、专项债、地方财政配套资金等与城市更新项目相关的政策资金谋划建议方案，为项目实施及资金申报提供技术咨询服务。</w:t>
            </w:r>
          </w:p>
        </w:tc>
      </w:tr>
      <w:tr>
        <w:tc>
          <w:tcPr>
            <w:tcW w:type="dxa" w:w="2076"/>
          </w:tcPr>
          <w:p/>
        </w:tc>
        <w:tc>
          <w:tcPr>
            <w:tcW w:type="dxa" w:w="415"/>
          </w:tcPr>
          <w:p>
            <w:pPr>
              <w:pStyle w:val="null3"/>
            </w:pPr>
            <w:r>
              <w:rPr/>
              <w:t>3</w:t>
            </w:r>
          </w:p>
        </w:tc>
        <w:tc>
          <w:tcPr>
            <w:tcW w:type="dxa" w:w="5814"/>
          </w:tcPr>
          <w:p>
            <w:pPr>
              <w:pStyle w:val="null3"/>
              <w:jc w:val="both"/>
              <w:outlineLvl w:val="1"/>
            </w:pPr>
            <w:r>
              <w:rPr>
                <w:sz w:val="24"/>
                <w:b/>
              </w:rPr>
              <w:t>三</w:t>
            </w:r>
            <w:r>
              <w:rPr>
                <w:sz w:val="24"/>
                <w:b/>
              </w:rPr>
              <w:t>、项目其他要求</w:t>
            </w:r>
          </w:p>
          <w:p>
            <w:pPr>
              <w:pStyle w:val="null3"/>
              <w:jc w:val="both"/>
              <w:outlineLvl w:val="1"/>
            </w:pPr>
            <w:r>
              <w:rPr>
                <w:sz w:val="24"/>
                <w:b/>
              </w:rPr>
              <w:t>（</w:t>
            </w:r>
            <w:r>
              <w:rPr>
                <w:sz w:val="24"/>
                <w:b/>
              </w:rPr>
              <w:t>一</w:t>
            </w:r>
            <w:r>
              <w:rPr>
                <w:sz w:val="24"/>
                <w:b/>
              </w:rPr>
              <w:t>）项目</w:t>
            </w:r>
            <w:r>
              <w:rPr>
                <w:sz w:val="24"/>
                <w:b/>
              </w:rPr>
              <w:t>成果</w:t>
            </w:r>
            <w:r>
              <w:rPr>
                <w:sz w:val="24"/>
                <w:b/>
              </w:rPr>
              <w:t>要求</w:t>
            </w:r>
          </w:p>
          <w:p>
            <w:pPr>
              <w:pStyle w:val="null3"/>
              <w:ind w:firstLine="660"/>
              <w:jc w:val="both"/>
            </w:pPr>
            <w:r>
              <w:rPr>
                <w:sz w:val="24"/>
                <w:color w:val="000000"/>
              </w:rPr>
              <w:t>规划成果由规划文本、附表、图纸、说明书、矢量数据组成。</w:t>
            </w:r>
          </w:p>
          <w:p>
            <w:pPr>
              <w:pStyle w:val="null3"/>
              <w:ind w:firstLine="660"/>
              <w:jc w:val="both"/>
            </w:pPr>
            <w:r>
              <w:rPr>
                <w:sz w:val="24"/>
                <w:color w:val="000000"/>
              </w:rPr>
              <w:t>（</w:t>
            </w:r>
            <w:r>
              <w:rPr>
                <w:sz w:val="24"/>
                <w:color w:val="000000"/>
              </w:rPr>
              <w:t>1）文本、说明书；</w:t>
            </w:r>
          </w:p>
          <w:p>
            <w:pPr>
              <w:pStyle w:val="null3"/>
              <w:ind w:firstLine="660"/>
              <w:jc w:val="both"/>
            </w:pPr>
            <w:r>
              <w:rPr>
                <w:sz w:val="24"/>
                <w:color w:val="000000"/>
              </w:rPr>
              <w:t>（</w:t>
            </w:r>
            <w:r>
              <w:rPr>
                <w:sz w:val="24"/>
                <w:color w:val="000000"/>
              </w:rPr>
              <w:t>2）图纸包括但不限于：规划范围图、城市更新资源分布图、城市更新方式规划图、城市更新单元划分图；</w:t>
            </w:r>
          </w:p>
          <w:p>
            <w:pPr>
              <w:pStyle w:val="null3"/>
              <w:ind w:firstLine="660"/>
              <w:jc w:val="both"/>
            </w:pPr>
            <w:r>
              <w:rPr>
                <w:sz w:val="24"/>
                <w:color w:val="000000"/>
              </w:rPr>
              <w:t>（</w:t>
            </w:r>
            <w:r>
              <w:rPr>
                <w:sz w:val="24"/>
                <w:color w:val="000000"/>
              </w:rPr>
              <w:t>3）附表包括但不限于：城市更新资源统计表、城市更新单元及特征统计表、近期重大工作任务清单；</w:t>
            </w:r>
          </w:p>
          <w:p>
            <w:pPr>
              <w:pStyle w:val="null3"/>
              <w:ind w:firstLine="660"/>
              <w:jc w:val="both"/>
            </w:pPr>
            <w:r>
              <w:rPr>
                <w:sz w:val="24"/>
                <w:color w:val="000000"/>
              </w:rPr>
              <w:t>（</w:t>
            </w:r>
            <w:r>
              <w:rPr>
                <w:sz w:val="24"/>
                <w:color w:val="000000"/>
              </w:rPr>
              <w:t>4）矢量数据。</w:t>
            </w:r>
          </w:p>
          <w:p>
            <w:pPr>
              <w:pStyle w:val="null3"/>
              <w:jc w:val="both"/>
              <w:outlineLvl w:val="1"/>
            </w:pPr>
            <w:r>
              <w:rPr>
                <w:sz w:val="24"/>
                <w:b/>
              </w:rPr>
              <w:t>（二）项目进度要求</w:t>
            </w:r>
          </w:p>
          <w:p>
            <w:pPr>
              <w:pStyle w:val="null3"/>
              <w:ind w:firstLine="480"/>
              <w:jc w:val="both"/>
            </w:pPr>
            <w:r>
              <w:rPr>
                <w:sz w:val="24"/>
              </w:rPr>
              <w:t>项目编制时间为</w:t>
            </w:r>
            <w:r>
              <w:rPr>
                <w:sz w:val="24"/>
              </w:rPr>
              <w:t>12</w:t>
            </w:r>
            <w:r>
              <w:rPr>
                <w:sz w:val="24"/>
              </w:rPr>
              <w:t>0天，共分3个阶段：</w:t>
            </w:r>
          </w:p>
          <w:p>
            <w:pPr>
              <w:pStyle w:val="null3"/>
              <w:ind w:firstLine="480"/>
              <w:jc w:val="both"/>
            </w:pPr>
            <w:r>
              <w:rPr>
                <w:sz w:val="24"/>
              </w:rPr>
              <w:t>1.初步方案阶段：时间为30天，开展现状摸查、资料收集、相关调研等工作，形成初步</w:t>
            </w:r>
            <w:r>
              <w:rPr>
                <w:sz w:val="24"/>
              </w:rPr>
              <w:t>方案，并征求相关部门意见，</w:t>
            </w:r>
            <w:r>
              <w:rPr>
                <w:sz w:val="24"/>
              </w:rPr>
              <w:t>结合各方意见，修改完善规划成果。</w:t>
            </w:r>
          </w:p>
          <w:p>
            <w:pPr>
              <w:pStyle w:val="null3"/>
              <w:ind w:firstLine="480"/>
              <w:jc w:val="both"/>
            </w:pPr>
            <w:r>
              <w:rPr>
                <w:sz w:val="24"/>
              </w:rPr>
              <w:t>2.</w:t>
            </w:r>
            <w:r>
              <w:rPr>
                <w:sz w:val="24"/>
              </w:rPr>
              <w:t>专家评审</w:t>
            </w:r>
            <w:r>
              <w:rPr>
                <w:sz w:val="24"/>
              </w:rPr>
              <w:t>阶段：时间为</w:t>
            </w:r>
            <w:r>
              <w:rPr>
                <w:sz w:val="24"/>
              </w:rPr>
              <w:t>60</w:t>
            </w:r>
            <w:r>
              <w:rPr>
                <w:sz w:val="24"/>
              </w:rPr>
              <w:t>天，</w:t>
            </w:r>
            <w:r>
              <w:rPr>
                <w:sz w:val="24"/>
              </w:rPr>
              <w:t>形成专家评审成果</w:t>
            </w:r>
            <w:r>
              <w:rPr>
                <w:sz w:val="24"/>
              </w:rPr>
              <w:t>，</w:t>
            </w:r>
            <w:r>
              <w:rPr>
                <w:sz w:val="24"/>
              </w:rPr>
              <w:t>并组织专家对规划成果进行评审</w:t>
            </w:r>
            <w:r>
              <w:rPr>
                <w:sz w:val="24"/>
              </w:rPr>
              <w:t>。</w:t>
            </w:r>
          </w:p>
          <w:p>
            <w:pPr>
              <w:pStyle w:val="null3"/>
              <w:ind w:firstLine="480"/>
              <w:jc w:val="both"/>
            </w:pPr>
            <w:r>
              <w:rPr>
                <w:sz w:val="24"/>
              </w:rPr>
              <w:t>3.成果报批阶段：时间为</w:t>
            </w:r>
            <w:r>
              <w:rPr>
                <w:sz w:val="24"/>
              </w:rPr>
              <w:t>30</w:t>
            </w:r>
            <w:r>
              <w:rPr>
                <w:sz w:val="24"/>
              </w:rPr>
              <w:t>天</w:t>
            </w:r>
            <w:r>
              <w:rPr>
                <w:sz w:val="24"/>
              </w:rPr>
              <w:t>，</w:t>
            </w:r>
            <w:r>
              <w:rPr>
                <w:sz w:val="24"/>
              </w:rPr>
              <w:t>根据</w:t>
            </w:r>
            <w:r>
              <w:rPr>
                <w:sz w:val="24"/>
              </w:rPr>
              <w:t>专家评审</w:t>
            </w:r>
            <w:r>
              <w:rPr>
                <w:sz w:val="24"/>
              </w:rPr>
              <w:t>意见修改完善形成规划报批成果，报市人民政府批准。</w:t>
            </w:r>
          </w:p>
          <w:p>
            <w:pPr>
              <w:pStyle w:val="null3"/>
              <w:jc w:val="both"/>
            </w:pPr>
            <w:r>
              <w:rPr>
                <w:sz w:val="24"/>
              </w:rPr>
              <w:t>注：上述工作时间计划未包括管理部门审批时间。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1.采购代理机构：本项目是指中捷通信有限公司，负责整个采购活动的组织，依法负责编制和发布磋商文件，对磋商文件拥有最终的解释权，不以任何身份出任磋商小组成员。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湛江市自然资源局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采购机构代理服务收费标准：参照国家计委《招标代理服务收费管理暂行办法》（计价格[2002]1980号）的收费标准计算。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中捷通信有限公司</w:t>
      </w:r>
      <w:r>
        <w:rPr/>
        <w:t>代收。具体操作要求详见</w:t>
      </w:r>
      <w:r>
        <w:rPr/>
        <w:t>中捷通信有限公司</w:t>
      </w:r>
      <w:r>
        <w:rPr/>
        <w:t>有关指引，递交事宜请自行咨询</w:t>
      </w:r>
      <w:r>
        <w:rPr/>
        <w:t>中捷通信有限公司</w:t>
      </w:r>
      <w:r>
        <w:rPr/>
        <w:t>；请各供应商在响应文件递交截止时间前按须知前附表规定的金额递交至</w:t>
      </w:r>
      <w:r>
        <w:rPr/>
        <w:t>中捷通信有限公司</w:t>
      </w:r>
      <w:r>
        <w:rPr/>
        <w:t>，到账情况以开启时</w:t>
      </w:r>
      <w:r>
        <w:rPr/>
        <w:t>中捷通信有限公司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彭宇灵、 黄世煌、 梁杰</w:t>
      </w:r>
    </w:p>
    <w:p>
      <w:pPr>
        <w:pStyle w:val="null3"/>
        <w:ind w:firstLine="480"/>
      </w:pPr>
      <w:r>
        <w:rPr/>
        <w:t>电话：</w:t>
      </w:r>
      <w:r>
        <w:rPr/>
        <w:t>0759-3399616</w:t>
      </w:r>
    </w:p>
    <w:p>
      <w:pPr>
        <w:pStyle w:val="null3"/>
        <w:ind w:firstLine="480"/>
      </w:pPr>
      <w:r>
        <w:rPr/>
        <w:t>传真：</w:t>
      </w:r>
      <w:r>
        <w:rPr/>
        <w:t>/</w:t>
      </w:r>
    </w:p>
    <w:p>
      <w:pPr>
        <w:pStyle w:val="null3"/>
        <w:ind w:firstLine="480"/>
      </w:pPr>
      <w:r>
        <w:rPr/>
        <w:t>邮箱：</w:t>
      </w:r>
      <w:r>
        <w:rPr/>
        <w:t>liangjie.gyl@chinaccs.cn</w:t>
      </w:r>
    </w:p>
    <w:p>
      <w:pPr>
        <w:pStyle w:val="null3"/>
        <w:ind w:firstLine="480"/>
      </w:pPr>
      <w:r>
        <w:rPr/>
        <w:t>地址：</w:t>
      </w:r>
      <w:r>
        <w:rPr/>
        <w:t>湛江市霞山区乐山路35号湛江银隆广场A座701室</w:t>
      </w:r>
    </w:p>
    <w:p>
      <w:pPr>
        <w:pStyle w:val="null3"/>
        <w:ind w:firstLine="480"/>
      </w:pPr>
      <w:r>
        <w:rPr/>
        <w:t>邮编：</w:t>
      </w:r>
      <w:r>
        <w:rPr/>
        <w:t>524000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政府采购监督管理机构名称：湛江市财政局采购监管科</w:t>
      </w:r>
    </w:p>
    <w:p>
      <w:pPr>
        <w:pStyle w:val="null3"/>
      </w:pPr>
      <w:r>
        <w:rPr/>
        <w:t>地 址：湛江市赤坎区康顺路48号</w:t>
      </w:r>
    </w:p>
    <w:p>
      <w:pPr>
        <w:pStyle w:val="null3"/>
      </w:pPr>
      <w:r>
        <w:rPr/>
        <w:t>电 话：3220722</w:t>
      </w:r>
    </w:p>
    <w:p>
      <w:pPr>
        <w:pStyle w:val="null3"/>
      </w:pPr>
      <w:r>
        <w:rPr/>
        <w:t>邮 编：524023</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湛江市城市更新专项规划（2026-2035年）)：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中捷通信有限公司</w:t>
      </w:r>
      <w:r>
        <w:rPr/>
        <w:t>统一对外发布。</w:t>
      </w:r>
    </w:p>
    <w:p>
      <w:pPr>
        <w:pStyle w:val="null3"/>
        <w:ind w:firstLine="480"/>
      </w:pPr>
      <w:r>
        <w:rPr/>
        <w:t>（2）对</w:t>
      </w:r>
      <w:r>
        <w:rPr/>
        <w:t>中捷通信有限公司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采购包1（湛江市城市更新专项规划（2026-2035年））：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6%</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采购包1（湛江市城市更新专项规划（2026-2035年））：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供应商须是在中华人民共和国境内注册的能独立承担民事责任的法人或其他组织（提供有效期内的营业执照副本，组织机构代码证副本, 税务登记证副本复印件或“三证合一”新版营业执照副本复印件或事业法人登记证复印件)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响应）截止日前6个月内任意1个月依法缴纳税收和社会保障资金的相关材料。如依法免税或不需要缴纳社会保障资金的，提供相应证明材料），或提供《湛江市政府采购供应商资格信用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基本开户行（或基本存款账户行）出具的资信证明，或最近一期财务报表（适用在上一年度或本财务年度成立的法人或其他组织），或人民银行出具的个人信用报告（适用于自然人），或提供《湛江市政府采购供应商资格信用承诺函》（格式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按投标（响应）文件格式和相关承诺要求内容提供《投标函》），或提供《湛江市政府采购供应商资格信用承诺函》（格式见公告附件）。</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投标人应具有行政主管部门核发的城乡规划编制乙级或以上资质证书。</w:t>
            </w:r>
          </w:p>
        </w:tc>
      </w:tr>
      <w:tr>
        <w:tc>
          <w:tcPr>
            <w:tcW w:type="dxa" w:w="890"/>
          </w:tcPr>
          <w:p>
            <w:pPr>
              <w:pStyle w:val="null3"/>
            </w:pPr>
            <w:r>
              <w:rPr/>
              <w:t>9</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采购包1（湛江市城市更新专项规划（2026-2035年））：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按照磋商文件规定要求签署、盖章且响应文件有法定代表人签字或盖个人名章(或签字人有法定代表人有效授权书)的</w:t>
            </w:r>
          </w:p>
        </w:tc>
        <w:tc>
          <w:tcPr>
            <w:tcW w:type="dxa" w:w="4238"/>
          </w:tcPr>
          <w:p>
            <w:pPr>
              <w:pStyle w:val="null3"/>
            </w:pPr>
            <w:r>
              <w:rPr/>
              <w:t>按照磋商文件规定要求签署、盖章且响应文件有法定代表人签字或盖个人名章(或签字人有法定代表人有效授权书)的。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响应承诺函已提交并符合磋商文件要求的，且响应有效期不少于磋商文件中载明的响应有效期</w:t>
            </w:r>
          </w:p>
        </w:tc>
        <w:tc>
          <w:tcPr>
            <w:tcW w:type="dxa" w:w="4238"/>
          </w:tcPr>
          <w:p>
            <w:pPr>
              <w:pStyle w:val="null3"/>
            </w:pPr>
            <w:r>
              <w:rPr/>
              <w:t>响应承诺函已提交并符合磋商文件要求的，且响应有效期不少于磋商文件中载明的响应有效期。</w:t>
            </w:r>
          </w:p>
        </w:tc>
      </w:tr>
      <w:tr>
        <w:tc>
          <w:tcPr>
            <w:tcW w:type="dxa" w:w="890"/>
          </w:tcPr>
          <w:p>
            <w:pPr>
              <w:pStyle w:val="null3"/>
            </w:pPr>
            <w:r>
              <w:rPr/>
              <w:t>3</w:t>
            </w:r>
          </w:p>
        </w:tc>
        <w:tc>
          <w:tcPr>
            <w:tcW w:type="dxa" w:w="3178"/>
          </w:tcPr>
          <w:p>
            <w:pPr>
              <w:pStyle w:val="null3"/>
            </w:pPr>
            <w:r>
              <w:rPr/>
              <w:t>响应报价要求1</w:t>
            </w:r>
          </w:p>
        </w:tc>
        <w:tc>
          <w:tcPr>
            <w:tcW w:type="dxa" w:w="4238"/>
          </w:tcPr>
          <w:p>
            <w:pPr>
              <w:pStyle w:val="null3"/>
            </w:pPr>
            <w:r>
              <w:rPr/>
              <w:t>响应报价未超过本项目最高限价。</w:t>
            </w:r>
          </w:p>
        </w:tc>
      </w:tr>
      <w:tr>
        <w:tc>
          <w:tcPr>
            <w:tcW w:type="dxa" w:w="890"/>
          </w:tcPr>
          <w:p>
            <w:pPr>
              <w:pStyle w:val="null3"/>
            </w:pPr>
            <w:r>
              <w:rPr/>
              <w:t>4</w:t>
            </w:r>
          </w:p>
        </w:tc>
        <w:tc>
          <w:tcPr>
            <w:tcW w:type="dxa" w:w="3178"/>
          </w:tcPr>
          <w:p>
            <w:pPr>
              <w:pStyle w:val="null3"/>
            </w:pPr>
            <w:r>
              <w:rPr/>
              <w:t>响应报价要求2</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响应文件没有磋商文件中规定的其它无效响应条款的</w:t>
            </w:r>
          </w:p>
        </w:tc>
        <w:tc>
          <w:tcPr>
            <w:tcW w:type="dxa" w:w="4238"/>
          </w:tcPr>
          <w:p>
            <w:pPr>
              <w:pStyle w:val="null3"/>
            </w:pPr>
            <w:r>
              <w:rPr/>
              <w:t>响应文件没有磋商文件中规定的其它无效响应条款的。</w:t>
            </w:r>
          </w:p>
        </w:tc>
      </w:tr>
      <w:tr>
        <w:tc>
          <w:tcPr>
            <w:tcW w:type="dxa" w:w="890"/>
          </w:tcPr>
          <w:p>
            <w:pPr>
              <w:pStyle w:val="null3"/>
            </w:pPr>
            <w:r>
              <w:rPr/>
              <w:t>6</w:t>
            </w:r>
          </w:p>
        </w:tc>
        <w:tc>
          <w:tcPr>
            <w:tcW w:type="dxa" w:w="3178"/>
          </w:tcPr>
          <w:p>
            <w:pPr>
              <w:pStyle w:val="null3"/>
            </w:pPr>
            <w:r>
              <w:rPr/>
              <w:t>按有关法律、法规、规章不属于响应无效的</w:t>
            </w:r>
          </w:p>
        </w:tc>
        <w:tc>
          <w:tcPr>
            <w:tcW w:type="dxa" w:w="4238"/>
          </w:tcPr>
          <w:p>
            <w:pPr>
              <w:pStyle w:val="null3"/>
            </w:pPr>
            <w:r>
              <w:rPr/>
              <w:t>按有关法律、法规、规章不属于响应无效的。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采购包1(湛江市城市更新专项规划（2026-2035年）):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对项目的解读与理解 (8.0分)</w:t>
            </w:r>
          </w:p>
        </w:tc>
        <w:tc>
          <w:tcPr>
            <w:tcW w:type="dxa" w:w="5076"/>
          </w:tcPr>
          <w:p>
            <w:pPr>
              <w:pStyle w:val="null3"/>
              <w:jc w:val="left"/>
            </w:pPr>
            <w:r>
              <w:rPr/>
              <w:t>根据投标人对项目的编制背景、政策文件、项目任务、规划要求的理解进行综合评价： 1. 对本项目的编制背景、政策文件、项目任务、规划要求有充分深入的理解及认识的，得8分； 2. 对本项目的编制背景、政策文件、项目任务、规划要求有一定的理解及认识的，得5分； 3. 对本项目的编制背景、政策文件、项目任务、规划要求认识和理解方案不够到位的，得3分； 4. 不提供的不得分。</w:t>
            </w:r>
          </w:p>
        </w:tc>
      </w:tr>
      <w:tr>
        <w:tc>
          <w:tcPr>
            <w:tcW w:type="dxa" w:w="922"/>
            <w:gridSpan w:val="2"/>
            <w:vMerge/>
          </w:tcPr>
          <w:p/>
        </w:tc>
        <w:tc>
          <w:tcPr>
            <w:tcW w:type="dxa" w:w="2307"/>
          </w:tcPr>
          <w:p>
            <w:pPr>
              <w:pStyle w:val="null3"/>
              <w:jc w:val="left"/>
            </w:pPr>
            <w:r>
              <w:rPr/>
              <w:t>项目现状分析 (8.0分)</w:t>
            </w:r>
          </w:p>
        </w:tc>
        <w:tc>
          <w:tcPr>
            <w:tcW w:type="dxa" w:w="5076"/>
          </w:tcPr>
          <w:p>
            <w:pPr>
              <w:pStyle w:val="null3"/>
              <w:jc w:val="left"/>
            </w:pPr>
            <w:r>
              <w:rPr/>
              <w:t>根据投标人对项目的现状分析进行综合评价： 1.能够全面了解项目现状，现状分析准确，完全满足且优于项目需求的，得8分； 2.对项目现状认识、基地现状情况、基地特征与问题等有较深入理解，基本满足项目需求的，得5分； 3.对项目背景和意义、工作任务和要求、工作目标等的理解不深入，或不满足项目需求的，得3分； 4.不提供的不得分。</w:t>
            </w:r>
          </w:p>
        </w:tc>
      </w:tr>
      <w:tr>
        <w:tc>
          <w:tcPr>
            <w:tcW w:type="dxa" w:w="922"/>
            <w:gridSpan w:val="2"/>
            <w:vMerge/>
          </w:tcPr>
          <w:p/>
        </w:tc>
        <w:tc>
          <w:tcPr>
            <w:tcW w:type="dxa" w:w="2307"/>
          </w:tcPr>
          <w:p>
            <w:pPr>
              <w:pStyle w:val="null3"/>
              <w:jc w:val="left"/>
            </w:pPr>
            <w:r>
              <w:rPr/>
              <w:t>规划理念、研究方法及技术思路 (8.0分)</w:t>
            </w:r>
          </w:p>
        </w:tc>
        <w:tc>
          <w:tcPr>
            <w:tcW w:type="dxa" w:w="5076"/>
          </w:tcPr>
          <w:p>
            <w:pPr>
              <w:pStyle w:val="null3"/>
              <w:jc w:val="left"/>
            </w:pPr>
            <w:r>
              <w:rPr/>
              <w:t>根据投标人对本项目的规划理念、研究方法及技术思路进行综合评价： 1.投标人的规划理念、研究方法及技术思路合理全面，针对性强，具有较高的可操作性，得8分； 2.投标人的规划理念、研究方法及技术思路一般，可操作性一般，得5分； 3.投标人的规划理念、研究方法及技术思路较差，可操作性较低的，得3分； 4.不提供的不得分。</w:t>
            </w:r>
          </w:p>
        </w:tc>
      </w:tr>
      <w:tr>
        <w:tc>
          <w:tcPr>
            <w:tcW w:type="dxa" w:w="922"/>
            <w:gridSpan w:val="2"/>
            <w:vMerge/>
          </w:tcPr>
          <w:p/>
        </w:tc>
        <w:tc>
          <w:tcPr>
            <w:tcW w:type="dxa" w:w="2307"/>
          </w:tcPr>
          <w:p>
            <w:pPr>
              <w:pStyle w:val="null3"/>
              <w:jc w:val="left"/>
            </w:pPr>
            <w:r>
              <w:rPr/>
              <w:t>工作重点和难点分析 (10.0分)</w:t>
            </w:r>
          </w:p>
        </w:tc>
        <w:tc>
          <w:tcPr>
            <w:tcW w:type="dxa" w:w="5076"/>
          </w:tcPr>
          <w:p>
            <w:pPr>
              <w:pStyle w:val="null3"/>
              <w:jc w:val="left"/>
            </w:pPr>
            <w:r>
              <w:rPr/>
              <w:t>根据投标人对本项目的重点难点进行综合评价： 1.重点难点分析准确到位，解决办法合理、切实可行，得10分； 2.重点难点分析较准确，解决办法较合理、可行，得6分； 3.重点难点分析不够准确，解决办法不够合理，得4分； 4.不提供的不得分。</w:t>
            </w:r>
          </w:p>
        </w:tc>
      </w:tr>
      <w:tr>
        <w:tc>
          <w:tcPr>
            <w:tcW w:type="dxa" w:w="922"/>
            <w:gridSpan w:val="2"/>
            <w:vMerge/>
          </w:tcPr>
          <w:p/>
        </w:tc>
        <w:tc>
          <w:tcPr>
            <w:tcW w:type="dxa" w:w="2307"/>
          </w:tcPr>
          <w:p>
            <w:pPr>
              <w:pStyle w:val="null3"/>
              <w:jc w:val="left"/>
            </w:pPr>
            <w:r>
              <w:rPr/>
              <w:t>更新规划方案 (10.0分)</w:t>
            </w:r>
          </w:p>
        </w:tc>
        <w:tc>
          <w:tcPr>
            <w:tcW w:type="dxa" w:w="5076"/>
          </w:tcPr>
          <w:p>
            <w:pPr>
              <w:pStyle w:val="null3"/>
              <w:jc w:val="left"/>
            </w:pPr>
            <w:r>
              <w:rPr/>
              <w:t>根据投标人对本项目的更新规划方案进行综合评价： 1.方案完整，内容详细、合理，完全满足且优于项目需求的，得10分； 2.方案完整，内容较详细、较合理，基本满足项目需求的，得6分； 3.方案不完整，内容较简单、缺乏合理性，未能满足项目需求的，得4分； 4.不提供的不得分。</w:t>
            </w:r>
          </w:p>
        </w:tc>
      </w:tr>
      <w:tr>
        <w:tc>
          <w:tcPr>
            <w:tcW w:type="dxa" w:w="922"/>
            <w:gridSpan w:val="2"/>
            <w:vMerge/>
          </w:tcPr>
          <w:p/>
        </w:tc>
        <w:tc>
          <w:tcPr>
            <w:tcW w:type="dxa" w:w="2307"/>
          </w:tcPr>
          <w:p>
            <w:pPr>
              <w:pStyle w:val="null3"/>
              <w:jc w:val="left"/>
            </w:pPr>
            <w:r>
              <w:rPr/>
              <w:t>工作时间与进度计划 (5.0分)</w:t>
            </w:r>
          </w:p>
        </w:tc>
        <w:tc>
          <w:tcPr>
            <w:tcW w:type="dxa" w:w="5076"/>
          </w:tcPr>
          <w:p>
            <w:pPr>
              <w:pStyle w:val="null3"/>
              <w:jc w:val="left"/>
            </w:pPr>
            <w:r>
              <w:rPr/>
              <w:t>根据投标人对本项目的工作时间与进度计划进行综合评价： 1.投标人的工作时间与进度计划合理可行，得5分； 2.投标人的工作时间与进度计划较合理可行，得3分； 3.投标人的工作时间与进度计划不合理，得1分； 4.不提供的不得分。</w:t>
            </w:r>
          </w:p>
        </w:tc>
      </w:tr>
      <w:tr>
        <w:tc>
          <w:tcPr>
            <w:tcW w:type="dxa" w:w="922"/>
            <w:gridSpan w:val="2"/>
            <w:vMerge/>
          </w:tcPr>
          <w:p/>
        </w:tc>
        <w:tc>
          <w:tcPr>
            <w:tcW w:type="dxa" w:w="2307"/>
          </w:tcPr>
          <w:p>
            <w:pPr>
              <w:pStyle w:val="null3"/>
              <w:jc w:val="left"/>
            </w:pPr>
            <w:r>
              <w:rPr/>
              <w:t>质量保障与服务承诺 (6.0分)</w:t>
            </w:r>
          </w:p>
        </w:tc>
        <w:tc>
          <w:tcPr>
            <w:tcW w:type="dxa" w:w="5076"/>
          </w:tcPr>
          <w:p>
            <w:pPr>
              <w:pStyle w:val="null3"/>
              <w:jc w:val="left"/>
            </w:pPr>
            <w:r>
              <w:rPr/>
              <w:t>根据投标人对本项目的质量保障与服务承诺进行综合评价： 1.投标人的质量保障与服务承诺合理可行，得6分； 2.投标人的质量保障与服务承诺较合理，得3分； 3.投标人的质量保障与服务承诺不合理，得1分； 4.不提供的不得分。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类似项目业绩情况 (15.0分)</w:t>
            </w:r>
          </w:p>
        </w:tc>
        <w:tc>
          <w:tcPr>
            <w:tcW w:type="dxa" w:w="5076"/>
          </w:tcPr>
          <w:p>
            <w:pPr>
              <w:pStyle w:val="null3"/>
              <w:jc w:val="left"/>
            </w:pPr>
            <w:r>
              <w:rPr/>
              <w:t>近五年（2020年至今，以合同签订时间为准）供应商承担过省级关于城市更新或改造方面类型项目的，每提供一项得2分，最高不超过8分；供应商承担过地级市关于城市更新或改造方面类型项目的，每提供一项得1分，最高不超过4分；承担过县（区）关于城市更新或改造方面类型项目的，每提供一项得0.5分，最高不超过3分。 注：本项累计最高得15分。提供项目合同关键页（包括但不限于合同封面、合同内容及签字盖章页）加盖供应商公章，不提供不得分；以联合体身份参加响应的，联合体主体单位和联合体成员方的项目业绩均可得分。</w:t>
            </w:r>
          </w:p>
        </w:tc>
      </w:tr>
      <w:tr>
        <w:tc>
          <w:tcPr>
            <w:tcW w:type="dxa" w:w="922"/>
            <w:gridSpan w:val="2"/>
            <w:vMerge/>
          </w:tcPr>
          <w:p/>
        </w:tc>
        <w:tc>
          <w:tcPr>
            <w:tcW w:type="dxa" w:w="2307"/>
          </w:tcPr>
          <w:p>
            <w:pPr>
              <w:pStyle w:val="null3"/>
              <w:jc w:val="left"/>
            </w:pPr>
            <w:r>
              <w:rPr/>
              <w:t>获奖情况 (6.0分)</w:t>
            </w:r>
          </w:p>
        </w:tc>
        <w:tc>
          <w:tcPr>
            <w:tcW w:type="dxa" w:w="5076"/>
          </w:tcPr>
          <w:p>
            <w:pPr>
              <w:pStyle w:val="null3"/>
              <w:jc w:val="left"/>
            </w:pPr>
            <w:r>
              <w:rPr/>
              <w:t>近五年（2020年至今，以获奖时间为准）投标人承担的城乡规划类项目获得国家级“规划设计”类奖项的，每个得2分；获得省级“规划设计”类奖项的，每个得1分；获得市级“规划设计”类奖项的，每个得0.5分。 注：本项累计最高得6分。提供获奖证书复印件并加盖投标人公章，计分以最高奖项为准，同个项目不得重复计分；以联合体身份参加响应的，联合体主体单位和联合体成员方的获奖均可得分。</w:t>
            </w:r>
          </w:p>
        </w:tc>
      </w:tr>
      <w:tr>
        <w:tc>
          <w:tcPr>
            <w:tcW w:type="dxa" w:w="922"/>
            <w:gridSpan w:val="2"/>
            <w:vMerge/>
          </w:tcPr>
          <w:p/>
        </w:tc>
        <w:tc>
          <w:tcPr>
            <w:tcW w:type="dxa" w:w="2307"/>
          </w:tcPr>
          <w:p>
            <w:pPr>
              <w:pStyle w:val="null3"/>
              <w:jc w:val="left"/>
            </w:pPr>
            <w:r>
              <w:rPr/>
              <w:t>项目成员综合素质 (10.0分)</w:t>
            </w:r>
          </w:p>
        </w:tc>
        <w:tc>
          <w:tcPr>
            <w:tcW w:type="dxa" w:w="5076"/>
          </w:tcPr>
          <w:p>
            <w:pPr>
              <w:pStyle w:val="null3"/>
              <w:jc w:val="left"/>
            </w:pPr>
            <w:r>
              <w:rPr/>
              <w:t>1、项目负责人具备注册城乡规划师资质的得1分；具备城乡规划高级工程师（教授级）职称的得1分。 2、项目组成员（不含项目负责人）具有注册城乡规划师或具有城乡规划高级工程师职称的，每提供一人得1分，本小项最高得2分。 3、项目组成员（不含项目负责人）具有建筑学高级工程师、风景园林设计高级工程师、给排水高级工程师、市政路桥设计高级工程师的，每提供一人专业得1分，最高得6分；具有建筑学工程师、风景园林设计工程师、给排水工程师、市政路桥设计工程师的，每提供一人专业得0.5分，最高得3分；本小项最高得6分。 注：本项累计最高得10分。同一人具有多个证书不重复计分，按提供证书得分最高项得分。提供相关证书复印件加盖供应商公章，并提供投标人为其购买的投标截止时间前三个月任意一个月的社保证明文件复印件加盖供应商公章，不提供不得分；以联合体身份参加响应的，联合体主体单位和联合体成员方的项目团队均可得分。</w:t>
            </w:r>
          </w:p>
        </w:tc>
      </w:tr>
      <w:tr>
        <w:tc>
          <w:tcPr>
            <w:tcW w:type="dxa" w:w="922"/>
            <w:gridSpan w:val="2"/>
            <w:vMerge/>
          </w:tcPr>
          <w:p/>
        </w:tc>
        <w:tc>
          <w:tcPr>
            <w:tcW w:type="dxa" w:w="2307"/>
          </w:tcPr>
          <w:p>
            <w:pPr>
              <w:pStyle w:val="null3"/>
              <w:jc w:val="left"/>
            </w:pPr>
            <w:r>
              <w:rPr/>
              <w:t>企业综合实力情况 (4.0分)</w:t>
            </w:r>
          </w:p>
        </w:tc>
        <w:tc>
          <w:tcPr>
            <w:tcW w:type="dxa" w:w="5076"/>
          </w:tcPr>
          <w:p>
            <w:pPr>
              <w:pStyle w:val="null3"/>
              <w:jc w:val="left"/>
            </w:pPr>
            <w:r>
              <w:rPr/>
              <w:t>1、供应商获得省级或以上政府部门颁发城乡规划类荣誉称号的每个得1分，获得市级或以上政府部门颁发城乡规划类荣誉称号的每个得0.5分；本项目最高得1分。 2、供应商具有有效期内的质量管理体系认证证书、环境管理体系认证证书、职业健康管理体系认证证书情况，每有一项得1分，最高得3分。 注：本项累计最高得4分。提供相关证明材料复印件加盖投标人公章，不提供不得分。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1"/>
          <w:color w:val="222222"/>
        </w:rPr>
        <w:t>　　由甲方按下列程序在</w:t>
      </w:r>
      <w:r>
        <w:rPr>
          <w:sz w:val="24"/>
          <w:u w:val="single"/>
        </w:rPr>
        <w:t xml:space="preserve">       </w:t>
      </w:r>
      <w:r>
        <w:rPr>
          <w:sz w:val="21"/>
          <w:color w:val="222222"/>
        </w:rPr>
        <w:t xml:space="preserve"> 内付款：</w:t>
      </w:r>
    </w:p>
    <w:p>
      <w:pPr>
        <w:pStyle w:val="null3"/>
        <w:ind w:firstLine="420"/>
        <w:jc w:val="both"/>
      </w:pPr>
      <w:r>
        <w:rPr>
          <w:sz w:val="21"/>
        </w:rPr>
        <w:t>1期：支付比例30%，自合同签订之日起30日内，</w:t>
      </w:r>
      <w:r>
        <w:rPr>
          <w:sz w:val="21"/>
        </w:rPr>
        <w:t>甲方</w:t>
      </w:r>
      <w:r>
        <w:rPr>
          <w:sz w:val="21"/>
        </w:rPr>
        <w:t>向市财政部门申请支付合同总金额的</w:t>
      </w:r>
      <w:r>
        <w:rPr>
          <w:sz w:val="21"/>
        </w:rPr>
        <w:t>30%给</w:t>
      </w:r>
      <w:r>
        <w:rPr>
          <w:sz w:val="21"/>
        </w:rPr>
        <w:t>乙方</w:t>
      </w:r>
      <w:r>
        <w:rPr>
          <w:sz w:val="21"/>
        </w:rPr>
        <w:t>。</w:t>
      </w:r>
    </w:p>
    <w:p>
      <w:pPr>
        <w:pStyle w:val="null3"/>
        <w:ind w:firstLine="420"/>
        <w:jc w:val="both"/>
      </w:pPr>
      <w:r>
        <w:rPr>
          <w:sz w:val="21"/>
        </w:rPr>
        <w:t>2期：支付比例30%，</w:t>
      </w:r>
      <w:r>
        <w:rPr>
          <w:sz w:val="21"/>
        </w:rPr>
        <w:t>规划成果通过市国土空间规划委员会审议后30日内</w:t>
      </w:r>
      <w:r>
        <w:rPr>
          <w:sz w:val="21"/>
        </w:rPr>
        <w:t>，</w:t>
      </w:r>
      <w:r>
        <w:rPr>
          <w:sz w:val="21"/>
        </w:rPr>
        <w:t>甲方</w:t>
      </w:r>
      <w:r>
        <w:rPr>
          <w:sz w:val="21"/>
        </w:rPr>
        <w:t>向市财政部门申请支付合同总金额的</w:t>
      </w:r>
      <w:r>
        <w:rPr>
          <w:sz w:val="21"/>
        </w:rPr>
        <w:t>30%给</w:t>
      </w:r>
      <w:r>
        <w:rPr>
          <w:sz w:val="21"/>
        </w:rPr>
        <w:t>乙方</w:t>
      </w:r>
      <w:r>
        <w:rPr>
          <w:sz w:val="21"/>
        </w:rPr>
        <w:t>。</w:t>
      </w:r>
    </w:p>
    <w:p>
      <w:pPr>
        <w:pStyle w:val="null3"/>
        <w:ind w:firstLine="420"/>
        <w:jc w:val="both"/>
      </w:pPr>
      <w:r>
        <w:rPr>
          <w:sz w:val="21"/>
        </w:rPr>
        <w:t>3期：支付比例30%，</w:t>
      </w:r>
      <w:r>
        <w:rPr>
          <w:sz w:val="21"/>
        </w:rPr>
        <w:t>规划成果通过市政府常务会议审议后30日内</w:t>
      </w:r>
      <w:r>
        <w:rPr>
          <w:sz w:val="21"/>
        </w:rPr>
        <w:t>，</w:t>
      </w:r>
      <w:r>
        <w:rPr>
          <w:sz w:val="21"/>
        </w:rPr>
        <w:t>甲方</w:t>
      </w:r>
      <w:r>
        <w:rPr>
          <w:sz w:val="21"/>
        </w:rPr>
        <w:t>向市财政部门申请支付合同总金额的</w:t>
      </w:r>
      <w:r>
        <w:rPr>
          <w:sz w:val="21"/>
        </w:rPr>
        <w:t>30%给</w:t>
      </w:r>
      <w:r>
        <w:rPr>
          <w:sz w:val="21"/>
        </w:rPr>
        <w:t>乙方</w:t>
      </w:r>
      <w:r>
        <w:rPr>
          <w:sz w:val="21"/>
        </w:rPr>
        <w:t>。</w:t>
      </w:r>
    </w:p>
    <w:p>
      <w:pPr>
        <w:pStyle w:val="null3"/>
        <w:ind w:firstLine="420"/>
        <w:jc w:val="both"/>
      </w:pPr>
      <w:r>
        <w:rPr>
          <w:sz w:val="21"/>
        </w:rPr>
        <w:t>4期：支付比例10%，成果获得审批，</w:t>
      </w:r>
      <w:r>
        <w:rPr>
          <w:sz w:val="21"/>
        </w:rPr>
        <w:t>乙方</w:t>
      </w:r>
      <w:r>
        <w:rPr>
          <w:sz w:val="21"/>
        </w:rPr>
        <w:t>按约定的时间节点（通过市政府审批后</w:t>
      </w:r>
      <w:r>
        <w:rPr>
          <w:sz w:val="21"/>
        </w:rPr>
        <w:t>30日内）提交规划设计成果（最终成果稿）和正式有效发票后30日内，</w:t>
      </w:r>
      <w:r>
        <w:rPr>
          <w:sz w:val="21"/>
        </w:rPr>
        <w:t>甲方</w:t>
      </w:r>
      <w:r>
        <w:rPr>
          <w:sz w:val="21"/>
        </w:rPr>
        <w:t>向市财政部门申请支付合同总金额的</w:t>
      </w:r>
      <w:r>
        <w:rPr>
          <w:sz w:val="21"/>
        </w:rPr>
        <w:t>10%给</w:t>
      </w:r>
      <w:r>
        <w:rPr>
          <w:sz w:val="21"/>
        </w:rPr>
        <w:t>乙方</w:t>
      </w:r>
      <w:r>
        <w:rPr>
          <w:sz w:val="21"/>
        </w:rPr>
        <w:t>。</w:t>
      </w:r>
    </w:p>
    <w:p>
      <w:pPr>
        <w:pStyle w:val="null3"/>
        <w:jc w:val="both"/>
      </w:pPr>
      <w:r>
        <w:rPr>
          <w:sz w:val="21"/>
          <w:color w:val="222222"/>
        </w:rPr>
        <w:t>　　对于满足合同约定支付条件的，甲方应当自收到发票后</w:t>
      </w:r>
      <w:r>
        <w:rPr>
          <w:sz w:val="21"/>
          <w:color w:val="222222"/>
        </w:rPr>
        <w:t>30日内将资金支付到合同约定的乙方账户，不得以机构变动、人员更替、政策调整等为由延迟付款，不得将采购文件和合同中未规定的义务作为向乙方付款的条件。</w:t>
      </w:r>
    </w:p>
    <w:p>
      <w:pPr>
        <w:pStyle w:val="null3"/>
        <w:jc w:val="both"/>
      </w:pPr>
      <w:r>
        <w:rPr>
          <w:sz w:val="21"/>
          <w:b/>
        </w:rPr>
        <w:t>六、知识产权归属</w:t>
      </w:r>
    </w:p>
    <w:p>
      <w:pPr>
        <w:pStyle w:val="null3"/>
        <w:jc w:val="both"/>
      </w:pPr>
      <w:r>
        <w:rPr>
          <w:sz w:val="21"/>
          <w:b/>
        </w:rPr>
        <w:t>七、保密</w:t>
      </w:r>
    </w:p>
    <w:p>
      <w:pPr>
        <w:pStyle w:val="null3"/>
        <w:ind w:firstLine="420"/>
        <w:jc w:val="both"/>
      </w:pPr>
      <w:r>
        <w:rPr>
          <w:sz w:val="21"/>
        </w:rPr>
        <w:t>乙方应妥善保管甲方提供的资料并承担保密义务，未经甲方同意，乙方不得向第三方扩散、转让本项目成果。</w:t>
      </w:r>
    </w:p>
    <w:p>
      <w:pPr>
        <w:pStyle w:val="null3"/>
        <w:jc w:val="both"/>
      </w:pPr>
      <w:r>
        <w:rPr>
          <w:sz w:val="21"/>
          <w:b/>
        </w:rPr>
        <w:t>八、违约责任与赔偿损失</w:t>
      </w:r>
    </w:p>
    <w:p>
      <w:pPr>
        <w:pStyle w:val="null3"/>
        <w:jc w:val="both"/>
      </w:pPr>
      <w:r>
        <w:rPr>
          <w:sz w:val="21"/>
          <w:color w:val="222222"/>
        </w:rPr>
        <w:t xml:space="preserve"> 1.乙方提供的服务不符合本合同规定的，甲方有权拒收，并且乙方须向甲方方支付本合同总价5%的违约金。</w:t>
      </w:r>
    </w:p>
    <w:p>
      <w:pPr>
        <w:pStyle w:val="null3"/>
        <w:jc w:val="both"/>
      </w:pPr>
      <w:r>
        <w:rPr>
          <w:sz w:val="21"/>
          <w:color w:val="222222"/>
        </w:rPr>
        <w:t xml:space="preserve"> 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1"/>
          <w:color w:val="222222"/>
        </w:rPr>
        <w:t xml:space="preserve"> 3.对于因甲方原因导致变更、中止或者终止政府采购合同的，甲方应当依照以下合同约定对供应商受到的损失予以赔偿或者补偿：</w:t>
      </w:r>
    </w:p>
    <w:p>
      <w:pPr>
        <w:pStyle w:val="null3"/>
        <w:jc w:val="both"/>
      </w:pPr>
      <w:r>
        <w:rPr>
          <w:sz w:val="24"/>
          <w:u w:val="single"/>
        </w:rPr>
        <w:t xml:space="preserve">                         </w:t>
      </w:r>
    </w:p>
    <w:p>
      <w:pPr>
        <w:pStyle w:val="null3"/>
        <w:jc w:val="both"/>
      </w:pPr>
      <w:r>
        <w:rPr>
          <w:sz w:val="21"/>
          <w:color w:val="222222"/>
        </w:rPr>
        <w:t xml:space="preserve"> 5.其它违约责任按《中华人民共和国民法典(合同编)》处理。</w:t>
      </w:r>
    </w:p>
    <w:p>
      <w:pPr>
        <w:pStyle w:val="null3"/>
        <w:jc w:val="both"/>
      </w:pPr>
      <w:r>
        <w:rPr>
          <w:sz w:val="21"/>
          <w:b/>
        </w:rPr>
        <w:t>九、争议的解决</w:t>
      </w:r>
    </w:p>
    <w:p>
      <w:pPr>
        <w:pStyle w:val="null3"/>
        <w:ind w:firstLine="400"/>
        <w:jc w:val="both"/>
      </w:pPr>
      <w:r>
        <w:rPr>
          <w:sz w:val="21"/>
          <w:color w:val="222222"/>
        </w:rPr>
        <w:t>合同执行过程中发生的任何争议，如双方不能通过友好协商解决，按相关法律法规处理。</w:t>
      </w:r>
      <w:r>
        <w:rPr>
          <w:sz w:val="21"/>
          <w:color w:val="222222"/>
        </w:rPr>
        <w:t xml:space="preserve">      </w:t>
      </w:r>
    </w:p>
    <w:p>
      <w:pPr>
        <w:pStyle w:val="null3"/>
        <w:jc w:val="both"/>
      </w:pPr>
      <w:r>
        <w:rPr>
          <w:sz w:val="21"/>
          <w:b/>
        </w:rPr>
        <w:t>十、不可抗力</w:t>
      </w:r>
    </w:p>
    <w:p>
      <w:pPr>
        <w:pStyle w:val="null3"/>
        <w:jc w:val="both"/>
      </w:pPr>
      <w:r>
        <w:rPr>
          <w:sz w:val="21"/>
          <w:color w:val="222222"/>
        </w:rPr>
        <w:t>　　任何一方由于不可抗力原因不能履行合同时，应在不可抗力事件结束后</w:t>
      </w:r>
      <w:r>
        <w:rPr>
          <w:sz w:val="21"/>
          <w:color w:val="222222"/>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jc w:val="both"/>
      </w:pPr>
      <w:r>
        <w:rPr>
          <w:sz w:val="21"/>
          <w:color w:val="222222"/>
        </w:rPr>
        <w:t>　　在中国境内、外发生的与本合同执行有关的一切税费均由乙方负担。</w:t>
      </w:r>
    </w:p>
    <w:p>
      <w:pPr>
        <w:pStyle w:val="null3"/>
        <w:jc w:val="both"/>
      </w:pPr>
      <w:r>
        <w:rPr>
          <w:sz w:val="21"/>
          <w:b/>
        </w:rPr>
        <w:t>十二、其它</w:t>
      </w:r>
    </w:p>
    <w:p>
      <w:pPr>
        <w:pStyle w:val="null3"/>
        <w:jc w:val="both"/>
      </w:pPr>
      <w:r>
        <w:rPr>
          <w:sz w:val="21"/>
          <w:color w:val="222222"/>
        </w:rPr>
        <w:t xml:space="preserve"> 1.本合同所有附件、招标文件、投标文件、中标通知书均为合同的有效组成部分，与本合同具有同等法律效力。</w:t>
      </w:r>
    </w:p>
    <w:p>
      <w:pPr>
        <w:pStyle w:val="null3"/>
        <w:jc w:val="both"/>
      </w:pPr>
      <w:r>
        <w:rPr>
          <w:sz w:val="21"/>
          <w:color w:val="222222"/>
        </w:rPr>
        <w:t xml:space="preserve"> 2.在执行本合同的过程中，所有经双方签署确认的文件（包括会议纪要、补充协议、往来信函）即成为本合同的有效组成部分。</w:t>
      </w:r>
    </w:p>
    <w:p>
      <w:pPr>
        <w:pStyle w:val="null3"/>
        <w:jc w:val="both"/>
      </w:pPr>
      <w:r>
        <w:rPr>
          <w:sz w:val="21"/>
          <w:color w:val="222222"/>
        </w:rPr>
        <w:t xml:space="preserve"> 3.如一方地址、电话、传真号码有变更，应在变更当日内书面通知对方，否则，应承担相应责任。</w:t>
      </w:r>
    </w:p>
    <w:p>
      <w:pPr>
        <w:pStyle w:val="null3"/>
        <w:jc w:val="both"/>
      </w:pPr>
      <w:r>
        <w:rPr>
          <w:sz w:val="21"/>
          <w:color w:val="222222"/>
        </w:rPr>
        <w:t xml:space="preserve"> 4.除甲方事先书面同意外，乙方不得部分或全部转让其应履行的合同项下的义务。</w:t>
      </w:r>
    </w:p>
    <w:p>
      <w:pPr>
        <w:pStyle w:val="null3"/>
        <w:jc w:val="both"/>
      </w:pPr>
      <w:r>
        <w:rPr>
          <w:sz w:val="21"/>
          <w:b/>
        </w:rPr>
        <w:t>十三、合同生效</w:t>
      </w:r>
    </w:p>
    <w:p>
      <w:pPr>
        <w:pStyle w:val="null3"/>
        <w:jc w:val="both"/>
      </w:pPr>
      <w:r>
        <w:rPr>
          <w:sz w:val="21"/>
          <w:color w:val="222222"/>
        </w:rPr>
        <w:t xml:space="preserve"> 1.本合同在甲乙双方法人代表或其授权代表签字盖章后生效。</w:t>
      </w:r>
    </w:p>
    <w:p>
      <w:pPr>
        <w:pStyle w:val="null3"/>
        <w:jc w:val="both"/>
      </w:pPr>
      <w:r>
        <w:rPr>
          <w:sz w:val="21"/>
          <w:color w:val="222222"/>
        </w:rPr>
        <w:t xml:space="preserve"> 2.合同一式</w:t>
      </w:r>
      <w:r>
        <w:rPr>
          <w:sz w:val="24"/>
          <w:u w:val="single"/>
        </w:rPr>
        <w:t xml:space="preserve">   </w:t>
      </w:r>
      <w:r>
        <w:rPr>
          <w:sz w:val="21"/>
          <w:color w:val="222222"/>
        </w:rPr>
        <w:t xml:space="preserve"> 份。</w:t>
      </w:r>
    </w:p>
    <w:p>
      <w:pPr>
        <w:pStyle w:val="null3"/>
        <w:spacing w:before="0" w:after="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440801-2025-01633</w:t>
      </w:r>
    </w:p>
    <w:p>
      <w:pPr>
        <w:pStyle w:val="null3"/>
        <w:jc w:val="center"/>
        <w:outlineLvl w:val="3"/>
      </w:pPr>
      <w:r>
        <w:rPr>
          <w:sz w:val="24"/>
          <w:b/>
        </w:rPr>
        <w:t>采购项目编号：</w:t>
      </w:r>
      <w:r>
        <w:rPr>
          <w:sz w:val="24"/>
          <w:b/>
        </w:rPr>
        <w:t>ZJZB-2025-14929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中捷通信有限公司</w:t>
      </w:r>
    </w:p>
    <w:p>
      <w:pPr>
        <w:pStyle w:val="null3"/>
        <w:ind w:firstLine="480"/>
      </w:pPr>
      <w:r>
        <w:rPr/>
        <w:t xml:space="preserve"> 你方组织的</w:t>
      </w:r>
      <w:r>
        <w:rPr>
          <w:u w:val="single"/>
        </w:rPr>
        <w:t>“</w:t>
      </w:r>
      <w:r>
        <w:rPr>
          <w:u w:val="single"/>
        </w:rPr>
        <w:t>湛江市城市更新专项规划（2026-2035年）</w:t>
      </w:r>
      <w:r>
        <w:rPr>
          <w:u w:val="single"/>
        </w:rPr>
        <w:t>”</w:t>
      </w:r>
      <w:r>
        <w:rPr/>
        <w:t>项目的竞争性磋商[采购项目编号为：</w:t>
      </w:r>
      <w:r>
        <w:rPr>
          <w:u w:val="single"/>
        </w:rPr>
        <w:t>ZJZB-2025-14929</w:t>
      </w:r>
      <w:r>
        <w:rPr/>
        <w:t>]，我方愿参与响应。</w:t>
      </w:r>
    </w:p>
    <w:p>
      <w:pPr>
        <w:pStyle w:val="null3"/>
        <w:ind w:firstLine="480"/>
      </w:pPr>
      <w:r>
        <w:rPr/>
        <w:t>我方确认收到贵方提供的</w:t>
      </w:r>
      <w:r>
        <w:rPr>
          <w:u w:val="single"/>
        </w:rPr>
        <w:t>“</w:t>
      </w:r>
      <w:r>
        <w:rPr>
          <w:u w:val="single"/>
        </w:rPr>
        <w:t>湛江市城市更新专项规划（2026-2035年）</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中捷通信有限公司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湛江市城市更新专项规划（2026-2035年）</w:t>
      </w:r>
      <w:r>
        <w:rPr/>
        <w:t>”项目采购[采购项目编号为</w:t>
      </w:r>
      <w:r>
        <w:rPr/>
        <w:t>ZJZB-2025-14929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湛江市自然资源局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中捷通信有限公司</w:t>
      </w:r>
    </w:p>
    <w:p>
      <w:pPr>
        <w:pStyle w:val="null3"/>
        <w:ind w:firstLine="480"/>
      </w:pPr>
      <w:r>
        <w:rPr/>
        <w:t>我单位参加贵公司组织的</w:t>
      </w:r>
      <w:r>
        <w:rPr/>
        <w:t>湛江市城市更新专项规划（2026-2035年）</w:t>
      </w:r>
      <w:r>
        <w:rPr/>
        <w:t>（采购项目编号：</w:t>
      </w:r>
      <w:r>
        <w:rPr/>
        <w:t>ZJZB-2025-14929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中捷通信有限公司</w:t>
      </w:r>
    </w:p>
    <w:p>
      <w:pPr>
        <w:pStyle w:val="null3"/>
        <w:ind w:firstLine="480"/>
      </w:pPr>
      <w:r>
        <w:rPr/>
        <w:t>我单位已登记并准备参与“</w:t>
      </w:r>
      <w:r>
        <w:rPr/>
        <w:t>湛江市城市更新专项规划（2026-2035年）</w:t>
      </w:r>
      <w:r>
        <w:rPr/>
        <w:t>”项目（采购项目编号：</w:t>
      </w:r>
      <w:r>
        <w:rPr/>
        <w:t>ZJZB-2025-14929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