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版本号：SXXDCGZB-2025-00120250523001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铜川市城市更新专项规划编制项目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SXXDCGZB-2025-001</w:t>
      </w:r>
      <w:r>
        <w:br/>
      </w:r>
      <w:r>
        <w:br/>
      </w:r>
      <w:r>
        <w:br/>
      </w:r>
    </w:p>
    <w:p>
      <w:pPr>
        <w:pStyle w:val="null3"/>
        <w:jc w:val="center"/>
        <w:outlineLvl w:val="2"/>
      </w:pPr>
      <w:r>
        <w:rPr>
          <w:rFonts w:ascii="仿宋_GB2312" w:hAnsi="仿宋_GB2312" w:cs="仿宋_GB2312" w:eastAsia="仿宋_GB2312"/>
          <w:sz w:val="28"/>
          <w:b/>
        </w:rPr>
        <w:t>铜川市住房和城乡建设局</w:t>
      </w:r>
    </w:p>
    <w:p>
      <w:pPr>
        <w:pStyle w:val="null3"/>
        <w:jc w:val="center"/>
        <w:outlineLvl w:val="2"/>
      </w:pPr>
      <w:r>
        <w:rPr>
          <w:rFonts w:ascii="仿宋_GB2312" w:hAnsi="仿宋_GB2312" w:cs="仿宋_GB2312" w:eastAsia="仿宋_GB2312"/>
          <w:sz w:val="28"/>
          <w:b/>
        </w:rPr>
        <w:t>陕西信德全过程项目管理有限责任公司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陕西信德全过程项目管理有限责任公司</w:t>
      </w:r>
      <w:r>
        <w:rPr>
          <w:rFonts w:ascii="仿宋_GB2312" w:hAnsi="仿宋_GB2312" w:cs="仿宋_GB2312" w:eastAsia="仿宋_GB2312"/>
        </w:rPr>
        <w:t>（以下简称“代理机构”）受</w:t>
      </w:r>
      <w:r>
        <w:rPr>
          <w:rFonts w:ascii="仿宋_GB2312" w:hAnsi="仿宋_GB2312" w:cs="仿宋_GB2312" w:eastAsia="仿宋_GB2312"/>
        </w:rPr>
        <w:t>铜川市住房和城乡建设局</w:t>
      </w:r>
      <w:r>
        <w:rPr>
          <w:rFonts w:ascii="仿宋_GB2312" w:hAnsi="仿宋_GB2312" w:cs="仿宋_GB2312" w:eastAsia="仿宋_GB2312"/>
        </w:rPr>
        <w:t>委托，拟对</w:t>
      </w:r>
      <w:r>
        <w:rPr>
          <w:rFonts w:ascii="仿宋_GB2312" w:hAnsi="仿宋_GB2312" w:cs="仿宋_GB2312" w:eastAsia="仿宋_GB2312"/>
        </w:rPr>
        <w:t>铜川市城市更新专项规划编制项目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SXXDCGZB-2025-001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铜川市城市更新专项规划编制项目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规划要综合涵盖城市结构、设施服务、交通系统、产业发展、文化保护、生态修复、人居环境等多方面内容，统筹城市规划、建设、管理的各个环节。主要包括全面梳理现状用地和设施建设情况，建立中心城区用地与设施台账;制定城市更新策略;分区制定行动计划及谋划重点项目清单;重点突出统筹编制片区策划方案;精细制定项目实施方案及支撑体系;编制规划图件及数据库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1、营业执照：供应商须具有独立承担民事责任能力的法人或其他组织，提供营业执照或事业单位法人证书，或自然人的身份证明；</w:t>
      </w:r>
    </w:p>
    <w:p>
      <w:pPr>
        <w:pStyle w:val="null3"/>
      </w:pPr>
      <w:r>
        <w:rPr>
          <w:rFonts w:ascii="仿宋_GB2312" w:hAnsi="仿宋_GB2312" w:cs="仿宋_GB2312" w:eastAsia="仿宋_GB2312"/>
        </w:rPr>
        <w:t>2、行业资质：供应商须具备城乡规划甲级资质。</w:t>
      </w:r>
    </w:p>
    <w:p>
      <w:pPr>
        <w:pStyle w:val="null3"/>
      </w:pPr>
      <w:r>
        <w:rPr>
          <w:rFonts w:ascii="仿宋_GB2312" w:hAnsi="仿宋_GB2312" w:cs="仿宋_GB2312" w:eastAsia="仿宋_GB2312"/>
        </w:rPr>
        <w:t>3、法定代表人授权书：法定代表人授权书（附法定代表人、被授权人身份证复印件）及被授权人身份证（法定代表人参加投标只需提供本人身份证）；</w:t>
      </w:r>
    </w:p>
    <w:p>
      <w:pPr>
        <w:pStyle w:val="null3"/>
      </w:pPr>
      <w:r>
        <w:rPr>
          <w:rFonts w:ascii="仿宋_GB2312" w:hAnsi="仿宋_GB2312" w:cs="仿宋_GB2312" w:eastAsia="仿宋_GB2312"/>
        </w:rPr>
        <w:t>4、财务状况报告：财务状况报告：提供2023年的财务审计报告（至少包括资产负债表和利润表，成立时间至提交投标文件截止时间不足一年的可提供成立后任意时段的资产负债表）；</w:t>
      </w:r>
    </w:p>
    <w:p>
      <w:pPr>
        <w:pStyle w:val="null3"/>
      </w:pPr>
      <w:r>
        <w:rPr>
          <w:rFonts w:ascii="仿宋_GB2312" w:hAnsi="仿宋_GB2312" w:cs="仿宋_GB2312" w:eastAsia="仿宋_GB2312"/>
        </w:rPr>
        <w:t>5、税收缴纳证明：税收缴纳证明：自2024年5月1日以来已缴纳的至少一个月的纳税证明或完税证明（提供增值税、营业税、企业所得税至少一种），纳税证明或完税证明上应有代收机构或税务机关的公章或业务专用章。依法免税的供应商应提供相关文件证明（复印件加盖供应商公章）；</w:t>
      </w:r>
    </w:p>
    <w:p>
      <w:pPr>
        <w:pStyle w:val="null3"/>
      </w:pPr>
      <w:r>
        <w:rPr>
          <w:rFonts w:ascii="仿宋_GB2312" w:hAnsi="仿宋_GB2312" w:cs="仿宋_GB2312" w:eastAsia="仿宋_GB2312"/>
        </w:rPr>
        <w:t>6、社保缴纳证明：社保缴纳证明：自2024年5月1日以来已缴存的至少一个月的社会保障资金缴存单据或社保机构开具的社会保险参保缴费情况证明。依法不需要缴纳社会保障资金的供应商应提供相关文件证明；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7、无联合体：无联合体投标承诺函；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铜川市新区长虹北路6号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铜川市住房和城乡建设局经办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09193184180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陕西信德全过程项目管理有限责任公司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陕西省铜川市市本级陕西省铜川市新区铁诺北路电信分公司院内办公咯2楼201-202室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0919-2581311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采购包1：1,546,900.00元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代理服务费收费标准：中标单位依据国家发展和改革委员会发改价格[2011]534号、计价格[2002]1980号文件,领取中标通知书时向采购代理机构交纳采购代理服务费15000.00元。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铜川市住房和城乡建设局</w:t>
      </w:r>
      <w:r>
        <w:rPr>
          <w:rFonts w:ascii="仿宋_GB2312" w:hAnsi="仿宋_GB2312" w:cs="仿宋_GB2312" w:eastAsia="仿宋_GB2312"/>
        </w:rPr>
        <w:t>和</w:t>
      </w:r>
      <w:r>
        <w:rPr>
          <w:rFonts w:ascii="仿宋_GB2312" w:hAnsi="仿宋_GB2312" w:cs="仿宋_GB2312" w:eastAsia="仿宋_GB2312"/>
        </w:rPr>
        <w:t>陕西信德全过程项目管理有限责任公司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陕西信德全过程项目管理有限责任公司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陕西信德全过程项目管理有限责任公司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规划编制完成后，经市委会审定通过。</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陕西信德全过程项目管理有限责任公司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陕西信德全过程项目管理有限责任公司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陕西信德全过程项目管理有限责任公司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联系人：石锦宝</w:t>
      </w:r>
    </w:p>
    <w:p>
      <w:pPr>
        <w:pStyle w:val="null3"/>
      </w:pPr>
      <w:r>
        <w:rPr>
          <w:rFonts w:ascii="仿宋_GB2312" w:hAnsi="仿宋_GB2312" w:cs="仿宋_GB2312" w:eastAsia="仿宋_GB2312"/>
        </w:rPr>
        <w:t>联系电话：0919-2581311</w:t>
      </w:r>
    </w:p>
    <w:p>
      <w:pPr>
        <w:pStyle w:val="null3"/>
      </w:pPr>
      <w:r>
        <w:rPr>
          <w:rFonts w:ascii="仿宋_GB2312" w:hAnsi="仿宋_GB2312" w:cs="仿宋_GB2312" w:eastAsia="仿宋_GB2312"/>
        </w:rPr>
        <w:t>地址：铜川市王益区金茂大厦D座1602室</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该规划要综合涵盖城市结构、设施服务、交通系统、产业发展、文化保护、生态修复、人居环境等多方面内容，统筹城市规划、建设、管理的各个环节。主要包括全面梳理现状用地和设施建设情况，建立中心城区用地与设施台账;制定城市更新策略;分区制定行动计划及谋划重点项目清单;重点突出统筹编制片区策划方案;精细制定项目实施方案及支撑体系;编制规划图件及数据库等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1,546,900.00</w:t>
      </w:r>
    </w:p>
    <w:p>
      <w:pPr>
        <w:pStyle w:val="null3"/>
      </w:pPr>
      <w:r>
        <w:rPr>
          <w:rFonts w:ascii="仿宋_GB2312" w:hAnsi="仿宋_GB2312" w:cs="仿宋_GB2312" w:eastAsia="仿宋_GB2312"/>
        </w:rPr>
        <w:t>采购包最高限价（元）: 1,546,900.00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1,546,900.00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该规划要综合涵盖城市结构、设施服务、交通系统、产业发展、文化保护、生态修复、人居环境等多方面内容，统筹城市规划、建设、管理的各个环节。主要包括全面梳理现状用地和设施建设情况，建立中心城区用地与设施台账</w:t>
            </w:r>
            <w:r>
              <w:rPr>
                <w:rFonts w:ascii="仿宋_GB2312" w:hAnsi="仿宋_GB2312" w:cs="仿宋_GB2312" w:eastAsia="仿宋_GB2312"/>
                <w:sz w:val="28"/>
              </w:rPr>
              <w:t>;制定城市更新策略;分区制定行动计划及谋划重点项目清单;</w:t>
            </w:r>
            <w:r>
              <w:rPr>
                <w:rFonts w:ascii="仿宋_GB2312" w:hAnsi="仿宋_GB2312" w:cs="仿宋_GB2312" w:eastAsia="仿宋_GB2312"/>
                <w:sz w:val="28"/>
              </w:rPr>
              <w:t>重点突出</w:t>
            </w:r>
            <w:r>
              <w:rPr>
                <w:rFonts w:ascii="仿宋_GB2312" w:hAnsi="仿宋_GB2312" w:cs="仿宋_GB2312" w:eastAsia="仿宋_GB2312"/>
                <w:sz w:val="28"/>
              </w:rPr>
              <w:t>统筹编制片区策划方案</w:t>
            </w:r>
            <w:r>
              <w:rPr>
                <w:rFonts w:ascii="仿宋_GB2312" w:hAnsi="仿宋_GB2312" w:cs="仿宋_GB2312" w:eastAsia="仿宋_GB2312"/>
                <w:sz w:val="28"/>
              </w:rPr>
              <w:t>;精细制定项目实施方案及支撑体系;编制规划图件及数据库等内容。</w:t>
            </w:r>
          </w:p>
          <w:p>
            <w:pPr>
              <w:pStyle w:val="null3"/>
              <w:jc w:val="both"/>
            </w:pPr>
            <w:r>
              <w:rPr>
                <w:rFonts w:ascii="仿宋_GB2312" w:hAnsi="仿宋_GB2312" w:cs="仿宋_GB2312" w:eastAsia="仿宋_GB2312"/>
                <w:sz w:val="28"/>
              </w:rPr>
              <w:t>形成相关图册</w:t>
            </w:r>
            <w:r>
              <w:rPr>
                <w:rFonts w:ascii="仿宋_GB2312" w:hAnsi="仿宋_GB2312" w:cs="仿宋_GB2312" w:eastAsia="仿宋_GB2312"/>
                <w:sz w:val="28"/>
              </w:rPr>
              <w:t>:</w:t>
            </w:r>
            <w:r>
              <w:rPr>
                <w:rFonts w:ascii="仿宋_GB2312" w:hAnsi="仿宋_GB2312" w:cs="仿宋_GB2312" w:eastAsia="仿宋_GB2312"/>
                <w:sz w:val="28"/>
              </w:rPr>
              <w:t>纸质版资料</w:t>
            </w:r>
            <w:r>
              <w:rPr>
                <w:rFonts w:ascii="仿宋_GB2312" w:hAnsi="仿宋_GB2312" w:cs="仿宋_GB2312" w:eastAsia="仿宋_GB2312"/>
                <w:sz w:val="28"/>
              </w:rPr>
              <w:t>6套；电子版U盘资料1套。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自签订合同之日起300天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规划编制完成后，经市委会审定通过。同时必须按照国家有关规定进行规划编制。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完成规划编制初稿，并经甲方验收合格后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规划成果经专家评审通过后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到合同签订地相关仲裁部门进行仲裁。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供应商须具有独立承担民事责任能力的法人或其他组织，提供营业执照或事业单位法人证书，或自然人的身份证明；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行业资质</w:t>
            </w:r>
          </w:p>
        </w:tc>
        <w:tc>
          <w:tcPr>
            <w:tcW w:type="dxa" w:w="3322"/>
          </w:tcPr>
          <w:p>
            <w:pPr>
              <w:pStyle w:val="null3"/>
            </w:pPr>
            <w:r>
              <w:rPr>
                <w:rFonts w:ascii="仿宋_GB2312" w:hAnsi="仿宋_GB2312" w:cs="仿宋_GB2312" w:eastAsia="仿宋_GB2312"/>
              </w:rPr>
              <w:t>供应商须具备城乡规划甲级资质。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法定代表人授权书（附法定代表人、被授权人身份证复印件）及被授权人身份证（法定代表人参加投标只需提供本人身份证）；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财务状况报告：提供2023年的财务审计报告（至少包括资产负债表和利润表，成立时间至提交投标文件截止时间不足一年的可提供成立后任意时段的资产负债表）；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自2024年5月1日以来已缴纳的至少一个月的纳税证明或完税证明（提供增值税、营业税、企业所得税至少一种），纳税证明或完税证明上应有代收机构或税务机关的公章或业务专用章。依法免税的供应商应提供相关文件证明（复印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社保缴纳证明：自2024年5月1日以来已缴存的至少一个月的社会保障资金缴存单据或社保机构开具的社会保险参保缴费情况证明。依法不需要缴纳社会保障资金的供应商应提供相关文件证明；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无联合体</w:t>
            </w:r>
          </w:p>
        </w:tc>
        <w:tc>
          <w:tcPr>
            <w:tcW w:type="dxa" w:w="3322"/>
          </w:tcPr>
          <w:p>
            <w:pPr>
              <w:pStyle w:val="null3"/>
            </w:pPr>
            <w:r>
              <w:rPr>
                <w:rFonts w:ascii="仿宋_GB2312" w:hAnsi="仿宋_GB2312" w:cs="仿宋_GB2312" w:eastAsia="仿宋_GB2312"/>
              </w:rPr>
              <w:t>无联合体投标承诺函；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自合同签订之日起300天</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按照竞争性磋商文件要求，响应文件需要加盖公章及签字的地方均须满足竞争性磋商文件要求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规划方案及内容</w:t>
            </w:r>
          </w:p>
        </w:tc>
        <w:tc>
          <w:tcPr>
            <w:tcW w:type="dxa" w:w="2492"/>
          </w:tcPr>
          <w:p>
            <w:pPr>
              <w:pStyle w:val="null3"/>
            </w:pPr>
            <w:r>
              <w:rPr>
                <w:rFonts w:ascii="仿宋_GB2312" w:hAnsi="仿宋_GB2312" w:cs="仿宋_GB2312" w:eastAsia="仿宋_GB2312"/>
              </w:rPr>
              <w:t>工作方案：供应商能充分了解本项目需求和实施特点，理解本项目的采购需求，了解实施背景等，提供针对本项目规划的整体思路及整体服务方案。 规划方案全面详尽、科学合理、切实可行、完全符合本项目实际需求，且注重方案时效性，计 28-40分；方案基本完整、基本合理可行、符合本项目实际需求，比较注重方案时效性，14-27分；方案 不够完整，基本符合项目需求，方案时效性较弱，计0-13分。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服务质量、保密等保证措施</w:t>
            </w:r>
          </w:p>
        </w:tc>
        <w:tc>
          <w:tcPr>
            <w:tcW w:type="dxa" w:w="2492"/>
          </w:tcPr>
          <w:p>
            <w:pPr>
              <w:pStyle w:val="null3"/>
            </w:pPr>
            <w:r>
              <w:rPr>
                <w:rFonts w:ascii="仿宋_GB2312" w:hAnsi="仿宋_GB2312" w:cs="仿宋_GB2312" w:eastAsia="仿宋_GB2312"/>
              </w:rPr>
              <w:t>1.服务质量、保密等保证措施：质量、保密保证体系健全、控制程序规范、保证措施得当， 可实施性强：计8-10分；质量、保密保证体系基本健全、控制程序基本规范、可实施性一般，计 5-7分；质量、保密保证体系不健全、控制程序不规范或可实施性勉强可以得0-4分。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项目进度计划方案</w:t>
            </w:r>
          </w:p>
        </w:tc>
        <w:tc>
          <w:tcPr>
            <w:tcW w:type="dxa" w:w="2492"/>
          </w:tcPr>
          <w:p>
            <w:pPr>
              <w:pStyle w:val="null3"/>
            </w:pPr>
            <w:r>
              <w:rPr>
                <w:rFonts w:ascii="仿宋_GB2312" w:hAnsi="仿宋_GB2312" w:cs="仿宋_GB2312" w:eastAsia="仿宋_GB2312"/>
              </w:rPr>
              <w:t>提供详细的进度计划方案，有具体的时间进度控制和服务安排，能够在规定时间内，高效、详细、准确的完成，进度计划合理，工作内容和时间节点明确；方案科学、合理、完善、可行性强、 完全满足采购文件的得5-7分；方案内容一般，可行性不强的得3-4分；方案有缺陷、内容不完善，基本没什么可行性的得0-2分。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响应文件中有明确的售后服务承诺，应向采购人提供全方位、有效而及时的技术支持和售后服务，附本项目相关售后人员联系方式（包括但不限于响应时间、响应程度、应急预案、解决问题能力等），对此进行综合评价。 【优（5-7分]】方案完善，响应高效，预案全面完善，解决问题全面，针对性强且可操作性强； 【一般（3-4分]】方案基本合理，服务响应尚可接受，预案尚待完善，解决问题相对片面，有一定针对性和可操作性； 【差[0-2分]】方案无针对性、语焉不详，可操作性差。</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1.项目负责人具有正高级技术职称或同等专业水平证书等证明材料得2分； 2.项目负责人具有注册城乡规划师资格证的，得1分； 3.拟派本项目技术团队成员中（不含项目负责人)具有城乡规划类相关专业高级或以上职称的，每提供一个得1.5分，共4.5分；具有城乡规划类相关专业中级职称的，每提供一个得0.5分，共2.5分。 以上人员需提供2024年4月1日以来至少1个月供应商为其缴纳的养老保险证明材料并加盖供应商公章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机构和制度建设</w:t>
            </w:r>
          </w:p>
        </w:tc>
        <w:tc>
          <w:tcPr>
            <w:tcW w:type="dxa" w:w="2492"/>
          </w:tcPr>
          <w:p>
            <w:pPr>
              <w:pStyle w:val="null3"/>
            </w:pPr>
            <w:r>
              <w:rPr>
                <w:rFonts w:ascii="仿宋_GB2312" w:hAnsi="仿宋_GB2312" w:cs="仿宋_GB2312" w:eastAsia="仿宋_GB2312"/>
              </w:rPr>
              <w:t>提供针对本项目拟定的管理机构、工作职能组织运行图、岗位职责制度等，管理责任清晰，日常管理制度完善、程序规范。方案全面、具体，可操作性强，针对性强：5-6分；方案基本全面、较为清晰，可操作性较好：3-4分；方案笼统、可操作性一般：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提供2021年5月1日至今，供应商具有类似规划和设计业绩。评审时以加盖公章的服务合同复印件为计分依据，每出具一份业绩证明文件得2分，满分10分。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报价得分：价格分采用低价优先法计算，即满足磋商文件要求且最后报价最低的供应商的价格为磋商基准价，其价格分为满分。其他供应商的价格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