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10FB9">
      <w:pPr>
        <w:pStyle w:val="2"/>
        <w:tabs>
          <w:tab w:val="left" w:pos="5945"/>
          <w:tab w:val="left" w:pos="6665"/>
          <w:tab w:val="left" w:pos="7385"/>
        </w:tabs>
        <w:spacing w:line="480" w:lineRule="auto"/>
        <w:jc w:val="center"/>
        <w:rPr>
          <w:rFonts w:hint="eastAsia"/>
          <w:b/>
          <w:color w:val="auto"/>
          <w:sz w:val="44"/>
          <w:szCs w:val="44"/>
        </w:rPr>
      </w:pPr>
      <w:r>
        <w:rPr>
          <w:rFonts w:hint="eastAsia"/>
          <w:b/>
          <w:color w:val="auto"/>
          <w:sz w:val="44"/>
          <w:szCs w:val="44"/>
        </w:rPr>
        <w:t>第三章  评标办法</w:t>
      </w:r>
    </w:p>
    <w:p w14:paraId="0C8D4910">
      <w:pPr>
        <w:pStyle w:val="3"/>
        <w:spacing w:before="0" w:beforeAutospacing="0" w:after="0" w:afterAutospacing="0" w:line="480" w:lineRule="auto"/>
        <w:jc w:val="center"/>
        <w:rPr>
          <w:rFonts w:hint="eastAsia"/>
          <w:b/>
          <w:color w:val="auto"/>
          <w:sz w:val="32"/>
          <w:szCs w:val="32"/>
        </w:rPr>
      </w:pPr>
      <w:r>
        <w:rPr>
          <w:rFonts w:hint="eastAsia"/>
          <w:b/>
          <w:color w:val="auto"/>
          <w:sz w:val="32"/>
          <w:szCs w:val="32"/>
        </w:rPr>
        <w:t>设计标段评标办法（综合评估法）</w:t>
      </w:r>
    </w:p>
    <w:p w14:paraId="7CF5C768">
      <w:pPr>
        <w:spacing w:line="400" w:lineRule="exact"/>
        <w:outlineLvl w:val="3"/>
        <w:rPr>
          <w:rFonts w:ascii="宋体" w:hAnsi="宋体"/>
          <w:b/>
          <w:color w:val="auto"/>
          <w:sz w:val="24"/>
          <w:szCs w:val="24"/>
        </w:rPr>
      </w:pPr>
      <w:r>
        <w:rPr>
          <w:rFonts w:hint="eastAsia" w:ascii="宋体" w:hAnsi="宋体"/>
          <w:b/>
          <w:color w:val="auto"/>
          <w:sz w:val="24"/>
          <w:szCs w:val="24"/>
        </w:rPr>
        <w:t>评标办法前附表</w:t>
      </w:r>
    </w:p>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050"/>
        <w:gridCol w:w="7599"/>
      </w:tblGrid>
      <w:tr w14:paraId="7FB9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63" w:type="dxa"/>
            <w:gridSpan w:val="2"/>
            <w:tcBorders>
              <w:right w:val="single" w:color="000000" w:sz="6" w:space="0"/>
            </w:tcBorders>
            <w:noWrap w:val="0"/>
            <w:vAlign w:val="center"/>
          </w:tcPr>
          <w:p w14:paraId="53B133DB">
            <w:pPr>
              <w:pStyle w:val="6"/>
              <w:spacing w:line="400" w:lineRule="exact"/>
              <w:jc w:val="center"/>
              <w:rPr>
                <w:b/>
                <w:color w:val="auto"/>
                <w:sz w:val="24"/>
                <w:szCs w:val="24"/>
              </w:rPr>
            </w:pPr>
            <w:r>
              <w:rPr>
                <w:b/>
                <w:color w:val="auto"/>
                <w:sz w:val="24"/>
                <w:szCs w:val="24"/>
              </w:rPr>
              <w:t>条款号</w:t>
            </w:r>
          </w:p>
        </w:tc>
        <w:tc>
          <w:tcPr>
            <w:tcW w:w="7599" w:type="dxa"/>
            <w:tcBorders>
              <w:left w:val="single" w:color="000000" w:sz="6" w:space="0"/>
            </w:tcBorders>
            <w:noWrap w:val="0"/>
            <w:vAlign w:val="center"/>
          </w:tcPr>
          <w:p w14:paraId="65366314">
            <w:pPr>
              <w:pStyle w:val="6"/>
              <w:spacing w:line="400" w:lineRule="exact"/>
              <w:jc w:val="center"/>
              <w:rPr>
                <w:b/>
                <w:color w:val="auto"/>
                <w:sz w:val="24"/>
                <w:szCs w:val="24"/>
              </w:rPr>
            </w:pPr>
            <w:r>
              <w:rPr>
                <w:b/>
                <w:color w:val="auto"/>
                <w:sz w:val="24"/>
                <w:szCs w:val="24"/>
              </w:rPr>
              <w:t>评审因素与评审标准</w:t>
            </w:r>
          </w:p>
        </w:tc>
      </w:tr>
      <w:tr w14:paraId="0022C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trPr>
        <w:tc>
          <w:tcPr>
            <w:tcW w:w="713" w:type="dxa"/>
            <w:noWrap w:val="0"/>
            <w:vAlign w:val="center"/>
          </w:tcPr>
          <w:p w14:paraId="4DFD12D1">
            <w:pPr>
              <w:pStyle w:val="6"/>
              <w:spacing w:line="400" w:lineRule="exact"/>
              <w:jc w:val="center"/>
              <w:rPr>
                <w:color w:val="auto"/>
                <w:sz w:val="24"/>
                <w:szCs w:val="24"/>
              </w:rPr>
            </w:pPr>
            <w:r>
              <w:rPr>
                <w:color w:val="auto"/>
                <w:sz w:val="24"/>
                <w:szCs w:val="24"/>
              </w:rPr>
              <w:t>1</w:t>
            </w:r>
          </w:p>
        </w:tc>
        <w:tc>
          <w:tcPr>
            <w:tcW w:w="1050" w:type="dxa"/>
            <w:tcBorders>
              <w:right w:val="single" w:color="000000" w:sz="6" w:space="0"/>
            </w:tcBorders>
            <w:noWrap w:val="0"/>
            <w:vAlign w:val="center"/>
          </w:tcPr>
          <w:p w14:paraId="47676E96">
            <w:pPr>
              <w:pStyle w:val="6"/>
              <w:spacing w:line="400" w:lineRule="exact"/>
              <w:rPr>
                <w:color w:val="auto"/>
                <w:sz w:val="24"/>
                <w:szCs w:val="24"/>
              </w:rPr>
            </w:pPr>
            <w:r>
              <w:rPr>
                <w:color w:val="auto"/>
                <w:sz w:val="24"/>
                <w:szCs w:val="24"/>
              </w:rPr>
              <w:t>评标方法</w:t>
            </w:r>
          </w:p>
        </w:tc>
        <w:tc>
          <w:tcPr>
            <w:tcW w:w="7599" w:type="dxa"/>
            <w:tcBorders>
              <w:left w:val="single" w:color="000000" w:sz="6" w:space="0"/>
            </w:tcBorders>
            <w:noWrap w:val="0"/>
            <w:vAlign w:val="center"/>
          </w:tcPr>
          <w:p w14:paraId="30D91CEC">
            <w:pPr>
              <w:pStyle w:val="6"/>
              <w:spacing w:line="400" w:lineRule="exact"/>
              <w:ind w:left="88" w:leftChars="42"/>
              <w:rPr>
                <w:color w:val="auto"/>
                <w:sz w:val="24"/>
                <w:szCs w:val="24"/>
              </w:rPr>
            </w:pPr>
            <w:r>
              <w:rPr>
                <w:color w:val="auto"/>
                <w:sz w:val="24"/>
                <w:szCs w:val="24"/>
              </w:rPr>
              <w:t>综合评分相等时，评标委员会依次按照以下优先顺序推荐中标候选人或确定中标人：</w:t>
            </w:r>
          </w:p>
          <w:p w14:paraId="28957360">
            <w:pPr>
              <w:pStyle w:val="6"/>
              <w:spacing w:line="400" w:lineRule="exact"/>
              <w:ind w:left="88" w:leftChars="42"/>
              <w:rPr>
                <w:color w:val="auto"/>
                <w:sz w:val="24"/>
                <w:szCs w:val="24"/>
              </w:rPr>
            </w:pPr>
            <w:r>
              <w:rPr>
                <w:color w:val="auto"/>
                <w:sz w:val="24"/>
                <w:szCs w:val="24"/>
              </w:rPr>
              <w:t>（1）评标价低的投标人优先；</w:t>
            </w:r>
          </w:p>
          <w:p w14:paraId="15D8D7EF">
            <w:pPr>
              <w:pStyle w:val="6"/>
              <w:spacing w:line="400" w:lineRule="exact"/>
              <w:ind w:left="88" w:leftChars="42"/>
              <w:rPr>
                <w:rFonts w:hint="eastAsia"/>
                <w:color w:val="auto"/>
                <w:sz w:val="24"/>
                <w:szCs w:val="24"/>
              </w:rPr>
            </w:pPr>
            <w:r>
              <w:rPr>
                <w:color w:val="auto"/>
                <w:sz w:val="24"/>
                <w:szCs w:val="24"/>
              </w:rPr>
              <w:t>（2）</w:t>
            </w:r>
            <w:r>
              <w:rPr>
                <w:rFonts w:hint="eastAsia"/>
                <w:color w:val="auto"/>
                <w:sz w:val="24"/>
                <w:szCs w:val="24"/>
              </w:rPr>
              <w:t>被招标项目所在地省级交通主管部门评为较高信用等级的投标人优先；</w:t>
            </w:r>
            <w:bookmarkStart w:id="13" w:name="_GoBack"/>
            <w:bookmarkEnd w:id="13"/>
          </w:p>
          <w:p w14:paraId="265F6EDB">
            <w:pPr>
              <w:pStyle w:val="6"/>
              <w:spacing w:line="400" w:lineRule="exact"/>
              <w:ind w:left="88" w:leftChars="42"/>
              <w:rPr>
                <w:rFonts w:hint="eastAsia"/>
                <w:color w:val="auto"/>
                <w:sz w:val="24"/>
                <w:szCs w:val="24"/>
              </w:rPr>
            </w:pPr>
            <w:r>
              <w:rPr>
                <w:color w:val="auto"/>
                <w:sz w:val="24"/>
                <w:szCs w:val="24"/>
              </w:rPr>
              <w:t>（3）商务和技术得分较高的投标人优先</w:t>
            </w:r>
            <w:r>
              <w:rPr>
                <w:rFonts w:hint="eastAsia"/>
                <w:color w:val="auto"/>
                <w:sz w:val="24"/>
                <w:szCs w:val="24"/>
              </w:rPr>
              <w:t>。</w:t>
            </w:r>
          </w:p>
        </w:tc>
      </w:tr>
      <w:tr w14:paraId="1F197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4" w:hRule="atLeast"/>
        </w:trPr>
        <w:tc>
          <w:tcPr>
            <w:tcW w:w="713" w:type="dxa"/>
            <w:noWrap w:val="0"/>
            <w:vAlign w:val="center"/>
          </w:tcPr>
          <w:p w14:paraId="2E641A68">
            <w:pPr>
              <w:pStyle w:val="6"/>
              <w:spacing w:line="400" w:lineRule="exact"/>
              <w:rPr>
                <w:color w:val="auto"/>
                <w:sz w:val="24"/>
                <w:szCs w:val="24"/>
              </w:rPr>
            </w:pPr>
            <w:r>
              <w:rPr>
                <w:color w:val="auto"/>
                <w:sz w:val="24"/>
                <w:szCs w:val="24"/>
              </w:rPr>
              <w:t>2.1.1</w:t>
            </w:r>
          </w:p>
          <w:p w14:paraId="61D0AA35">
            <w:pPr>
              <w:pStyle w:val="6"/>
              <w:spacing w:line="400" w:lineRule="exact"/>
              <w:rPr>
                <w:color w:val="auto"/>
                <w:sz w:val="24"/>
                <w:szCs w:val="24"/>
              </w:rPr>
            </w:pPr>
            <w:r>
              <w:rPr>
                <w:color w:val="auto"/>
                <w:sz w:val="24"/>
                <w:szCs w:val="24"/>
              </w:rPr>
              <w:t>2.1.3</w:t>
            </w:r>
          </w:p>
        </w:tc>
        <w:tc>
          <w:tcPr>
            <w:tcW w:w="1050" w:type="dxa"/>
            <w:tcBorders>
              <w:right w:val="single" w:color="000000" w:sz="6" w:space="0"/>
            </w:tcBorders>
            <w:noWrap w:val="0"/>
            <w:vAlign w:val="center"/>
          </w:tcPr>
          <w:p w14:paraId="62F64EED">
            <w:pPr>
              <w:pStyle w:val="6"/>
              <w:spacing w:line="400" w:lineRule="exact"/>
              <w:jc w:val="center"/>
              <w:rPr>
                <w:color w:val="auto"/>
                <w:sz w:val="24"/>
                <w:szCs w:val="24"/>
              </w:rPr>
            </w:pPr>
            <w:r>
              <w:rPr>
                <w:color w:val="auto"/>
                <w:sz w:val="24"/>
                <w:szCs w:val="24"/>
              </w:rPr>
              <w:t>形式评审与响应性评审标准</w:t>
            </w:r>
          </w:p>
        </w:tc>
        <w:tc>
          <w:tcPr>
            <w:tcW w:w="7599" w:type="dxa"/>
            <w:tcBorders>
              <w:left w:val="single" w:color="000000" w:sz="6" w:space="0"/>
            </w:tcBorders>
            <w:noWrap w:val="0"/>
            <w:vAlign w:val="center"/>
          </w:tcPr>
          <w:p w14:paraId="612E659D">
            <w:pPr>
              <w:pStyle w:val="6"/>
              <w:spacing w:line="400" w:lineRule="exact"/>
              <w:rPr>
                <w:b/>
                <w:color w:val="auto"/>
                <w:sz w:val="24"/>
                <w:szCs w:val="24"/>
              </w:rPr>
            </w:pPr>
            <w:r>
              <w:rPr>
                <w:b/>
                <w:color w:val="auto"/>
                <w:sz w:val="24"/>
                <w:szCs w:val="24"/>
              </w:rPr>
              <w:t>第一个信封（商务及技术文件）评审标准：</w:t>
            </w:r>
          </w:p>
          <w:p w14:paraId="63ACF3FC">
            <w:pPr>
              <w:pStyle w:val="6"/>
              <w:spacing w:line="400" w:lineRule="exact"/>
              <w:ind w:left="88" w:leftChars="42"/>
              <w:rPr>
                <w:color w:val="auto"/>
                <w:sz w:val="24"/>
                <w:szCs w:val="24"/>
              </w:rPr>
            </w:pPr>
            <w:r>
              <w:rPr>
                <w:color w:val="auto"/>
                <w:sz w:val="24"/>
                <w:szCs w:val="24"/>
              </w:rPr>
              <w:t>（1）投标文件按照招标文件规定的格式、内容填写，字迹清晰可辨：</w:t>
            </w:r>
          </w:p>
          <w:p w14:paraId="05B58ABF">
            <w:pPr>
              <w:pStyle w:val="6"/>
              <w:spacing w:line="400" w:lineRule="exact"/>
              <w:ind w:left="88" w:leftChars="42"/>
              <w:rPr>
                <w:color w:val="auto"/>
                <w:sz w:val="24"/>
                <w:szCs w:val="24"/>
              </w:rPr>
            </w:pPr>
            <w:r>
              <w:rPr>
                <w:rFonts w:hint="eastAsia"/>
                <w:color w:val="auto"/>
                <w:sz w:val="24"/>
                <w:szCs w:val="24"/>
              </w:rPr>
              <w:t>a</w:t>
            </w:r>
            <w:r>
              <w:rPr>
                <w:color w:val="auto"/>
                <w:sz w:val="24"/>
                <w:szCs w:val="24"/>
              </w:rPr>
              <w:t>.投标函按招标文件规定填报了项目名称、标段号、补遗书编号（如有）、服务期限、工程质量要求及安全目标；</w:t>
            </w:r>
          </w:p>
          <w:p w14:paraId="69CC6216">
            <w:pPr>
              <w:pStyle w:val="6"/>
              <w:spacing w:line="400" w:lineRule="exact"/>
              <w:ind w:left="88" w:leftChars="42"/>
              <w:rPr>
                <w:color w:val="auto"/>
                <w:sz w:val="24"/>
                <w:szCs w:val="24"/>
              </w:rPr>
            </w:pPr>
            <w:r>
              <w:rPr>
                <w:rFonts w:hint="eastAsia"/>
                <w:color w:val="auto"/>
                <w:sz w:val="24"/>
                <w:szCs w:val="24"/>
              </w:rPr>
              <w:t>b</w:t>
            </w:r>
            <w:r>
              <w:rPr>
                <w:color w:val="auto"/>
                <w:sz w:val="24"/>
                <w:szCs w:val="24"/>
              </w:rPr>
              <w:t>.投标文件组成齐全完整，内容均按规定填写。</w:t>
            </w:r>
          </w:p>
          <w:p w14:paraId="1DE418B6">
            <w:pPr>
              <w:pStyle w:val="6"/>
              <w:spacing w:line="400" w:lineRule="exact"/>
              <w:ind w:left="88" w:leftChars="42"/>
              <w:rPr>
                <w:rFonts w:hint="eastAsia"/>
                <w:color w:val="auto"/>
                <w:sz w:val="24"/>
                <w:szCs w:val="24"/>
              </w:rPr>
            </w:pPr>
            <w:r>
              <w:rPr>
                <w:rFonts w:hint="eastAsia"/>
                <w:color w:val="auto"/>
                <w:sz w:val="24"/>
                <w:szCs w:val="24"/>
              </w:rPr>
              <w:t>（</w:t>
            </w:r>
            <w:r>
              <w:rPr>
                <w:color w:val="auto"/>
                <w:sz w:val="24"/>
                <w:szCs w:val="24"/>
              </w:rPr>
              <w:t>2）投标文件上法定代表人或其委托代理人的签字、投标人的单位章盖章齐全，符合招标文件规定。</w:t>
            </w:r>
          </w:p>
          <w:p w14:paraId="56B2D084">
            <w:pPr>
              <w:pStyle w:val="6"/>
              <w:spacing w:line="400" w:lineRule="exact"/>
              <w:ind w:left="88" w:leftChars="42"/>
              <w:rPr>
                <w:color w:val="auto"/>
                <w:sz w:val="24"/>
                <w:szCs w:val="24"/>
              </w:rPr>
            </w:pPr>
            <w:r>
              <w:rPr>
                <w:rFonts w:hint="eastAsia"/>
                <w:color w:val="auto"/>
                <w:sz w:val="24"/>
                <w:szCs w:val="24"/>
              </w:rPr>
              <w:t>（</w:t>
            </w:r>
            <w:r>
              <w:rPr>
                <w:color w:val="auto"/>
                <w:sz w:val="24"/>
                <w:szCs w:val="24"/>
              </w:rPr>
              <w:t>3）投标人法定代表人授权委托代理人签署投标文件的，须提交授权委托书，且授权人和被授权人均在授权委托书上签名，未使用印章、签名章或其他电子制版签名代替</w:t>
            </w:r>
            <w:r>
              <w:rPr>
                <w:rFonts w:hint="eastAsia" w:ascii="宋体" w:hAnsi="宋体" w:eastAsia="宋体" w:cs="宋体"/>
                <w:color w:val="auto"/>
                <w:sz w:val="24"/>
                <w:szCs w:val="24"/>
                <w:lang w:val="en-US"/>
              </w:rPr>
              <w:t>（电子投标文件可使用电子制版签名）</w:t>
            </w:r>
            <w:r>
              <w:rPr>
                <w:color w:val="auto"/>
                <w:sz w:val="24"/>
                <w:szCs w:val="24"/>
              </w:rPr>
              <w:t>。</w:t>
            </w:r>
          </w:p>
          <w:p w14:paraId="22904694">
            <w:pPr>
              <w:pStyle w:val="6"/>
              <w:spacing w:line="400" w:lineRule="exact"/>
              <w:ind w:left="88" w:leftChars="42"/>
              <w:rPr>
                <w:color w:val="auto"/>
                <w:sz w:val="24"/>
                <w:szCs w:val="24"/>
              </w:rPr>
            </w:pPr>
            <w:r>
              <w:rPr>
                <w:rFonts w:hint="eastAsia"/>
                <w:color w:val="auto"/>
                <w:sz w:val="24"/>
                <w:szCs w:val="24"/>
              </w:rPr>
              <w:t>（</w:t>
            </w:r>
            <w:r>
              <w:rPr>
                <w:color w:val="auto"/>
                <w:sz w:val="24"/>
                <w:szCs w:val="24"/>
              </w:rPr>
              <w:t>4）投标人法定代表人亲自签署投标文件的，提供了法定代表人身份证明，且法定代表人在法定代表人身份证明上签名，未使用印章、签名章或其他电子制版签名代替</w:t>
            </w:r>
            <w:r>
              <w:rPr>
                <w:rFonts w:hint="eastAsia" w:ascii="宋体" w:hAnsi="宋体" w:eastAsia="宋体" w:cs="宋体"/>
                <w:color w:val="auto"/>
                <w:sz w:val="24"/>
                <w:szCs w:val="24"/>
                <w:lang w:val="en-US"/>
              </w:rPr>
              <w:t>（电子投标文件可使用电子制版签名）</w:t>
            </w:r>
            <w:r>
              <w:rPr>
                <w:color w:val="auto"/>
                <w:sz w:val="24"/>
                <w:szCs w:val="24"/>
              </w:rPr>
              <w:t>。</w:t>
            </w:r>
          </w:p>
          <w:p w14:paraId="2D68F991">
            <w:pPr>
              <w:pStyle w:val="6"/>
              <w:spacing w:line="400" w:lineRule="exact"/>
              <w:ind w:left="88" w:leftChars="42"/>
              <w:rPr>
                <w:color w:val="auto"/>
                <w:sz w:val="24"/>
                <w:szCs w:val="24"/>
              </w:rPr>
            </w:pPr>
            <w:r>
              <w:rPr>
                <w:rFonts w:hint="eastAsia"/>
                <w:color w:val="auto"/>
                <w:sz w:val="24"/>
                <w:szCs w:val="24"/>
              </w:rPr>
              <w:t>（</w:t>
            </w:r>
            <w:r>
              <w:rPr>
                <w:color w:val="auto"/>
                <w:sz w:val="24"/>
                <w:szCs w:val="24"/>
              </w:rPr>
              <w:t>5）投标人</w:t>
            </w:r>
            <w:r>
              <w:rPr>
                <w:rFonts w:hint="eastAsia"/>
                <w:color w:val="auto"/>
                <w:sz w:val="24"/>
                <w:szCs w:val="24"/>
                <w:lang w:val="en-US"/>
              </w:rPr>
              <w:t>若</w:t>
            </w:r>
            <w:r>
              <w:rPr>
                <w:color w:val="auto"/>
                <w:sz w:val="24"/>
                <w:szCs w:val="24"/>
              </w:rPr>
              <w:t>以联合体形式投标</w:t>
            </w:r>
            <w:r>
              <w:rPr>
                <w:rFonts w:hint="eastAsia"/>
                <w:color w:val="auto"/>
                <w:sz w:val="24"/>
                <w:szCs w:val="24"/>
              </w:rPr>
              <w:t>，</w:t>
            </w:r>
            <w:r>
              <w:rPr>
                <w:rFonts w:hint="eastAsia"/>
                <w:color w:val="auto"/>
                <w:sz w:val="24"/>
                <w:szCs w:val="24"/>
                <w:lang w:val="en-US"/>
              </w:rPr>
              <w:t>需提交联合体协议书</w:t>
            </w:r>
            <w:r>
              <w:rPr>
                <w:color w:val="auto"/>
                <w:sz w:val="24"/>
                <w:szCs w:val="24"/>
              </w:rPr>
              <w:t>。</w:t>
            </w:r>
          </w:p>
          <w:p w14:paraId="2A76E59E">
            <w:pPr>
              <w:pStyle w:val="6"/>
              <w:spacing w:line="400" w:lineRule="exact"/>
              <w:ind w:left="88" w:leftChars="42"/>
              <w:rPr>
                <w:color w:val="auto"/>
                <w:sz w:val="24"/>
                <w:szCs w:val="24"/>
              </w:rPr>
            </w:pPr>
            <w:r>
              <w:rPr>
                <w:rFonts w:hint="eastAsia"/>
                <w:color w:val="auto"/>
                <w:sz w:val="24"/>
                <w:szCs w:val="24"/>
              </w:rPr>
              <w:t>（</w:t>
            </w:r>
            <w:r>
              <w:rPr>
                <w:color w:val="auto"/>
                <w:sz w:val="24"/>
                <w:szCs w:val="24"/>
              </w:rPr>
              <w:t>6）投标人</w:t>
            </w:r>
            <w:r>
              <w:rPr>
                <w:rFonts w:hint="eastAsia"/>
                <w:color w:val="auto"/>
                <w:sz w:val="24"/>
                <w:szCs w:val="24"/>
              </w:rPr>
              <w:t>分包</w:t>
            </w:r>
            <w:r>
              <w:rPr>
                <w:rFonts w:hint="eastAsia"/>
                <w:color w:val="auto"/>
                <w:sz w:val="24"/>
                <w:szCs w:val="24"/>
                <w:lang w:val="en-US"/>
              </w:rPr>
              <w:t>内容与招标文件要求一致</w:t>
            </w:r>
            <w:r>
              <w:rPr>
                <w:color w:val="auto"/>
                <w:sz w:val="24"/>
                <w:szCs w:val="24"/>
              </w:rPr>
              <w:t>。</w:t>
            </w:r>
          </w:p>
          <w:p w14:paraId="1F2BFB13">
            <w:pPr>
              <w:pStyle w:val="6"/>
              <w:spacing w:line="400" w:lineRule="exact"/>
              <w:ind w:left="88" w:leftChars="42"/>
              <w:rPr>
                <w:color w:val="auto"/>
                <w:sz w:val="24"/>
                <w:szCs w:val="24"/>
              </w:rPr>
            </w:pPr>
            <w:r>
              <w:rPr>
                <w:rFonts w:hint="eastAsia"/>
                <w:color w:val="auto"/>
                <w:sz w:val="24"/>
                <w:szCs w:val="24"/>
              </w:rPr>
              <w:t>（</w:t>
            </w:r>
            <w:r>
              <w:rPr>
                <w:color w:val="auto"/>
                <w:sz w:val="24"/>
                <w:szCs w:val="24"/>
              </w:rPr>
              <w:t>7）同一投标人未提交两个以上不同的投标文件。</w:t>
            </w:r>
          </w:p>
          <w:p w14:paraId="30F73305">
            <w:pPr>
              <w:pStyle w:val="6"/>
              <w:spacing w:line="400" w:lineRule="exact"/>
              <w:ind w:left="88" w:leftChars="42"/>
              <w:rPr>
                <w:color w:val="auto"/>
                <w:sz w:val="24"/>
                <w:szCs w:val="24"/>
              </w:rPr>
            </w:pPr>
            <w:r>
              <w:rPr>
                <w:rFonts w:hint="eastAsia"/>
                <w:color w:val="auto"/>
                <w:sz w:val="24"/>
                <w:szCs w:val="24"/>
              </w:rPr>
              <w:t>（</w:t>
            </w:r>
            <w:r>
              <w:rPr>
                <w:color w:val="auto"/>
                <w:sz w:val="24"/>
                <w:szCs w:val="24"/>
              </w:rPr>
              <w:t>8）投标文件中未出现有关投标报价的内容。</w:t>
            </w:r>
          </w:p>
          <w:p w14:paraId="19A5F997">
            <w:pPr>
              <w:pStyle w:val="6"/>
              <w:spacing w:line="400" w:lineRule="exact"/>
              <w:ind w:left="88" w:leftChars="42"/>
              <w:rPr>
                <w:color w:val="auto"/>
                <w:sz w:val="24"/>
                <w:szCs w:val="24"/>
              </w:rPr>
            </w:pPr>
            <w:r>
              <w:rPr>
                <w:rFonts w:hint="eastAsia"/>
                <w:color w:val="auto"/>
                <w:sz w:val="24"/>
                <w:szCs w:val="24"/>
              </w:rPr>
              <w:t>（</w:t>
            </w:r>
            <w:r>
              <w:rPr>
                <w:color w:val="auto"/>
                <w:sz w:val="24"/>
                <w:szCs w:val="24"/>
              </w:rPr>
              <w:t>9）投标文件载明的招标项目完成期限未超过招标文件规定的时限。</w:t>
            </w:r>
            <w:r>
              <w:rPr>
                <w:rFonts w:hint="eastAsia"/>
                <w:color w:val="auto"/>
                <w:sz w:val="24"/>
                <w:szCs w:val="24"/>
              </w:rPr>
              <w:t>（</w:t>
            </w:r>
            <w:r>
              <w:rPr>
                <w:color w:val="auto"/>
                <w:sz w:val="24"/>
                <w:szCs w:val="24"/>
              </w:rPr>
              <w:t>10）投标文件对招标文件的实质性要求和条件作出响应。</w:t>
            </w:r>
          </w:p>
          <w:p w14:paraId="3D170047">
            <w:pPr>
              <w:pStyle w:val="6"/>
              <w:spacing w:line="400" w:lineRule="exact"/>
              <w:ind w:left="88" w:leftChars="42"/>
              <w:rPr>
                <w:color w:val="auto"/>
                <w:sz w:val="24"/>
                <w:szCs w:val="24"/>
              </w:rPr>
            </w:pPr>
            <w:r>
              <w:rPr>
                <w:rFonts w:hint="eastAsia"/>
                <w:color w:val="auto"/>
                <w:sz w:val="24"/>
                <w:szCs w:val="24"/>
              </w:rPr>
              <w:t>（</w:t>
            </w:r>
            <w:r>
              <w:rPr>
                <w:color w:val="auto"/>
                <w:sz w:val="24"/>
                <w:szCs w:val="24"/>
              </w:rPr>
              <w:t>11）权利义务符合招标文件规定：</w:t>
            </w:r>
          </w:p>
          <w:p w14:paraId="1D3C2D14">
            <w:pPr>
              <w:pStyle w:val="6"/>
              <w:spacing w:line="400" w:lineRule="exact"/>
              <w:ind w:left="88" w:leftChars="42"/>
              <w:rPr>
                <w:color w:val="auto"/>
                <w:sz w:val="24"/>
                <w:szCs w:val="24"/>
              </w:rPr>
            </w:pPr>
            <w:r>
              <w:rPr>
                <w:rFonts w:hint="eastAsia"/>
                <w:color w:val="auto"/>
                <w:sz w:val="24"/>
                <w:szCs w:val="24"/>
              </w:rPr>
              <w:t>a</w:t>
            </w:r>
            <w:r>
              <w:rPr>
                <w:color w:val="auto"/>
                <w:sz w:val="24"/>
                <w:szCs w:val="24"/>
              </w:rPr>
              <w:t>.投标人应接受招标文件规定的风险划分原则，未提出新的风险划分办法；</w:t>
            </w:r>
          </w:p>
          <w:p w14:paraId="4E363C77">
            <w:pPr>
              <w:pStyle w:val="6"/>
              <w:spacing w:line="400" w:lineRule="exact"/>
              <w:ind w:left="88" w:leftChars="42"/>
              <w:rPr>
                <w:color w:val="auto"/>
                <w:sz w:val="24"/>
                <w:szCs w:val="24"/>
              </w:rPr>
            </w:pPr>
            <w:r>
              <w:rPr>
                <w:rFonts w:hint="eastAsia"/>
                <w:color w:val="auto"/>
                <w:sz w:val="24"/>
                <w:szCs w:val="24"/>
              </w:rPr>
              <w:t>b</w:t>
            </w:r>
            <w:r>
              <w:rPr>
                <w:color w:val="auto"/>
                <w:sz w:val="24"/>
                <w:szCs w:val="24"/>
              </w:rPr>
              <w:t>.投标人未增加发包人的责任范围，或减少投标人义务；</w:t>
            </w:r>
          </w:p>
          <w:p w14:paraId="7CD6DACE">
            <w:pPr>
              <w:pStyle w:val="6"/>
              <w:spacing w:line="400" w:lineRule="exact"/>
              <w:ind w:left="88" w:leftChars="42"/>
              <w:rPr>
                <w:color w:val="auto"/>
                <w:sz w:val="24"/>
                <w:szCs w:val="24"/>
              </w:rPr>
            </w:pPr>
            <w:r>
              <w:rPr>
                <w:color w:val="auto"/>
                <w:sz w:val="24"/>
                <w:szCs w:val="24"/>
              </w:rPr>
              <w:t>c.投标人未提出不同的支付办法；</w:t>
            </w:r>
          </w:p>
          <w:p w14:paraId="71062D83">
            <w:pPr>
              <w:pStyle w:val="6"/>
              <w:spacing w:line="400" w:lineRule="exact"/>
              <w:ind w:left="88" w:leftChars="42"/>
              <w:rPr>
                <w:color w:val="auto"/>
                <w:sz w:val="24"/>
                <w:szCs w:val="24"/>
              </w:rPr>
            </w:pPr>
            <w:r>
              <w:rPr>
                <w:color w:val="auto"/>
                <w:sz w:val="24"/>
                <w:szCs w:val="24"/>
              </w:rPr>
              <w:t>d.投标人对合同纠纷、事故处理办法未提出异议；</w:t>
            </w:r>
          </w:p>
          <w:p w14:paraId="3481DEB5">
            <w:pPr>
              <w:pStyle w:val="6"/>
              <w:spacing w:line="400" w:lineRule="exact"/>
              <w:ind w:left="88" w:leftChars="42"/>
              <w:rPr>
                <w:color w:val="auto"/>
                <w:sz w:val="24"/>
                <w:szCs w:val="24"/>
              </w:rPr>
            </w:pPr>
            <w:r>
              <w:rPr>
                <w:color w:val="auto"/>
                <w:sz w:val="24"/>
                <w:szCs w:val="24"/>
              </w:rPr>
              <w:t>e.投标人在投标活动中无欺诈行为；</w:t>
            </w:r>
          </w:p>
          <w:p w14:paraId="6DEA35E7">
            <w:pPr>
              <w:pStyle w:val="6"/>
              <w:spacing w:line="400" w:lineRule="exact"/>
              <w:ind w:left="88" w:leftChars="42"/>
              <w:rPr>
                <w:color w:val="auto"/>
                <w:sz w:val="24"/>
                <w:szCs w:val="24"/>
              </w:rPr>
            </w:pPr>
            <w:r>
              <w:rPr>
                <w:color w:val="auto"/>
                <w:sz w:val="24"/>
                <w:szCs w:val="24"/>
              </w:rPr>
              <w:t>f.投标人未对合同条款有重要保留。</w:t>
            </w:r>
          </w:p>
          <w:p w14:paraId="02E31BA2">
            <w:pPr>
              <w:pStyle w:val="6"/>
              <w:spacing w:line="400" w:lineRule="exact"/>
              <w:ind w:left="88" w:leftChars="42"/>
              <w:rPr>
                <w:b/>
                <w:color w:val="auto"/>
                <w:sz w:val="24"/>
                <w:szCs w:val="24"/>
              </w:rPr>
            </w:pPr>
            <w:r>
              <w:rPr>
                <w:b/>
                <w:color w:val="auto"/>
                <w:sz w:val="24"/>
                <w:szCs w:val="24"/>
              </w:rPr>
              <w:t>第二个信封（报价文件）评审标准：</w:t>
            </w:r>
          </w:p>
          <w:p w14:paraId="3A677B36">
            <w:pPr>
              <w:pStyle w:val="6"/>
              <w:spacing w:line="400" w:lineRule="exact"/>
              <w:ind w:left="88" w:leftChars="42"/>
              <w:rPr>
                <w:color w:val="auto"/>
                <w:sz w:val="24"/>
                <w:szCs w:val="24"/>
              </w:rPr>
            </w:pPr>
            <w:r>
              <w:rPr>
                <w:color w:val="auto"/>
                <w:sz w:val="24"/>
                <w:szCs w:val="24"/>
              </w:rPr>
              <w:t>（1）投标文件按照招标文件规定的格式、内容填写，字迹清晰可辨，内容齐全完整：</w:t>
            </w:r>
          </w:p>
          <w:p w14:paraId="1C9DACF6">
            <w:pPr>
              <w:pStyle w:val="6"/>
              <w:spacing w:line="400" w:lineRule="exact"/>
              <w:ind w:left="88" w:leftChars="42"/>
              <w:rPr>
                <w:color w:val="auto"/>
                <w:sz w:val="24"/>
                <w:szCs w:val="24"/>
              </w:rPr>
            </w:pPr>
            <w:r>
              <w:rPr>
                <w:rFonts w:hint="eastAsia"/>
                <w:color w:val="auto"/>
                <w:sz w:val="24"/>
                <w:szCs w:val="24"/>
              </w:rPr>
              <w:t>a</w:t>
            </w:r>
            <w:r>
              <w:rPr>
                <w:color w:val="auto"/>
                <w:sz w:val="24"/>
                <w:szCs w:val="24"/>
              </w:rPr>
              <w:t>.投标函按招标文件规定填报了项目名称、标段号、补遗书编号（如有）、投标价（包括大写金额和小写金额）；</w:t>
            </w:r>
          </w:p>
          <w:p w14:paraId="3E53F591">
            <w:pPr>
              <w:pStyle w:val="6"/>
              <w:spacing w:line="400" w:lineRule="exact"/>
              <w:ind w:left="88" w:leftChars="42"/>
              <w:rPr>
                <w:color w:val="auto"/>
                <w:sz w:val="24"/>
                <w:szCs w:val="24"/>
              </w:rPr>
            </w:pPr>
            <w:r>
              <w:rPr>
                <w:rFonts w:hint="eastAsia"/>
                <w:color w:val="auto"/>
                <w:sz w:val="24"/>
                <w:szCs w:val="24"/>
              </w:rPr>
              <w:t>b</w:t>
            </w:r>
            <w:r>
              <w:rPr>
                <w:color w:val="auto"/>
                <w:sz w:val="24"/>
                <w:szCs w:val="24"/>
              </w:rPr>
              <w:t>.已标价报价清单说明文字与招标文件规定一致，未进行实质性修改和删减；</w:t>
            </w:r>
          </w:p>
          <w:p w14:paraId="2C4BB4C0">
            <w:pPr>
              <w:pStyle w:val="6"/>
              <w:spacing w:line="400" w:lineRule="exact"/>
              <w:ind w:left="88" w:leftChars="42"/>
              <w:rPr>
                <w:color w:val="auto"/>
                <w:sz w:val="24"/>
                <w:szCs w:val="24"/>
              </w:rPr>
            </w:pPr>
            <w:r>
              <w:rPr>
                <w:rFonts w:hint="eastAsia"/>
                <w:color w:val="auto"/>
                <w:sz w:val="24"/>
                <w:szCs w:val="24"/>
              </w:rPr>
              <w:t>c.</w:t>
            </w:r>
            <w:r>
              <w:rPr>
                <w:color w:val="auto"/>
                <w:sz w:val="24"/>
                <w:szCs w:val="24"/>
              </w:rPr>
              <w:t>投标文件组成齐全完整，内容均按规定填写。</w:t>
            </w:r>
          </w:p>
          <w:p w14:paraId="5A272312">
            <w:pPr>
              <w:pStyle w:val="6"/>
              <w:spacing w:line="400" w:lineRule="exact"/>
              <w:ind w:left="88" w:leftChars="42"/>
              <w:rPr>
                <w:color w:val="auto"/>
                <w:sz w:val="24"/>
                <w:szCs w:val="24"/>
              </w:rPr>
            </w:pPr>
            <w:r>
              <w:rPr>
                <w:rFonts w:hint="eastAsia"/>
                <w:color w:val="auto"/>
                <w:sz w:val="24"/>
                <w:szCs w:val="24"/>
              </w:rPr>
              <w:t>（</w:t>
            </w:r>
            <w:r>
              <w:rPr>
                <w:color w:val="auto"/>
                <w:sz w:val="24"/>
                <w:szCs w:val="24"/>
              </w:rPr>
              <w:t>2）投标文件上法定代表人或其委托代理人的签字、投标人的单位章盖章齐全，符合招标文件规定。</w:t>
            </w:r>
          </w:p>
          <w:p w14:paraId="03BE5D36">
            <w:pPr>
              <w:pStyle w:val="6"/>
              <w:spacing w:line="400" w:lineRule="exact"/>
              <w:ind w:left="88" w:leftChars="42"/>
              <w:rPr>
                <w:color w:val="auto"/>
                <w:sz w:val="24"/>
                <w:szCs w:val="24"/>
              </w:rPr>
            </w:pPr>
            <w:r>
              <w:rPr>
                <w:rFonts w:hint="eastAsia"/>
                <w:color w:val="auto"/>
                <w:sz w:val="24"/>
                <w:szCs w:val="24"/>
              </w:rPr>
              <w:t>（</w:t>
            </w:r>
            <w:r>
              <w:rPr>
                <w:color w:val="auto"/>
                <w:sz w:val="24"/>
                <w:szCs w:val="24"/>
              </w:rPr>
              <w:t>3）投标报价未超过招标文件设定的最高投标限价（如有）。</w:t>
            </w:r>
          </w:p>
          <w:p w14:paraId="02D38101">
            <w:pPr>
              <w:pStyle w:val="6"/>
              <w:spacing w:line="400" w:lineRule="exact"/>
              <w:ind w:left="88" w:leftChars="42"/>
              <w:rPr>
                <w:color w:val="auto"/>
                <w:sz w:val="24"/>
                <w:szCs w:val="24"/>
              </w:rPr>
            </w:pPr>
            <w:r>
              <w:rPr>
                <w:rFonts w:hint="eastAsia"/>
                <w:color w:val="auto"/>
                <w:sz w:val="24"/>
                <w:szCs w:val="24"/>
              </w:rPr>
              <w:t>（</w:t>
            </w:r>
            <w:r>
              <w:rPr>
                <w:color w:val="auto"/>
                <w:sz w:val="24"/>
                <w:szCs w:val="24"/>
              </w:rPr>
              <w:t>4）投标报价的大写金额能够确定具体数值。</w:t>
            </w:r>
          </w:p>
          <w:p w14:paraId="5C686275">
            <w:pPr>
              <w:pStyle w:val="6"/>
              <w:spacing w:line="400" w:lineRule="exact"/>
              <w:ind w:left="88" w:leftChars="42"/>
              <w:rPr>
                <w:rFonts w:hint="eastAsia"/>
                <w:color w:val="auto"/>
                <w:sz w:val="24"/>
                <w:szCs w:val="24"/>
              </w:rPr>
            </w:pPr>
            <w:r>
              <w:rPr>
                <w:rFonts w:hint="eastAsia"/>
                <w:color w:val="auto"/>
                <w:sz w:val="24"/>
                <w:szCs w:val="24"/>
              </w:rPr>
              <w:t>（</w:t>
            </w:r>
            <w:r>
              <w:rPr>
                <w:color w:val="auto"/>
                <w:sz w:val="24"/>
                <w:szCs w:val="24"/>
              </w:rPr>
              <w:t>5）同一投标人未提交两个以上不同的投标报价，但招标文件要求提交备选投标的除外。</w:t>
            </w:r>
          </w:p>
        </w:tc>
      </w:tr>
      <w:tr w14:paraId="28311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0" w:hRule="atLeast"/>
        </w:trPr>
        <w:tc>
          <w:tcPr>
            <w:tcW w:w="713" w:type="dxa"/>
            <w:noWrap w:val="0"/>
            <w:vAlign w:val="center"/>
          </w:tcPr>
          <w:p w14:paraId="4CB5849D">
            <w:pPr>
              <w:pStyle w:val="6"/>
              <w:spacing w:line="400" w:lineRule="exact"/>
              <w:rPr>
                <w:color w:val="auto"/>
                <w:sz w:val="24"/>
                <w:szCs w:val="24"/>
              </w:rPr>
            </w:pPr>
            <w:r>
              <w:rPr>
                <w:color w:val="auto"/>
                <w:sz w:val="24"/>
                <w:szCs w:val="24"/>
              </w:rPr>
              <w:t>2.1.2</w:t>
            </w:r>
          </w:p>
        </w:tc>
        <w:tc>
          <w:tcPr>
            <w:tcW w:w="1050" w:type="dxa"/>
            <w:tcBorders>
              <w:right w:val="single" w:color="auto" w:sz="4" w:space="0"/>
            </w:tcBorders>
            <w:noWrap w:val="0"/>
            <w:vAlign w:val="center"/>
          </w:tcPr>
          <w:p w14:paraId="2ABF65B8">
            <w:pPr>
              <w:pStyle w:val="6"/>
              <w:spacing w:line="400" w:lineRule="exact"/>
              <w:jc w:val="center"/>
              <w:rPr>
                <w:rFonts w:hint="eastAsia"/>
                <w:color w:val="auto"/>
                <w:sz w:val="24"/>
                <w:szCs w:val="24"/>
              </w:rPr>
            </w:pPr>
            <w:r>
              <w:rPr>
                <w:color w:val="auto"/>
                <w:sz w:val="24"/>
                <w:szCs w:val="24"/>
              </w:rPr>
              <w:t>资格评审标准</w:t>
            </w:r>
          </w:p>
        </w:tc>
        <w:tc>
          <w:tcPr>
            <w:tcW w:w="7599" w:type="dxa"/>
            <w:tcBorders>
              <w:left w:val="single" w:color="auto" w:sz="4" w:space="0"/>
            </w:tcBorders>
            <w:noWrap w:val="0"/>
            <w:vAlign w:val="center"/>
          </w:tcPr>
          <w:p w14:paraId="61FE79E5">
            <w:pPr>
              <w:pStyle w:val="6"/>
              <w:spacing w:line="400" w:lineRule="exact"/>
              <w:ind w:left="88" w:leftChars="42"/>
              <w:rPr>
                <w:color w:val="auto"/>
                <w:sz w:val="24"/>
                <w:szCs w:val="24"/>
              </w:rPr>
            </w:pPr>
            <w:r>
              <w:rPr>
                <w:rFonts w:hint="eastAsia"/>
                <w:color w:val="auto"/>
                <w:sz w:val="24"/>
                <w:szCs w:val="24"/>
              </w:rPr>
              <w:t>（</w:t>
            </w:r>
            <w:r>
              <w:rPr>
                <w:color w:val="auto"/>
                <w:sz w:val="24"/>
                <w:szCs w:val="24"/>
              </w:rPr>
              <w:t>1）投标人具备有效的营业执照、设计资质证书和基本账户开户</w:t>
            </w:r>
            <w:r>
              <w:rPr>
                <w:rFonts w:hint="eastAsia"/>
                <w:color w:val="auto"/>
                <w:sz w:val="24"/>
                <w:szCs w:val="24"/>
                <w:lang w:val="en-US"/>
              </w:rPr>
              <w:t>证明</w:t>
            </w:r>
            <w:r>
              <w:rPr>
                <w:color w:val="auto"/>
                <w:sz w:val="24"/>
                <w:szCs w:val="24"/>
              </w:rPr>
              <w:t>。</w:t>
            </w:r>
          </w:p>
          <w:p w14:paraId="5BBC50B3">
            <w:pPr>
              <w:pStyle w:val="6"/>
              <w:spacing w:line="400" w:lineRule="exact"/>
              <w:ind w:left="88" w:leftChars="42"/>
              <w:rPr>
                <w:color w:val="auto"/>
                <w:sz w:val="24"/>
                <w:szCs w:val="24"/>
              </w:rPr>
            </w:pPr>
            <w:r>
              <w:rPr>
                <w:rFonts w:hint="eastAsia"/>
                <w:color w:val="auto"/>
                <w:sz w:val="24"/>
                <w:szCs w:val="24"/>
              </w:rPr>
              <w:t>（</w:t>
            </w:r>
            <w:r>
              <w:rPr>
                <w:color w:val="auto"/>
                <w:sz w:val="24"/>
                <w:szCs w:val="24"/>
              </w:rPr>
              <w:t>2）投标人的资质等级符合招标文件规定。</w:t>
            </w:r>
          </w:p>
          <w:p w14:paraId="29ACDA66">
            <w:pPr>
              <w:pStyle w:val="6"/>
              <w:spacing w:line="400" w:lineRule="exact"/>
              <w:ind w:left="88" w:leftChars="42"/>
              <w:rPr>
                <w:color w:val="auto"/>
                <w:sz w:val="24"/>
                <w:szCs w:val="24"/>
              </w:rPr>
            </w:pPr>
            <w:r>
              <w:rPr>
                <w:rFonts w:hint="eastAsia"/>
                <w:color w:val="auto"/>
                <w:sz w:val="24"/>
                <w:szCs w:val="24"/>
              </w:rPr>
              <w:t>（</w:t>
            </w:r>
            <w:r>
              <w:rPr>
                <w:color w:val="auto"/>
                <w:sz w:val="24"/>
                <w:szCs w:val="24"/>
              </w:rPr>
              <w:t>3）投标人的类似项目业绩符合招标文件规定。</w:t>
            </w:r>
          </w:p>
          <w:p w14:paraId="2126AF85">
            <w:pPr>
              <w:pStyle w:val="6"/>
              <w:spacing w:line="400" w:lineRule="exact"/>
              <w:ind w:left="88" w:leftChars="42"/>
              <w:rPr>
                <w:rFonts w:hint="eastAsia"/>
                <w:color w:val="auto"/>
                <w:sz w:val="24"/>
                <w:szCs w:val="24"/>
              </w:rPr>
            </w:pPr>
            <w:r>
              <w:rPr>
                <w:rFonts w:hint="eastAsia"/>
                <w:color w:val="auto"/>
                <w:sz w:val="24"/>
                <w:szCs w:val="24"/>
              </w:rPr>
              <w:t>（</w:t>
            </w:r>
            <w:r>
              <w:rPr>
                <w:color w:val="auto"/>
                <w:sz w:val="24"/>
                <w:szCs w:val="24"/>
              </w:rPr>
              <w:t>4）投标人的</w:t>
            </w:r>
            <w:r>
              <w:rPr>
                <w:rFonts w:hint="eastAsia"/>
                <w:color w:val="auto"/>
                <w:sz w:val="24"/>
                <w:szCs w:val="24"/>
                <w:lang w:val="en-US" w:eastAsia="zh-CN"/>
              </w:rPr>
              <w:t>财务状况</w:t>
            </w:r>
            <w:r>
              <w:rPr>
                <w:color w:val="auto"/>
                <w:sz w:val="24"/>
                <w:szCs w:val="24"/>
              </w:rPr>
              <w:t>符合招标文件规定。</w:t>
            </w:r>
          </w:p>
          <w:p w14:paraId="7883D08E">
            <w:pPr>
              <w:pStyle w:val="6"/>
              <w:spacing w:line="400" w:lineRule="exact"/>
              <w:ind w:left="88" w:leftChars="42"/>
              <w:rPr>
                <w:color w:val="auto"/>
                <w:sz w:val="24"/>
                <w:szCs w:val="24"/>
              </w:rPr>
            </w:pPr>
            <w:r>
              <w:rPr>
                <w:rFonts w:hint="eastAsia"/>
                <w:color w:val="auto"/>
                <w:sz w:val="24"/>
                <w:szCs w:val="24"/>
              </w:rPr>
              <w:t>（</w:t>
            </w:r>
            <w:r>
              <w:rPr>
                <w:rFonts w:hint="eastAsia"/>
                <w:color w:val="auto"/>
                <w:sz w:val="24"/>
                <w:szCs w:val="24"/>
                <w:lang w:val="en-US" w:eastAsia="zh-CN"/>
              </w:rPr>
              <w:t>5</w:t>
            </w:r>
            <w:r>
              <w:rPr>
                <w:color w:val="auto"/>
                <w:sz w:val="24"/>
                <w:szCs w:val="24"/>
              </w:rPr>
              <w:t>）投标人的信誉符合招标文件规定。</w:t>
            </w:r>
          </w:p>
          <w:p w14:paraId="2043C8E9">
            <w:pPr>
              <w:pStyle w:val="6"/>
              <w:spacing w:line="400" w:lineRule="exact"/>
              <w:ind w:left="88" w:leftChars="42"/>
              <w:rPr>
                <w:color w:val="auto"/>
                <w:sz w:val="24"/>
                <w:szCs w:val="24"/>
              </w:rPr>
            </w:pPr>
            <w:r>
              <w:rPr>
                <w:rFonts w:hint="eastAsia"/>
                <w:color w:val="auto"/>
                <w:sz w:val="24"/>
                <w:szCs w:val="24"/>
              </w:rPr>
              <w:t>（</w:t>
            </w:r>
            <w:r>
              <w:rPr>
                <w:rFonts w:hint="eastAsia"/>
                <w:color w:val="auto"/>
                <w:sz w:val="24"/>
                <w:szCs w:val="24"/>
                <w:lang w:val="en-US" w:eastAsia="zh-CN"/>
              </w:rPr>
              <w:t>6</w:t>
            </w:r>
            <w:r>
              <w:rPr>
                <w:color w:val="auto"/>
                <w:sz w:val="24"/>
                <w:szCs w:val="24"/>
              </w:rPr>
              <w:t>）投标人的项目负责人资格符合招标文件规定。</w:t>
            </w:r>
          </w:p>
          <w:p w14:paraId="24A22349">
            <w:pPr>
              <w:pStyle w:val="6"/>
              <w:spacing w:line="400" w:lineRule="exact"/>
              <w:ind w:left="88" w:leftChars="42"/>
              <w:rPr>
                <w:color w:val="auto"/>
                <w:sz w:val="24"/>
                <w:szCs w:val="24"/>
              </w:rPr>
            </w:pPr>
            <w:r>
              <w:rPr>
                <w:rFonts w:hint="eastAsia"/>
                <w:color w:val="auto"/>
                <w:sz w:val="24"/>
                <w:szCs w:val="24"/>
              </w:rPr>
              <w:t>（</w:t>
            </w:r>
            <w:r>
              <w:rPr>
                <w:rFonts w:hint="eastAsia"/>
                <w:color w:val="auto"/>
                <w:sz w:val="24"/>
                <w:szCs w:val="24"/>
                <w:lang w:val="en-US" w:eastAsia="zh-CN"/>
              </w:rPr>
              <w:t>7</w:t>
            </w:r>
            <w:r>
              <w:rPr>
                <w:color w:val="auto"/>
                <w:sz w:val="24"/>
                <w:szCs w:val="24"/>
              </w:rPr>
              <w:t>）投标人的其他要求符合招标文件规定。</w:t>
            </w:r>
          </w:p>
          <w:p w14:paraId="4F6013DB">
            <w:pPr>
              <w:pStyle w:val="6"/>
              <w:spacing w:line="400" w:lineRule="exact"/>
              <w:ind w:left="88" w:leftChars="42"/>
              <w:rPr>
                <w:color w:val="auto"/>
                <w:sz w:val="24"/>
                <w:szCs w:val="24"/>
              </w:rPr>
            </w:pPr>
            <w:r>
              <w:rPr>
                <w:rFonts w:hint="eastAsia"/>
                <w:color w:val="auto"/>
                <w:sz w:val="24"/>
                <w:szCs w:val="24"/>
              </w:rPr>
              <w:t>（</w:t>
            </w:r>
            <w:r>
              <w:rPr>
                <w:rFonts w:hint="eastAsia"/>
                <w:color w:val="auto"/>
                <w:sz w:val="24"/>
                <w:szCs w:val="24"/>
                <w:lang w:val="en-US" w:eastAsia="zh-CN"/>
              </w:rPr>
              <w:t>8</w:t>
            </w:r>
            <w:r>
              <w:rPr>
                <w:color w:val="auto"/>
                <w:sz w:val="24"/>
                <w:szCs w:val="24"/>
              </w:rPr>
              <w:t>）投标人不存在第二章“投标人须知”第1.4.3项或第1.4.4项规定的任何一种情形。</w:t>
            </w:r>
          </w:p>
          <w:p w14:paraId="7301A815">
            <w:pPr>
              <w:pStyle w:val="6"/>
              <w:spacing w:line="400" w:lineRule="exact"/>
              <w:ind w:left="88" w:leftChars="42"/>
              <w:rPr>
                <w:rFonts w:hint="eastAsia"/>
                <w:color w:val="auto"/>
                <w:sz w:val="24"/>
                <w:szCs w:val="24"/>
              </w:rPr>
            </w:pPr>
            <w:r>
              <w:rPr>
                <w:rFonts w:hint="eastAsia"/>
                <w:color w:val="auto"/>
                <w:sz w:val="24"/>
                <w:szCs w:val="24"/>
              </w:rPr>
              <w:t>（</w:t>
            </w:r>
            <w:r>
              <w:rPr>
                <w:rFonts w:hint="eastAsia"/>
                <w:color w:val="auto"/>
                <w:sz w:val="24"/>
                <w:szCs w:val="24"/>
                <w:lang w:val="en-US" w:eastAsia="zh-CN"/>
              </w:rPr>
              <w:t>9</w:t>
            </w:r>
            <w:r>
              <w:rPr>
                <w:color w:val="auto"/>
                <w:sz w:val="24"/>
                <w:szCs w:val="24"/>
              </w:rPr>
              <w:t>）投标人符合第二章“投标人须知”第1.4.5项规定。</w:t>
            </w:r>
          </w:p>
        </w:tc>
      </w:tr>
    </w:tbl>
    <w:p w14:paraId="49FBF8E0">
      <w:pPr>
        <w:spacing w:line="400" w:lineRule="atLeast"/>
        <w:outlineLvl w:val="3"/>
        <w:rPr>
          <w:color w:val="auto"/>
          <w:sz w:val="24"/>
          <w:szCs w:val="24"/>
        </w:rPr>
      </w:pPr>
      <w:r>
        <w:rPr>
          <w:color w:val="auto"/>
        </w:rPr>
        <w:br w:type="page"/>
      </w:r>
    </w:p>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
        <w:gridCol w:w="1508"/>
        <w:gridCol w:w="7006"/>
      </w:tblGrid>
      <w:tr w14:paraId="2C01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8" w:type="dxa"/>
            <w:noWrap w:val="0"/>
            <w:vAlign w:val="center"/>
          </w:tcPr>
          <w:p w14:paraId="0DD2E1E9">
            <w:pPr>
              <w:pStyle w:val="6"/>
              <w:spacing w:line="400" w:lineRule="exact"/>
              <w:jc w:val="center"/>
              <w:rPr>
                <w:b/>
                <w:color w:val="auto"/>
                <w:sz w:val="24"/>
                <w:szCs w:val="24"/>
              </w:rPr>
            </w:pPr>
            <w:r>
              <w:rPr>
                <w:b/>
                <w:color w:val="auto"/>
                <w:sz w:val="24"/>
                <w:szCs w:val="24"/>
              </w:rPr>
              <w:t>条款号</w:t>
            </w:r>
          </w:p>
        </w:tc>
        <w:tc>
          <w:tcPr>
            <w:tcW w:w="1508" w:type="dxa"/>
            <w:noWrap w:val="0"/>
            <w:vAlign w:val="center"/>
          </w:tcPr>
          <w:p w14:paraId="43028AEA">
            <w:pPr>
              <w:pStyle w:val="6"/>
              <w:spacing w:line="400" w:lineRule="exact"/>
              <w:jc w:val="center"/>
              <w:rPr>
                <w:b/>
                <w:color w:val="auto"/>
                <w:sz w:val="24"/>
                <w:szCs w:val="24"/>
              </w:rPr>
            </w:pPr>
            <w:r>
              <w:rPr>
                <w:b/>
                <w:color w:val="auto"/>
                <w:sz w:val="24"/>
                <w:szCs w:val="24"/>
              </w:rPr>
              <w:t>条款内容</w:t>
            </w:r>
          </w:p>
        </w:tc>
        <w:tc>
          <w:tcPr>
            <w:tcW w:w="7006" w:type="dxa"/>
            <w:noWrap w:val="0"/>
            <w:vAlign w:val="center"/>
          </w:tcPr>
          <w:p w14:paraId="76A869B4">
            <w:pPr>
              <w:pStyle w:val="6"/>
              <w:spacing w:line="400" w:lineRule="exact"/>
              <w:jc w:val="center"/>
              <w:rPr>
                <w:b/>
                <w:color w:val="auto"/>
                <w:sz w:val="24"/>
                <w:szCs w:val="24"/>
              </w:rPr>
            </w:pPr>
            <w:r>
              <w:rPr>
                <w:b/>
                <w:color w:val="auto"/>
                <w:sz w:val="24"/>
                <w:szCs w:val="24"/>
              </w:rPr>
              <w:t>编列内容</w:t>
            </w:r>
          </w:p>
        </w:tc>
      </w:tr>
      <w:tr w14:paraId="0065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8" w:type="dxa"/>
            <w:noWrap w:val="0"/>
            <w:vAlign w:val="center"/>
          </w:tcPr>
          <w:p w14:paraId="4F3080CD">
            <w:pPr>
              <w:pStyle w:val="6"/>
              <w:spacing w:line="400" w:lineRule="exact"/>
              <w:jc w:val="center"/>
              <w:rPr>
                <w:color w:val="auto"/>
                <w:sz w:val="24"/>
                <w:szCs w:val="24"/>
              </w:rPr>
            </w:pPr>
            <w:r>
              <w:rPr>
                <w:color w:val="auto"/>
                <w:sz w:val="24"/>
                <w:szCs w:val="24"/>
              </w:rPr>
              <w:t>2.2.1</w:t>
            </w:r>
          </w:p>
        </w:tc>
        <w:tc>
          <w:tcPr>
            <w:tcW w:w="1508" w:type="dxa"/>
            <w:noWrap w:val="0"/>
            <w:vAlign w:val="center"/>
          </w:tcPr>
          <w:p w14:paraId="749AC99C">
            <w:pPr>
              <w:pStyle w:val="6"/>
              <w:spacing w:line="400" w:lineRule="exact"/>
              <w:jc w:val="center"/>
              <w:rPr>
                <w:color w:val="auto"/>
                <w:sz w:val="24"/>
                <w:szCs w:val="24"/>
              </w:rPr>
            </w:pPr>
            <w:r>
              <w:rPr>
                <w:color w:val="auto"/>
                <w:sz w:val="24"/>
                <w:szCs w:val="24"/>
              </w:rPr>
              <w:t>分值构成</w:t>
            </w:r>
          </w:p>
          <w:p w14:paraId="0CAC4BDA">
            <w:pPr>
              <w:pStyle w:val="6"/>
              <w:spacing w:line="400" w:lineRule="exact"/>
              <w:jc w:val="center"/>
              <w:rPr>
                <w:color w:val="auto"/>
                <w:sz w:val="24"/>
                <w:szCs w:val="24"/>
              </w:rPr>
            </w:pPr>
            <w:r>
              <w:rPr>
                <w:color w:val="auto"/>
                <w:sz w:val="24"/>
                <w:szCs w:val="24"/>
              </w:rPr>
              <w:t>（总分100分）</w:t>
            </w:r>
          </w:p>
        </w:tc>
        <w:tc>
          <w:tcPr>
            <w:tcW w:w="7006" w:type="dxa"/>
            <w:noWrap w:val="0"/>
            <w:vAlign w:val="center"/>
          </w:tcPr>
          <w:p w14:paraId="58AC491B">
            <w:pPr>
              <w:pStyle w:val="6"/>
              <w:tabs>
                <w:tab w:val="left" w:pos="2418"/>
              </w:tabs>
              <w:spacing w:line="400" w:lineRule="exact"/>
              <w:ind w:firstLine="482" w:firstLineChars="200"/>
              <w:rPr>
                <w:color w:val="auto"/>
                <w:position w:val="10"/>
                <w:sz w:val="24"/>
                <w:szCs w:val="24"/>
              </w:rPr>
            </w:pPr>
            <w:r>
              <w:rPr>
                <w:b/>
                <w:color w:val="auto"/>
                <w:sz w:val="24"/>
                <w:szCs w:val="24"/>
              </w:rPr>
              <w:t>第一个信封（商务及技术文件）评分分值构成：</w:t>
            </w:r>
          </w:p>
          <w:p w14:paraId="13734490">
            <w:pPr>
              <w:pStyle w:val="6"/>
              <w:tabs>
                <w:tab w:val="left" w:pos="2418"/>
              </w:tabs>
              <w:spacing w:line="400" w:lineRule="exact"/>
              <w:ind w:firstLine="480" w:firstLineChars="200"/>
              <w:rPr>
                <w:color w:val="auto"/>
                <w:sz w:val="24"/>
                <w:szCs w:val="24"/>
              </w:rPr>
            </w:pPr>
            <w:r>
              <w:rPr>
                <w:color w:val="auto"/>
                <w:sz w:val="24"/>
                <w:szCs w:val="24"/>
              </w:rPr>
              <w:t>技术建议书：</w:t>
            </w:r>
            <w:r>
              <w:rPr>
                <w:rFonts w:hint="eastAsia"/>
                <w:color w:val="auto"/>
                <w:sz w:val="24"/>
                <w:szCs w:val="24"/>
                <w:u w:val="single"/>
                <w:lang w:val="en-US"/>
              </w:rPr>
              <w:t>45</w:t>
            </w:r>
            <w:r>
              <w:rPr>
                <w:color w:val="auto"/>
                <w:sz w:val="24"/>
                <w:szCs w:val="24"/>
              </w:rPr>
              <w:t>分</w:t>
            </w:r>
          </w:p>
          <w:p w14:paraId="040D5EBB">
            <w:pPr>
              <w:pStyle w:val="6"/>
              <w:tabs>
                <w:tab w:val="left" w:pos="2418"/>
              </w:tabs>
              <w:spacing w:line="400" w:lineRule="exact"/>
              <w:ind w:firstLine="480" w:firstLineChars="200"/>
              <w:rPr>
                <w:color w:val="auto"/>
                <w:sz w:val="24"/>
                <w:szCs w:val="24"/>
              </w:rPr>
            </w:pPr>
            <w:r>
              <w:rPr>
                <w:color w:val="auto"/>
                <w:sz w:val="24"/>
                <w:szCs w:val="24"/>
              </w:rPr>
              <w:t>主要人员：</w:t>
            </w:r>
            <w:r>
              <w:rPr>
                <w:rFonts w:hint="eastAsia"/>
                <w:color w:val="auto"/>
                <w:sz w:val="24"/>
                <w:szCs w:val="24"/>
                <w:u w:val="single"/>
                <w:lang w:val="en-US"/>
              </w:rPr>
              <w:t>20</w:t>
            </w:r>
            <w:r>
              <w:rPr>
                <w:color w:val="auto"/>
                <w:sz w:val="24"/>
                <w:szCs w:val="24"/>
              </w:rPr>
              <w:t>分</w:t>
            </w:r>
          </w:p>
          <w:p w14:paraId="271D20CC">
            <w:pPr>
              <w:pStyle w:val="6"/>
              <w:tabs>
                <w:tab w:val="left" w:pos="2418"/>
              </w:tabs>
              <w:spacing w:line="400" w:lineRule="exact"/>
              <w:ind w:firstLine="480" w:firstLineChars="200"/>
              <w:rPr>
                <w:color w:val="auto"/>
                <w:sz w:val="24"/>
                <w:szCs w:val="24"/>
              </w:rPr>
            </w:pPr>
            <w:r>
              <w:rPr>
                <w:color w:val="auto"/>
                <w:sz w:val="24"/>
                <w:szCs w:val="24"/>
              </w:rPr>
              <w:t>业绩：</w:t>
            </w:r>
            <w:r>
              <w:rPr>
                <w:rFonts w:hint="eastAsia"/>
                <w:color w:val="auto"/>
                <w:sz w:val="24"/>
                <w:szCs w:val="24"/>
                <w:u w:val="single"/>
                <w:lang w:val="en-US" w:eastAsia="zh-CN"/>
              </w:rPr>
              <w:t>15</w:t>
            </w:r>
            <w:r>
              <w:rPr>
                <w:color w:val="auto"/>
                <w:sz w:val="24"/>
                <w:szCs w:val="24"/>
              </w:rPr>
              <w:t>分</w:t>
            </w:r>
          </w:p>
          <w:p w14:paraId="2F7CF606">
            <w:pPr>
              <w:pStyle w:val="6"/>
              <w:tabs>
                <w:tab w:val="left" w:pos="2418"/>
              </w:tabs>
              <w:spacing w:line="400" w:lineRule="exact"/>
              <w:ind w:firstLine="480" w:firstLineChars="200"/>
              <w:rPr>
                <w:rFonts w:hint="eastAsia"/>
                <w:color w:val="auto"/>
                <w:sz w:val="24"/>
                <w:szCs w:val="24"/>
              </w:rPr>
            </w:pPr>
            <w:r>
              <w:rPr>
                <w:color w:val="auto"/>
                <w:sz w:val="24"/>
                <w:szCs w:val="24"/>
              </w:rPr>
              <w:t>履约信誉：</w:t>
            </w:r>
            <w:r>
              <w:rPr>
                <w:rFonts w:hint="eastAsia"/>
                <w:color w:val="auto"/>
                <w:sz w:val="24"/>
                <w:szCs w:val="24"/>
                <w:u w:val="single"/>
                <w:lang w:val="en-US"/>
              </w:rPr>
              <w:t>5</w:t>
            </w:r>
            <w:r>
              <w:rPr>
                <w:color w:val="auto"/>
                <w:sz w:val="24"/>
                <w:szCs w:val="24"/>
              </w:rPr>
              <w:t>分</w:t>
            </w:r>
          </w:p>
          <w:p w14:paraId="5E01F890">
            <w:pPr>
              <w:pStyle w:val="6"/>
              <w:tabs>
                <w:tab w:val="left" w:pos="2418"/>
              </w:tabs>
              <w:spacing w:line="400" w:lineRule="exact"/>
              <w:ind w:firstLine="482" w:firstLineChars="200"/>
              <w:rPr>
                <w:b/>
                <w:color w:val="auto"/>
                <w:sz w:val="24"/>
                <w:szCs w:val="24"/>
              </w:rPr>
            </w:pPr>
            <w:r>
              <w:rPr>
                <w:b/>
                <w:color w:val="auto"/>
                <w:sz w:val="24"/>
                <w:szCs w:val="24"/>
              </w:rPr>
              <w:t>第二个信封（报价文件）评分分值构成：</w:t>
            </w:r>
          </w:p>
          <w:p w14:paraId="535D434A">
            <w:pPr>
              <w:pStyle w:val="6"/>
              <w:tabs>
                <w:tab w:val="left" w:pos="2418"/>
              </w:tabs>
              <w:spacing w:line="400" w:lineRule="exact"/>
              <w:ind w:firstLine="480" w:firstLineChars="200"/>
              <w:rPr>
                <w:color w:val="auto"/>
                <w:sz w:val="24"/>
                <w:szCs w:val="24"/>
              </w:rPr>
            </w:pPr>
            <w:r>
              <w:rPr>
                <w:color w:val="auto"/>
                <w:sz w:val="24"/>
                <w:szCs w:val="24"/>
              </w:rPr>
              <w:t>评标价：</w:t>
            </w:r>
            <w:r>
              <w:rPr>
                <w:rFonts w:hint="eastAsia"/>
                <w:color w:val="auto"/>
                <w:sz w:val="24"/>
                <w:szCs w:val="24"/>
                <w:u w:val="single"/>
                <w:lang w:val="en-US"/>
              </w:rPr>
              <w:t>1</w:t>
            </w:r>
            <w:r>
              <w:rPr>
                <w:rFonts w:hint="eastAsia"/>
                <w:color w:val="auto"/>
                <w:sz w:val="24"/>
                <w:szCs w:val="24"/>
                <w:u w:val="single"/>
                <w:lang w:val="en-US" w:eastAsia="zh-CN"/>
              </w:rPr>
              <w:t>5</w:t>
            </w:r>
            <w:r>
              <w:rPr>
                <w:color w:val="auto"/>
                <w:sz w:val="24"/>
                <w:szCs w:val="24"/>
              </w:rPr>
              <w:t>分</w:t>
            </w:r>
          </w:p>
        </w:tc>
      </w:tr>
      <w:tr w14:paraId="2CE92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8" w:type="dxa"/>
            <w:noWrap w:val="0"/>
            <w:vAlign w:val="center"/>
          </w:tcPr>
          <w:p w14:paraId="22E0A28A">
            <w:pPr>
              <w:pStyle w:val="6"/>
              <w:spacing w:line="400" w:lineRule="exact"/>
              <w:jc w:val="center"/>
              <w:rPr>
                <w:color w:val="auto"/>
                <w:sz w:val="24"/>
                <w:szCs w:val="24"/>
              </w:rPr>
            </w:pPr>
            <w:r>
              <w:rPr>
                <w:color w:val="auto"/>
                <w:sz w:val="24"/>
                <w:szCs w:val="24"/>
              </w:rPr>
              <w:t>2.2.2</w:t>
            </w:r>
          </w:p>
        </w:tc>
        <w:tc>
          <w:tcPr>
            <w:tcW w:w="1508" w:type="dxa"/>
            <w:noWrap w:val="0"/>
            <w:vAlign w:val="center"/>
          </w:tcPr>
          <w:p w14:paraId="2B5AFF51">
            <w:pPr>
              <w:pStyle w:val="6"/>
              <w:spacing w:line="400" w:lineRule="exact"/>
              <w:jc w:val="center"/>
              <w:rPr>
                <w:color w:val="auto"/>
                <w:sz w:val="24"/>
                <w:szCs w:val="24"/>
              </w:rPr>
            </w:pPr>
            <w:r>
              <w:rPr>
                <w:color w:val="auto"/>
                <w:sz w:val="24"/>
                <w:szCs w:val="24"/>
              </w:rPr>
              <w:t>评标基准价计算方法</w:t>
            </w:r>
          </w:p>
        </w:tc>
        <w:tc>
          <w:tcPr>
            <w:tcW w:w="7006" w:type="dxa"/>
            <w:noWrap w:val="0"/>
            <w:vAlign w:val="center"/>
          </w:tcPr>
          <w:p w14:paraId="66DEF7CE">
            <w:pPr>
              <w:pStyle w:val="6"/>
              <w:tabs>
                <w:tab w:val="left" w:pos="2418"/>
              </w:tabs>
              <w:spacing w:line="400" w:lineRule="exact"/>
              <w:ind w:firstLine="480" w:firstLineChars="200"/>
              <w:rPr>
                <w:color w:val="auto"/>
                <w:sz w:val="24"/>
                <w:szCs w:val="24"/>
              </w:rPr>
            </w:pPr>
            <w:r>
              <w:rPr>
                <w:color w:val="auto"/>
                <w:sz w:val="24"/>
                <w:szCs w:val="24"/>
              </w:rPr>
              <w:t>评标基准价的计算：</w:t>
            </w:r>
          </w:p>
          <w:p w14:paraId="6BA6AE74">
            <w:pPr>
              <w:pStyle w:val="6"/>
              <w:tabs>
                <w:tab w:val="left" w:pos="2418"/>
              </w:tabs>
              <w:spacing w:line="400" w:lineRule="exact"/>
              <w:ind w:firstLine="480" w:firstLineChars="200"/>
              <w:rPr>
                <w:color w:val="auto"/>
                <w:sz w:val="24"/>
                <w:szCs w:val="24"/>
              </w:rPr>
            </w:pPr>
            <w:r>
              <w:rPr>
                <w:color w:val="auto"/>
                <w:sz w:val="24"/>
                <w:szCs w:val="24"/>
              </w:rPr>
              <w:t>在开标现场，招标人将当场计算并宣布评标基准价。</w:t>
            </w:r>
          </w:p>
          <w:p w14:paraId="09093B00">
            <w:pPr>
              <w:pStyle w:val="6"/>
              <w:tabs>
                <w:tab w:val="left" w:pos="2418"/>
              </w:tabs>
              <w:spacing w:line="400" w:lineRule="exact"/>
              <w:ind w:firstLine="480" w:firstLineChars="200"/>
              <w:rPr>
                <w:color w:val="auto"/>
                <w:sz w:val="24"/>
                <w:szCs w:val="24"/>
              </w:rPr>
            </w:pPr>
            <w:r>
              <w:rPr>
                <w:rFonts w:hint="eastAsia"/>
                <w:color w:val="auto"/>
                <w:sz w:val="24"/>
                <w:szCs w:val="24"/>
              </w:rPr>
              <w:t>（</w:t>
            </w:r>
            <w:r>
              <w:rPr>
                <w:color w:val="auto"/>
                <w:sz w:val="24"/>
                <w:szCs w:val="24"/>
              </w:rPr>
              <w:t>1）评标价的确定：</w:t>
            </w:r>
          </w:p>
          <w:p w14:paraId="2A5AE8E4">
            <w:pPr>
              <w:pStyle w:val="6"/>
              <w:tabs>
                <w:tab w:val="left" w:pos="2418"/>
              </w:tabs>
              <w:spacing w:line="400" w:lineRule="exact"/>
              <w:ind w:firstLine="480" w:firstLineChars="200"/>
              <w:rPr>
                <w:color w:val="auto"/>
                <w:sz w:val="24"/>
                <w:szCs w:val="24"/>
              </w:rPr>
            </w:pPr>
            <w:r>
              <w:rPr>
                <w:color w:val="auto"/>
                <w:sz w:val="24"/>
                <w:szCs w:val="24"/>
              </w:rPr>
              <w:t>评标价＝投标函文字报价</w:t>
            </w:r>
          </w:p>
          <w:p w14:paraId="187E5897">
            <w:pPr>
              <w:pStyle w:val="6"/>
              <w:tabs>
                <w:tab w:val="left" w:pos="2418"/>
              </w:tabs>
              <w:spacing w:line="400" w:lineRule="exact"/>
              <w:ind w:firstLine="480" w:firstLineChars="200"/>
              <w:rPr>
                <w:color w:val="auto"/>
                <w:sz w:val="24"/>
                <w:szCs w:val="24"/>
              </w:rPr>
            </w:pPr>
            <w:r>
              <w:rPr>
                <w:rFonts w:hint="eastAsia"/>
                <w:color w:val="auto"/>
                <w:sz w:val="24"/>
                <w:szCs w:val="24"/>
              </w:rPr>
              <w:t>（</w:t>
            </w:r>
            <w:r>
              <w:rPr>
                <w:color w:val="auto"/>
                <w:sz w:val="24"/>
                <w:szCs w:val="24"/>
              </w:rPr>
              <w:t>2）评标价平均值的计算：</w:t>
            </w:r>
          </w:p>
          <w:p w14:paraId="31EF12A2">
            <w:pPr>
              <w:pStyle w:val="6"/>
              <w:tabs>
                <w:tab w:val="left" w:pos="2418"/>
              </w:tabs>
              <w:spacing w:line="400" w:lineRule="exact"/>
              <w:ind w:firstLine="480" w:firstLineChars="200"/>
              <w:rPr>
                <w:color w:val="auto"/>
                <w:sz w:val="24"/>
                <w:szCs w:val="24"/>
              </w:rPr>
            </w:pPr>
            <w:r>
              <w:rPr>
                <w:color w:val="auto"/>
                <w:sz w:val="24"/>
                <w:szCs w:val="24"/>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020ED825">
            <w:pPr>
              <w:pStyle w:val="6"/>
              <w:tabs>
                <w:tab w:val="left" w:pos="2418"/>
              </w:tabs>
              <w:spacing w:line="400" w:lineRule="exact"/>
              <w:ind w:firstLine="480" w:firstLineChars="200"/>
              <w:rPr>
                <w:color w:val="auto"/>
                <w:sz w:val="24"/>
                <w:szCs w:val="24"/>
              </w:rPr>
            </w:pPr>
            <w:r>
              <w:rPr>
                <w:rFonts w:hint="eastAsia"/>
                <w:color w:val="auto"/>
                <w:sz w:val="24"/>
                <w:szCs w:val="24"/>
              </w:rPr>
              <w:t>（</w:t>
            </w:r>
            <w:r>
              <w:rPr>
                <w:color w:val="auto"/>
                <w:sz w:val="24"/>
                <w:szCs w:val="24"/>
              </w:rPr>
              <w:t>3）评标基准价的确定：</w:t>
            </w:r>
          </w:p>
          <w:p w14:paraId="648094C3">
            <w:pPr>
              <w:pStyle w:val="6"/>
              <w:tabs>
                <w:tab w:val="left" w:pos="2418"/>
              </w:tabs>
              <w:spacing w:line="400" w:lineRule="exact"/>
              <w:ind w:firstLine="480" w:firstLineChars="200"/>
              <w:rPr>
                <w:color w:val="auto"/>
                <w:sz w:val="24"/>
                <w:szCs w:val="24"/>
              </w:rPr>
            </w:pPr>
            <w:r>
              <w:rPr>
                <w:color w:val="auto"/>
                <w:sz w:val="24"/>
                <w:szCs w:val="24"/>
              </w:rPr>
              <w:t>将评标价平均值直接作为评标基准价。</w:t>
            </w:r>
          </w:p>
          <w:p w14:paraId="33110EE4">
            <w:pPr>
              <w:pStyle w:val="6"/>
              <w:tabs>
                <w:tab w:val="left" w:pos="2418"/>
              </w:tabs>
              <w:spacing w:line="400" w:lineRule="exact"/>
              <w:ind w:firstLine="480" w:firstLineChars="200"/>
              <w:rPr>
                <w:color w:val="auto"/>
                <w:sz w:val="24"/>
                <w:szCs w:val="24"/>
              </w:rPr>
            </w:pPr>
            <w:r>
              <w:rPr>
                <w:color w:val="auto"/>
                <w:sz w:val="24"/>
                <w:szCs w:val="24"/>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color w:val="auto"/>
                <w:sz w:val="24"/>
                <w:szCs w:val="24"/>
              </w:rPr>
              <w:t>。</w:t>
            </w:r>
          </w:p>
        </w:tc>
      </w:tr>
      <w:tr w14:paraId="61D94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908" w:type="dxa"/>
            <w:noWrap w:val="0"/>
            <w:vAlign w:val="center"/>
          </w:tcPr>
          <w:p w14:paraId="178B8055">
            <w:pPr>
              <w:pStyle w:val="6"/>
              <w:spacing w:line="400" w:lineRule="exact"/>
              <w:jc w:val="center"/>
              <w:rPr>
                <w:color w:val="auto"/>
                <w:sz w:val="24"/>
                <w:szCs w:val="24"/>
              </w:rPr>
            </w:pPr>
            <w:r>
              <w:rPr>
                <w:color w:val="auto"/>
                <w:sz w:val="24"/>
                <w:szCs w:val="24"/>
              </w:rPr>
              <w:t>2.2.3</w:t>
            </w:r>
          </w:p>
        </w:tc>
        <w:tc>
          <w:tcPr>
            <w:tcW w:w="1508" w:type="dxa"/>
            <w:noWrap w:val="0"/>
            <w:vAlign w:val="center"/>
          </w:tcPr>
          <w:p w14:paraId="3D33615C">
            <w:pPr>
              <w:pStyle w:val="6"/>
              <w:spacing w:line="400" w:lineRule="exact"/>
              <w:jc w:val="center"/>
              <w:rPr>
                <w:color w:val="auto"/>
                <w:sz w:val="24"/>
                <w:szCs w:val="24"/>
              </w:rPr>
            </w:pPr>
            <w:r>
              <w:rPr>
                <w:color w:val="auto"/>
                <w:sz w:val="24"/>
                <w:szCs w:val="24"/>
              </w:rPr>
              <w:t>评标价的偏差率计算公式</w:t>
            </w:r>
          </w:p>
        </w:tc>
        <w:tc>
          <w:tcPr>
            <w:tcW w:w="7006" w:type="dxa"/>
            <w:noWrap w:val="0"/>
            <w:vAlign w:val="center"/>
          </w:tcPr>
          <w:p w14:paraId="6A1AD8AD">
            <w:pPr>
              <w:pStyle w:val="6"/>
              <w:tabs>
                <w:tab w:val="left" w:pos="2418"/>
              </w:tabs>
              <w:spacing w:line="400" w:lineRule="exact"/>
              <w:ind w:firstLine="480" w:firstLineChars="200"/>
              <w:rPr>
                <w:color w:val="auto"/>
                <w:sz w:val="24"/>
                <w:szCs w:val="24"/>
              </w:rPr>
            </w:pPr>
            <w:r>
              <w:rPr>
                <w:color w:val="auto"/>
                <w:sz w:val="24"/>
                <w:szCs w:val="24"/>
              </w:rPr>
              <w:t>偏差率=100%×（投标人评标价－评标基准价）/评标基准价</w:t>
            </w:r>
          </w:p>
          <w:p w14:paraId="62D25ED2">
            <w:pPr>
              <w:pStyle w:val="6"/>
              <w:tabs>
                <w:tab w:val="left" w:pos="2418"/>
              </w:tabs>
              <w:spacing w:line="400" w:lineRule="exact"/>
              <w:ind w:firstLine="480" w:firstLineChars="200"/>
              <w:rPr>
                <w:color w:val="auto"/>
                <w:sz w:val="24"/>
                <w:szCs w:val="24"/>
              </w:rPr>
            </w:pPr>
            <w:r>
              <w:rPr>
                <w:color w:val="auto"/>
                <w:sz w:val="24"/>
                <w:szCs w:val="24"/>
              </w:rPr>
              <w:t>偏差率保留</w:t>
            </w:r>
            <w:r>
              <w:rPr>
                <w:color w:val="auto"/>
                <w:sz w:val="24"/>
                <w:szCs w:val="24"/>
                <w:u w:val="single"/>
              </w:rPr>
              <w:t>2</w:t>
            </w:r>
            <w:r>
              <w:rPr>
                <w:color w:val="auto"/>
                <w:sz w:val="24"/>
                <w:szCs w:val="24"/>
              </w:rPr>
              <w:t>位小数</w:t>
            </w:r>
          </w:p>
        </w:tc>
      </w:tr>
    </w:tbl>
    <w:p w14:paraId="388640D4">
      <w:pPr>
        <w:spacing w:line="400" w:lineRule="exact"/>
        <w:jc w:val="right"/>
        <w:rPr>
          <w:color w:val="auto"/>
          <w:sz w:val="24"/>
          <w:szCs w:val="24"/>
        </w:rPr>
      </w:pPr>
      <w:r>
        <w:rPr>
          <w:color w:val="auto"/>
          <w:sz w:val="24"/>
          <w:szCs w:val="24"/>
        </w:rPr>
        <w:br w:type="page"/>
      </w:r>
      <w:r>
        <w:rPr>
          <w:color w:val="auto"/>
          <w:sz w:val="24"/>
          <w:szCs w:val="24"/>
        </w:rPr>
        <w:t>续上表</w:t>
      </w:r>
    </w:p>
    <w:tbl>
      <w:tblPr>
        <w:tblStyle w:val="4"/>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667"/>
        <w:gridCol w:w="1200"/>
        <w:gridCol w:w="1253"/>
        <w:gridCol w:w="709"/>
        <w:gridCol w:w="4881"/>
      </w:tblGrid>
      <w:tr w14:paraId="0AD54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restart"/>
            <w:noWrap w:val="0"/>
            <w:vAlign w:val="center"/>
          </w:tcPr>
          <w:p w14:paraId="3E77CBC2">
            <w:pPr>
              <w:pStyle w:val="6"/>
              <w:spacing w:line="400" w:lineRule="exact"/>
              <w:jc w:val="center"/>
              <w:rPr>
                <w:b/>
                <w:color w:val="auto"/>
                <w:sz w:val="24"/>
                <w:szCs w:val="24"/>
              </w:rPr>
            </w:pPr>
            <w:r>
              <w:rPr>
                <w:b/>
                <w:color w:val="auto"/>
                <w:sz w:val="24"/>
                <w:szCs w:val="24"/>
              </w:rPr>
              <w:t>条款号</w:t>
            </w:r>
          </w:p>
        </w:tc>
        <w:tc>
          <w:tcPr>
            <w:tcW w:w="3829" w:type="dxa"/>
            <w:gridSpan w:val="4"/>
            <w:noWrap w:val="0"/>
            <w:vAlign w:val="center"/>
          </w:tcPr>
          <w:p w14:paraId="0D35F350">
            <w:pPr>
              <w:pStyle w:val="6"/>
              <w:spacing w:line="400" w:lineRule="exact"/>
              <w:jc w:val="center"/>
              <w:rPr>
                <w:b/>
                <w:color w:val="auto"/>
                <w:sz w:val="24"/>
                <w:szCs w:val="24"/>
              </w:rPr>
            </w:pPr>
            <w:r>
              <w:rPr>
                <w:b/>
                <w:color w:val="auto"/>
                <w:sz w:val="24"/>
                <w:szCs w:val="24"/>
              </w:rPr>
              <w:t>评分因素与权重分值</w:t>
            </w:r>
          </w:p>
        </w:tc>
        <w:tc>
          <w:tcPr>
            <w:tcW w:w="4881" w:type="dxa"/>
            <w:vMerge w:val="restart"/>
            <w:noWrap w:val="0"/>
            <w:vAlign w:val="center"/>
          </w:tcPr>
          <w:p w14:paraId="1527DF69">
            <w:pPr>
              <w:pStyle w:val="6"/>
              <w:spacing w:line="400" w:lineRule="exact"/>
              <w:jc w:val="center"/>
              <w:rPr>
                <w:rFonts w:hint="eastAsia"/>
                <w:b/>
                <w:color w:val="auto"/>
                <w:sz w:val="24"/>
                <w:szCs w:val="24"/>
              </w:rPr>
            </w:pPr>
            <w:r>
              <w:rPr>
                <w:b/>
                <w:color w:val="auto"/>
                <w:sz w:val="24"/>
                <w:szCs w:val="24"/>
              </w:rPr>
              <w:t>评分标准</w:t>
            </w:r>
          </w:p>
        </w:tc>
      </w:tr>
      <w:tr w14:paraId="29315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continue"/>
            <w:tcBorders>
              <w:top w:val="nil"/>
            </w:tcBorders>
            <w:noWrap w:val="0"/>
            <w:vAlign w:val="center"/>
          </w:tcPr>
          <w:p w14:paraId="77B96D64">
            <w:pPr>
              <w:spacing w:line="400" w:lineRule="exact"/>
              <w:rPr>
                <w:color w:val="auto"/>
                <w:sz w:val="24"/>
                <w:szCs w:val="24"/>
              </w:rPr>
            </w:pPr>
          </w:p>
        </w:tc>
        <w:tc>
          <w:tcPr>
            <w:tcW w:w="667" w:type="dxa"/>
            <w:noWrap w:val="0"/>
            <w:vAlign w:val="center"/>
          </w:tcPr>
          <w:p w14:paraId="51833274">
            <w:pPr>
              <w:pStyle w:val="6"/>
              <w:spacing w:line="400" w:lineRule="exact"/>
              <w:jc w:val="center"/>
              <w:rPr>
                <w:b/>
                <w:color w:val="auto"/>
                <w:sz w:val="24"/>
                <w:szCs w:val="24"/>
              </w:rPr>
            </w:pPr>
            <w:r>
              <w:rPr>
                <w:b/>
                <w:color w:val="auto"/>
                <w:sz w:val="24"/>
                <w:szCs w:val="24"/>
              </w:rPr>
              <w:t>评分因素</w:t>
            </w:r>
          </w:p>
        </w:tc>
        <w:tc>
          <w:tcPr>
            <w:tcW w:w="1200" w:type="dxa"/>
            <w:noWrap w:val="0"/>
            <w:vAlign w:val="center"/>
          </w:tcPr>
          <w:p w14:paraId="56239B87">
            <w:pPr>
              <w:pStyle w:val="6"/>
              <w:spacing w:line="400" w:lineRule="exact"/>
              <w:jc w:val="center"/>
              <w:rPr>
                <w:b/>
                <w:color w:val="auto"/>
                <w:sz w:val="24"/>
                <w:szCs w:val="24"/>
              </w:rPr>
            </w:pPr>
            <w:r>
              <w:rPr>
                <w:b/>
                <w:color w:val="auto"/>
                <w:sz w:val="24"/>
                <w:szCs w:val="24"/>
              </w:rPr>
              <w:t>评分因素权重分值</w:t>
            </w:r>
          </w:p>
        </w:tc>
        <w:tc>
          <w:tcPr>
            <w:tcW w:w="1253" w:type="dxa"/>
            <w:noWrap w:val="0"/>
            <w:vAlign w:val="center"/>
          </w:tcPr>
          <w:p w14:paraId="1A263FB3">
            <w:pPr>
              <w:pStyle w:val="6"/>
              <w:spacing w:line="400" w:lineRule="exact"/>
              <w:jc w:val="center"/>
              <w:rPr>
                <w:b/>
                <w:color w:val="auto"/>
                <w:sz w:val="24"/>
                <w:szCs w:val="24"/>
              </w:rPr>
            </w:pPr>
            <w:r>
              <w:rPr>
                <w:b/>
                <w:color w:val="auto"/>
                <w:sz w:val="24"/>
                <w:szCs w:val="24"/>
              </w:rPr>
              <w:t>各评分因素细分项</w:t>
            </w:r>
          </w:p>
        </w:tc>
        <w:tc>
          <w:tcPr>
            <w:tcW w:w="709" w:type="dxa"/>
            <w:noWrap w:val="0"/>
            <w:vAlign w:val="center"/>
          </w:tcPr>
          <w:p w14:paraId="488CDBA7">
            <w:pPr>
              <w:pStyle w:val="6"/>
              <w:spacing w:line="400" w:lineRule="exact"/>
              <w:ind w:right="210"/>
              <w:jc w:val="center"/>
              <w:rPr>
                <w:b/>
                <w:color w:val="auto"/>
                <w:sz w:val="24"/>
                <w:szCs w:val="24"/>
              </w:rPr>
            </w:pPr>
            <w:r>
              <w:rPr>
                <w:b/>
                <w:color w:val="auto"/>
                <w:sz w:val="24"/>
                <w:szCs w:val="24"/>
              </w:rPr>
              <w:t>分值</w:t>
            </w:r>
          </w:p>
        </w:tc>
        <w:tc>
          <w:tcPr>
            <w:tcW w:w="4881" w:type="dxa"/>
            <w:vMerge w:val="continue"/>
            <w:tcBorders>
              <w:top w:val="nil"/>
            </w:tcBorders>
            <w:noWrap w:val="0"/>
            <w:vAlign w:val="center"/>
          </w:tcPr>
          <w:p w14:paraId="7E360B56">
            <w:pPr>
              <w:spacing w:line="400" w:lineRule="exact"/>
              <w:rPr>
                <w:color w:val="auto"/>
                <w:sz w:val="24"/>
                <w:szCs w:val="24"/>
              </w:rPr>
            </w:pPr>
          </w:p>
        </w:tc>
      </w:tr>
      <w:tr w14:paraId="0AFF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jc w:val="center"/>
        </w:trPr>
        <w:tc>
          <w:tcPr>
            <w:tcW w:w="712" w:type="dxa"/>
            <w:vMerge w:val="restart"/>
            <w:noWrap w:val="0"/>
            <w:vAlign w:val="center"/>
          </w:tcPr>
          <w:p w14:paraId="387AAF72">
            <w:pPr>
              <w:pStyle w:val="6"/>
              <w:spacing w:line="400" w:lineRule="exact"/>
              <w:rPr>
                <w:b/>
                <w:bCs/>
                <w:color w:val="auto"/>
                <w:sz w:val="24"/>
                <w:szCs w:val="24"/>
              </w:rPr>
            </w:pPr>
            <w:r>
              <w:rPr>
                <w:b/>
                <w:bCs/>
                <w:color w:val="auto"/>
                <w:sz w:val="24"/>
                <w:szCs w:val="24"/>
              </w:rPr>
              <w:t>2.2.4（1）</w:t>
            </w:r>
          </w:p>
        </w:tc>
        <w:tc>
          <w:tcPr>
            <w:tcW w:w="667" w:type="dxa"/>
            <w:vMerge w:val="restart"/>
            <w:noWrap w:val="0"/>
            <w:vAlign w:val="center"/>
          </w:tcPr>
          <w:p w14:paraId="6DA97C57">
            <w:pPr>
              <w:pStyle w:val="6"/>
              <w:spacing w:line="400" w:lineRule="exact"/>
              <w:jc w:val="center"/>
              <w:rPr>
                <w:b/>
                <w:bCs/>
                <w:color w:val="auto"/>
                <w:sz w:val="24"/>
                <w:szCs w:val="24"/>
              </w:rPr>
            </w:pPr>
            <w:r>
              <w:rPr>
                <w:b/>
                <w:bCs/>
                <w:color w:val="auto"/>
                <w:sz w:val="24"/>
                <w:szCs w:val="24"/>
              </w:rPr>
              <w:t>技术建议书</w:t>
            </w:r>
          </w:p>
        </w:tc>
        <w:tc>
          <w:tcPr>
            <w:tcW w:w="1200" w:type="dxa"/>
            <w:vMerge w:val="restart"/>
            <w:noWrap w:val="0"/>
            <w:vAlign w:val="center"/>
          </w:tcPr>
          <w:p w14:paraId="14818555">
            <w:pPr>
              <w:pStyle w:val="6"/>
              <w:tabs>
                <w:tab w:val="left" w:pos="665"/>
              </w:tabs>
              <w:spacing w:line="400" w:lineRule="exact"/>
              <w:jc w:val="center"/>
              <w:rPr>
                <w:b/>
                <w:bCs/>
                <w:color w:val="auto"/>
                <w:sz w:val="24"/>
                <w:szCs w:val="24"/>
              </w:rPr>
            </w:pPr>
            <w:r>
              <w:rPr>
                <w:b/>
                <w:bCs/>
                <w:color w:val="auto"/>
                <w:sz w:val="24"/>
                <w:szCs w:val="24"/>
                <w:highlight w:val="none"/>
              </w:rPr>
              <w:t>4</w:t>
            </w:r>
            <w:r>
              <w:rPr>
                <w:rFonts w:hint="eastAsia"/>
                <w:b/>
                <w:bCs/>
                <w:color w:val="auto"/>
                <w:sz w:val="24"/>
                <w:szCs w:val="24"/>
                <w:highlight w:val="none"/>
                <w:lang w:val="en-US"/>
              </w:rPr>
              <w:t>5</w:t>
            </w:r>
            <w:r>
              <w:rPr>
                <w:b/>
                <w:bCs/>
                <w:color w:val="auto"/>
                <w:sz w:val="24"/>
                <w:szCs w:val="24"/>
                <w:highlight w:val="none"/>
              </w:rPr>
              <w:t>分</w:t>
            </w:r>
          </w:p>
        </w:tc>
        <w:tc>
          <w:tcPr>
            <w:tcW w:w="1253" w:type="dxa"/>
            <w:noWrap w:val="0"/>
            <w:vAlign w:val="center"/>
          </w:tcPr>
          <w:p w14:paraId="424374A7">
            <w:pPr>
              <w:pStyle w:val="6"/>
              <w:spacing w:line="400" w:lineRule="exact"/>
              <w:jc w:val="center"/>
              <w:rPr>
                <w:b/>
                <w:bCs/>
                <w:color w:val="auto"/>
                <w:sz w:val="24"/>
                <w:szCs w:val="24"/>
              </w:rPr>
            </w:pPr>
            <w:r>
              <w:rPr>
                <w:b/>
                <w:bCs/>
                <w:color w:val="auto"/>
                <w:sz w:val="24"/>
                <w:szCs w:val="24"/>
              </w:rPr>
              <w:t>对招标项目的理解和总体</w:t>
            </w:r>
            <w:r>
              <w:rPr>
                <w:rFonts w:hint="eastAsia"/>
                <w:b/>
                <w:bCs/>
                <w:color w:val="auto"/>
                <w:sz w:val="24"/>
                <w:szCs w:val="24"/>
                <w:lang w:val="en-US" w:eastAsia="zh-CN"/>
              </w:rPr>
              <w:t>设计</w:t>
            </w:r>
            <w:r>
              <w:rPr>
                <w:b/>
                <w:bCs/>
                <w:color w:val="auto"/>
                <w:sz w:val="24"/>
                <w:szCs w:val="24"/>
              </w:rPr>
              <w:t>思路</w:t>
            </w:r>
          </w:p>
        </w:tc>
        <w:tc>
          <w:tcPr>
            <w:tcW w:w="709" w:type="dxa"/>
            <w:noWrap w:val="0"/>
            <w:vAlign w:val="center"/>
          </w:tcPr>
          <w:p w14:paraId="207FD9F8">
            <w:pPr>
              <w:pStyle w:val="6"/>
              <w:spacing w:line="400" w:lineRule="exact"/>
              <w:jc w:val="center"/>
              <w:rPr>
                <w:b/>
                <w:bCs/>
                <w:color w:val="auto"/>
                <w:sz w:val="24"/>
                <w:szCs w:val="24"/>
              </w:rPr>
            </w:pPr>
            <w:r>
              <w:rPr>
                <w:rFonts w:hint="eastAsia"/>
                <w:b/>
                <w:bCs/>
                <w:color w:val="auto"/>
                <w:sz w:val="24"/>
                <w:szCs w:val="24"/>
              </w:rPr>
              <w:t>10分</w:t>
            </w:r>
          </w:p>
        </w:tc>
        <w:tc>
          <w:tcPr>
            <w:tcW w:w="4881" w:type="dxa"/>
            <w:noWrap w:val="0"/>
            <w:vAlign w:val="center"/>
          </w:tcPr>
          <w:p w14:paraId="75D1B1DE">
            <w:pPr>
              <w:pStyle w:val="6"/>
              <w:spacing w:line="400" w:lineRule="exact"/>
              <w:rPr>
                <w:b/>
                <w:bCs/>
                <w:color w:val="auto"/>
                <w:sz w:val="24"/>
                <w:szCs w:val="24"/>
              </w:rPr>
            </w:pPr>
            <w:r>
              <w:rPr>
                <w:rFonts w:hint="eastAsia"/>
                <w:b/>
                <w:bCs/>
                <w:color w:val="auto"/>
                <w:sz w:val="24"/>
                <w:szCs w:val="24"/>
              </w:rPr>
              <w:t>对本项目理解透彻、思路清晰、方案合理、可行，有总体路清晰、科学合理，有明确的工程造价控制思路及措施。</w:t>
            </w:r>
          </w:p>
          <w:p w14:paraId="11CFA1DF">
            <w:pPr>
              <w:pStyle w:val="6"/>
              <w:spacing w:line="400" w:lineRule="exact"/>
              <w:rPr>
                <w:b/>
                <w:bCs/>
                <w:color w:val="auto"/>
                <w:sz w:val="24"/>
                <w:szCs w:val="24"/>
              </w:rPr>
            </w:pPr>
            <w:r>
              <w:rPr>
                <w:rFonts w:hint="eastAsia"/>
                <w:b/>
                <w:bCs/>
                <w:color w:val="auto"/>
                <w:sz w:val="24"/>
                <w:szCs w:val="24"/>
              </w:rPr>
              <w:t>好</w:t>
            </w:r>
            <w:r>
              <w:rPr>
                <w:rFonts w:hint="eastAsia"/>
                <w:b/>
                <w:bCs/>
                <w:color w:val="auto"/>
                <w:sz w:val="24"/>
                <w:szCs w:val="24"/>
                <w:lang w:val="en-US"/>
              </w:rPr>
              <w:t>8</w:t>
            </w:r>
            <w:r>
              <w:rPr>
                <w:rFonts w:hint="eastAsia"/>
                <w:b/>
                <w:bCs/>
                <w:color w:val="auto"/>
                <w:sz w:val="24"/>
                <w:szCs w:val="24"/>
              </w:rPr>
              <w:t>-10分，较好</w:t>
            </w:r>
            <w:r>
              <w:rPr>
                <w:rFonts w:hint="eastAsia"/>
                <w:b/>
                <w:bCs/>
                <w:color w:val="auto"/>
                <w:sz w:val="24"/>
                <w:szCs w:val="24"/>
                <w:lang w:val="en-US"/>
              </w:rPr>
              <w:t>6</w:t>
            </w:r>
            <w:r>
              <w:rPr>
                <w:rFonts w:hint="eastAsia"/>
                <w:b/>
                <w:bCs/>
                <w:color w:val="auto"/>
                <w:sz w:val="24"/>
                <w:szCs w:val="24"/>
              </w:rPr>
              <w:t>-</w:t>
            </w:r>
            <w:r>
              <w:rPr>
                <w:rFonts w:hint="eastAsia"/>
                <w:b/>
                <w:bCs/>
                <w:color w:val="auto"/>
                <w:sz w:val="24"/>
                <w:szCs w:val="24"/>
                <w:lang w:val="en-US"/>
              </w:rPr>
              <w:t>8</w:t>
            </w:r>
            <w:r>
              <w:rPr>
                <w:rFonts w:hint="eastAsia"/>
                <w:b/>
                <w:bCs/>
                <w:color w:val="auto"/>
                <w:sz w:val="24"/>
                <w:szCs w:val="24"/>
              </w:rPr>
              <w:t>分，一般</w:t>
            </w:r>
            <w:r>
              <w:rPr>
                <w:rFonts w:hint="eastAsia"/>
                <w:b/>
                <w:bCs/>
                <w:color w:val="auto"/>
                <w:sz w:val="24"/>
                <w:szCs w:val="24"/>
                <w:lang w:val="en-US"/>
              </w:rPr>
              <w:t>0</w:t>
            </w:r>
            <w:r>
              <w:rPr>
                <w:rFonts w:hint="eastAsia"/>
                <w:b/>
                <w:bCs/>
                <w:color w:val="auto"/>
                <w:sz w:val="24"/>
                <w:szCs w:val="24"/>
              </w:rPr>
              <w:t>-</w:t>
            </w:r>
            <w:r>
              <w:rPr>
                <w:rFonts w:hint="eastAsia"/>
                <w:b/>
                <w:bCs/>
                <w:color w:val="auto"/>
                <w:sz w:val="24"/>
                <w:szCs w:val="24"/>
                <w:lang w:val="en-US"/>
              </w:rPr>
              <w:t>6</w:t>
            </w:r>
            <w:r>
              <w:rPr>
                <w:rFonts w:hint="eastAsia"/>
                <w:b/>
                <w:bCs/>
                <w:color w:val="auto"/>
                <w:sz w:val="24"/>
                <w:szCs w:val="24"/>
              </w:rPr>
              <w:t>分。</w:t>
            </w:r>
          </w:p>
        </w:tc>
      </w:tr>
      <w:tr w14:paraId="07121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continue"/>
            <w:noWrap w:val="0"/>
            <w:vAlign w:val="center"/>
          </w:tcPr>
          <w:p w14:paraId="66473996">
            <w:pPr>
              <w:spacing w:line="400" w:lineRule="exact"/>
              <w:rPr>
                <w:b/>
                <w:bCs/>
                <w:color w:val="auto"/>
                <w:sz w:val="24"/>
                <w:szCs w:val="24"/>
              </w:rPr>
            </w:pPr>
          </w:p>
        </w:tc>
        <w:tc>
          <w:tcPr>
            <w:tcW w:w="667" w:type="dxa"/>
            <w:vMerge w:val="continue"/>
            <w:noWrap w:val="0"/>
            <w:vAlign w:val="center"/>
          </w:tcPr>
          <w:p w14:paraId="293291A1">
            <w:pPr>
              <w:spacing w:line="400" w:lineRule="exact"/>
              <w:jc w:val="center"/>
              <w:rPr>
                <w:b/>
                <w:bCs/>
                <w:color w:val="auto"/>
                <w:sz w:val="24"/>
                <w:szCs w:val="24"/>
              </w:rPr>
            </w:pPr>
          </w:p>
        </w:tc>
        <w:tc>
          <w:tcPr>
            <w:tcW w:w="1200" w:type="dxa"/>
            <w:vMerge w:val="continue"/>
            <w:noWrap w:val="0"/>
            <w:vAlign w:val="center"/>
          </w:tcPr>
          <w:p w14:paraId="740F6A38">
            <w:pPr>
              <w:spacing w:line="400" w:lineRule="exact"/>
              <w:jc w:val="center"/>
              <w:rPr>
                <w:b/>
                <w:bCs/>
                <w:color w:val="auto"/>
                <w:sz w:val="24"/>
                <w:szCs w:val="24"/>
              </w:rPr>
            </w:pPr>
          </w:p>
        </w:tc>
        <w:tc>
          <w:tcPr>
            <w:tcW w:w="1253" w:type="dxa"/>
            <w:noWrap w:val="0"/>
            <w:vAlign w:val="center"/>
          </w:tcPr>
          <w:p w14:paraId="0FE5979E">
            <w:pPr>
              <w:pStyle w:val="6"/>
              <w:spacing w:line="400" w:lineRule="exact"/>
              <w:jc w:val="center"/>
              <w:rPr>
                <w:b/>
                <w:bCs/>
                <w:color w:val="auto"/>
                <w:sz w:val="24"/>
                <w:szCs w:val="24"/>
              </w:rPr>
            </w:pPr>
            <w:r>
              <w:rPr>
                <w:b/>
                <w:bCs/>
                <w:color w:val="auto"/>
                <w:sz w:val="24"/>
                <w:szCs w:val="24"/>
              </w:rPr>
              <w:t>招标项目</w:t>
            </w:r>
            <w:r>
              <w:rPr>
                <w:rFonts w:hint="eastAsia"/>
                <w:b/>
                <w:bCs/>
                <w:color w:val="auto"/>
                <w:sz w:val="24"/>
                <w:szCs w:val="24"/>
                <w:lang w:val="en-US" w:eastAsia="zh-CN"/>
              </w:rPr>
              <w:t>设计</w:t>
            </w:r>
            <w:r>
              <w:rPr>
                <w:b/>
                <w:bCs/>
                <w:color w:val="auto"/>
                <w:sz w:val="24"/>
                <w:szCs w:val="24"/>
              </w:rPr>
              <w:t>的特点、关键技术问题的认识及其对策措施</w:t>
            </w:r>
          </w:p>
        </w:tc>
        <w:tc>
          <w:tcPr>
            <w:tcW w:w="709" w:type="dxa"/>
            <w:noWrap w:val="0"/>
            <w:vAlign w:val="center"/>
          </w:tcPr>
          <w:p w14:paraId="546982D9">
            <w:pPr>
              <w:pStyle w:val="6"/>
              <w:spacing w:line="400" w:lineRule="exact"/>
              <w:jc w:val="center"/>
              <w:rPr>
                <w:b/>
                <w:bCs/>
                <w:color w:val="auto"/>
                <w:sz w:val="24"/>
                <w:szCs w:val="24"/>
              </w:rPr>
            </w:pPr>
            <w:r>
              <w:rPr>
                <w:rFonts w:hint="eastAsia"/>
                <w:b/>
                <w:bCs/>
                <w:color w:val="auto"/>
                <w:sz w:val="24"/>
                <w:szCs w:val="24"/>
              </w:rPr>
              <w:t>10分</w:t>
            </w:r>
          </w:p>
        </w:tc>
        <w:tc>
          <w:tcPr>
            <w:tcW w:w="4881" w:type="dxa"/>
            <w:noWrap w:val="0"/>
            <w:vAlign w:val="center"/>
          </w:tcPr>
          <w:p w14:paraId="2BA2177C">
            <w:pPr>
              <w:pStyle w:val="6"/>
              <w:spacing w:line="400" w:lineRule="exact"/>
              <w:rPr>
                <w:rFonts w:hint="eastAsia"/>
                <w:b/>
                <w:bCs/>
                <w:color w:val="auto"/>
                <w:sz w:val="24"/>
                <w:szCs w:val="24"/>
              </w:rPr>
            </w:pPr>
            <w:r>
              <w:rPr>
                <w:rFonts w:hint="eastAsia"/>
                <w:b/>
                <w:bCs/>
                <w:color w:val="auto"/>
                <w:sz w:val="24"/>
                <w:szCs w:val="24"/>
              </w:rPr>
              <w:t>对招标项目</w:t>
            </w:r>
            <w:r>
              <w:rPr>
                <w:rFonts w:hint="eastAsia"/>
                <w:b/>
                <w:bCs/>
                <w:color w:val="auto"/>
                <w:sz w:val="24"/>
                <w:szCs w:val="24"/>
                <w:lang w:val="en-US" w:eastAsia="zh-CN"/>
              </w:rPr>
              <w:t>设计</w:t>
            </w:r>
            <w:r>
              <w:rPr>
                <w:rFonts w:hint="eastAsia"/>
                <w:b/>
                <w:bCs/>
                <w:color w:val="auto"/>
                <w:sz w:val="24"/>
                <w:szCs w:val="24"/>
              </w:rPr>
              <w:t>特点及关键技术问题认识深刻、理解到位，处理方法及措施科学合理、有针对性。</w:t>
            </w:r>
          </w:p>
          <w:p w14:paraId="22CCBE4A">
            <w:pPr>
              <w:pStyle w:val="6"/>
              <w:spacing w:line="400" w:lineRule="exact"/>
              <w:rPr>
                <w:b/>
                <w:bCs/>
                <w:color w:val="auto"/>
                <w:sz w:val="24"/>
                <w:szCs w:val="24"/>
              </w:rPr>
            </w:pPr>
            <w:r>
              <w:rPr>
                <w:rFonts w:hint="eastAsia"/>
                <w:b/>
                <w:bCs/>
                <w:color w:val="auto"/>
                <w:sz w:val="24"/>
                <w:szCs w:val="24"/>
              </w:rPr>
              <w:t>好</w:t>
            </w:r>
            <w:r>
              <w:rPr>
                <w:rFonts w:hint="eastAsia"/>
                <w:b/>
                <w:bCs/>
                <w:color w:val="auto"/>
                <w:sz w:val="24"/>
                <w:szCs w:val="24"/>
                <w:lang w:val="en-US"/>
              </w:rPr>
              <w:t>8</w:t>
            </w:r>
            <w:r>
              <w:rPr>
                <w:rFonts w:hint="eastAsia"/>
                <w:b/>
                <w:bCs/>
                <w:color w:val="auto"/>
                <w:sz w:val="24"/>
                <w:szCs w:val="24"/>
              </w:rPr>
              <w:t>-10分，较好</w:t>
            </w:r>
            <w:r>
              <w:rPr>
                <w:rFonts w:hint="eastAsia"/>
                <w:b/>
                <w:bCs/>
                <w:color w:val="auto"/>
                <w:sz w:val="24"/>
                <w:szCs w:val="24"/>
                <w:lang w:val="en-US"/>
              </w:rPr>
              <w:t>6</w:t>
            </w:r>
            <w:r>
              <w:rPr>
                <w:rFonts w:hint="eastAsia"/>
                <w:b/>
                <w:bCs/>
                <w:color w:val="auto"/>
                <w:sz w:val="24"/>
                <w:szCs w:val="24"/>
              </w:rPr>
              <w:t>-</w:t>
            </w:r>
            <w:r>
              <w:rPr>
                <w:rFonts w:hint="eastAsia"/>
                <w:b/>
                <w:bCs/>
                <w:color w:val="auto"/>
                <w:sz w:val="24"/>
                <w:szCs w:val="24"/>
                <w:lang w:val="en-US"/>
              </w:rPr>
              <w:t>8</w:t>
            </w:r>
            <w:r>
              <w:rPr>
                <w:rFonts w:hint="eastAsia"/>
                <w:b/>
                <w:bCs/>
                <w:color w:val="auto"/>
                <w:sz w:val="24"/>
                <w:szCs w:val="24"/>
              </w:rPr>
              <w:t>分，一般</w:t>
            </w:r>
            <w:r>
              <w:rPr>
                <w:rFonts w:hint="eastAsia"/>
                <w:b/>
                <w:bCs/>
                <w:color w:val="auto"/>
                <w:sz w:val="24"/>
                <w:szCs w:val="24"/>
                <w:lang w:val="en-US"/>
              </w:rPr>
              <w:t>0</w:t>
            </w:r>
            <w:r>
              <w:rPr>
                <w:rFonts w:hint="eastAsia"/>
                <w:b/>
                <w:bCs/>
                <w:color w:val="auto"/>
                <w:sz w:val="24"/>
                <w:szCs w:val="24"/>
              </w:rPr>
              <w:t>-</w:t>
            </w:r>
            <w:r>
              <w:rPr>
                <w:rFonts w:hint="eastAsia"/>
                <w:b/>
                <w:bCs/>
                <w:color w:val="auto"/>
                <w:sz w:val="24"/>
                <w:szCs w:val="24"/>
                <w:lang w:val="en-US"/>
              </w:rPr>
              <w:t>6</w:t>
            </w:r>
            <w:r>
              <w:rPr>
                <w:rFonts w:hint="eastAsia"/>
                <w:b/>
                <w:bCs/>
                <w:color w:val="auto"/>
                <w:sz w:val="24"/>
                <w:szCs w:val="24"/>
              </w:rPr>
              <w:t>分。</w:t>
            </w:r>
          </w:p>
        </w:tc>
      </w:tr>
      <w:tr w14:paraId="4D140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continue"/>
            <w:noWrap w:val="0"/>
            <w:vAlign w:val="center"/>
          </w:tcPr>
          <w:p w14:paraId="072A4CD6">
            <w:pPr>
              <w:spacing w:line="400" w:lineRule="exact"/>
              <w:rPr>
                <w:b/>
                <w:bCs/>
                <w:color w:val="auto"/>
                <w:sz w:val="24"/>
                <w:szCs w:val="24"/>
              </w:rPr>
            </w:pPr>
          </w:p>
        </w:tc>
        <w:tc>
          <w:tcPr>
            <w:tcW w:w="667" w:type="dxa"/>
            <w:vMerge w:val="continue"/>
            <w:noWrap w:val="0"/>
            <w:vAlign w:val="center"/>
          </w:tcPr>
          <w:p w14:paraId="3580B6B4">
            <w:pPr>
              <w:spacing w:line="400" w:lineRule="exact"/>
              <w:jc w:val="center"/>
              <w:rPr>
                <w:b/>
                <w:bCs/>
                <w:color w:val="auto"/>
                <w:sz w:val="24"/>
                <w:szCs w:val="24"/>
              </w:rPr>
            </w:pPr>
          </w:p>
        </w:tc>
        <w:tc>
          <w:tcPr>
            <w:tcW w:w="1200" w:type="dxa"/>
            <w:vMerge w:val="continue"/>
            <w:noWrap w:val="0"/>
            <w:vAlign w:val="center"/>
          </w:tcPr>
          <w:p w14:paraId="21673E6E">
            <w:pPr>
              <w:spacing w:line="400" w:lineRule="exact"/>
              <w:jc w:val="center"/>
              <w:rPr>
                <w:b/>
                <w:bCs/>
                <w:color w:val="auto"/>
                <w:sz w:val="24"/>
                <w:szCs w:val="24"/>
              </w:rPr>
            </w:pPr>
          </w:p>
        </w:tc>
        <w:tc>
          <w:tcPr>
            <w:tcW w:w="1253" w:type="dxa"/>
            <w:noWrap w:val="0"/>
            <w:vAlign w:val="center"/>
          </w:tcPr>
          <w:p w14:paraId="36454BBE">
            <w:pPr>
              <w:pStyle w:val="6"/>
              <w:spacing w:line="400" w:lineRule="exact"/>
              <w:jc w:val="center"/>
              <w:rPr>
                <w:b/>
                <w:bCs/>
                <w:color w:val="auto"/>
                <w:sz w:val="24"/>
                <w:szCs w:val="24"/>
              </w:rPr>
            </w:pPr>
            <w:r>
              <w:rPr>
                <w:rFonts w:hint="eastAsia"/>
                <w:b/>
                <w:bCs/>
                <w:color w:val="auto"/>
                <w:sz w:val="24"/>
                <w:szCs w:val="24"/>
                <w:lang w:val="en-US" w:eastAsia="zh-CN"/>
              </w:rPr>
              <w:t>设计</w:t>
            </w:r>
            <w:r>
              <w:rPr>
                <w:b/>
                <w:bCs/>
                <w:color w:val="auto"/>
                <w:sz w:val="24"/>
                <w:szCs w:val="24"/>
              </w:rPr>
              <w:t>工作量及计划安排</w:t>
            </w:r>
          </w:p>
        </w:tc>
        <w:tc>
          <w:tcPr>
            <w:tcW w:w="709" w:type="dxa"/>
            <w:noWrap w:val="0"/>
            <w:vAlign w:val="center"/>
          </w:tcPr>
          <w:p w14:paraId="7ED0339D">
            <w:pPr>
              <w:pStyle w:val="6"/>
              <w:spacing w:line="400" w:lineRule="exact"/>
              <w:jc w:val="center"/>
              <w:rPr>
                <w:b/>
                <w:bCs/>
                <w:color w:val="auto"/>
                <w:sz w:val="24"/>
                <w:szCs w:val="24"/>
              </w:rPr>
            </w:pPr>
            <w:r>
              <w:rPr>
                <w:rFonts w:hint="eastAsia"/>
                <w:b/>
                <w:bCs/>
                <w:color w:val="auto"/>
                <w:sz w:val="24"/>
                <w:szCs w:val="24"/>
                <w:lang w:val="en-US"/>
              </w:rPr>
              <w:t>10</w:t>
            </w:r>
            <w:r>
              <w:rPr>
                <w:rFonts w:hint="eastAsia"/>
                <w:b/>
                <w:bCs/>
                <w:color w:val="auto"/>
                <w:sz w:val="24"/>
                <w:szCs w:val="24"/>
              </w:rPr>
              <w:t>分</w:t>
            </w:r>
          </w:p>
        </w:tc>
        <w:tc>
          <w:tcPr>
            <w:tcW w:w="4881" w:type="dxa"/>
            <w:noWrap w:val="0"/>
            <w:vAlign w:val="center"/>
          </w:tcPr>
          <w:p w14:paraId="46B2DEEF">
            <w:pPr>
              <w:pStyle w:val="6"/>
              <w:spacing w:line="400" w:lineRule="exact"/>
              <w:rPr>
                <w:rFonts w:hint="eastAsia"/>
                <w:b/>
                <w:bCs/>
                <w:color w:val="auto"/>
                <w:sz w:val="24"/>
                <w:szCs w:val="24"/>
              </w:rPr>
            </w:pPr>
            <w:r>
              <w:rPr>
                <w:rFonts w:hint="eastAsia"/>
                <w:b/>
                <w:bCs/>
                <w:color w:val="auto"/>
                <w:sz w:val="24"/>
                <w:szCs w:val="24"/>
              </w:rPr>
              <w:t>工作量认识全面准确，在</w:t>
            </w:r>
            <w:r>
              <w:rPr>
                <w:rFonts w:hint="eastAsia"/>
                <w:b/>
                <w:bCs/>
                <w:color w:val="auto"/>
                <w:sz w:val="24"/>
                <w:szCs w:val="24"/>
                <w:lang w:val="en-US" w:eastAsia="zh-CN"/>
              </w:rPr>
              <w:t>设计</w:t>
            </w:r>
            <w:r>
              <w:rPr>
                <w:rFonts w:hint="eastAsia"/>
                <w:b/>
                <w:bCs/>
                <w:color w:val="auto"/>
                <w:sz w:val="24"/>
                <w:szCs w:val="24"/>
              </w:rPr>
              <w:t>周期内各阶段工作计划安排科学合理。</w:t>
            </w:r>
          </w:p>
          <w:p w14:paraId="73CFA0A2">
            <w:pPr>
              <w:pStyle w:val="6"/>
              <w:spacing w:line="400" w:lineRule="exact"/>
              <w:rPr>
                <w:b/>
                <w:bCs/>
                <w:color w:val="auto"/>
                <w:sz w:val="24"/>
                <w:szCs w:val="24"/>
              </w:rPr>
            </w:pPr>
            <w:r>
              <w:rPr>
                <w:rFonts w:hint="eastAsia"/>
                <w:b/>
                <w:bCs/>
                <w:color w:val="auto"/>
                <w:sz w:val="24"/>
                <w:szCs w:val="24"/>
              </w:rPr>
              <w:t>好</w:t>
            </w:r>
            <w:r>
              <w:rPr>
                <w:rFonts w:hint="eastAsia"/>
                <w:b/>
                <w:bCs/>
                <w:color w:val="auto"/>
                <w:sz w:val="24"/>
                <w:szCs w:val="24"/>
                <w:lang w:val="en-US"/>
              </w:rPr>
              <w:t>8</w:t>
            </w:r>
            <w:r>
              <w:rPr>
                <w:rFonts w:hint="eastAsia"/>
                <w:b/>
                <w:bCs/>
                <w:color w:val="auto"/>
                <w:sz w:val="24"/>
                <w:szCs w:val="24"/>
              </w:rPr>
              <w:t>-10分，较好</w:t>
            </w:r>
            <w:r>
              <w:rPr>
                <w:rFonts w:hint="eastAsia"/>
                <w:b/>
                <w:bCs/>
                <w:color w:val="auto"/>
                <w:sz w:val="24"/>
                <w:szCs w:val="24"/>
                <w:lang w:val="en-US"/>
              </w:rPr>
              <w:t>6</w:t>
            </w:r>
            <w:r>
              <w:rPr>
                <w:rFonts w:hint="eastAsia"/>
                <w:b/>
                <w:bCs/>
                <w:color w:val="auto"/>
                <w:sz w:val="24"/>
                <w:szCs w:val="24"/>
              </w:rPr>
              <w:t>-</w:t>
            </w:r>
            <w:r>
              <w:rPr>
                <w:rFonts w:hint="eastAsia"/>
                <w:b/>
                <w:bCs/>
                <w:color w:val="auto"/>
                <w:sz w:val="24"/>
                <w:szCs w:val="24"/>
                <w:lang w:val="en-US"/>
              </w:rPr>
              <w:t>8</w:t>
            </w:r>
            <w:r>
              <w:rPr>
                <w:rFonts w:hint="eastAsia"/>
                <w:b/>
                <w:bCs/>
                <w:color w:val="auto"/>
                <w:sz w:val="24"/>
                <w:szCs w:val="24"/>
              </w:rPr>
              <w:t>分，一般</w:t>
            </w:r>
            <w:r>
              <w:rPr>
                <w:rFonts w:hint="eastAsia"/>
                <w:b/>
                <w:bCs/>
                <w:color w:val="auto"/>
                <w:sz w:val="24"/>
                <w:szCs w:val="24"/>
                <w:lang w:val="en-US"/>
              </w:rPr>
              <w:t>0</w:t>
            </w:r>
            <w:r>
              <w:rPr>
                <w:rFonts w:hint="eastAsia"/>
                <w:b/>
                <w:bCs/>
                <w:color w:val="auto"/>
                <w:sz w:val="24"/>
                <w:szCs w:val="24"/>
              </w:rPr>
              <w:t>-</w:t>
            </w:r>
            <w:r>
              <w:rPr>
                <w:rFonts w:hint="eastAsia"/>
                <w:b/>
                <w:bCs/>
                <w:color w:val="auto"/>
                <w:sz w:val="24"/>
                <w:szCs w:val="24"/>
                <w:lang w:val="en-US"/>
              </w:rPr>
              <w:t>6</w:t>
            </w:r>
            <w:r>
              <w:rPr>
                <w:rFonts w:hint="eastAsia"/>
                <w:b/>
                <w:bCs/>
                <w:color w:val="auto"/>
                <w:sz w:val="24"/>
                <w:szCs w:val="24"/>
              </w:rPr>
              <w:t>分。</w:t>
            </w:r>
          </w:p>
        </w:tc>
      </w:tr>
      <w:tr w14:paraId="54D6B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continue"/>
            <w:noWrap w:val="0"/>
            <w:vAlign w:val="center"/>
          </w:tcPr>
          <w:p w14:paraId="3AD1580A">
            <w:pPr>
              <w:spacing w:line="400" w:lineRule="exact"/>
              <w:rPr>
                <w:b/>
                <w:bCs/>
                <w:color w:val="auto"/>
                <w:sz w:val="24"/>
                <w:szCs w:val="24"/>
              </w:rPr>
            </w:pPr>
          </w:p>
        </w:tc>
        <w:tc>
          <w:tcPr>
            <w:tcW w:w="667" w:type="dxa"/>
            <w:vMerge w:val="continue"/>
            <w:noWrap w:val="0"/>
            <w:vAlign w:val="center"/>
          </w:tcPr>
          <w:p w14:paraId="5EC47313">
            <w:pPr>
              <w:spacing w:line="400" w:lineRule="exact"/>
              <w:rPr>
                <w:b/>
                <w:bCs/>
                <w:color w:val="auto"/>
                <w:sz w:val="24"/>
                <w:szCs w:val="24"/>
              </w:rPr>
            </w:pPr>
          </w:p>
        </w:tc>
        <w:tc>
          <w:tcPr>
            <w:tcW w:w="1200" w:type="dxa"/>
            <w:vMerge w:val="continue"/>
            <w:noWrap w:val="0"/>
            <w:vAlign w:val="center"/>
          </w:tcPr>
          <w:p w14:paraId="5155A3DC">
            <w:pPr>
              <w:spacing w:line="400" w:lineRule="exact"/>
              <w:rPr>
                <w:b/>
                <w:bCs/>
                <w:color w:val="auto"/>
                <w:sz w:val="24"/>
                <w:szCs w:val="24"/>
              </w:rPr>
            </w:pPr>
          </w:p>
        </w:tc>
        <w:tc>
          <w:tcPr>
            <w:tcW w:w="1253" w:type="dxa"/>
            <w:noWrap w:val="0"/>
            <w:vAlign w:val="center"/>
          </w:tcPr>
          <w:p w14:paraId="60EFD27F">
            <w:pPr>
              <w:pStyle w:val="6"/>
              <w:spacing w:line="400" w:lineRule="exact"/>
              <w:jc w:val="center"/>
              <w:rPr>
                <w:b/>
                <w:bCs/>
                <w:color w:val="auto"/>
                <w:sz w:val="24"/>
                <w:szCs w:val="24"/>
              </w:rPr>
            </w:pPr>
            <w:r>
              <w:rPr>
                <w:rFonts w:hint="eastAsia"/>
                <w:b/>
                <w:bCs/>
                <w:color w:val="auto"/>
                <w:sz w:val="24"/>
                <w:szCs w:val="24"/>
                <w:lang w:val="en-US" w:eastAsia="zh-CN"/>
              </w:rPr>
              <w:t>设计</w:t>
            </w:r>
            <w:r>
              <w:rPr>
                <w:b/>
                <w:bCs/>
                <w:color w:val="auto"/>
                <w:sz w:val="24"/>
                <w:szCs w:val="24"/>
              </w:rPr>
              <w:t>的质量保证措施、进度保证措施、安全保证措施</w:t>
            </w:r>
          </w:p>
        </w:tc>
        <w:tc>
          <w:tcPr>
            <w:tcW w:w="709" w:type="dxa"/>
            <w:noWrap w:val="0"/>
            <w:vAlign w:val="center"/>
          </w:tcPr>
          <w:p w14:paraId="78F42D33">
            <w:pPr>
              <w:pStyle w:val="6"/>
              <w:spacing w:line="400" w:lineRule="exact"/>
              <w:jc w:val="center"/>
              <w:rPr>
                <w:b/>
                <w:bCs/>
                <w:color w:val="auto"/>
                <w:sz w:val="24"/>
                <w:szCs w:val="24"/>
              </w:rPr>
            </w:pPr>
            <w:r>
              <w:rPr>
                <w:b/>
                <w:bCs/>
                <w:color w:val="auto"/>
                <w:sz w:val="24"/>
                <w:szCs w:val="24"/>
              </w:rPr>
              <w:t>10</w:t>
            </w:r>
            <w:r>
              <w:rPr>
                <w:rFonts w:hint="eastAsia"/>
                <w:b/>
                <w:bCs/>
                <w:color w:val="auto"/>
                <w:sz w:val="24"/>
                <w:szCs w:val="24"/>
              </w:rPr>
              <w:t>分</w:t>
            </w:r>
          </w:p>
        </w:tc>
        <w:tc>
          <w:tcPr>
            <w:tcW w:w="4881" w:type="dxa"/>
            <w:noWrap w:val="0"/>
            <w:vAlign w:val="center"/>
          </w:tcPr>
          <w:p w14:paraId="7B6856D3">
            <w:pPr>
              <w:pStyle w:val="6"/>
              <w:spacing w:line="400" w:lineRule="exact"/>
              <w:rPr>
                <w:b/>
                <w:bCs/>
                <w:color w:val="auto"/>
                <w:sz w:val="24"/>
                <w:szCs w:val="24"/>
              </w:rPr>
            </w:pPr>
            <w:r>
              <w:rPr>
                <w:rFonts w:hint="eastAsia"/>
                <w:b/>
                <w:bCs/>
                <w:color w:val="auto"/>
                <w:sz w:val="24"/>
                <w:szCs w:val="24"/>
              </w:rPr>
              <w:t>有针对本项目的的质量保证措施、进度保证措施、安全保证措施，有针对性和操作性。</w:t>
            </w:r>
          </w:p>
          <w:p w14:paraId="698EB413">
            <w:pPr>
              <w:pStyle w:val="6"/>
              <w:spacing w:line="400" w:lineRule="exact"/>
              <w:rPr>
                <w:b/>
                <w:bCs/>
                <w:color w:val="auto"/>
                <w:sz w:val="24"/>
                <w:szCs w:val="24"/>
              </w:rPr>
            </w:pPr>
            <w:r>
              <w:rPr>
                <w:rFonts w:hint="eastAsia"/>
                <w:b/>
                <w:bCs/>
                <w:color w:val="auto"/>
                <w:sz w:val="24"/>
                <w:szCs w:val="24"/>
              </w:rPr>
              <w:t>好</w:t>
            </w:r>
            <w:r>
              <w:rPr>
                <w:rFonts w:hint="eastAsia"/>
                <w:b/>
                <w:bCs/>
                <w:color w:val="auto"/>
                <w:sz w:val="24"/>
                <w:szCs w:val="24"/>
                <w:lang w:val="en-US"/>
              </w:rPr>
              <w:t>8</w:t>
            </w:r>
            <w:r>
              <w:rPr>
                <w:rFonts w:hint="eastAsia"/>
                <w:b/>
                <w:bCs/>
                <w:color w:val="auto"/>
                <w:sz w:val="24"/>
                <w:szCs w:val="24"/>
              </w:rPr>
              <w:t>-10分，较好</w:t>
            </w:r>
            <w:r>
              <w:rPr>
                <w:rFonts w:hint="eastAsia"/>
                <w:b/>
                <w:bCs/>
                <w:color w:val="auto"/>
                <w:sz w:val="24"/>
                <w:szCs w:val="24"/>
                <w:lang w:val="en-US"/>
              </w:rPr>
              <w:t>6</w:t>
            </w:r>
            <w:r>
              <w:rPr>
                <w:rFonts w:hint="eastAsia"/>
                <w:b/>
                <w:bCs/>
                <w:color w:val="auto"/>
                <w:sz w:val="24"/>
                <w:szCs w:val="24"/>
              </w:rPr>
              <w:t>-</w:t>
            </w:r>
            <w:r>
              <w:rPr>
                <w:rFonts w:hint="eastAsia"/>
                <w:b/>
                <w:bCs/>
                <w:color w:val="auto"/>
                <w:sz w:val="24"/>
                <w:szCs w:val="24"/>
                <w:lang w:val="en-US"/>
              </w:rPr>
              <w:t>8</w:t>
            </w:r>
            <w:r>
              <w:rPr>
                <w:rFonts w:hint="eastAsia"/>
                <w:b/>
                <w:bCs/>
                <w:color w:val="auto"/>
                <w:sz w:val="24"/>
                <w:szCs w:val="24"/>
              </w:rPr>
              <w:t>分，一般</w:t>
            </w:r>
            <w:r>
              <w:rPr>
                <w:rFonts w:hint="eastAsia"/>
                <w:b/>
                <w:bCs/>
                <w:color w:val="auto"/>
                <w:sz w:val="24"/>
                <w:szCs w:val="24"/>
                <w:lang w:val="en-US"/>
              </w:rPr>
              <w:t>0</w:t>
            </w:r>
            <w:r>
              <w:rPr>
                <w:rFonts w:hint="eastAsia"/>
                <w:b/>
                <w:bCs/>
                <w:color w:val="auto"/>
                <w:sz w:val="24"/>
                <w:szCs w:val="24"/>
              </w:rPr>
              <w:t>-</w:t>
            </w:r>
            <w:r>
              <w:rPr>
                <w:rFonts w:hint="eastAsia"/>
                <w:b/>
                <w:bCs/>
                <w:color w:val="auto"/>
                <w:sz w:val="24"/>
                <w:szCs w:val="24"/>
                <w:lang w:val="en-US"/>
              </w:rPr>
              <w:t>6</w:t>
            </w:r>
            <w:r>
              <w:rPr>
                <w:rFonts w:hint="eastAsia"/>
                <w:b/>
                <w:bCs/>
                <w:color w:val="auto"/>
                <w:sz w:val="24"/>
                <w:szCs w:val="24"/>
              </w:rPr>
              <w:t>分。</w:t>
            </w:r>
          </w:p>
        </w:tc>
      </w:tr>
      <w:tr w14:paraId="52B12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continue"/>
            <w:noWrap w:val="0"/>
            <w:vAlign w:val="center"/>
          </w:tcPr>
          <w:p w14:paraId="2302B8BB">
            <w:pPr>
              <w:spacing w:line="400" w:lineRule="exact"/>
              <w:rPr>
                <w:b/>
                <w:bCs/>
                <w:color w:val="auto"/>
                <w:sz w:val="24"/>
                <w:szCs w:val="24"/>
              </w:rPr>
            </w:pPr>
          </w:p>
        </w:tc>
        <w:tc>
          <w:tcPr>
            <w:tcW w:w="667" w:type="dxa"/>
            <w:vMerge w:val="continue"/>
            <w:noWrap w:val="0"/>
            <w:vAlign w:val="center"/>
          </w:tcPr>
          <w:p w14:paraId="341F2C99">
            <w:pPr>
              <w:spacing w:line="400" w:lineRule="exact"/>
              <w:rPr>
                <w:b/>
                <w:bCs/>
                <w:color w:val="auto"/>
                <w:sz w:val="24"/>
                <w:szCs w:val="24"/>
              </w:rPr>
            </w:pPr>
          </w:p>
        </w:tc>
        <w:tc>
          <w:tcPr>
            <w:tcW w:w="1200" w:type="dxa"/>
            <w:vMerge w:val="continue"/>
            <w:noWrap w:val="0"/>
            <w:vAlign w:val="center"/>
          </w:tcPr>
          <w:p w14:paraId="187BB2D4">
            <w:pPr>
              <w:spacing w:line="400" w:lineRule="exact"/>
              <w:rPr>
                <w:b/>
                <w:bCs/>
                <w:color w:val="auto"/>
                <w:sz w:val="24"/>
                <w:szCs w:val="24"/>
              </w:rPr>
            </w:pPr>
          </w:p>
        </w:tc>
        <w:tc>
          <w:tcPr>
            <w:tcW w:w="1253" w:type="dxa"/>
            <w:noWrap w:val="0"/>
            <w:vAlign w:val="center"/>
          </w:tcPr>
          <w:p w14:paraId="50312888">
            <w:pPr>
              <w:pStyle w:val="6"/>
              <w:spacing w:line="400" w:lineRule="exact"/>
              <w:jc w:val="center"/>
              <w:rPr>
                <w:rFonts w:hint="eastAsia"/>
                <w:b/>
                <w:bCs/>
                <w:color w:val="auto"/>
                <w:sz w:val="24"/>
                <w:szCs w:val="24"/>
              </w:rPr>
            </w:pPr>
            <w:r>
              <w:rPr>
                <w:b/>
                <w:bCs/>
                <w:color w:val="auto"/>
                <w:sz w:val="24"/>
                <w:szCs w:val="24"/>
              </w:rPr>
              <w:t>后续服务的安排及保证措施</w:t>
            </w:r>
          </w:p>
        </w:tc>
        <w:tc>
          <w:tcPr>
            <w:tcW w:w="709" w:type="dxa"/>
            <w:noWrap w:val="0"/>
            <w:vAlign w:val="center"/>
          </w:tcPr>
          <w:p w14:paraId="6543B11A">
            <w:pPr>
              <w:pStyle w:val="6"/>
              <w:spacing w:line="400" w:lineRule="exact"/>
              <w:jc w:val="center"/>
              <w:rPr>
                <w:b/>
                <w:bCs/>
                <w:color w:val="auto"/>
                <w:sz w:val="24"/>
                <w:szCs w:val="24"/>
              </w:rPr>
            </w:pPr>
            <w:r>
              <w:rPr>
                <w:rFonts w:hint="eastAsia"/>
                <w:b/>
                <w:bCs/>
                <w:color w:val="auto"/>
                <w:sz w:val="24"/>
                <w:szCs w:val="24"/>
                <w:lang w:val="en-US"/>
              </w:rPr>
              <w:t>5</w:t>
            </w:r>
            <w:r>
              <w:rPr>
                <w:rFonts w:hint="eastAsia"/>
                <w:b/>
                <w:bCs/>
                <w:color w:val="auto"/>
                <w:sz w:val="24"/>
                <w:szCs w:val="24"/>
              </w:rPr>
              <w:t>分</w:t>
            </w:r>
          </w:p>
        </w:tc>
        <w:tc>
          <w:tcPr>
            <w:tcW w:w="4881" w:type="dxa"/>
            <w:noWrap w:val="0"/>
            <w:vAlign w:val="center"/>
          </w:tcPr>
          <w:p w14:paraId="080CA327">
            <w:pPr>
              <w:pStyle w:val="6"/>
              <w:spacing w:line="400" w:lineRule="exact"/>
              <w:rPr>
                <w:rFonts w:hint="eastAsia"/>
                <w:b/>
                <w:bCs/>
                <w:color w:val="auto"/>
                <w:sz w:val="24"/>
                <w:szCs w:val="24"/>
              </w:rPr>
            </w:pPr>
            <w:r>
              <w:rPr>
                <w:rFonts w:hint="eastAsia"/>
                <w:b/>
                <w:bCs/>
                <w:color w:val="auto"/>
                <w:sz w:val="24"/>
                <w:szCs w:val="24"/>
              </w:rPr>
              <w:t>后续服务安排合理可行，响应业主各个阶段的要求，及时处理建设过程中出现的有关问题，且有针对本项目的后续服务保证措施并且切实可行。</w:t>
            </w:r>
          </w:p>
          <w:p w14:paraId="4A129714">
            <w:pPr>
              <w:pStyle w:val="6"/>
              <w:spacing w:line="400" w:lineRule="exact"/>
              <w:rPr>
                <w:b/>
                <w:bCs/>
                <w:color w:val="auto"/>
                <w:sz w:val="24"/>
                <w:szCs w:val="24"/>
              </w:rPr>
            </w:pPr>
            <w:r>
              <w:rPr>
                <w:rFonts w:hint="eastAsia"/>
                <w:b/>
                <w:bCs/>
                <w:color w:val="auto"/>
                <w:sz w:val="24"/>
                <w:szCs w:val="24"/>
              </w:rPr>
              <w:t>好4-5分，较好</w:t>
            </w:r>
            <w:r>
              <w:rPr>
                <w:rFonts w:hint="eastAsia"/>
                <w:b/>
                <w:bCs/>
                <w:color w:val="auto"/>
                <w:sz w:val="24"/>
                <w:szCs w:val="24"/>
                <w:lang w:val="en-US"/>
              </w:rPr>
              <w:t>3</w:t>
            </w:r>
            <w:r>
              <w:rPr>
                <w:rFonts w:hint="eastAsia"/>
                <w:b/>
                <w:bCs/>
                <w:color w:val="auto"/>
                <w:sz w:val="24"/>
                <w:szCs w:val="24"/>
              </w:rPr>
              <w:t>-</w:t>
            </w:r>
            <w:r>
              <w:rPr>
                <w:rFonts w:hint="eastAsia"/>
                <w:b/>
                <w:bCs/>
                <w:color w:val="auto"/>
                <w:sz w:val="24"/>
                <w:szCs w:val="24"/>
                <w:lang w:val="en-US"/>
              </w:rPr>
              <w:t>4</w:t>
            </w:r>
            <w:r>
              <w:rPr>
                <w:rFonts w:hint="eastAsia"/>
                <w:b/>
                <w:bCs/>
                <w:color w:val="auto"/>
                <w:sz w:val="24"/>
                <w:szCs w:val="24"/>
              </w:rPr>
              <w:t>分，一般</w:t>
            </w:r>
            <w:r>
              <w:rPr>
                <w:rFonts w:hint="eastAsia"/>
                <w:b/>
                <w:bCs/>
                <w:color w:val="auto"/>
                <w:sz w:val="24"/>
                <w:szCs w:val="24"/>
                <w:lang w:val="en-US"/>
              </w:rPr>
              <w:t>0</w:t>
            </w:r>
            <w:r>
              <w:rPr>
                <w:rFonts w:hint="eastAsia"/>
                <w:b/>
                <w:bCs/>
                <w:color w:val="auto"/>
                <w:sz w:val="24"/>
                <w:szCs w:val="24"/>
              </w:rPr>
              <w:t>-</w:t>
            </w:r>
            <w:r>
              <w:rPr>
                <w:rFonts w:hint="eastAsia"/>
                <w:b/>
                <w:bCs/>
                <w:color w:val="auto"/>
                <w:sz w:val="24"/>
                <w:szCs w:val="24"/>
                <w:lang w:val="en-US"/>
              </w:rPr>
              <w:t>3</w:t>
            </w:r>
            <w:r>
              <w:rPr>
                <w:rFonts w:hint="eastAsia"/>
                <w:b/>
                <w:bCs/>
                <w:color w:val="auto"/>
                <w:sz w:val="24"/>
                <w:szCs w:val="24"/>
              </w:rPr>
              <w:t>分。</w:t>
            </w:r>
          </w:p>
        </w:tc>
      </w:tr>
      <w:tr w14:paraId="10F37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restart"/>
            <w:noWrap w:val="0"/>
            <w:vAlign w:val="center"/>
          </w:tcPr>
          <w:p w14:paraId="726374F7">
            <w:pPr>
              <w:pStyle w:val="6"/>
              <w:spacing w:line="400" w:lineRule="exact"/>
              <w:jc w:val="center"/>
              <w:rPr>
                <w:b/>
                <w:bCs/>
                <w:color w:val="auto"/>
                <w:sz w:val="24"/>
                <w:szCs w:val="24"/>
              </w:rPr>
            </w:pPr>
            <w:r>
              <w:rPr>
                <w:b/>
                <w:bCs/>
                <w:color w:val="auto"/>
                <w:sz w:val="24"/>
                <w:szCs w:val="24"/>
              </w:rPr>
              <w:t>2.2.4（2）</w:t>
            </w:r>
          </w:p>
        </w:tc>
        <w:tc>
          <w:tcPr>
            <w:tcW w:w="667" w:type="dxa"/>
            <w:vMerge w:val="restart"/>
            <w:noWrap w:val="0"/>
            <w:vAlign w:val="center"/>
          </w:tcPr>
          <w:p w14:paraId="40D719E6">
            <w:pPr>
              <w:pStyle w:val="6"/>
              <w:spacing w:line="400" w:lineRule="exact"/>
              <w:jc w:val="center"/>
              <w:rPr>
                <w:b/>
                <w:bCs/>
                <w:color w:val="auto"/>
                <w:sz w:val="24"/>
                <w:szCs w:val="24"/>
              </w:rPr>
            </w:pPr>
            <w:r>
              <w:rPr>
                <w:b/>
                <w:bCs/>
                <w:color w:val="auto"/>
                <w:sz w:val="24"/>
                <w:szCs w:val="24"/>
              </w:rPr>
              <w:t>主要人员</w:t>
            </w:r>
          </w:p>
        </w:tc>
        <w:tc>
          <w:tcPr>
            <w:tcW w:w="1200" w:type="dxa"/>
            <w:vMerge w:val="restart"/>
            <w:noWrap w:val="0"/>
            <w:vAlign w:val="center"/>
          </w:tcPr>
          <w:p w14:paraId="5F8B1361">
            <w:pPr>
              <w:pStyle w:val="6"/>
              <w:tabs>
                <w:tab w:val="left" w:pos="665"/>
              </w:tabs>
              <w:spacing w:line="400" w:lineRule="exact"/>
              <w:jc w:val="center"/>
              <w:rPr>
                <w:b/>
                <w:bCs/>
                <w:color w:val="auto"/>
                <w:sz w:val="24"/>
                <w:szCs w:val="24"/>
              </w:rPr>
            </w:pPr>
            <w:r>
              <w:rPr>
                <w:rFonts w:hint="eastAsia"/>
                <w:b/>
                <w:bCs/>
                <w:color w:val="auto"/>
                <w:sz w:val="24"/>
                <w:szCs w:val="24"/>
                <w:lang w:val="en-US"/>
              </w:rPr>
              <w:t>20</w:t>
            </w:r>
            <w:r>
              <w:rPr>
                <w:b/>
                <w:bCs/>
                <w:color w:val="auto"/>
                <w:sz w:val="24"/>
                <w:szCs w:val="24"/>
              </w:rPr>
              <w:t>分</w:t>
            </w:r>
          </w:p>
        </w:tc>
        <w:tc>
          <w:tcPr>
            <w:tcW w:w="1253" w:type="dxa"/>
            <w:noWrap w:val="0"/>
            <w:vAlign w:val="center"/>
          </w:tcPr>
          <w:p w14:paraId="278289A2">
            <w:pPr>
              <w:pStyle w:val="6"/>
              <w:spacing w:line="400" w:lineRule="exact"/>
              <w:jc w:val="center"/>
              <w:rPr>
                <w:rFonts w:hint="eastAsia"/>
                <w:b/>
                <w:bCs/>
                <w:color w:val="auto"/>
                <w:sz w:val="24"/>
                <w:szCs w:val="24"/>
                <w:highlight w:val="none"/>
              </w:rPr>
            </w:pPr>
            <w:r>
              <w:rPr>
                <w:b/>
                <w:bCs/>
                <w:color w:val="auto"/>
                <w:sz w:val="24"/>
                <w:szCs w:val="24"/>
                <w:highlight w:val="none"/>
              </w:rPr>
              <w:t>项目负责人任职资格与业绩</w:t>
            </w:r>
          </w:p>
        </w:tc>
        <w:tc>
          <w:tcPr>
            <w:tcW w:w="709" w:type="dxa"/>
            <w:noWrap w:val="0"/>
            <w:vAlign w:val="center"/>
          </w:tcPr>
          <w:p w14:paraId="740892FB">
            <w:pPr>
              <w:pStyle w:val="6"/>
              <w:spacing w:line="400" w:lineRule="exact"/>
              <w:jc w:val="center"/>
              <w:rPr>
                <w:b/>
                <w:bCs/>
                <w:color w:val="auto"/>
                <w:sz w:val="24"/>
                <w:szCs w:val="24"/>
                <w:highlight w:val="none"/>
              </w:rPr>
            </w:pPr>
            <w:r>
              <w:rPr>
                <w:rFonts w:hint="eastAsia"/>
                <w:b/>
                <w:bCs/>
                <w:color w:val="auto"/>
                <w:sz w:val="24"/>
                <w:szCs w:val="24"/>
                <w:highlight w:val="none"/>
                <w:lang w:val="en-US" w:eastAsia="zh-CN"/>
              </w:rPr>
              <w:t>1</w:t>
            </w:r>
            <w:r>
              <w:rPr>
                <w:b/>
                <w:bCs/>
                <w:color w:val="auto"/>
                <w:sz w:val="24"/>
                <w:szCs w:val="24"/>
                <w:highlight w:val="none"/>
              </w:rPr>
              <w:t>0</w:t>
            </w:r>
            <w:r>
              <w:rPr>
                <w:rFonts w:hint="eastAsia"/>
                <w:b/>
                <w:bCs/>
                <w:color w:val="auto"/>
                <w:sz w:val="24"/>
                <w:szCs w:val="24"/>
                <w:highlight w:val="none"/>
              </w:rPr>
              <w:t>分</w:t>
            </w:r>
          </w:p>
        </w:tc>
        <w:tc>
          <w:tcPr>
            <w:tcW w:w="4881" w:type="dxa"/>
            <w:noWrap w:val="0"/>
            <w:vAlign w:val="center"/>
          </w:tcPr>
          <w:p w14:paraId="5ECFEB28">
            <w:pPr>
              <w:pStyle w:val="6"/>
              <w:spacing w:line="400" w:lineRule="exact"/>
              <w:rPr>
                <w:rFonts w:hint="eastAsia"/>
                <w:b/>
                <w:bCs/>
                <w:color w:val="auto"/>
                <w:sz w:val="24"/>
                <w:szCs w:val="24"/>
                <w:highlight w:val="none"/>
              </w:rPr>
            </w:pPr>
            <w:r>
              <w:rPr>
                <w:rFonts w:hint="eastAsia"/>
                <w:b/>
                <w:bCs/>
                <w:color w:val="auto"/>
                <w:sz w:val="24"/>
                <w:szCs w:val="24"/>
                <w:highlight w:val="none"/>
              </w:rPr>
              <w:t>①满足最低要求得</w:t>
            </w:r>
            <w:r>
              <w:rPr>
                <w:rFonts w:hint="eastAsia"/>
                <w:b/>
                <w:bCs/>
                <w:color w:val="auto"/>
                <w:sz w:val="24"/>
                <w:szCs w:val="24"/>
                <w:highlight w:val="none"/>
                <w:lang w:val="en-US" w:eastAsia="zh-CN"/>
              </w:rPr>
              <w:t>6</w:t>
            </w:r>
            <w:r>
              <w:rPr>
                <w:rFonts w:hint="eastAsia"/>
                <w:b/>
                <w:bCs/>
                <w:color w:val="auto"/>
                <w:sz w:val="24"/>
                <w:szCs w:val="24"/>
                <w:highlight w:val="none"/>
              </w:rPr>
              <w:t>分；</w:t>
            </w:r>
          </w:p>
          <w:p w14:paraId="6CB7C5BF">
            <w:pPr>
              <w:pStyle w:val="6"/>
              <w:spacing w:line="400" w:lineRule="exact"/>
              <w:rPr>
                <w:rFonts w:hint="eastAsia"/>
                <w:b/>
                <w:bCs/>
                <w:color w:val="auto"/>
                <w:sz w:val="24"/>
                <w:szCs w:val="24"/>
                <w:highlight w:val="none"/>
              </w:rPr>
            </w:pPr>
            <w:r>
              <w:rPr>
                <w:rFonts w:hint="eastAsia"/>
                <w:b/>
                <w:bCs/>
                <w:color w:val="auto"/>
                <w:sz w:val="24"/>
                <w:szCs w:val="24"/>
                <w:highlight w:val="none"/>
              </w:rPr>
              <w:t>②每增加1项公路工程设计项目业绩</w:t>
            </w:r>
            <w:r>
              <w:rPr>
                <w:rFonts w:hint="eastAsia"/>
                <w:b/>
                <w:bCs/>
                <w:color w:val="auto"/>
                <w:sz w:val="24"/>
                <w:szCs w:val="24"/>
                <w:highlight w:val="none"/>
                <w:lang w:eastAsia="zh-CN"/>
              </w:rPr>
              <w:t>（</w:t>
            </w:r>
            <w:r>
              <w:rPr>
                <w:rFonts w:hint="eastAsia"/>
                <w:b/>
                <w:bCs/>
                <w:color w:val="auto"/>
                <w:sz w:val="24"/>
                <w:szCs w:val="24"/>
                <w:highlight w:val="none"/>
                <w:lang w:val="en-US" w:eastAsia="zh-CN"/>
              </w:rPr>
              <w:t>项目负责人或分项负责人</w:t>
            </w:r>
            <w:r>
              <w:rPr>
                <w:rFonts w:hint="eastAsia"/>
                <w:b/>
                <w:bCs/>
                <w:color w:val="auto"/>
                <w:sz w:val="24"/>
                <w:szCs w:val="24"/>
                <w:highlight w:val="none"/>
                <w:lang w:eastAsia="zh-CN"/>
              </w:rPr>
              <w:t>）</w:t>
            </w:r>
            <w:r>
              <w:rPr>
                <w:rFonts w:hint="eastAsia"/>
                <w:b/>
                <w:bCs/>
                <w:color w:val="auto"/>
                <w:sz w:val="24"/>
                <w:szCs w:val="24"/>
                <w:highlight w:val="none"/>
              </w:rPr>
              <w:t>的加</w:t>
            </w:r>
            <w:r>
              <w:rPr>
                <w:rFonts w:hint="eastAsia"/>
                <w:b/>
                <w:bCs/>
                <w:color w:val="auto"/>
                <w:sz w:val="24"/>
                <w:szCs w:val="24"/>
                <w:highlight w:val="none"/>
                <w:lang w:val="en-US" w:eastAsia="zh-CN"/>
              </w:rPr>
              <w:t>4</w:t>
            </w:r>
            <w:r>
              <w:rPr>
                <w:rFonts w:hint="eastAsia"/>
                <w:b/>
                <w:bCs/>
                <w:color w:val="auto"/>
                <w:sz w:val="24"/>
                <w:szCs w:val="24"/>
                <w:highlight w:val="none"/>
              </w:rPr>
              <w:t>分，最多加</w:t>
            </w:r>
            <w:r>
              <w:rPr>
                <w:rFonts w:hint="eastAsia"/>
                <w:b/>
                <w:bCs/>
                <w:color w:val="auto"/>
                <w:sz w:val="24"/>
                <w:szCs w:val="24"/>
                <w:highlight w:val="none"/>
                <w:lang w:val="en-US" w:eastAsia="zh-CN"/>
              </w:rPr>
              <w:t>4</w:t>
            </w:r>
            <w:r>
              <w:rPr>
                <w:rFonts w:hint="eastAsia"/>
                <w:b/>
                <w:bCs/>
                <w:color w:val="auto"/>
                <w:sz w:val="24"/>
                <w:szCs w:val="24"/>
                <w:highlight w:val="none"/>
              </w:rPr>
              <w:t>分。</w:t>
            </w:r>
          </w:p>
        </w:tc>
      </w:tr>
      <w:tr w14:paraId="0835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continue"/>
            <w:noWrap w:val="0"/>
            <w:vAlign w:val="center"/>
          </w:tcPr>
          <w:p w14:paraId="4D265839">
            <w:pPr>
              <w:pStyle w:val="6"/>
              <w:spacing w:line="400" w:lineRule="exact"/>
              <w:jc w:val="center"/>
              <w:rPr>
                <w:b/>
                <w:bCs/>
                <w:color w:val="auto"/>
                <w:sz w:val="24"/>
                <w:szCs w:val="24"/>
              </w:rPr>
            </w:pPr>
          </w:p>
        </w:tc>
        <w:tc>
          <w:tcPr>
            <w:tcW w:w="667" w:type="dxa"/>
            <w:vMerge w:val="continue"/>
            <w:noWrap w:val="0"/>
            <w:vAlign w:val="center"/>
          </w:tcPr>
          <w:p w14:paraId="105C43E0">
            <w:pPr>
              <w:pStyle w:val="6"/>
              <w:spacing w:line="400" w:lineRule="exact"/>
              <w:jc w:val="center"/>
              <w:rPr>
                <w:b/>
                <w:bCs/>
                <w:color w:val="auto"/>
                <w:sz w:val="24"/>
                <w:szCs w:val="24"/>
              </w:rPr>
            </w:pPr>
          </w:p>
        </w:tc>
        <w:tc>
          <w:tcPr>
            <w:tcW w:w="1200" w:type="dxa"/>
            <w:vMerge w:val="continue"/>
            <w:noWrap w:val="0"/>
            <w:vAlign w:val="center"/>
          </w:tcPr>
          <w:p w14:paraId="69269F7B">
            <w:pPr>
              <w:pStyle w:val="6"/>
              <w:tabs>
                <w:tab w:val="left" w:pos="665"/>
              </w:tabs>
              <w:spacing w:line="400" w:lineRule="exact"/>
              <w:jc w:val="center"/>
              <w:rPr>
                <w:rFonts w:hint="eastAsia"/>
                <w:b/>
                <w:bCs/>
                <w:color w:val="auto"/>
                <w:sz w:val="24"/>
                <w:szCs w:val="24"/>
                <w:lang w:val="en-US"/>
              </w:rPr>
            </w:pPr>
          </w:p>
        </w:tc>
        <w:tc>
          <w:tcPr>
            <w:tcW w:w="1253" w:type="dxa"/>
            <w:noWrap w:val="0"/>
            <w:vAlign w:val="center"/>
          </w:tcPr>
          <w:p w14:paraId="0A2AAFB4">
            <w:pPr>
              <w:pStyle w:val="6"/>
              <w:spacing w:line="400" w:lineRule="exact"/>
              <w:jc w:val="center"/>
              <w:rPr>
                <w:b/>
                <w:bCs/>
                <w:color w:val="auto"/>
                <w:sz w:val="24"/>
                <w:szCs w:val="24"/>
                <w:highlight w:val="none"/>
              </w:rPr>
            </w:pPr>
            <w:r>
              <w:rPr>
                <w:rFonts w:hint="eastAsia"/>
                <w:b/>
                <w:bCs/>
                <w:color w:val="auto"/>
                <w:sz w:val="24"/>
                <w:szCs w:val="24"/>
                <w:highlight w:val="none"/>
              </w:rPr>
              <w:t>路面设计分项负责人</w:t>
            </w:r>
            <w:r>
              <w:rPr>
                <w:b/>
                <w:bCs/>
                <w:color w:val="auto"/>
                <w:sz w:val="24"/>
                <w:szCs w:val="24"/>
                <w:highlight w:val="none"/>
              </w:rPr>
              <w:t>任职资格与业绩</w:t>
            </w:r>
          </w:p>
        </w:tc>
        <w:tc>
          <w:tcPr>
            <w:tcW w:w="709" w:type="dxa"/>
            <w:noWrap w:val="0"/>
            <w:vAlign w:val="center"/>
          </w:tcPr>
          <w:p w14:paraId="6DE00307">
            <w:pPr>
              <w:pStyle w:val="6"/>
              <w:spacing w:line="400" w:lineRule="exact"/>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5</w:t>
            </w:r>
            <w:r>
              <w:rPr>
                <w:rFonts w:hint="eastAsia"/>
                <w:b/>
                <w:bCs/>
                <w:color w:val="auto"/>
                <w:sz w:val="24"/>
                <w:szCs w:val="24"/>
                <w:highlight w:val="none"/>
              </w:rPr>
              <w:t>分</w:t>
            </w:r>
          </w:p>
        </w:tc>
        <w:tc>
          <w:tcPr>
            <w:tcW w:w="4881" w:type="dxa"/>
            <w:noWrap w:val="0"/>
            <w:vAlign w:val="center"/>
          </w:tcPr>
          <w:p w14:paraId="7F90D488">
            <w:pPr>
              <w:pStyle w:val="6"/>
              <w:spacing w:line="400" w:lineRule="exact"/>
              <w:rPr>
                <w:rFonts w:hint="eastAsia"/>
                <w:b/>
                <w:bCs/>
                <w:color w:val="auto"/>
                <w:sz w:val="24"/>
                <w:szCs w:val="24"/>
                <w:highlight w:val="none"/>
              </w:rPr>
            </w:pPr>
            <w:r>
              <w:rPr>
                <w:rFonts w:hint="eastAsia"/>
                <w:b/>
                <w:bCs/>
                <w:color w:val="auto"/>
                <w:sz w:val="24"/>
                <w:szCs w:val="24"/>
                <w:highlight w:val="none"/>
              </w:rPr>
              <w:t>①满足最低要求得</w:t>
            </w:r>
            <w:r>
              <w:rPr>
                <w:rFonts w:hint="eastAsia"/>
                <w:b/>
                <w:bCs/>
                <w:color w:val="auto"/>
                <w:sz w:val="24"/>
                <w:szCs w:val="24"/>
                <w:highlight w:val="none"/>
                <w:lang w:val="en-US" w:eastAsia="zh-CN"/>
              </w:rPr>
              <w:t>3</w:t>
            </w:r>
            <w:r>
              <w:rPr>
                <w:rFonts w:hint="eastAsia"/>
                <w:b/>
                <w:bCs/>
                <w:color w:val="auto"/>
                <w:sz w:val="24"/>
                <w:szCs w:val="24"/>
                <w:highlight w:val="none"/>
              </w:rPr>
              <w:t>分；</w:t>
            </w:r>
          </w:p>
          <w:p w14:paraId="3EEF70C2">
            <w:pPr>
              <w:pStyle w:val="6"/>
              <w:spacing w:line="400" w:lineRule="exact"/>
              <w:rPr>
                <w:rFonts w:hint="eastAsia"/>
                <w:b/>
                <w:bCs/>
                <w:color w:val="auto"/>
                <w:sz w:val="24"/>
                <w:szCs w:val="24"/>
                <w:highlight w:val="none"/>
              </w:rPr>
            </w:pPr>
            <w:r>
              <w:rPr>
                <w:rFonts w:hint="eastAsia"/>
                <w:b/>
                <w:bCs/>
                <w:color w:val="auto"/>
                <w:sz w:val="24"/>
                <w:szCs w:val="24"/>
                <w:highlight w:val="none"/>
              </w:rPr>
              <w:t>②每增加1项公路工程设计项目业绩</w:t>
            </w:r>
            <w:r>
              <w:rPr>
                <w:rFonts w:hint="eastAsia"/>
                <w:b/>
                <w:bCs/>
                <w:color w:val="auto"/>
                <w:sz w:val="24"/>
                <w:szCs w:val="24"/>
                <w:highlight w:val="none"/>
                <w:lang w:eastAsia="zh-CN"/>
              </w:rPr>
              <w:t>（</w:t>
            </w:r>
            <w:r>
              <w:rPr>
                <w:rFonts w:hint="eastAsia"/>
                <w:b/>
                <w:bCs/>
                <w:color w:val="auto"/>
                <w:sz w:val="24"/>
                <w:szCs w:val="24"/>
                <w:highlight w:val="none"/>
                <w:lang w:val="en-US" w:eastAsia="zh-CN"/>
              </w:rPr>
              <w:t>项目负责人或分项负责人</w:t>
            </w:r>
            <w:r>
              <w:rPr>
                <w:rFonts w:hint="eastAsia"/>
                <w:b/>
                <w:bCs/>
                <w:color w:val="auto"/>
                <w:sz w:val="24"/>
                <w:szCs w:val="24"/>
                <w:highlight w:val="none"/>
                <w:lang w:eastAsia="zh-CN"/>
              </w:rPr>
              <w:t>）</w:t>
            </w:r>
            <w:r>
              <w:rPr>
                <w:rFonts w:hint="eastAsia"/>
                <w:b/>
                <w:bCs/>
                <w:color w:val="auto"/>
                <w:sz w:val="24"/>
                <w:szCs w:val="24"/>
                <w:highlight w:val="none"/>
              </w:rPr>
              <w:t>的加</w:t>
            </w:r>
            <w:r>
              <w:rPr>
                <w:rFonts w:hint="eastAsia"/>
                <w:b/>
                <w:bCs/>
                <w:color w:val="auto"/>
                <w:sz w:val="24"/>
                <w:szCs w:val="24"/>
                <w:highlight w:val="none"/>
                <w:lang w:val="en-US" w:eastAsia="zh-CN"/>
              </w:rPr>
              <w:t>2</w:t>
            </w:r>
            <w:r>
              <w:rPr>
                <w:rFonts w:hint="eastAsia"/>
                <w:b/>
                <w:bCs/>
                <w:color w:val="auto"/>
                <w:sz w:val="24"/>
                <w:szCs w:val="24"/>
                <w:highlight w:val="none"/>
              </w:rPr>
              <w:t>分，最多加</w:t>
            </w:r>
            <w:r>
              <w:rPr>
                <w:rFonts w:hint="eastAsia"/>
                <w:b/>
                <w:bCs/>
                <w:color w:val="auto"/>
                <w:sz w:val="24"/>
                <w:szCs w:val="24"/>
                <w:highlight w:val="none"/>
                <w:lang w:val="en-US" w:eastAsia="zh-CN"/>
              </w:rPr>
              <w:t>2</w:t>
            </w:r>
            <w:r>
              <w:rPr>
                <w:rFonts w:hint="eastAsia"/>
                <w:b/>
                <w:bCs/>
                <w:color w:val="auto"/>
                <w:sz w:val="24"/>
                <w:szCs w:val="24"/>
                <w:highlight w:val="none"/>
              </w:rPr>
              <w:t>分。</w:t>
            </w:r>
          </w:p>
        </w:tc>
      </w:tr>
      <w:tr w14:paraId="44DFF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continue"/>
            <w:noWrap w:val="0"/>
            <w:vAlign w:val="center"/>
          </w:tcPr>
          <w:p w14:paraId="75FB6008">
            <w:pPr>
              <w:pStyle w:val="6"/>
              <w:spacing w:line="400" w:lineRule="exact"/>
              <w:jc w:val="center"/>
              <w:rPr>
                <w:b/>
                <w:bCs/>
                <w:color w:val="auto"/>
                <w:sz w:val="24"/>
                <w:szCs w:val="24"/>
              </w:rPr>
            </w:pPr>
          </w:p>
        </w:tc>
        <w:tc>
          <w:tcPr>
            <w:tcW w:w="667" w:type="dxa"/>
            <w:vMerge w:val="continue"/>
            <w:noWrap w:val="0"/>
            <w:vAlign w:val="center"/>
          </w:tcPr>
          <w:p w14:paraId="236BD76B">
            <w:pPr>
              <w:pStyle w:val="6"/>
              <w:spacing w:line="400" w:lineRule="exact"/>
              <w:jc w:val="center"/>
              <w:rPr>
                <w:b/>
                <w:bCs/>
                <w:color w:val="auto"/>
                <w:sz w:val="24"/>
                <w:szCs w:val="24"/>
              </w:rPr>
            </w:pPr>
          </w:p>
        </w:tc>
        <w:tc>
          <w:tcPr>
            <w:tcW w:w="1200" w:type="dxa"/>
            <w:vMerge w:val="continue"/>
            <w:noWrap w:val="0"/>
            <w:vAlign w:val="center"/>
          </w:tcPr>
          <w:p w14:paraId="34AE9EF5">
            <w:pPr>
              <w:pStyle w:val="6"/>
              <w:tabs>
                <w:tab w:val="left" w:pos="665"/>
              </w:tabs>
              <w:spacing w:line="400" w:lineRule="exact"/>
              <w:jc w:val="center"/>
              <w:rPr>
                <w:rFonts w:hint="eastAsia"/>
                <w:b/>
                <w:bCs/>
                <w:color w:val="auto"/>
                <w:sz w:val="24"/>
                <w:szCs w:val="24"/>
                <w:lang w:val="en-US"/>
              </w:rPr>
            </w:pPr>
          </w:p>
        </w:tc>
        <w:tc>
          <w:tcPr>
            <w:tcW w:w="1253" w:type="dxa"/>
            <w:noWrap w:val="0"/>
            <w:vAlign w:val="center"/>
          </w:tcPr>
          <w:p w14:paraId="2F07A3E7">
            <w:pPr>
              <w:pStyle w:val="6"/>
              <w:spacing w:line="400" w:lineRule="exact"/>
              <w:jc w:val="center"/>
              <w:rPr>
                <w:b/>
                <w:bCs/>
                <w:color w:val="auto"/>
                <w:sz w:val="24"/>
                <w:szCs w:val="24"/>
                <w:highlight w:val="none"/>
              </w:rPr>
            </w:pPr>
            <w:r>
              <w:rPr>
                <w:rFonts w:hint="eastAsia"/>
                <w:b/>
                <w:bCs/>
                <w:color w:val="auto"/>
                <w:sz w:val="24"/>
                <w:szCs w:val="24"/>
                <w:highlight w:val="none"/>
              </w:rPr>
              <w:t>造价分项负责人</w:t>
            </w:r>
            <w:r>
              <w:rPr>
                <w:b/>
                <w:bCs/>
                <w:color w:val="auto"/>
                <w:sz w:val="24"/>
                <w:szCs w:val="24"/>
                <w:highlight w:val="none"/>
              </w:rPr>
              <w:t>任职资格与业绩</w:t>
            </w:r>
          </w:p>
        </w:tc>
        <w:tc>
          <w:tcPr>
            <w:tcW w:w="709" w:type="dxa"/>
            <w:noWrap w:val="0"/>
            <w:vAlign w:val="center"/>
          </w:tcPr>
          <w:p w14:paraId="3FE637A4">
            <w:pPr>
              <w:pStyle w:val="6"/>
              <w:spacing w:line="400" w:lineRule="exact"/>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5</w:t>
            </w:r>
            <w:r>
              <w:rPr>
                <w:rFonts w:hint="eastAsia"/>
                <w:b/>
                <w:bCs/>
                <w:color w:val="auto"/>
                <w:sz w:val="24"/>
                <w:szCs w:val="24"/>
                <w:highlight w:val="none"/>
              </w:rPr>
              <w:t>分</w:t>
            </w:r>
          </w:p>
        </w:tc>
        <w:tc>
          <w:tcPr>
            <w:tcW w:w="4881" w:type="dxa"/>
            <w:noWrap w:val="0"/>
            <w:vAlign w:val="center"/>
          </w:tcPr>
          <w:p w14:paraId="4E05CD31">
            <w:pPr>
              <w:pStyle w:val="6"/>
              <w:spacing w:line="400" w:lineRule="exact"/>
              <w:rPr>
                <w:rFonts w:hint="eastAsia"/>
                <w:b/>
                <w:bCs/>
                <w:color w:val="auto"/>
                <w:sz w:val="24"/>
                <w:szCs w:val="24"/>
                <w:highlight w:val="none"/>
              </w:rPr>
            </w:pPr>
            <w:r>
              <w:rPr>
                <w:rFonts w:hint="eastAsia"/>
                <w:b/>
                <w:bCs/>
                <w:color w:val="auto"/>
                <w:sz w:val="24"/>
                <w:szCs w:val="24"/>
                <w:highlight w:val="none"/>
              </w:rPr>
              <w:t>①满足最低要求得</w:t>
            </w:r>
            <w:r>
              <w:rPr>
                <w:rFonts w:hint="eastAsia"/>
                <w:b/>
                <w:bCs/>
                <w:color w:val="auto"/>
                <w:sz w:val="24"/>
                <w:szCs w:val="24"/>
                <w:highlight w:val="none"/>
                <w:lang w:val="en-US" w:eastAsia="zh-CN"/>
              </w:rPr>
              <w:t>3</w:t>
            </w:r>
            <w:r>
              <w:rPr>
                <w:rFonts w:hint="eastAsia"/>
                <w:b/>
                <w:bCs/>
                <w:color w:val="auto"/>
                <w:sz w:val="24"/>
                <w:szCs w:val="24"/>
                <w:highlight w:val="none"/>
              </w:rPr>
              <w:t>分；</w:t>
            </w:r>
          </w:p>
          <w:p w14:paraId="2DEE2FB8">
            <w:pPr>
              <w:pStyle w:val="6"/>
              <w:spacing w:line="400" w:lineRule="exact"/>
              <w:rPr>
                <w:rFonts w:hint="eastAsia"/>
                <w:b/>
                <w:bCs/>
                <w:color w:val="auto"/>
                <w:sz w:val="24"/>
                <w:szCs w:val="24"/>
                <w:highlight w:val="none"/>
              </w:rPr>
            </w:pPr>
            <w:r>
              <w:rPr>
                <w:rFonts w:hint="eastAsia"/>
                <w:b/>
                <w:bCs/>
                <w:color w:val="auto"/>
                <w:sz w:val="24"/>
                <w:szCs w:val="24"/>
                <w:highlight w:val="none"/>
              </w:rPr>
              <w:t>②每增加1项公路工程设计项目业绩</w:t>
            </w:r>
            <w:r>
              <w:rPr>
                <w:rFonts w:hint="eastAsia"/>
                <w:b/>
                <w:bCs/>
                <w:color w:val="auto"/>
                <w:sz w:val="24"/>
                <w:szCs w:val="24"/>
                <w:highlight w:val="none"/>
                <w:lang w:eastAsia="zh-CN"/>
              </w:rPr>
              <w:t>（</w:t>
            </w:r>
            <w:r>
              <w:rPr>
                <w:rFonts w:hint="eastAsia"/>
                <w:b/>
                <w:bCs/>
                <w:color w:val="auto"/>
                <w:sz w:val="24"/>
                <w:szCs w:val="24"/>
                <w:highlight w:val="none"/>
                <w:lang w:val="en-US" w:eastAsia="zh-CN"/>
              </w:rPr>
              <w:t>项目负责人或分项负责人</w:t>
            </w:r>
            <w:r>
              <w:rPr>
                <w:rFonts w:hint="eastAsia"/>
                <w:b/>
                <w:bCs/>
                <w:color w:val="auto"/>
                <w:sz w:val="24"/>
                <w:szCs w:val="24"/>
                <w:highlight w:val="none"/>
                <w:lang w:eastAsia="zh-CN"/>
              </w:rPr>
              <w:t>）</w:t>
            </w:r>
            <w:r>
              <w:rPr>
                <w:rFonts w:hint="eastAsia"/>
                <w:b/>
                <w:bCs/>
                <w:color w:val="auto"/>
                <w:sz w:val="24"/>
                <w:szCs w:val="24"/>
                <w:highlight w:val="none"/>
              </w:rPr>
              <w:t>的加</w:t>
            </w:r>
            <w:r>
              <w:rPr>
                <w:rFonts w:hint="eastAsia"/>
                <w:b/>
                <w:bCs/>
                <w:color w:val="auto"/>
                <w:sz w:val="24"/>
                <w:szCs w:val="24"/>
                <w:highlight w:val="none"/>
                <w:lang w:val="en-US" w:eastAsia="zh-CN"/>
              </w:rPr>
              <w:t>2</w:t>
            </w:r>
            <w:r>
              <w:rPr>
                <w:rFonts w:hint="eastAsia"/>
                <w:b/>
                <w:bCs/>
                <w:color w:val="auto"/>
                <w:sz w:val="24"/>
                <w:szCs w:val="24"/>
                <w:highlight w:val="none"/>
              </w:rPr>
              <w:t>分，最多加</w:t>
            </w:r>
            <w:r>
              <w:rPr>
                <w:rFonts w:hint="eastAsia"/>
                <w:b/>
                <w:bCs/>
                <w:color w:val="auto"/>
                <w:sz w:val="24"/>
                <w:szCs w:val="24"/>
                <w:highlight w:val="none"/>
                <w:lang w:val="en-US" w:eastAsia="zh-CN"/>
              </w:rPr>
              <w:t>2</w:t>
            </w:r>
            <w:r>
              <w:rPr>
                <w:rFonts w:hint="eastAsia"/>
                <w:b/>
                <w:bCs/>
                <w:color w:val="auto"/>
                <w:sz w:val="24"/>
                <w:szCs w:val="24"/>
                <w:highlight w:val="none"/>
              </w:rPr>
              <w:t>分。</w:t>
            </w:r>
          </w:p>
        </w:tc>
      </w:tr>
      <w:tr w14:paraId="3FE00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noWrap w:val="0"/>
            <w:vAlign w:val="center"/>
          </w:tcPr>
          <w:p w14:paraId="41EDF4AD">
            <w:pPr>
              <w:pStyle w:val="6"/>
              <w:spacing w:line="400" w:lineRule="exact"/>
              <w:rPr>
                <w:b/>
                <w:bCs/>
                <w:color w:val="auto"/>
                <w:sz w:val="24"/>
                <w:szCs w:val="24"/>
              </w:rPr>
            </w:pPr>
            <w:r>
              <w:rPr>
                <w:b/>
                <w:bCs/>
                <w:color w:val="auto"/>
                <w:sz w:val="24"/>
                <w:szCs w:val="24"/>
              </w:rPr>
              <w:t>2.2.4（3）</w:t>
            </w:r>
          </w:p>
        </w:tc>
        <w:tc>
          <w:tcPr>
            <w:tcW w:w="667" w:type="dxa"/>
            <w:noWrap w:val="0"/>
            <w:vAlign w:val="center"/>
          </w:tcPr>
          <w:p w14:paraId="4F700764">
            <w:pPr>
              <w:pStyle w:val="6"/>
              <w:spacing w:line="400" w:lineRule="exact"/>
              <w:jc w:val="center"/>
              <w:rPr>
                <w:b/>
                <w:bCs/>
                <w:color w:val="auto"/>
                <w:sz w:val="24"/>
                <w:szCs w:val="24"/>
              </w:rPr>
            </w:pPr>
            <w:r>
              <w:rPr>
                <w:b/>
                <w:bCs/>
                <w:color w:val="auto"/>
                <w:sz w:val="24"/>
                <w:szCs w:val="24"/>
              </w:rPr>
              <w:t>评标价</w:t>
            </w:r>
          </w:p>
        </w:tc>
        <w:tc>
          <w:tcPr>
            <w:tcW w:w="1200" w:type="dxa"/>
            <w:noWrap w:val="0"/>
            <w:vAlign w:val="center"/>
          </w:tcPr>
          <w:p w14:paraId="4403FBE3">
            <w:pPr>
              <w:pStyle w:val="6"/>
              <w:spacing w:line="400" w:lineRule="exact"/>
              <w:jc w:val="center"/>
              <w:rPr>
                <w:b/>
                <w:bCs/>
                <w:color w:val="auto"/>
                <w:sz w:val="24"/>
                <w:szCs w:val="24"/>
              </w:rPr>
            </w:pPr>
            <w:r>
              <w:rPr>
                <w:rFonts w:hint="eastAsia"/>
                <w:b/>
                <w:bCs/>
                <w:color w:val="auto"/>
                <w:sz w:val="24"/>
                <w:szCs w:val="24"/>
                <w:lang w:val="en-US"/>
              </w:rPr>
              <w:t>1</w:t>
            </w:r>
            <w:r>
              <w:rPr>
                <w:rFonts w:hint="eastAsia"/>
                <w:b/>
                <w:bCs/>
                <w:color w:val="auto"/>
                <w:sz w:val="24"/>
                <w:szCs w:val="24"/>
                <w:lang w:val="en-US" w:eastAsia="zh-CN"/>
              </w:rPr>
              <w:t>5</w:t>
            </w:r>
            <w:r>
              <w:rPr>
                <w:b/>
                <w:bCs/>
                <w:color w:val="auto"/>
                <w:sz w:val="24"/>
                <w:szCs w:val="24"/>
              </w:rPr>
              <w:t>分</w:t>
            </w:r>
          </w:p>
        </w:tc>
        <w:tc>
          <w:tcPr>
            <w:tcW w:w="6843" w:type="dxa"/>
            <w:gridSpan w:val="3"/>
            <w:noWrap w:val="0"/>
            <w:vAlign w:val="center"/>
          </w:tcPr>
          <w:p w14:paraId="32299289">
            <w:pPr>
              <w:pStyle w:val="6"/>
              <w:spacing w:line="400" w:lineRule="exact"/>
              <w:rPr>
                <w:b/>
                <w:bCs/>
                <w:color w:val="auto"/>
                <w:sz w:val="24"/>
                <w:szCs w:val="24"/>
              </w:rPr>
            </w:pPr>
            <w:r>
              <w:rPr>
                <w:rFonts w:hint="eastAsia"/>
                <w:b/>
                <w:bCs/>
                <w:color w:val="auto"/>
                <w:sz w:val="24"/>
                <w:szCs w:val="24"/>
              </w:rPr>
              <w:t>评标价得分计算公式示例：</w:t>
            </w:r>
          </w:p>
          <w:p w14:paraId="1B4CC4C6">
            <w:pPr>
              <w:pStyle w:val="6"/>
              <w:spacing w:line="400" w:lineRule="exact"/>
              <w:rPr>
                <w:b/>
                <w:bCs/>
                <w:color w:val="auto"/>
                <w:sz w:val="24"/>
                <w:szCs w:val="24"/>
              </w:rPr>
            </w:pPr>
            <w:r>
              <w:rPr>
                <w:rFonts w:hint="eastAsia"/>
                <w:b/>
                <w:bCs/>
                <w:color w:val="auto"/>
                <w:sz w:val="24"/>
                <w:szCs w:val="24"/>
              </w:rPr>
              <w:t>（1）如果投标人的评标价&gt;评标基准价，则评标价得分＝F－偏差率×100×E1；</w:t>
            </w:r>
          </w:p>
          <w:p w14:paraId="035EB6C2">
            <w:pPr>
              <w:pStyle w:val="6"/>
              <w:spacing w:line="400" w:lineRule="exact"/>
              <w:rPr>
                <w:b/>
                <w:bCs/>
                <w:color w:val="auto"/>
                <w:sz w:val="24"/>
                <w:szCs w:val="24"/>
              </w:rPr>
            </w:pPr>
            <w:r>
              <w:rPr>
                <w:rFonts w:hint="eastAsia"/>
                <w:b/>
                <w:bCs/>
                <w:color w:val="auto"/>
                <w:sz w:val="24"/>
                <w:szCs w:val="24"/>
              </w:rPr>
              <w:t>（2）如果投标人的评标价≤评标基准价，则评标价得分＝F＋偏差率×100×E2。</w:t>
            </w:r>
          </w:p>
          <w:p w14:paraId="764AD724">
            <w:pPr>
              <w:pStyle w:val="6"/>
              <w:spacing w:line="400" w:lineRule="exact"/>
              <w:rPr>
                <w:b/>
                <w:bCs/>
                <w:color w:val="auto"/>
                <w:sz w:val="24"/>
                <w:szCs w:val="24"/>
              </w:rPr>
            </w:pPr>
            <w:r>
              <w:rPr>
                <w:rFonts w:hint="eastAsia"/>
                <w:b/>
                <w:bCs/>
                <w:color w:val="auto"/>
                <w:sz w:val="24"/>
                <w:szCs w:val="24"/>
              </w:rPr>
              <w:t>其中：F是评标价所占的权重分值，E1是评标价每高于评标基准价一个百分点的扣分值，E2是评标价每低于评标基准价一个百分点的扣分值；评标价最低得分为0分。</w:t>
            </w:r>
          </w:p>
          <w:p w14:paraId="139F98D9">
            <w:pPr>
              <w:pStyle w:val="6"/>
              <w:spacing w:line="400" w:lineRule="exact"/>
              <w:rPr>
                <w:rFonts w:hint="eastAsia"/>
                <w:b/>
                <w:bCs/>
                <w:color w:val="auto"/>
                <w:sz w:val="24"/>
                <w:szCs w:val="24"/>
              </w:rPr>
            </w:pPr>
            <w:r>
              <w:rPr>
                <w:rFonts w:hint="eastAsia"/>
                <w:b/>
                <w:bCs/>
                <w:color w:val="auto"/>
                <w:sz w:val="24"/>
                <w:szCs w:val="24"/>
              </w:rPr>
              <w:t>F=</w:t>
            </w:r>
            <w:r>
              <w:rPr>
                <w:rFonts w:hint="eastAsia"/>
                <w:b/>
                <w:bCs/>
                <w:color w:val="auto"/>
                <w:sz w:val="24"/>
                <w:szCs w:val="24"/>
                <w:lang w:val="en-US"/>
              </w:rPr>
              <w:t>1</w:t>
            </w:r>
            <w:r>
              <w:rPr>
                <w:rFonts w:hint="eastAsia"/>
                <w:b/>
                <w:bCs/>
                <w:color w:val="auto"/>
                <w:sz w:val="24"/>
                <w:szCs w:val="24"/>
                <w:lang w:val="en-US" w:eastAsia="zh-CN"/>
              </w:rPr>
              <w:t>5</w:t>
            </w:r>
            <w:r>
              <w:rPr>
                <w:rFonts w:hint="eastAsia"/>
                <w:b/>
                <w:bCs/>
                <w:color w:val="auto"/>
                <w:sz w:val="24"/>
                <w:szCs w:val="24"/>
              </w:rPr>
              <w:t>、E1=</w:t>
            </w:r>
            <w:r>
              <w:rPr>
                <w:rFonts w:hint="eastAsia"/>
                <w:b/>
                <w:bCs/>
                <w:color w:val="auto"/>
                <w:sz w:val="24"/>
                <w:szCs w:val="24"/>
                <w:lang w:val="en-US"/>
              </w:rPr>
              <w:t>0.5</w:t>
            </w:r>
            <w:r>
              <w:rPr>
                <w:rFonts w:hint="eastAsia"/>
                <w:b/>
                <w:bCs/>
                <w:color w:val="auto"/>
                <w:sz w:val="24"/>
                <w:szCs w:val="24"/>
              </w:rPr>
              <w:t>、E2=0.</w:t>
            </w:r>
            <w:r>
              <w:rPr>
                <w:rFonts w:hint="eastAsia"/>
                <w:b/>
                <w:bCs/>
                <w:color w:val="auto"/>
                <w:sz w:val="24"/>
                <w:szCs w:val="24"/>
                <w:lang w:val="en-US"/>
              </w:rPr>
              <w:t>2</w:t>
            </w:r>
            <w:r>
              <w:rPr>
                <w:rFonts w:hint="eastAsia"/>
                <w:b/>
                <w:bCs/>
                <w:color w:val="auto"/>
                <w:sz w:val="24"/>
                <w:szCs w:val="24"/>
              </w:rPr>
              <w:t>5。</w:t>
            </w:r>
          </w:p>
        </w:tc>
      </w:tr>
      <w:tr w14:paraId="71C88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restart"/>
            <w:noWrap w:val="0"/>
            <w:vAlign w:val="center"/>
          </w:tcPr>
          <w:p w14:paraId="4F7A7FC2">
            <w:pPr>
              <w:pStyle w:val="6"/>
              <w:spacing w:line="400" w:lineRule="exact"/>
              <w:rPr>
                <w:b/>
                <w:bCs/>
                <w:color w:val="auto"/>
                <w:sz w:val="24"/>
                <w:szCs w:val="24"/>
              </w:rPr>
            </w:pPr>
            <w:r>
              <w:rPr>
                <w:rFonts w:hint="eastAsia"/>
                <w:b/>
                <w:bCs/>
                <w:color w:val="auto"/>
                <w:sz w:val="24"/>
                <w:szCs w:val="24"/>
              </w:rPr>
              <w:t>2</w:t>
            </w:r>
            <w:r>
              <w:rPr>
                <w:b/>
                <w:bCs/>
                <w:color w:val="auto"/>
                <w:sz w:val="24"/>
                <w:szCs w:val="24"/>
              </w:rPr>
              <w:t>.2.4</w:t>
            </w:r>
            <w:r>
              <w:rPr>
                <w:rFonts w:hint="eastAsia"/>
                <w:b/>
                <w:bCs/>
                <w:color w:val="auto"/>
                <w:sz w:val="24"/>
                <w:szCs w:val="24"/>
              </w:rPr>
              <w:t>（4）</w:t>
            </w:r>
          </w:p>
        </w:tc>
        <w:tc>
          <w:tcPr>
            <w:tcW w:w="667" w:type="dxa"/>
            <w:vMerge w:val="restart"/>
            <w:noWrap w:val="0"/>
            <w:vAlign w:val="center"/>
          </w:tcPr>
          <w:p w14:paraId="19CE5EC8">
            <w:pPr>
              <w:pStyle w:val="6"/>
              <w:spacing w:line="400" w:lineRule="exact"/>
              <w:rPr>
                <w:rFonts w:hint="eastAsia"/>
                <w:b/>
                <w:bCs/>
                <w:color w:val="auto"/>
                <w:sz w:val="24"/>
                <w:szCs w:val="24"/>
              </w:rPr>
            </w:pPr>
            <w:r>
              <w:rPr>
                <w:rFonts w:hint="eastAsia"/>
                <w:b/>
                <w:bCs/>
                <w:color w:val="auto"/>
                <w:sz w:val="24"/>
                <w:szCs w:val="24"/>
              </w:rPr>
              <w:t>其他因素</w:t>
            </w:r>
          </w:p>
        </w:tc>
        <w:tc>
          <w:tcPr>
            <w:tcW w:w="1200" w:type="dxa"/>
            <w:noWrap w:val="0"/>
            <w:vAlign w:val="center"/>
          </w:tcPr>
          <w:p w14:paraId="53436C3F">
            <w:pPr>
              <w:pStyle w:val="6"/>
              <w:spacing w:line="400" w:lineRule="exact"/>
              <w:jc w:val="center"/>
              <w:rPr>
                <w:b/>
                <w:bCs/>
                <w:color w:val="auto"/>
                <w:sz w:val="24"/>
                <w:szCs w:val="24"/>
              </w:rPr>
            </w:pPr>
            <w:r>
              <w:rPr>
                <w:rFonts w:hint="eastAsia"/>
                <w:b/>
                <w:bCs/>
                <w:color w:val="auto"/>
                <w:sz w:val="24"/>
                <w:szCs w:val="24"/>
                <w:lang w:val="en-US" w:eastAsia="zh-CN"/>
              </w:rPr>
              <w:t>15</w:t>
            </w:r>
            <w:r>
              <w:rPr>
                <w:b/>
                <w:bCs/>
                <w:color w:val="auto"/>
                <w:sz w:val="24"/>
                <w:szCs w:val="24"/>
              </w:rPr>
              <w:t>分</w:t>
            </w:r>
          </w:p>
        </w:tc>
        <w:tc>
          <w:tcPr>
            <w:tcW w:w="1253" w:type="dxa"/>
            <w:noWrap w:val="0"/>
            <w:vAlign w:val="center"/>
          </w:tcPr>
          <w:p w14:paraId="1B5F0C5D">
            <w:pPr>
              <w:pStyle w:val="6"/>
              <w:spacing w:line="400" w:lineRule="exact"/>
              <w:jc w:val="center"/>
              <w:rPr>
                <w:b/>
                <w:bCs/>
                <w:color w:val="auto"/>
                <w:sz w:val="24"/>
                <w:szCs w:val="24"/>
                <w:highlight w:val="none"/>
              </w:rPr>
            </w:pPr>
            <w:r>
              <w:rPr>
                <w:b/>
                <w:bCs/>
                <w:color w:val="auto"/>
                <w:sz w:val="24"/>
                <w:szCs w:val="24"/>
                <w:highlight w:val="none"/>
              </w:rPr>
              <w:t>业绩</w:t>
            </w:r>
          </w:p>
        </w:tc>
        <w:tc>
          <w:tcPr>
            <w:tcW w:w="709" w:type="dxa"/>
            <w:noWrap w:val="0"/>
            <w:vAlign w:val="center"/>
          </w:tcPr>
          <w:p w14:paraId="31243EB7">
            <w:pPr>
              <w:pStyle w:val="6"/>
              <w:spacing w:line="400" w:lineRule="exact"/>
              <w:jc w:val="center"/>
              <w:rPr>
                <w:b/>
                <w:bCs/>
                <w:color w:val="auto"/>
                <w:sz w:val="24"/>
                <w:szCs w:val="24"/>
                <w:highlight w:val="none"/>
              </w:rPr>
            </w:pPr>
            <w:r>
              <w:rPr>
                <w:rFonts w:hint="eastAsia"/>
                <w:b/>
                <w:bCs/>
                <w:color w:val="auto"/>
                <w:sz w:val="24"/>
                <w:szCs w:val="24"/>
                <w:highlight w:val="none"/>
                <w:lang w:val="en-US" w:eastAsia="zh-CN"/>
              </w:rPr>
              <w:t>15</w:t>
            </w:r>
            <w:r>
              <w:rPr>
                <w:rFonts w:hint="eastAsia"/>
                <w:b/>
                <w:bCs/>
                <w:color w:val="auto"/>
                <w:sz w:val="24"/>
                <w:szCs w:val="24"/>
                <w:highlight w:val="none"/>
              </w:rPr>
              <w:t>分</w:t>
            </w:r>
          </w:p>
        </w:tc>
        <w:tc>
          <w:tcPr>
            <w:tcW w:w="4881" w:type="dxa"/>
            <w:noWrap w:val="0"/>
            <w:vAlign w:val="center"/>
          </w:tcPr>
          <w:p w14:paraId="1A3E7804">
            <w:pPr>
              <w:pStyle w:val="6"/>
              <w:spacing w:line="400" w:lineRule="exact"/>
              <w:rPr>
                <w:b/>
                <w:bCs/>
                <w:color w:val="auto"/>
                <w:sz w:val="24"/>
                <w:szCs w:val="24"/>
                <w:highlight w:val="none"/>
              </w:rPr>
            </w:pPr>
            <w:r>
              <w:rPr>
                <w:rFonts w:hint="eastAsia"/>
                <w:b/>
                <w:bCs/>
                <w:color w:val="auto"/>
                <w:sz w:val="24"/>
                <w:szCs w:val="24"/>
                <w:highlight w:val="none"/>
              </w:rPr>
              <w:t>①满足最低要求得</w:t>
            </w:r>
            <w:r>
              <w:rPr>
                <w:rFonts w:hint="eastAsia"/>
                <w:b/>
                <w:bCs/>
                <w:color w:val="auto"/>
                <w:sz w:val="24"/>
                <w:szCs w:val="24"/>
                <w:highlight w:val="none"/>
                <w:lang w:val="en-US" w:eastAsia="zh-CN"/>
              </w:rPr>
              <w:t>9</w:t>
            </w:r>
            <w:r>
              <w:rPr>
                <w:rFonts w:hint="eastAsia"/>
                <w:b/>
                <w:bCs/>
                <w:color w:val="auto"/>
                <w:sz w:val="24"/>
                <w:szCs w:val="24"/>
                <w:highlight w:val="none"/>
              </w:rPr>
              <w:t>分；</w:t>
            </w:r>
          </w:p>
          <w:p w14:paraId="1A0E09E5">
            <w:pPr>
              <w:pStyle w:val="6"/>
              <w:spacing w:line="400" w:lineRule="exact"/>
              <w:rPr>
                <w:rFonts w:hint="eastAsia" w:eastAsia="宋体"/>
                <w:b/>
                <w:bCs/>
                <w:color w:val="auto"/>
                <w:sz w:val="24"/>
                <w:szCs w:val="24"/>
                <w:highlight w:val="none"/>
                <w:lang w:eastAsia="zh-CN"/>
              </w:rPr>
            </w:pPr>
            <w:r>
              <w:rPr>
                <w:rFonts w:hint="eastAsia"/>
                <w:b/>
                <w:bCs/>
                <w:color w:val="auto"/>
                <w:sz w:val="24"/>
                <w:szCs w:val="24"/>
                <w:highlight w:val="none"/>
              </w:rPr>
              <w:t>②20</w:t>
            </w:r>
            <w:r>
              <w:rPr>
                <w:rFonts w:hint="eastAsia"/>
                <w:b/>
                <w:bCs/>
                <w:color w:val="auto"/>
                <w:sz w:val="24"/>
                <w:szCs w:val="24"/>
                <w:highlight w:val="none"/>
                <w:lang w:val="en-US" w:eastAsia="zh-CN"/>
              </w:rPr>
              <w:t>20</w:t>
            </w:r>
            <w:r>
              <w:rPr>
                <w:rFonts w:hint="eastAsia"/>
                <w:b/>
                <w:bCs/>
                <w:color w:val="auto"/>
                <w:sz w:val="24"/>
                <w:szCs w:val="24"/>
                <w:highlight w:val="none"/>
              </w:rPr>
              <w:t>年1月1日至今，每增加1项公路工程设计项目业绩加</w:t>
            </w:r>
            <w:r>
              <w:rPr>
                <w:rFonts w:hint="eastAsia"/>
                <w:b/>
                <w:bCs/>
                <w:color w:val="auto"/>
                <w:sz w:val="24"/>
                <w:szCs w:val="24"/>
                <w:highlight w:val="none"/>
                <w:lang w:val="en-US" w:eastAsia="zh-CN"/>
              </w:rPr>
              <w:t>6</w:t>
            </w:r>
            <w:r>
              <w:rPr>
                <w:rFonts w:hint="eastAsia"/>
                <w:b/>
                <w:bCs/>
                <w:color w:val="auto"/>
                <w:sz w:val="24"/>
                <w:szCs w:val="24"/>
                <w:highlight w:val="none"/>
              </w:rPr>
              <w:t>分；最多加</w:t>
            </w:r>
            <w:r>
              <w:rPr>
                <w:rFonts w:hint="eastAsia"/>
                <w:b/>
                <w:bCs/>
                <w:color w:val="auto"/>
                <w:sz w:val="24"/>
                <w:szCs w:val="24"/>
                <w:highlight w:val="none"/>
                <w:lang w:val="en-US" w:eastAsia="zh-CN"/>
              </w:rPr>
              <w:t>6</w:t>
            </w:r>
            <w:r>
              <w:rPr>
                <w:rFonts w:hint="eastAsia"/>
                <w:b/>
                <w:bCs/>
                <w:color w:val="auto"/>
                <w:sz w:val="24"/>
                <w:szCs w:val="24"/>
                <w:highlight w:val="none"/>
              </w:rPr>
              <w:t>分</w:t>
            </w:r>
            <w:r>
              <w:rPr>
                <w:rFonts w:hint="eastAsia"/>
                <w:b/>
                <w:bCs/>
                <w:color w:val="auto"/>
                <w:sz w:val="24"/>
                <w:szCs w:val="24"/>
                <w:highlight w:val="none"/>
                <w:lang w:eastAsia="zh-CN"/>
              </w:rPr>
              <w:t>。</w:t>
            </w:r>
          </w:p>
        </w:tc>
      </w:tr>
      <w:tr w14:paraId="39856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12" w:type="dxa"/>
            <w:vMerge w:val="continue"/>
            <w:noWrap w:val="0"/>
            <w:vAlign w:val="center"/>
          </w:tcPr>
          <w:p w14:paraId="50D53645">
            <w:pPr>
              <w:pStyle w:val="6"/>
              <w:spacing w:line="400" w:lineRule="exact"/>
              <w:rPr>
                <w:rFonts w:hint="eastAsia"/>
                <w:b/>
                <w:bCs/>
                <w:color w:val="auto"/>
                <w:sz w:val="24"/>
                <w:szCs w:val="24"/>
              </w:rPr>
            </w:pPr>
          </w:p>
        </w:tc>
        <w:tc>
          <w:tcPr>
            <w:tcW w:w="667" w:type="dxa"/>
            <w:vMerge w:val="continue"/>
            <w:noWrap w:val="0"/>
            <w:vAlign w:val="center"/>
          </w:tcPr>
          <w:p w14:paraId="1364DA47">
            <w:pPr>
              <w:pStyle w:val="6"/>
              <w:spacing w:line="400" w:lineRule="exact"/>
              <w:rPr>
                <w:rFonts w:hint="eastAsia"/>
                <w:b/>
                <w:bCs/>
                <w:color w:val="auto"/>
                <w:sz w:val="24"/>
                <w:szCs w:val="24"/>
              </w:rPr>
            </w:pPr>
          </w:p>
        </w:tc>
        <w:tc>
          <w:tcPr>
            <w:tcW w:w="1200" w:type="dxa"/>
            <w:noWrap w:val="0"/>
            <w:vAlign w:val="center"/>
          </w:tcPr>
          <w:p w14:paraId="5C717CFD">
            <w:pPr>
              <w:pStyle w:val="6"/>
              <w:spacing w:line="400" w:lineRule="exact"/>
              <w:jc w:val="center"/>
              <w:rPr>
                <w:rFonts w:hint="eastAsia"/>
                <w:b/>
                <w:bCs/>
                <w:color w:val="auto"/>
                <w:sz w:val="24"/>
                <w:szCs w:val="24"/>
              </w:rPr>
            </w:pPr>
            <w:r>
              <w:rPr>
                <w:b/>
                <w:bCs/>
                <w:color w:val="auto"/>
                <w:sz w:val="24"/>
                <w:szCs w:val="24"/>
              </w:rPr>
              <w:t>5分</w:t>
            </w:r>
          </w:p>
        </w:tc>
        <w:tc>
          <w:tcPr>
            <w:tcW w:w="1253" w:type="dxa"/>
            <w:noWrap w:val="0"/>
            <w:vAlign w:val="center"/>
          </w:tcPr>
          <w:p w14:paraId="343FD5D8">
            <w:pPr>
              <w:pStyle w:val="6"/>
              <w:spacing w:line="400" w:lineRule="exact"/>
              <w:jc w:val="center"/>
              <w:rPr>
                <w:b/>
                <w:bCs/>
                <w:color w:val="auto"/>
                <w:sz w:val="24"/>
                <w:szCs w:val="24"/>
                <w:highlight w:val="none"/>
              </w:rPr>
            </w:pPr>
            <w:r>
              <w:rPr>
                <w:b/>
                <w:bCs/>
                <w:color w:val="auto"/>
                <w:sz w:val="24"/>
                <w:szCs w:val="24"/>
                <w:highlight w:val="none"/>
              </w:rPr>
              <w:t>履约信誉</w:t>
            </w:r>
          </w:p>
        </w:tc>
        <w:tc>
          <w:tcPr>
            <w:tcW w:w="709" w:type="dxa"/>
            <w:noWrap w:val="0"/>
            <w:vAlign w:val="center"/>
          </w:tcPr>
          <w:p w14:paraId="149151B4">
            <w:pPr>
              <w:pStyle w:val="6"/>
              <w:spacing w:line="400" w:lineRule="exact"/>
              <w:jc w:val="center"/>
              <w:rPr>
                <w:b/>
                <w:bCs/>
                <w:color w:val="auto"/>
                <w:sz w:val="24"/>
                <w:szCs w:val="24"/>
                <w:highlight w:val="none"/>
              </w:rPr>
            </w:pPr>
            <w:r>
              <w:rPr>
                <w:rFonts w:hint="eastAsia"/>
                <w:b/>
                <w:bCs/>
                <w:color w:val="auto"/>
                <w:sz w:val="24"/>
                <w:szCs w:val="24"/>
                <w:highlight w:val="none"/>
              </w:rPr>
              <w:t>5分</w:t>
            </w:r>
          </w:p>
        </w:tc>
        <w:tc>
          <w:tcPr>
            <w:tcW w:w="4881" w:type="dxa"/>
            <w:noWrap w:val="0"/>
            <w:vAlign w:val="center"/>
          </w:tcPr>
          <w:p w14:paraId="15477A5F">
            <w:pPr>
              <w:pStyle w:val="6"/>
              <w:spacing w:line="400" w:lineRule="exact"/>
              <w:rPr>
                <w:b/>
                <w:bCs/>
                <w:color w:val="auto"/>
                <w:sz w:val="24"/>
                <w:szCs w:val="24"/>
                <w:highlight w:val="none"/>
              </w:rPr>
            </w:pPr>
            <w:r>
              <w:rPr>
                <w:rFonts w:hint="eastAsia"/>
                <w:b/>
                <w:bCs/>
                <w:color w:val="auto"/>
                <w:sz w:val="24"/>
                <w:szCs w:val="24"/>
                <w:highlight w:val="none"/>
              </w:rPr>
              <w:t>满足资格审查最低要求得</w:t>
            </w:r>
            <w:r>
              <w:rPr>
                <w:rFonts w:hint="eastAsia"/>
                <w:b/>
                <w:bCs/>
                <w:color w:val="auto"/>
                <w:sz w:val="24"/>
                <w:szCs w:val="24"/>
                <w:highlight w:val="none"/>
                <w:lang w:val="en-US" w:eastAsia="zh-CN"/>
              </w:rPr>
              <w:t>5</w:t>
            </w:r>
            <w:r>
              <w:rPr>
                <w:rFonts w:hint="eastAsia"/>
                <w:b/>
                <w:bCs/>
                <w:color w:val="auto"/>
                <w:sz w:val="24"/>
                <w:szCs w:val="24"/>
                <w:highlight w:val="none"/>
              </w:rPr>
              <w:t>分；</w:t>
            </w:r>
          </w:p>
        </w:tc>
      </w:tr>
      <w:tr w14:paraId="555A8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9422" w:type="dxa"/>
            <w:gridSpan w:val="6"/>
            <w:noWrap w:val="0"/>
            <w:vAlign w:val="center"/>
          </w:tcPr>
          <w:p w14:paraId="29FC8D0A">
            <w:pPr>
              <w:pStyle w:val="6"/>
              <w:spacing w:line="400" w:lineRule="exact"/>
              <w:rPr>
                <w:rFonts w:hint="eastAsia"/>
                <w:color w:val="auto"/>
                <w:sz w:val="24"/>
                <w:szCs w:val="24"/>
              </w:rPr>
            </w:pPr>
            <w:r>
              <w:rPr>
                <w:rFonts w:hint="eastAsia"/>
                <w:color w:val="auto"/>
                <w:sz w:val="24"/>
                <w:szCs w:val="24"/>
              </w:rPr>
              <w:t>需要补充的其他内容：</w:t>
            </w:r>
          </w:p>
          <w:p w14:paraId="64B65ADB">
            <w:pPr>
              <w:pStyle w:val="6"/>
              <w:numPr>
                <w:ilvl w:val="0"/>
                <w:numId w:val="1"/>
              </w:numPr>
              <w:spacing w:line="400" w:lineRule="exact"/>
              <w:rPr>
                <w:rFonts w:hint="eastAsia"/>
                <w:color w:val="auto"/>
                <w:sz w:val="24"/>
                <w:szCs w:val="24"/>
              </w:rPr>
            </w:pPr>
            <w:r>
              <w:rPr>
                <w:color w:val="auto"/>
                <w:sz w:val="24"/>
                <w:szCs w:val="24"/>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tc>
      </w:tr>
    </w:tbl>
    <w:p w14:paraId="5E1354A8">
      <w:pPr>
        <w:spacing w:line="400" w:lineRule="atLeast"/>
        <w:outlineLvl w:val="3"/>
        <w:rPr>
          <w:color w:val="auto"/>
          <w:sz w:val="24"/>
          <w:szCs w:val="24"/>
        </w:rPr>
      </w:pPr>
    </w:p>
    <w:p w14:paraId="4249EF8F">
      <w:pPr>
        <w:spacing w:line="400" w:lineRule="atLeast"/>
        <w:outlineLvl w:val="3"/>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rPr>
        <w:t>评标方法</w:t>
      </w:r>
    </w:p>
    <w:p w14:paraId="32B053A2">
      <w:pPr>
        <w:pStyle w:val="2"/>
        <w:spacing w:line="440" w:lineRule="exact"/>
        <w:ind w:firstLine="480" w:firstLineChars="200"/>
        <w:rPr>
          <w:color w:val="auto"/>
        </w:rPr>
      </w:pPr>
      <w:r>
        <w:rPr>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18D5365A">
      <w:pPr>
        <w:spacing w:line="400" w:lineRule="atLeast"/>
        <w:outlineLvl w:val="3"/>
        <w:rPr>
          <w:rFonts w:hint="eastAsia" w:ascii="宋体" w:hAnsi="宋体"/>
          <w:color w:val="auto"/>
          <w:sz w:val="24"/>
          <w:szCs w:val="24"/>
        </w:rPr>
      </w:pPr>
      <w:bookmarkStart w:id="0" w:name="_bookmark95"/>
      <w:bookmarkEnd w:id="0"/>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评审标准</w:t>
      </w:r>
    </w:p>
    <w:p w14:paraId="1ABE8E3E">
      <w:pPr>
        <w:pStyle w:val="7"/>
        <w:tabs>
          <w:tab w:val="left" w:pos="905"/>
        </w:tabs>
        <w:autoSpaceDE w:val="0"/>
        <w:autoSpaceDN w:val="0"/>
        <w:spacing w:line="440" w:lineRule="exact"/>
        <w:ind w:firstLine="480"/>
        <w:jc w:val="left"/>
        <w:rPr>
          <w:rFonts w:hint="eastAsia" w:ascii="宋体" w:hAnsi="宋体"/>
          <w:color w:val="auto"/>
          <w:sz w:val="24"/>
          <w:szCs w:val="24"/>
        </w:rPr>
      </w:pPr>
      <w:bookmarkStart w:id="1" w:name="_bookmark96"/>
      <w:bookmarkEnd w:id="1"/>
      <w:r>
        <w:rPr>
          <w:rFonts w:hint="eastAsia" w:ascii="宋体" w:hAnsi="宋体"/>
          <w:color w:val="auto"/>
          <w:sz w:val="24"/>
          <w:szCs w:val="24"/>
        </w:rPr>
        <w:t>2</w:t>
      </w:r>
      <w:r>
        <w:rPr>
          <w:rFonts w:ascii="宋体" w:hAnsi="宋体"/>
          <w:color w:val="auto"/>
          <w:sz w:val="24"/>
          <w:szCs w:val="24"/>
        </w:rPr>
        <w:t>.1</w:t>
      </w:r>
      <w:r>
        <w:rPr>
          <w:rFonts w:hint="eastAsia" w:ascii="宋体" w:hAnsi="宋体"/>
          <w:color w:val="auto"/>
          <w:sz w:val="24"/>
          <w:szCs w:val="24"/>
        </w:rPr>
        <w:t>初步评审标准</w:t>
      </w:r>
    </w:p>
    <w:p w14:paraId="0038071F">
      <w:pPr>
        <w:pStyle w:val="7"/>
        <w:tabs>
          <w:tab w:val="left" w:pos="1505"/>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.1.1形式评审标准：见评标办法前附表。</w:t>
      </w:r>
    </w:p>
    <w:p w14:paraId="66AAF8FC">
      <w:pPr>
        <w:pStyle w:val="7"/>
        <w:tabs>
          <w:tab w:val="left" w:pos="1505"/>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.1.2资格评审标准：见评标办法前附表。</w:t>
      </w:r>
    </w:p>
    <w:p w14:paraId="348ABF0A">
      <w:pPr>
        <w:pStyle w:val="7"/>
        <w:tabs>
          <w:tab w:val="left" w:pos="1505"/>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.1.3响应性评审标准：见评标办法前附表。</w:t>
      </w:r>
    </w:p>
    <w:p w14:paraId="66745F4B">
      <w:pPr>
        <w:pStyle w:val="7"/>
        <w:tabs>
          <w:tab w:val="left" w:pos="905"/>
        </w:tabs>
        <w:autoSpaceDE w:val="0"/>
        <w:autoSpaceDN w:val="0"/>
        <w:spacing w:line="440" w:lineRule="exact"/>
        <w:ind w:firstLine="480"/>
        <w:jc w:val="left"/>
        <w:rPr>
          <w:rFonts w:hint="eastAsia" w:ascii="宋体" w:hAnsi="宋体"/>
          <w:color w:val="auto"/>
          <w:sz w:val="24"/>
          <w:szCs w:val="24"/>
        </w:rPr>
      </w:pPr>
      <w:bookmarkStart w:id="2" w:name="_bookmark97"/>
      <w:bookmarkEnd w:id="2"/>
      <w:r>
        <w:rPr>
          <w:rFonts w:hint="eastAsia" w:ascii="宋体" w:hAnsi="宋体"/>
          <w:color w:val="auto"/>
          <w:sz w:val="24"/>
          <w:szCs w:val="24"/>
        </w:rPr>
        <w:t>2</w:t>
      </w:r>
      <w:r>
        <w:rPr>
          <w:rFonts w:ascii="宋体" w:hAnsi="宋体"/>
          <w:color w:val="auto"/>
          <w:sz w:val="24"/>
          <w:szCs w:val="24"/>
        </w:rPr>
        <w:t>.2</w:t>
      </w:r>
      <w:r>
        <w:rPr>
          <w:rFonts w:hint="eastAsia" w:ascii="宋体" w:hAnsi="宋体"/>
          <w:color w:val="auto"/>
          <w:sz w:val="24"/>
          <w:szCs w:val="24"/>
        </w:rPr>
        <w:t>分值构成与评分标准</w:t>
      </w:r>
    </w:p>
    <w:p w14:paraId="2FC2A543">
      <w:pPr>
        <w:pStyle w:val="7"/>
        <w:tabs>
          <w:tab w:val="left" w:pos="1505"/>
        </w:tabs>
        <w:autoSpaceDE w:val="0"/>
        <w:autoSpaceDN w:val="0"/>
        <w:spacing w:line="440" w:lineRule="exact"/>
        <w:ind w:firstLine="480"/>
        <w:jc w:val="left"/>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.2.1</w:t>
      </w:r>
      <w:r>
        <w:rPr>
          <w:rFonts w:hint="eastAsia" w:ascii="宋体" w:hAnsi="宋体"/>
          <w:color w:val="auto"/>
          <w:sz w:val="24"/>
          <w:szCs w:val="24"/>
        </w:rPr>
        <w:t>分值构成</w:t>
      </w:r>
    </w:p>
    <w:p w14:paraId="737F657B">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（1）技术建议书：见评标办法前附表；</w:t>
      </w:r>
    </w:p>
    <w:p w14:paraId="34869B13">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（2）主要人员：见评标办法前附表；</w:t>
      </w:r>
    </w:p>
    <w:p w14:paraId="0E32898A">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（3）评标价：见评标办法前附表；</w:t>
      </w:r>
    </w:p>
    <w:p w14:paraId="0A4985F9">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（4）其他评分因素：见评标办法前附表。</w:t>
      </w:r>
    </w:p>
    <w:p w14:paraId="1F943CB3">
      <w:pPr>
        <w:pStyle w:val="7"/>
        <w:tabs>
          <w:tab w:val="left" w:pos="1505"/>
        </w:tabs>
        <w:autoSpaceDE w:val="0"/>
        <w:autoSpaceDN w:val="0"/>
        <w:spacing w:line="440" w:lineRule="exact"/>
        <w:ind w:firstLine="480"/>
        <w:jc w:val="left"/>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.2.2</w:t>
      </w:r>
      <w:r>
        <w:rPr>
          <w:rFonts w:hint="eastAsia" w:ascii="宋体" w:hAnsi="宋体"/>
          <w:color w:val="auto"/>
          <w:sz w:val="24"/>
          <w:szCs w:val="24"/>
        </w:rPr>
        <w:t>评标基准价计算</w:t>
      </w:r>
    </w:p>
    <w:p w14:paraId="3AA4F0E8">
      <w:pPr>
        <w:pStyle w:val="2"/>
        <w:spacing w:line="440" w:lineRule="exact"/>
        <w:ind w:firstLine="480" w:firstLineChars="200"/>
        <w:rPr>
          <w:color w:val="auto"/>
        </w:rPr>
      </w:pPr>
      <w:r>
        <w:rPr>
          <w:color w:val="auto"/>
        </w:rPr>
        <w:t>评标基准价计算方法：见评标办法前附表。</w:t>
      </w:r>
    </w:p>
    <w:p w14:paraId="330D6E1B">
      <w:pPr>
        <w:pStyle w:val="7"/>
        <w:tabs>
          <w:tab w:val="left" w:pos="1505"/>
        </w:tabs>
        <w:autoSpaceDE w:val="0"/>
        <w:autoSpaceDN w:val="0"/>
        <w:spacing w:line="440" w:lineRule="exact"/>
        <w:ind w:firstLine="480"/>
        <w:jc w:val="left"/>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.2.3</w:t>
      </w:r>
      <w:r>
        <w:rPr>
          <w:rFonts w:hint="eastAsia" w:ascii="宋体" w:hAnsi="宋体"/>
          <w:color w:val="auto"/>
          <w:sz w:val="24"/>
          <w:szCs w:val="24"/>
        </w:rPr>
        <w:t>评标价的偏差率计算</w:t>
      </w:r>
    </w:p>
    <w:p w14:paraId="5DBCCAAF">
      <w:pPr>
        <w:pStyle w:val="2"/>
        <w:spacing w:line="440" w:lineRule="exact"/>
        <w:ind w:firstLine="480" w:firstLineChars="200"/>
        <w:rPr>
          <w:color w:val="auto"/>
        </w:rPr>
      </w:pPr>
      <w:r>
        <w:rPr>
          <w:color w:val="auto"/>
        </w:rPr>
        <w:t>评标价的偏差率计算公式：见评标办法前附表。</w:t>
      </w:r>
    </w:p>
    <w:p w14:paraId="6A498AF6">
      <w:pPr>
        <w:pStyle w:val="7"/>
        <w:tabs>
          <w:tab w:val="left" w:pos="1505"/>
        </w:tabs>
        <w:autoSpaceDE w:val="0"/>
        <w:autoSpaceDN w:val="0"/>
        <w:spacing w:line="440" w:lineRule="exact"/>
        <w:ind w:firstLine="480"/>
        <w:jc w:val="left"/>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.2.4</w:t>
      </w:r>
      <w:r>
        <w:rPr>
          <w:rFonts w:hint="eastAsia" w:ascii="宋体" w:hAnsi="宋体"/>
          <w:color w:val="auto"/>
          <w:sz w:val="24"/>
          <w:szCs w:val="24"/>
        </w:rPr>
        <w:t>评分标准</w:t>
      </w:r>
    </w:p>
    <w:p w14:paraId="144297AE">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（1）技术建议书评分标准：见评标办法前附表；</w:t>
      </w:r>
    </w:p>
    <w:p w14:paraId="0832391C">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（2）主要人员评分标准：见评标办法前附表；</w:t>
      </w:r>
    </w:p>
    <w:p w14:paraId="43D6AE6A">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（3）评标价评分标准：见评标办法前附表；</w:t>
      </w:r>
    </w:p>
    <w:p w14:paraId="0A844229">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（4）其他因素评分标准：见评标办法前附表。</w:t>
      </w:r>
    </w:p>
    <w:p w14:paraId="510D5CF0">
      <w:pPr>
        <w:spacing w:line="400" w:lineRule="atLeast"/>
        <w:outlineLvl w:val="3"/>
        <w:rPr>
          <w:rFonts w:hint="eastAsia" w:ascii="宋体" w:hAnsi="宋体"/>
          <w:color w:val="auto"/>
          <w:sz w:val="24"/>
          <w:szCs w:val="24"/>
        </w:rPr>
      </w:pPr>
      <w:bookmarkStart w:id="3" w:name="_bookmark98"/>
      <w:bookmarkEnd w:id="3"/>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评标程序</w:t>
      </w:r>
    </w:p>
    <w:p w14:paraId="1968F43F">
      <w:pPr>
        <w:pStyle w:val="7"/>
        <w:tabs>
          <w:tab w:val="left" w:pos="1505"/>
        </w:tabs>
        <w:autoSpaceDE w:val="0"/>
        <w:autoSpaceDN w:val="0"/>
        <w:spacing w:line="440" w:lineRule="exact"/>
        <w:ind w:firstLine="480"/>
        <w:jc w:val="left"/>
        <w:rPr>
          <w:rFonts w:hint="eastAsia" w:ascii="宋体" w:hAnsi="宋体"/>
          <w:color w:val="auto"/>
          <w:sz w:val="24"/>
          <w:szCs w:val="24"/>
        </w:rPr>
      </w:pPr>
      <w:bookmarkStart w:id="4" w:name="_bookmark99"/>
      <w:bookmarkEnd w:id="4"/>
      <w:r>
        <w:rPr>
          <w:rFonts w:hint="eastAsia" w:ascii="宋体" w:hAnsi="宋体"/>
          <w:color w:val="auto"/>
          <w:sz w:val="24"/>
          <w:szCs w:val="24"/>
        </w:rPr>
        <w:t>3</w:t>
      </w:r>
      <w:r>
        <w:rPr>
          <w:rFonts w:ascii="宋体" w:hAnsi="宋体"/>
          <w:color w:val="auto"/>
          <w:sz w:val="24"/>
          <w:szCs w:val="24"/>
        </w:rPr>
        <w:t>.1</w:t>
      </w:r>
      <w:r>
        <w:rPr>
          <w:rFonts w:hint="eastAsia" w:ascii="宋体" w:hAnsi="宋体"/>
          <w:color w:val="auto"/>
          <w:sz w:val="24"/>
          <w:szCs w:val="24"/>
        </w:rPr>
        <w:t>第一个信封初步评审</w:t>
      </w:r>
    </w:p>
    <w:p w14:paraId="6B815A6F">
      <w:pPr>
        <w:pStyle w:val="7"/>
        <w:tabs>
          <w:tab w:val="left" w:pos="1505"/>
        </w:tabs>
        <w:autoSpaceDE w:val="0"/>
        <w:autoSpaceDN w:val="0"/>
        <w:spacing w:line="440" w:lineRule="exact"/>
        <w:ind w:firstLine="480"/>
        <w:rPr>
          <w:rFonts w:ascii="宋体" w:hAnsi="宋体"/>
          <w:color w:val="auto"/>
          <w:sz w:val="24"/>
          <w:szCs w:val="24"/>
        </w:rPr>
      </w:pPr>
      <w:r>
        <w:rPr>
          <w:rFonts w:ascii="宋体" w:hAnsi="宋体"/>
          <w:color w:val="auto"/>
          <w:sz w:val="24"/>
          <w:szCs w:val="24"/>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14:paraId="539E52CF">
      <w:pPr>
        <w:pStyle w:val="7"/>
        <w:tabs>
          <w:tab w:val="left" w:pos="905"/>
        </w:tabs>
        <w:autoSpaceDE w:val="0"/>
        <w:autoSpaceDN w:val="0"/>
        <w:spacing w:line="440" w:lineRule="exact"/>
        <w:ind w:firstLine="480"/>
        <w:jc w:val="left"/>
        <w:rPr>
          <w:rFonts w:hint="eastAsia" w:ascii="宋体" w:hAnsi="宋体"/>
          <w:color w:val="auto"/>
          <w:sz w:val="24"/>
          <w:szCs w:val="24"/>
        </w:rPr>
      </w:pPr>
      <w:bookmarkStart w:id="5" w:name="_bookmark100"/>
      <w:bookmarkEnd w:id="5"/>
      <w:r>
        <w:rPr>
          <w:rFonts w:hint="eastAsia" w:ascii="宋体" w:hAnsi="宋体"/>
          <w:color w:val="auto"/>
          <w:sz w:val="24"/>
          <w:szCs w:val="24"/>
        </w:rPr>
        <w:t>3</w:t>
      </w:r>
      <w:r>
        <w:rPr>
          <w:rFonts w:ascii="宋体" w:hAnsi="宋体"/>
          <w:color w:val="auto"/>
          <w:sz w:val="24"/>
          <w:szCs w:val="24"/>
        </w:rPr>
        <w:t>.2</w:t>
      </w:r>
      <w:r>
        <w:rPr>
          <w:rFonts w:hint="eastAsia" w:ascii="宋体" w:hAnsi="宋体"/>
          <w:color w:val="auto"/>
          <w:sz w:val="24"/>
          <w:szCs w:val="24"/>
        </w:rPr>
        <w:t>第一个信封详细评审</w:t>
      </w:r>
    </w:p>
    <w:p w14:paraId="336874F0">
      <w:pPr>
        <w:pStyle w:val="7"/>
        <w:tabs>
          <w:tab w:val="left" w:pos="1505"/>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.2.1评标委员会按本章第2.2款规定的量化因素和分值进行打分，并计算出各投标人的商务和技术得分。</w:t>
      </w:r>
    </w:p>
    <w:p w14:paraId="16DCB11D">
      <w:pPr>
        <w:pStyle w:val="7"/>
        <w:tabs>
          <w:tab w:val="left" w:pos="1506"/>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1）按本章第2.2.4项（1）目规定的评审因素和分值对技术建议书部分计算出得分A；</w:t>
      </w:r>
    </w:p>
    <w:p w14:paraId="1FE06088">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（2）按本章第2.2.4项（2）目规定的评审因素和分值对主要人员部分计算出得分B；</w:t>
      </w:r>
    </w:p>
    <w:p w14:paraId="794704F4">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（3）按本章第2.2.4项（4）目规定的评审因素和分值对其他部分计算出得分</w:t>
      </w:r>
      <w:r>
        <w:rPr>
          <w:rFonts w:ascii="宋体" w:hAnsi="宋体"/>
          <w:color w:val="auto"/>
          <w:w w:val="99"/>
          <w:sz w:val="24"/>
          <w:szCs w:val="24"/>
        </w:rPr>
        <w:t>D</w:t>
      </w:r>
      <w:r>
        <w:rPr>
          <w:rFonts w:ascii="宋体" w:hAnsi="宋体"/>
          <w:color w:val="auto"/>
          <w:sz w:val="24"/>
          <w:szCs w:val="24"/>
        </w:rPr>
        <w:t>。</w:t>
      </w:r>
    </w:p>
    <w:p w14:paraId="1A5D30EC">
      <w:pPr>
        <w:pStyle w:val="7"/>
        <w:tabs>
          <w:tab w:val="left" w:pos="1510"/>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.2.2投标人的商务和技术得分分值计算保留小数点后两位，小数点后第三位“四舍五入”。</w:t>
      </w:r>
    </w:p>
    <w:p w14:paraId="53A1A26A">
      <w:pPr>
        <w:pStyle w:val="7"/>
        <w:tabs>
          <w:tab w:val="left" w:pos="1505"/>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.2.2投标人的商务和技术得分=A+B+D。</w:t>
      </w:r>
    </w:p>
    <w:p w14:paraId="79911F4A">
      <w:pPr>
        <w:pStyle w:val="7"/>
        <w:tabs>
          <w:tab w:val="left" w:pos="905"/>
        </w:tabs>
        <w:autoSpaceDE w:val="0"/>
        <w:autoSpaceDN w:val="0"/>
        <w:spacing w:line="440" w:lineRule="exact"/>
        <w:ind w:firstLine="480"/>
        <w:jc w:val="left"/>
        <w:rPr>
          <w:rFonts w:hint="eastAsia" w:ascii="宋体" w:hAnsi="宋体"/>
          <w:color w:val="auto"/>
          <w:sz w:val="24"/>
          <w:szCs w:val="24"/>
        </w:rPr>
      </w:pPr>
      <w:bookmarkStart w:id="6" w:name="_bookmark101"/>
      <w:bookmarkEnd w:id="6"/>
      <w:r>
        <w:rPr>
          <w:rFonts w:hint="eastAsia" w:ascii="宋体" w:hAnsi="宋体"/>
          <w:color w:val="auto"/>
          <w:sz w:val="24"/>
          <w:szCs w:val="24"/>
        </w:rPr>
        <w:t>3</w:t>
      </w:r>
      <w:r>
        <w:rPr>
          <w:rFonts w:ascii="宋体" w:hAnsi="宋体"/>
          <w:color w:val="auto"/>
          <w:sz w:val="24"/>
          <w:szCs w:val="24"/>
        </w:rPr>
        <w:t>.3</w:t>
      </w:r>
      <w:r>
        <w:rPr>
          <w:rFonts w:hint="eastAsia" w:ascii="宋体" w:hAnsi="宋体"/>
          <w:color w:val="auto"/>
          <w:sz w:val="24"/>
          <w:szCs w:val="24"/>
        </w:rPr>
        <w:t>第二个信封开标</w:t>
      </w:r>
    </w:p>
    <w:p w14:paraId="25362870">
      <w:pPr>
        <w:pStyle w:val="2"/>
        <w:spacing w:line="440" w:lineRule="exact"/>
        <w:ind w:firstLine="480" w:firstLineChars="200"/>
        <w:jc w:val="both"/>
        <w:rPr>
          <w:color w:val="auto"/>
        </w:rPr>
      </w:pPr>
      <w:r>
        <w:rPr>
          <w:color w:val="auto"/>
        </w:rPr>
        <w:t>第一个信封（商务及技术文件）评审结束后，招标人将按照第二章“投标人须知”第5.1款规定的时间和地点对通过投标文件第一个信封（商务及技术文件）评审的投标文件第二个信封（报价文件）进行开标。</w:t>
      </w:r>
    </w:p>
    <w:p w14:paraId="190DE925">
      <w:pPr>
        <w:pStyle w:val="7"/>
        <w:tabs>
          <w:tab w:val="left" w:pos="905"/>
        </w:tabs>
        <w:autoSpaceDE w:val="0"/>
        <w:autoSpaceDN w:val="0"/>
        <w:spacing w:line="440" w:lineRule="exact"/>
        <w:ind w:firstLine="480"/>
        <w:jc w:val="left"/>
        <w:rPr>
          <w:rFonts w:hint="eastAsia" w:ascii="宋体" w:hAnsi="宋体"/>
          <w:color w:val="auto"/>
          <w:sz w:val="24"/>
          <w:szCs w:val="24"/>
        </w:rPr>
      </w:pPr>
      <w:bookmarkStart w:id="7" w:name="_bookmark102"/>
      <w:bookmarkEnd w:id="7"/>
      <w:r>
        <w:rPr>
          <w:rFonts w:hint="eastAsia" w:ascii="宋体" w:hAnsi="宋体"/>
          <w:color w:val="auto"/>
          <w:sz w:val="24"/>
          <w:szCs w:val="24"/>
        </w:rPr>
        <w:t>3</w:t>
      </w:r>
      <w:r>
        <w:rPr>
          <w:rFonts w:ascii="宋体" w:hAnsi="宋体"/>
          <w:color w:val="auto"/>
          <w:sz w:val="24"/>
          <w:szCs w:val="24"/>
        </w:rPr>
        <w:t>.4</w:t>
      </w:r>
      <w:r>
        <w:rPr>
          <w:rFonts w:hint="eastAsia" w:ascii="宋体" w:hAnsi="宋体"/>
          <w:color w:val="auto"/>
          <w:sz w:val="24"/>
          <w:szCs w:val="24"/>
        </w:rPr>
        <w:t>第二个信封初步评审</w:t>
      </w:r>
    </w:p>
    <w:p w14:paraId="1684A901">
      <w:pPr>
        <w:pStyle w:val="2"/>
        <w:spacing w:line="440" w:lineRule="exact"/>
        <w:ind w:firstLine="480" w:firstLineChars="200"/>
        <w:jc w:val="both"/>
        <w:rPr>
          <w:color w:val="auto"/>
        </w:rPr>
      </w:pPr>
      <w:r>
        <w:rPr>
          <w:rFonts w:hint="eastAsia"/>
          <w:color w:val="auto"/>
        </w:rPr>
        <w:t>3</w:t>
      </w:r>
      <w:r>
        <w:rPr>
          <w:color w:val="auto"/>
        </w:rPr>
        <w:t>.4.1评标委员会依据本章第2.1.1项、第2.1.3项规定的评审标准对投标文件第二个信封（报价文件）进行初步评审。有一项不符合评审标准的，评标委员会应否决其投标。</w:t>
      </w:r>
    </w:p>
    <w:p w14:paraId="2C535B04">
      <w:pPr>
        <w:pStyle w:val="7"/>
        <w:tabs>
          <w:tab w:val="left" w:pos="1505"/>
        </w:tabs>
        <w:autoSpaceDE w:val="0"/>
        <w:autoSpaceDN w:val="0"/>
        <w:spacing w:line="440" w:lineRule="exact"/>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.4.2投标报价有算术错误的，评标委员会按以下原则对投标报价进行修正，修正的价格经投标人书面确认后具有约束力。投标人不接受修正价格的，评标委员会应否决其投标。</w:t>
      </w:r>
    </w:p>
    <w:p w14:paraId="6F16901C">
      <w:pPr>
        <w:pStyle w:val="7"/>
        <w:tabs>
          <w:tab w:val="left" w:pos="1506"/>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1）投标文件中的大写金额与小写金额不一致的，以大写金额为准；</w:t>
      </w:r>
    </w:p>
    <w:p w14:paraId="136D706A">
      <w:pPr>
        <w:pStyle w:val="7"/>
        <w:tabs>
          <w:tab w:val="left" w:pos="1507"/>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（2）总价金额与依据单价计算出的结果不一致的，以单价金额为准修正总价，但单价金额小数点有明显错误的除外；</w:t>
      </w:r>
    </w:p>
    <w:p w14:paraId="3A1678F3">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（3）当单价与数量相乘不等于合价时，以单价计算为准，如果单价有明显的小数点位置差错，应以标出的合价为准，同时对单价予以修正；</w:t>
      </w:r>
    </w:p>
    <w:p w14:paraId="23064139">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（4）当各子目的合价累计不等于总价时，应以各子目合价累计数为准，修正总价。</w:t>
      </w:r>
    </w:p>
    <w:p w14:paraId="47D1C897">
      <w:pPr>
        <w:pStyle w:val="7"/>
        <w:tabs>
          <w:tab w:val="left" w:pos="1505"/>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.4.3修正后的最终投标报价若超过最高投标限价（如有），评标委员会应否决其投标。</w:t>
      </w:r>
    </w:p>
    <w:p w14:paraId="4544FB6B">
      <w:pPr>
        <w:pStyle w:val="7"/>
        <w:tabs>
          <w:tab w:val="left" w:pos="1505"/>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.4.4修正后的最终投标报价仅作为签订合同的一个依据，不参与评标价得分的计算。</w:t>
      </w:r>
    </w:p>
    <w:p w14:paraId="5E5118FE">
      <w:pPr>
        <w:pStyle w:val="7"/>
        <w:tabs>
          <w:tab w:val="left" w:pos="905"/>
        </w:tabs>
        <w:autoSpaceDE w:val="0"/>
        <w:autoSpaceDN w:val="0"/>
        <w:spacing w:line="440" w:lineRule="exact"/>
        <w:ind w:firstLine="480"/>
        <w:jc w:val="left"/>
        <w:rPr>
          <w:rFonts w:hint="eastAsia" w:ascii="宋体" w:hAnsi="宋体"/>
          <w:color w:val="auto"/>
          <w:sz w:val="24"/>
          <w:szCs w:val="24"/>
        </w:rPr>
      </w:pPr>
      <w:bookmarkStart w:id="8" w:name="_bookmark103"/>
      <w:bookmarkEnd w:id="8"/>
      <w:r>
        <w:rPr>
          <w:rFonts w:hint="eastAsia" w:ascii="宋体" w:hAnsi="宋体"/>
          <w:color w:val="auto"/>
          <w:sz w:val="24"/>
          <w:szCs w:val="24"/>
        </w:rPr>
        <w:t>3</w:t>
      </w:r>
      <w:r>
        <w:rPr>
          <w:rFonts w:ascii="宋体" w:hAnsi="宋体"/>
          <w:color w:val="auto"/>
          <w:sz w:val="24"/>
          <w:szCs w:val="24"/>
        </w:rPr>
        <w:t>.5</w:t>
      </w:r>
      <w:r>
        <w:rPr>
          <w:rFonts w:hint="eastAsia" w:ascii="宋体" w:hAnsi="宋体"/>
          <w:color w:val="auto"/>
          <w:sz w:val="24"/>
          <w:szCs w:val="24"/>
        </w:rPr>
        <w:t>第二个信封详细评审</w:t>
      </w:r>
    </w:p>
    <w:p w14:paraId="4DDCDB57">
      <w:pPr>
        <w:pStyle w:val="7"/>
        <w:tabs>
          <w:tab w:val="left" w:pos="1505"/>
        </w:tabs>
        <w:autoSpaceDE w:val="0"/>
        <w:autoSpaceDN w:val="0"/>
        <w:spacing w:line="440" w:lineRule="exact"/>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.5.1评标委员会按本章第2.2.4项（3）目规定的评审因素和分值对评标价计算出得分C。评标价得分分值计算保留小数点后两位，小数点后第三位“四舍五入”。</w:t>
      </w:r>
    </w:p>
    <w:p w14:paraId="496A06B1">
      <w:pPr>
        <w:pStyle w:val="7"/>
        <w:tabs>
          <w:tab w:val="left" w:pos="1505"/>
        </w:tabs>
        <w:autoSpaceDE w:val="0"/>
        <w:autoSpaceDN w:val="0"/>
        <w:spacing w:line="440" w:lineRule="exact"/>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.5.2投标人综合得分=投标人的商务和技术得分+C。</w:t>
      </w:r>
    </w:p>
    <w:p w14:paraId="67D7981C">
      <w:pPr>
        <w:pStyle w:val="7"/>
        <w:tabs>
          <w:tab w:val="left" w:pos="1505"/>
        </w:tabs>
        <w:autoSpaceDE w:val="0"/>
        <w:autoSpaceDN w:val="0"/>
        <w:spacing w:line="440" w:lineRule="exact"/>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03B3C699">
      <w:pPr>
        <w:pStyle w:val="7"/>
        <w:tabs>
          <w:tab w:val="left" w:pos="905"/>
        </w:tabs>
        <w:autoSpaceDE w:val="0"/>
        <w:autoSpaceDN w:val="0"/>
        <w:spacing w:line="440" w:lineRule="exact"/>
        <w:ind w:firstLine="480"/>
        <w:jc w:val="left"/>
        <w:rPr>
          <w:rFonts w:ascii="宋体" w:hAnsi="宋体"/>
          <w:color w:val="auto"/>
          <w:sz w:val="24"/>
          <w:szCs w:val="24"/>
        </w:rPr>
      </w:pPr>
      <w:bookmarkStart w:id="9" w:name="_bookmark104"/>
      <w:bookmarkEnd w:id="9"/>
      <w:r>
        <w:rPr>
          <w:rFonts w:hint="eastAsia" w:ascii="宋体" w:hAnsi="宋体"/>
          <w:color w:val="auto"/>
          <w:sz w:val="24"/>
          <w:szCs w:val="24"/>
        </w:rPr>
        <w:t>3</w:t>
      </w:r>
      <w:r>
        <w:rPr>
          <w:rFonts w:ascii="宋体" w:hAnsi="宋体"/>
          <w:color w:val="auto"/>
          <w:sz w:val="24"/>
          <w:szCs w:val="24"/>
        </w:rPr>
        <w:t>.6</w:t>
      </w:r>
      <w:r>
        <w:rPr>
          <w:rFonts w:hint="eastAsia" w:ascii="宋体" w:hAnsi="宋体"/>
          <w:color w:val="auto"/>
          <w:sz w:val="24"/>
          <w:szCs w:val="24"/>
        </w:rPr>
        <w:t>投标文件相关信息的核查</w:t>
      </w:r>
    </w:p>
    <w:p w14:paraId="76EB1C64">
      <w:pPr>
        <w:pStyle w:val="7"/>
        <w:tabs>
          <w:tab w:val="left" w:pos="1505"/>
        </w:tabs>
        <w:autoSpaceDE w:val="0"/>
        <w:autoSpaceDN w:val="0"/>
        <w:spacing w:line="440" w:lineRule="exact"/>
        <w:ind w:firstLine="480"/>
        <w:rPr>
          <w:rFonts w:ascii="宋体" w:hAnsi="宋体"/>
          <w:color w:val="auto"/>
          <w:sz w:val="24"/>
          <w:szCs w:val="24"/>
          <w:highlight w:val="magenta"/>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.6.1在</w:t>
      </w:r>
      <w:r>
        <w:rPr>
          <w:rFonts w:ascii="宋体" w:hAnsi="宋体"/>
          <w:color w:val="auto"/>
          <w:sz w:val="24"/>
          <w:szCs w:val="24"/>
        </w:rPr>
        <w:t>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22059D5C">
      <w:pPr>
        <w:pStyle w:val="7"/>
        <w:tabs>
          <w:tab w:val="left" w:pos="1505"/>
        </w:tabs>
        <w:autoSpaceDE w:val="0"/>
        <w:autoSpaceDN w:val="0"/>
        <w:spacing w:line="440" w:lineRule="exact"/>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.6.2评标委员会应对在评标过程中发现的投标人与投标人之间、投标人与招标人之间存在的串通投标的情形进行评审和认定。投标人存在串通投标、弄虚作假、行贿等违法行为的，评标委员会应否决其投标。</w:t>
      </w:r>
    </w:p>
    <w:p w14:paraId="540ED018">
      <w:pPr>
        <w:pStyle w:val="7"/>
        <w:tabs>
          <w:tab w:val="left" w:pos="1506"/>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1）有下列情形之一的，属于投标人相互串通投标：</w:t>
      </w:r>
    </w:p>
    <w:p w14:paraId="723ADB3A">
      <w:pPr>
        <w:pStyle w:val="7"/>
        <w:tabs>
          <w:tab w:val="left" w:pos="1071"/>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a.投标人之间协商投标报价等投标文件的实质性内容；</w:t>
      </w:r>
    </w:p>
    <w:p w14:paraId="1CDEC712">
      <w:pPr>
        <w:pStyle w:val="7"/>
        <w:tabs>
          <w:tab w:val="left" w:pos="1086"/>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b.</w:t>
      </w:r>
      <w:r>
        <w:rPr>
          <w:rFonts w:ascii="宋体" w:hAnsi="宋体"/>
          <w:color w:val="auto"/>
          <w:sz w:val="24"/>
          <w:szCs w:val="24"/>
        </w:rPr>
        <w:t>投标人之间约定中标人；</w:t>
      </w:r>
    </w:p>
    <w:p w14:paraId="16722313">
      <w:pPr>
        <w:pStyle w:val="7"/>
        <w:tabs>
          <w:tab w:val="left" w:pos="1071"/>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c.投标人之间约定部分投标人放弃投标或中标；</w:t>
      </w:r>
    </w:p>
    <w:p w14:paraId="6CE08A07">
      <w:pPr>
        <w:pStyle w:val="7"/>
        <w:tabs>
          <w:tab w:val="left" w:pos="108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d.属于同一集团、协会、商会等组织成员的投标人按照该组织要求协同投标；</w:t>
      </w:r>
    </w:p>
    <w:p w14:paraId="1C75BFDD">
      <w:pPr>
        <w:pStyle w:val="7"/>
        <w:tabs>
          <w:tab w:val="left" w:pos="108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e.投标人之间为谋取中标或排斥特定投标人而采取的其他联合行动。</w:t>
      </w:r>
    </w:p>
    <w:p w14:paraId="45281F4F">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（2）有下列情形之一的，视为投标人相互串通投标：</w:t>
      </w:r>
    </w:p>
    <w:p w14:paraId="19C74196">
      <w:pPr>
        <w:pStyle w:val="2"/>
        <w:spacing w:line="440" w:lineRule="exact"/>
        <w:ind w:firstLine="480" w:firstLineChars="200"/>
        <w:rPr>
          <w:color w:val="auto"/>
        </w:rPr>
      </w:pPr>
      <w:r>
        <w:rPr>
          <w:color w:val="auto"/>
        </w:rPr>
        <w:t>a.不同投标人的投标文件由同一单位或个人编制；</w:t>
      </w:r>
    </w:p>
    <w:p w14:paraId="37C774E2">
      <w:pPr>
        <w:pStyle w:val="2"/>
        <w:spacing w:line="440" w:lineRule="exact"/>
        <w:ind w:firstLine="480" w:firstLineChars="200"/>
        <w:rPr>
          <w:color w:val="auto"/>
        </w:rPr>
      </w:pPr>
      <w:r>
        <w:rPr>
          <w:color w:val="auto"/>
        </w:rPr>
        <w:t>b.不同投标人委托同一单位或个人办理投标事宜；</w:t>
      </w:r>
    </w:p>
    <w:p w14:paraId="5A41E174">
      <w:pPr>
        <w:pStyle w:val="7"/>
        <w:tabs>
          <w:tab w:val="left" w:pos="1071"/>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c.不同投标人的投标文件载明的项目管理成员为同一人；</w:t>
      </w:r>
    </w:p>
    <w:p w14:paraId="0C9C19C9">
      <w:pPr>
        <w:pStyle w:val="7"/>
        <w:tabs>
          <w:tab w:val="left" w:pos="108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d.不同投标人的投标文件异常一致或投标报价呈规律性差异；</w:t>
      </w:r>
    </w:p>
    <w:p w14:paraId="2869C010">
      <w:pPr>
        <w:pStyle w:val="7"/>
        <w:tabs>
          <w:tab w:val="left" w:pos="108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e.不同投标人的投标文件相互混装；</w:t>
      </w:r>
    </w:p>
    <w:p w14:paraId="4C5BCDD6">
      <w:pPr>
        <w:pStyle w:val="2"/>
        <w:spacing w:line="440" w:lineRule="exact"/>
        <w:ind w:firstLine="480" w:firstLineChars="200"/>
        <w:rPr>
          <w:color w:val="auto"/>
        </w:rPr>
      </w:pPr>
      <w:r>
        <w:rPr>
          <w:color w:val="auto"/>
        </w:rPr>
        <w:t>f.不同投标人的投标保证金从同一单位或个人的账户转出。</w:t>
      </w:r>
    </w:p>
    <w:p w14:paraId="0F6D9E6C">
      <w:pPr>
        <w:pStyle w:val="7"/>
        <w:tabs>
          <w:tab w:val="left" w:pos="1506"/>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3）有下列情形之一的，属于招标人与投标人串通投标：</w:t>
      </w:r>
    </w:p>
    <w:p w14:paraId="7FCCD2BB">
      <w:pPr>
        <w:pStyle w:val="2"/>
        <w:spacing w:line="440" w:lineRule="exact"/>
        <w:ind w:firstLine="480" w:firstLineChars="200"/>
        <w:rPr>
          <w:color w:val="auto"/>
        </w:rPr>
      </w:pPr>
      <w:r>
        <w:rPr>
          <w:color w:val="auto"/>
        </w:rPr>
        <w:t>a.招标人在开标前开启投标文件并将有关信息泄露给其他投标人;</w:t>
      </w:r>
    </w:p>
    <w:p w14:paraId="3BB38D7D">
      <w:pPr>
        <w:pStyle w:val="2"/>
        <w:spacing w:line="440" w:lineRule="exact"/>
        <w:ind w:firstLine="480" w:firstLineChars="200"/>
        <w:rPr>
          <w:color w:val="auto"/>
        </w:rPr>
      </w:pPr>
      <w:r>
        <w:rPr>
          <w:color w:val="auto"/>
        </w:rPr>
        <w:t>b.招标人直接或间接向投标人泄露标底、评标委员会成员等信息；</w:t>
      </w:r>
    </w:p>
    <w:p w14:paraId="4835B74C">
      <w:pPr>
        <w:pStyle w:val="2"/>
        <w:spacing w:line="440" w:lineRule="exact"/>
        <w:ind w:firstLine="480" w:firstLineChars="200"/>
        <w:rPr>
          <w:color w:val="auto"/>
        </w:rPr>
      </w:pPr>
      <w:r>
        <w:rPr>
          <w:color w:val="auto"/>
        </w:rPr>
        <w:t>c.招标人明示或暗示投标人压低或抬高投标报价；</w:t>
      </w:r>
    </w:p>
    <w:p w14:paraId="20547993">
      <w:pPr>
        <w:pStyle w:val="7"/>
        <w:tabs>
          <w:tab w:val="left" w:pos="1086"/>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d</w:t>
      </w:r>
      <w:r>
        <w:rPr>
          <w:rFonts w:ascii="宋体" w:hAnsi="宋体"/>
          <w:color w:val="auto"/>
          <w:sz w:val="24"/>
          <w:szCs w:val="24"/>
        </w:rPr>
        <w:t>.招标人授意投标人撤换、修改投标文件；</w:t>
      </w:r>
    </w:p>
    <w:p w14:paraId="5F1374BE">
      <w:pPr>
        <w:pStyle w:val="7"/>
        <w:tabs>
          <w:tab w:val="left" w:pos="1071"/>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e.招标人明示或暗示投标人为特定投标人中标提供方便；</w:t>
      </w:r>
    </w:p>
    <w:p w14:paraId="08FB846A">
      <w:pPr>
        <w:pStyle w:val="7"/>
        <w:tabs>
          <w:tab w:val="left" w:pos="1045"/>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f.招标人与投标人为谋求特定投标人中标而采取的其他串通行为。</w:t>
      </w:r>
    </w:p>
    <w:p w14:paraId="2F0792A4">
      <w:pPr>
        <w:pStyle w:val="7"/>
        <w:tabs>
          <w:tab w:val="left" w:pos="150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（3）投标人有下列情形之一的，属于弄虚作假的行为：</w:t>
      </w:r>
    </w:p>
    <w:p w14:paraId="6E143EDC">
      <w:pPr>
        <w:pStyle w:val="2"/>
        <w:spacing w:line="440" w:lineRule="exact"/>
        <w:ind w:firstLine="480" w:firstLineChars="200"/>
        <w:rPr>
          <w:color w:val="auto"/>
        </w:rPr>
      </w:pPr>
      <w:r>
        <w:rPr>
          <w:color w:val="auto"/>
        </w:rPr>
        <w:t>a.使用通过受让或租借等方式获取的资格、资质证书投标；</w:t>
      </w:r>
    </w:p>
    <w:p w14:paraId="4FA2537D">
      <w:pPr>
        <w:pStyle w:val="2"/>
        <w:spacing w:line="440" w:lineRule="exact"/>
        <w:ind w:firstLine="480" w:firstLineChars="200"/>
        <w:rPr>
          <w:color w:val="auto"/>
        </w:rPr>
      </w:pPr>
      <w:r>
        <w:rPr>
          <w:color w:val="auto"/>
        </w:rPr>
        <w:t>b.使用伪造、变造的许可证件；</w:t>
      </w:r>
    </w:p>
    <w:p w14:paraId="26D233ED">
      <w:pPr>
        <w:pStyle w:val="7"/>
        <w:tabs>
          <w:tab w:val="left" w:pos="1071"/>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c</w:t>
      </w:r>
      <w:r>
        <w:rPr>
          <w:rFonts w:ascii="宋体" w:hAnsi="宋体"/>
          <w:color w:val="auto"/>
          <w:sz w:val="24"/>
          <w:szCs w:val="24"/>
        </w:rPr>
        <w:t>.提供虚假的业绩；</w:t>
      </w:r>
    </w:p>
    <w:p w14:paraId="69DF3EA2">
      <w:pPr>
        <w:pStyle w:val="7"/>
        <w:tabs>
          <w:tab w:val="left" w:pos="1086"/>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d</w:t>
      </w:r>
      <w:r>
        <w:rPr>
          <w:rFonts w:ascii="宋体" w:hAnsi="宋体"/>
          <w:color w:val="auto"/>
          <w:sz w:val="24"/>
          <w:szCs w:val="24"/>
        </w:rPr>
        <w:t>.提供虚假的项目负责人或主要技术人员简历、劳动关系证明；</w:t>
      </w:r>
    </w:p>
    <w:p w14:paraId="1E9D06E8">
      <w:pPr>
        <w:pStyle w:val="7"/>
        <w:tabs>
          <w:tab w:val="left" w:pos="1086"/>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e.提供虚假的信用状况；</w:t>
      </w:r>
    </w:p>
    <w:p w14:paraId="298BB32B">
      <w:pPr>
        <w:pStyle w:val="2"/>
        <w:spacing w:line="440" w:lineRule="exact"/>
        <w:ind w:firstLine="480" w:firstLineChars="200"/>
        <w:rPr>
          <w:color w:val="auto"/>
        </w:rPr>
      </w:pPr>
      <w:r>
        <w:rPr>
          <w:color w:val="auto"/>
        </w:rPr>
        <w:t>f.其他弄虚作假的行为。</w:t>
      </w:r>
    </w:p>
    <w:p w14:paraId="4B8DB2FA">
      <w:pPr>
        <w:pStyle w:val="7"/>
        <w:tabs>
          <w:tab w:val="left" w:pos="905"/>
        </w:tabs>
        <w:autoSpaceDE w:val="0"/>
        <w:autoSpaceDN w:val="0"/>
        <w:spacing w:line="440" w:lineRule="exact"/>
        <w:ind w:firstLine="480"/>
        <w:jc w:val="left"/>
        <w:rPr>
          <w:rFonts w:hint="eastAsia" w:ascii="宋体" w:hAnsi="宋体"/>
          <w:color w:val="auto"/>
          <w:sz w:val="24"/>
          <w:szCs w:val="24"/>
        </w:rPr>
      </w:pPr>
      <w:bookmarkStart w:id="10" w:name="_bookmark105"/>
      <w:bookmarkEnd w:id="10"/>
      <w:r>
        <w:rPr>
          <w:rFonts w:hint="eastAsia" w:ascii="宋体" w:hAnsi="宋体"/>
          <w:color w:val="auto"/>
          <w:sz w:val="24"/>
          <w:szCs w:val="24"/>
        </w:rPr>
        <w:t>3</w:t>
      </w:r>
      <w:r>
        <w:rPr>
          <w:rFonts w:ascii="宋体" w:hAnsi="宋体"/>
          <w:color w:val="auto"/>
          <w:sz w:val="24"/>
          <w:szCs w:val="24"/>
        </w:rPr>
        <w:t>.7</w:t>
      </w:r>
      <w:r>
        <w:rPr>
          <w:rFonts w:hint="eastAsia" w:ascii="宋体" w:hAnsi="宋体"/>
          <w:color w:val="auto"/>
          <w:sz w:val="24"/>
          <w:szCs w:val="24"/>
        </w:rPr>
        <w:t>投标文件的澄清和说明</w:t>
      </w:r>
    </w:p>
    <w:p w14:paraId="375E9C40">
      <w:pPr>
        <w:pStyle w:val="7"/>
        <w:tabs>
          <w:tab w:val="left" w:pos="1505"/>
        </w:tabs>
        <w:autoSpaceDE w:val="0"/>
        <w:autoSpaceDN w:val="0"/>
        <w:spacing w:line="440" w:lineRule="exact"/>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20A9EF63">
      <w:pPr>
        <w:pStyle w:val="7"/>
        <w:tabs>
          <w:tab w:val="left" w:pos="1505"/>
        </w:tabs>
        <w:autoSpaceDE w:val="0"/>
        <w:autoSpaceDN w:val="0"/>
        <w:spacing w:line="440" w:lineRule="exact"/>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.7.2澄清和说明不得超出投标文件的范围或改变投标文件的实质性内容（算术性错误的修正除外）。投标人的书面澄清、说明属于投标文件的组成部分。</w:t>
      </w:r>
    </w:p>
    <w:p w14:paraId="6FCB4C74">
      <w:pPr>
        <w:pStyle w:val="7"/>
        <w:tabs>
          <w:tab w:val="left" w:pos="1505"/>
        </w:tabs>
        <w:autoSpaceDE w:val="0"/>
        <w:autoSpaceDN w:val="0"/>
        <w:spacing w:line="440" w:lineRule="exact"/>
        <w:ind w:firstLine="48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.7.3评标委员会不得暗示或诱导投标人作出澄清、说明，对投标人提交的澄清、说明有疑问的，可以要求投标人进一步澄清或说明，直至满足评标委员会的要求。</w:t>
      </w:r>
    </w:p>
    <w:p w14:paraId="57462FE0">
      <w:pPr>
        <w:pStyle w:val="7"/>
        <w:tabs>
          <w:tab w:val="left" w:pos="1505"/>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.7.4凡超出招标文件规定的或给发包人带来未曾要求的利益的变化、偏差或其他因素在评标时不予考虑。</w:t>
      </w:r>
    </w:p>
    <w:p w14:paraId="6591008E">
      <w:pPr>
        <w:pStyle w:val="7"/>
        <w:tabs>
          <w:tab w:val="left" w:pos="905"/>
        </w:tabs>
        <w:autoSpaceDE w:val="0"/>
        <w:autoSpaceDN w:val="0"/>
        <w:spacing w:line="440" w:lineRule="exact"/>
        <w:ind w:firstLine="480"/>
        <w:jc w:val="left"/>
        <w:rPr>
          <w:rFonts w:hint="eastAsia" w:ascii="宋体" w:hAnsi="宋体"/>
          <w:color w:val="auto"/>
          <w:sz w:val="24"/>
          <w:szCs w:val="24"/>
        </w:rPr>
      </w:pPr>
      <w:bookmarkStart w:id="11" w:name="_bookmark106"/>
      <w:bookmarkEnd w:id="11"/>
      <w:r>
        <w:rPr>
          <w:rFonts w:hint="eastAsia" w:ascii="宋体" w:hAnsi="宋体"/>
          <w:color w:val="auto"/>
          <w:sz w:val="24"/>
          <w:szCs w:val="24"/>
        </w:rPr>
        <w:t>3</w:t>
      </w:r>
      <w:r>
        <w:rPr>
          <w:rFonts w:ascii="宋体" w:hAnsi="宋体"/>
          <w:color w:val="auto"/>
          <w:sz w:val="24"/>
          <w:szCs w:val="24"/>
        </w:rPr>
        <w:t>.8</w:t>
      </w:r>
      <w:r>
        <w:rPr>
          <w:rFonts w:hint="eastAsia" w:ascii="宋体" w:hAnsi="宋体"/>
          <w:color w:val="auto"/>
          <w:sz w:val="24"/>
          <w:szCs w:val="24"/>
        </w:rPr>
        <w:t>不得否决投标的情形</w:t>
      </w:r>
    </w:p>
    <w:p w14:paraId="5D9E06CA">
      <w:pPr>
        <w:pStyle w:val="2"/>
        <w:spacing w:line="440" w:lineRule="exact"/>
        <w:ind w:firstLine="480" w:firstLineChars="200"/>
        <w:rPr>
          <w:color w:val="auto"/>
        </w:rPr>
      </w:pPr>
      <w:r>
        <w:rPr>
          <w:color w:val="auto"/>
        </w:rPr>
        <w:t>投标文件存在第二章“投标人须知”第1.12.3项所列情形的，均视为细微偏差，评标委员会不得否决投标人的投标，应按照第二章“投标人须知”第1.12.4项规定的原则处理。</w:t>
      </w:r>
    </w:p>
    <w:p w14:paraId="39CF2C11">
      <w:pPr>
        <w:pStyle w:val="7"/>
        <w:tabs>
          <w:tab w:val="left" w:pos="905"/>
        </w:tabs>
        <w:autoSpaceDE w:val="0"/>
        <w:autoSpaceDN w:val="0"/>
        <w:spacing w:line="440" w:lineRule="exact"/>
        <w:ind w:firstLine="480"/>
        <w:jc w:val="left"/>
        <w:rPr>
          <w:rFonts w:hint="eastAsia" w:ascii="宋体" w:hAnsi="宋体"/>
          <w:color w:val="auto"/>
          <w:sz w:val="24"/>
          <w:szCs w:val="24"/>
        </w:rPr>
      </w:pPr>
      <w:bookmarkStart w:id="12" w:name="_bookmark107"/>
      <w:bookmarkEnd w:id="12"/>
      <w:r>
        <w:rPr>
          <w:rFonts w:hint="eastAsia" w:ascii="宋体" w:hAnsi="宋体"/>
          <w:color w:val="auto"/>
          <w:sz w:val="24"/>
          <w:szCs w:val="24"/>
        </w:rPr>
        <w:t>3</w:t>
      </w:r>
      <w:r>
        <w:rPr>
          <w:rFonts w:ascii="宋体" w:hAnsi="宋体"/>
          <w:color w:val="auto"/>
          <w:sz w:val="24"/>
          <w:szCs w:val="24"/>
        </w:rPr>
        <w:t>.9</w:t>
      </w:r>
      <w:r>
        <w:rPr>
          <w:rFonts w:hint="eastAsia" w:ascii="宋体" w:hAnsi="宋体"/>
          <w:color w:val="auto"/>
          <w:sz w:val="24"/>
          <w:szCs w:val="24"/>
        </w:rPr>
        <w:t>评标结果</w:t>
      </w:r>
    </w:p>
    <w:p w14:paraId="7C2111CD">
      <w:pPr>
        <w:pStyle w:val="7"/>
        <w:tabs>
          <w:tab w:val="left" w:pos="1505"/>
        </w:tabs>
        <w:autoSpaceDE w:val="0"/>
        <w:autoSpaceDN w:val="0"/>
        <w:spacing w:line="44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.9.1除第二章“投标人须知”前附表授权直接确定中标人外，评标委员会按照得分由高到低的顺序推荐中标候选人，并标明排序。</w:t>
      </w:r>
    </w:p>
    <w:p w14:paraId="5929020C">
      <w:pPr>
        <w:pStyle w:val="7"/>
        <w:tabs>
          <w:tab w:val="left" w:pos="1505"/>
        </w:tabs>
        <w:autoSpaceDE w:val="0"/>
        <w:autoSpaceDN w:val="0"/>
        <w:spacing w:line="440" w:lineRule="exact"/>
        <w:ind w:firstLine="480"/>
        <w:jc w:val="left"/>
        <w:rPr>
          <w:rFonts w:ascii="宋体" w:hAnsi="宋体"/>
          <w:color w:val="auto"/>
          <w:sz w:val="24"/>
          <w:szCs w:val="24"/>
        </w:rPr>
      </w:pPr>
      <w:r>
        <w:rPr>
          <w:rFonts w:ascii="宋体" w:hAnsi="宋体"/>
          <w:color w:val="auto"/>
          <w:sz w:val="24"/>
          <w:szCs w:val="24"/>
        </w:rPr>
        <w:t>3.9.2评标委员会完成评标后，应向招标人提交书面评标报告。</w:t>
      </w:r>
    </w:p>
    <w:p w14:paraId="17A5AB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995ED"/>
    <w:multiLevelType w:val="singleLevel"/>
    <w:tmpl w:val="5C6995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1424D"/>
    <w:rsid w:val="008F3CBE"/>
    <w:rsid w:val="0425194B"/>
    <w:rsid w:val="08005B85"/>
    <w:rsid w:val="0A136126"/>
    <w:rsid w:val="0AE904F2"/>
    <w:rsid w:val="105E3AF6"/>
    <w:rsid w:val="16F07A0C"/>
    <w:rsid w:val="1D734F1C"/>
    <w:rsid w:val="1F1773D4"/>
    <w:rsid w:val="209510D7"/>
    <w:rsid w:val="220F74E8"/>
    <w:rsid w:val="2BAE36F2"/>
    <w:rsid w:val="302E7D22"/>
    <w:rsid w:val="328B57D4"/>
    <w:rsid w:val="343F0883"/>
    <w:rsid w:val="34F5768D"/>
    <w:rsid w:val="390046A2"/>
    <w:rsid w:val="39AF0190"/>
    <w:rsid w:val="39FA2032"/>
    <w:rsid w:val="3A853D1E"/>
    <w:rsid w:val="3D653DC7"/>
    <w:rsid w:val="41AC539E"/>
    <w:rsid w:val="4B4E2A4F"/>
    <w:rsid w:val="4BDC50FF"/>
    <w:rsid w:val="4D9E5313"/>
    <w:rsid w:val="4E4D0672"/>
    <w:rsid w:val="507A4C72"/>
    <w:rsid w:val="51BE5507"/>
    <w:rsid w:val="5A9C2FF0"/>
    <w:rsid w:val="5D601113"/>
    <w:rsid w:val="5D8177BD"/>
    <w:rsid w:val="5E424003"/>
    <w:rsid w:val="639E53F9"/>
    <w:rsid w:val="668B3E7B"/>
    <w:rsid w:val="6AA415B6"/>
    <w:rsid w:val="6B9D3DF2"/>
    <w:rsid w:val="6C1638EF"/>
    <w:rsid w:val="6CFE2DB8"/>
    <w:rsid w:val="6FC1424D"/>
    <w:rsid w:val="70315CBF"/>
    <w:rsid w:val="7221546F"/>
    <w:rsid w:val="7676545D"/>
    <w:rsid w:val="76DE09CF"/>
    <w:rsid w:val="7B5D6FBC"/>
    <w:rsid w:val="7E8F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cs="宋体"/>
      <w:kern w:val="0"/>
      <w:sz w:val="24"/>
      <w:szCs w:val="24"/>
      <w:lang w:val="zh-CN" w:bidi="zh-CN"/>
    </w:rPr>
  </w:style>
  <w:style w:type="paragraph" w:styleId="3">
    <w:name w:val="Normal (Web)"/>
    <w:basedOn w:val="1"/>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
    <w:name w:val="Table Paragraph"/>
    <w:basedOn w:val="1"/>
    <w:qFormat/>
    <w:uiPriority w:val="1"/>
    <w:pPr>
      <w:autoSpaceDE w:val="0"/>
      <w:autoSpaceDN w:val="0"/>
      <w:jc w:val="left"/>
    </w:pPr>
    <w:rPr>
      <w:rFonts w:ascii="宋体" w:hAnsi="宋体" w:cs="宋体"/>
      <w:kern w:val="0"/>
      <w:sz w:val="22"/>
      <w:lang w:val="zh-CN" w:bidi="zh-CN"/>
    </w:rPr>
  </w:style>
  <w:style w:type="paragraph" w:styleId="7">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2025-07-14T01:24:00Z</dcterms:created>
  <dc:creator>恩赐</dc:creator>
  <cp:lastModifiedBy>恩赐</cp:lastModifiedBy>
  <dcterms:modified xsi:type="dcterms:W3CDTF">2025-07-14T01:25:24Z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24E1DF6B6FCF47D98FA3762655C7C573_11</vt:lpwstr>
  </property>
  <property fmtid="{D5CDD505-2E9C-101B-9397-08002B2CF9AE}" pid="4" name="KSOTemplateDocerSaveRecord">
    <vt:lpwstr>eyJoZGlkIjoiZDExNjU5Nzc1ZWIzMWMzNzk1ZWYzYmUxNTgzZDU1YTMiLCJ1c2VySWQiOiI0NTExNjQyOTQifQ==</vt:lpwstr>
  </property>
</Properties>
</file>