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194256">
      <w:pPr>
        <w:spacing w:line="360" w:lineRule="auto"/>
        <w:jc w:val="left"/>
        <w:rPr>
          <w:rFonts w:hint="default" w:ascii="Times New Roman" w:hAnsi="Times New Roman" w:cs="Times New Roman"/>
          <w:color w:val="auto"/>
          <w:sz w:val="30"/>
          <w:szCs w:val="30"/>
          <w:highlight w:val="none"/>
        </w:rPr>
      </w:pPr>
      <w:bookmarkStart w:id="0" w:name="_Toc323657551"/>
      <w:bookmarkStart w:id="1" w:name="_Toc1172"/>
      <w:bookmarkStart w:id="2" w:name="_Toc259439743"/>
      <w:bookmarkStart w:id="3" w:name="_Toc267948876"/>
      <w:bookmarkStart w:id="4" w:name="_Toc316388612"/>
      <w:bookmarkStart w:id="5" w:name="_Toc190756968"/>
      <w:bookmarkStart w:id="6" w:name="_Toc323657581"/>
      <w:bookmarkStart w:id="7" w:name="_Toc267948886"/>
      <w:bookmarkStart w:id="8" w:name="_Toc316388642"/>
      <w:bookmarkStart w:id="9" w:name="_Toc259439755"/>
      <w:r>
        <w:rPr>
          <w:rFonts w:hint="default" w:ascii="Times New Roman" w:hAnsi="Times New Roman" w:cs="Times New Roman"/>
          <w:color w:val="auto"/>
          <w:sz w:val="30"/>
          <w:szCs w:val="30"/>
          <w:highlight w:val="none"/>
        </w:rPr>
        <w:drawing>
          <wp:inline distT="0" distB="0" distL="0" distR="0">
            <wp:extent cx="1133475" cy="1171575"/>
            <wp:effectExtent l="0" t="0" r="9525" b="9525"/>
            <wp:docPr id="4" name="图片 1" descr="3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308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133475" cy="1171575"/>
                    </a:xfrm>
                    <a:prstGeom prst="rect">
                      <a:avLst/>
                    </a:prstGeom>
                    <a:noFill/>
                    <a:ln>
                      <a:noFill/>
                    </a:ln>
                  </pic:spPr>
                </pic:pic>
              </a:graphicData>
            </a:graphic>
          </wp:inline>
        </w:drawing>
      </w:r>
    </w:p>
    <w:p w14:paraId="6745D300">
      <w:pPr>
        <w:spacing w:before="312" w:beforeLines="100"/>
        <w:jc w:val="center"/>
        <w:rPr>
          <w:rFonts w:hint="default" w:ascii="Times New Roman" w:hAnsi="Times New Roman" w:eastAsia="黑体" w:cs="Times New Roman"/>
          <w:b/>
          <w:color w:val="auto"/>
          <w:sz w:val="44"/>
          <w:szCs w:val="44"/>
          <w:highlight w:val="none"/>
          <w:shd w:val="clear" w:color="auto" w:fill="FFFFFF"/>
        </w:rPr>
      </w:pPr>
    </w:p>
    <w:p w14:paraId="02274B0F">
      <w:pPr>
        <w:snapToGrid w:val="0"/>
        <w:spacing w:before="312" w:beforeLines="100" w:line="360" w:lineRule="auto"/>
        <w:jc w:val="center"/>
        <w:rPr>
          <w:rFonts w:hint="default" w:ascii="Times New Roman" w:hAnsi="Times New Roman" w:eastAsia="宋体" w:cs="Times New Roman"/>
          <w:b/>
          <w:color w:val="auto"/>
          <w:sz w:val="52"/>
          <w:szCs w:val="52"/>
          <w:highlight w:val="none"/>
          <w:shd w:val="clear" w:color="auto" w:fill="FFFFFF"/>
          <w:lang w:eastAsia="zh-CN"/>
        </w:rPr>
      </w:pPr>
      <w:r>
        <w:rPr>
          <w:rFonts w:hint="default" w:ascii="Times New Roman" w:hAnsi="Times New Roman" w:eastAsia="宋体" w:cs="Times New Roman"/>
          <w:b/>
          <w:bCs/>
          <w:color w:val="auto"/>
          <w:sz w:val="52"/>
          <w:szCs w:val="52"/>
          <w:highlight w:val="none"/>
          <w:shd w:val="clear" w:color="auto" w:fill="FFFFFF"/>
          <w:lang w:eastAsia="zh-CN"/>
        </w:rPr>
        <w:t>弥勒温氏畜牧有限公司新哨二区后备猪培育基地</w:t>
      </w:r>
    </w:p>
    <w:p w14:paraId="6487252B">
      <w:pPr>
        <w:spacing w:before="312" w:beforeLines="100"/>
        <w:jc w:val="center"/>
        <w:rPr>
          <w:rFonts w:hint="default" w:ascii="Times New Roman" w:hAnsi="Times New Roman" w:eastAsia="宋体" w:cs="Times New Roman"/>
          <w:b/>
          <w:color w:val="auto"/>
          <w:sz w:val="52"/>
          <w:szCs w:val="52"/>
          <w:highlight w:val="none"/>
          <w:shd w:val="clear" w:color="auto" w:fill="FFFFFF"/>
        </w:rPr>
      </w:pPr>
      <w:r>
        <w:rPr>
          <w:rFonts w:hint="default" w:ascii="Times New Roman" w:hAnsi="Times New Roman" w:eastAsia="宋体" w:cs="Times New Roman"/>
          <w:b/>
          <w:color w:val="auto"/>
          <w:sz w:val="52"/>
          <w:szCs w:val="52"/>
          <w:highlight w:val="none"/>
          <w:shd w:val="clear" w:color="auto" w:fill="FFFFFF"/>
        </w:rPr>
        <w:t>环境影响报告书</w:t>
      </w:r>
    </w:p>
    <w:p w14:paraId="7F5A50EE">
      <w:pPr>
        <w:jc w:val="center"/>
        <w:rPr>
          <w:rFonts w:hint="default" w:ascii="Times New Roman" w:hAnsi="Times New Roman" w:eastAsia="宋体" w:cs="Times New Roman"/>
          <w:b/>
          <w:color w:val="auto"/>
          <w:sz w:val="32"/>
          <w:szCs w:val="32"/>
          <w:highlight w:val="none"/>
          <w:shd w:val="clear" w:color="auto" w:fill="FFFFFF"/>
        </w:rPr>
      </w:pPr>
      <w:r>
        <w:rPr>
          <w:rFonts w:hint="default" w:ascii="Times New Roman" w:hAnsi="Times New Roman" w:eastAsia="宋体" w:cs="Times New Roman"/>
          <w:b/>
          <w:color w:val="auto"/>
          <w:sz w:val="32"/>
          <w:szCs w:val="32"/>
          <w:highlight w:val="none"/>
          <w:shd w:val="clear" w:color="auto" w:fill="FFFFFF"/>
        </w:rPr>
        <w:t>（</w:t>
      </w:r>
      <w:r>
        <w:rPr>
          <w:rFonts w:hint="default" w:ascii="Times New Roman" w:hAnsi="Times New Roman" w:eastAsia="宋体" w:cs="Times New Roman"/>
          <w:b/>
          <w:color w:val="auto"/>
          <w:sz w:val="32"/>
          <w:szCs w:val="32"/>
          <w:highlight w:val="none"/>
          <w:shd w:val="clear" w:color="auto" w:fill="FFFFFF"/>
          <w:lang w:val="en-US" w:eastAsia="zh-CN"/>
        </w:rPr>
        <w:t>送审</w:t>
      </w:r>
      <w:r>
        <w:rPr>
          <w:rFonts w:hint="default" w:ascii="Times New Roman" w:hAnsi="Times New Roman" w:eastAsia="宋体" w:cs="Times New Roman"/>
          <w:b/>
          <w:color w:val="auto"/>
          <w:sz w:val="32"/>
          <w:szCs w:val="32"/>
          <w:highlight w:val="none"/>
          <w:shd w:val="clear" w:color="auto" w:fill="FFFFFF"/>
          <w:lang w:eastAsia="zh-CN"/>
        </w:rPr>
        <w:t>稿</w:t>
      </w:r>
      <w:r>
        <w:rPr>
          <w:rFonts w:hint="default" w:ascii="Times New Roman" w:hAnsi="Times New Roman" w:eastAsia="宋体" w:cs="Times New Roman"/>
          <w:b/>
          <w:color w:val="auto"/>
          <w:sz w:val="32"/>
          <w:szCs w:val="32"/>
          <w:highlight w:val="none"/>
          <w:shd w:val="clear" w:color="auto" w:fill="FFFFFF"/>
        </w:rPr>
        <w:t>）</w:t>
      </w:r>
    </w:p>
    <w:p w14:paraId="0D39CCB0">
      <w:pPr>
        <w:spacing w:line="360" w:lineRule="auto"/>
        <w:jc w:val="center"/>
        <w:rPr>
          <w:rFonts w:hint="default" w:ascii="Times New Roman" w:hAnsi="Times New Roman" w:eastAsia="黑体" w:cs="Times New Roman"/>
          <w:color w:val="auto"/>
          <w:sz w:val="30"/>
          <w:szCs w:val="30"/>
          <w:highlight w:val="none"/>
          <w:shd w:val="clear" w:color="auto" w:fill="FFFFFF"/>
        </w:rPr>
      </w:pPr>
    </w:p>
    <w:p w14:paraId="5BC71CE8">
      <w:pPr>
        <w:spacing w:line="360" w:lineRule="auto"/>
        <w:jc w:val="center"/>
        <w:rPr>
          <w:rFonts w:hint="default" w:ascii="Times New Roman" w:hAnsi="Times New Roman" w:eastAsia="黑体" w:cs="Times New Roman"/>
          <w:color w:val="auto"/>
          <w:sz w:val="30"/>
          <w:szCs w:val="30"/>
          <w:highlight w:val="none"/>
          <w:shd w:val="clear" w:color="auto" w:fill="FFFFFF"/>
        </w:rPr>
      </w:pPr>
    </w:p>
    <w:p w14:paraId="3DE08546">
      <w:pPr>
        <w:spacing w:line="360" w:lineRule="auto"/>
        <w:jc w:val="center"/>
        <w:rPr>
          <w:rFonts w:hint="default" w:ascii="Times New Roman" w:hAnsi="Times New Roman" w:eastAsia="黑体" w:cs="Times New Roman"/>
          <w:color w:val="auto"/>
          <w:sz w:val="30"/>
          <w:szCs w:val="30"/>
          <w:highlight w:val="none"/>
          <w:shd w:val="clear" w:color="auto" w:fill="FFFFFF"/>
        </w:rPr>
      </w:pPr>
    </w:p>
    <w:p w14:paraId="002AAE2E">
      <w:pPr>
        <w:spacing w:line="360" w:lineRule="auto"/>
        <w:jc w:val="center"/>
        <w:rPr>
          <w:rFonts w:hint="default" w:ascii="Times New Roman" w:hAnsi="Times New Roman" w:eastAsia="黑体" w:cs="Times New Roman"/>
          <w:color w:val="auto"/>
          <w:sz w:val="30"/>
          <w:szCs w:val="30"/>
          <w:highlight w:val="none"/>
          <w:shd w:val="clear" w:color="auto" w:fill="FFFFFF"/>
        </w:rPr>
      </w:pPr>
    </w:p>
    <w:p w14:paraId="4C94ACD7">
      <w:pPr>
        <w:spacing w:line="360" w:lineRule="auto"/>
        <w:jc w:val="center"/>
        <w:rPr>
          <w:rFonts w:hint="default" w:ascii="Times New Roman" w:hAnsi="Times New Roman" w:eastAsia="黑体" w:cs="Times New Roman"/>
          <w:color w:val="auto"/>
          <w:sz w:val="30"/>
          <w:szCs w:val="30"/>
          <w:highlight w:val="none"/>
          <w:shd w:val="clear" w:color="auto" w:fill="FFFFFF"/>
        </w:rPr>
      </w:pPr>
    </w:p>
    <w:p w14:paraId="613FB19A">
      <w:pPr>
        <w:spacing w:line="360" w:lineRule="auto"/>
        <w:jc w:val="center"/>
        <w:rPr>
          <w:rFonts w:hint="default" w:ascii="Times New Roman" w:hAnsi="Times New Roman" w:eastAsia="黑体" w:cs="Times New Roman"/>
          <w:color w:val="auto"/>
          <w:sz w:val="30"/>
          <w:szCs w:val="30"/>
          <w:highlight w:val="none"/>
          <w:shd w:val="clear" w:color="auto" w:fill="FFFFFF"/>
        </w:rPr>
      </w:pPr>
    </w:p>
    <w:p w14:paraId="7A129DD7">
      <w:pPr>
        <w:spacing w:line="360" w:lineRule="auto"/>
        <w:jc w:val="center"/>
        <w:rPr>
          <w:rFonts w:hint="default" w:ascii="Times New Roman" w:hAnsi="Times New Roman" w:eastAsia="黑体" w:cs="Times New Roman"/>
          <w:color w:val="auto"/>
          <w:sz w:val="30"/>
          <w:szCs w:val="30"/>
          <w:highlight w:val="none"/>
          <w:shd w:val="clear" w:color="auto" w:fill="FFFFFF"/>
        </w:rPr>
      </w:pPr>
    </w:p>
    <w:p w14:paraId="0D52851E">
      <w:pPr>
        <w:jc w:val="center"/>
        <w:rPr>
          <w:rFonts w:hint="default" w:ascii="Times New Roman" w:hAnsi="Times New Roman" w:eastAsia="宋体" w:cs="Times New Roman"/>
          <w:b/>
          <w:color w:val="auto"/>
          <w:sz w:val="30"/>
          <w:szCs w:val="30"/>
          <w:highlight w:val="none"/>
          <w:shd w:val="clear" w:color="auto" w:fill="FFFFFF"/>
          <w:lang w:eastAsia="zh-CN"/>
        </w:rPr>
      </w:pPr>
      <w:r>
        <w:rPr>
          <w:rFonts w:hint="default" w:ascii="Times New Roman" w:hAnsi="Times New Roman" w:eastAsia="宋体" w:cs="Times New Roman"/>
          <w:b/>
          <w:color w:val="auto"/>
          <w:sz w:val="30"/>
          <w:szCs w:val="30"/>
          <w:highlight w:val="none"/>
          <w:shd w:val="clear" w:color="auto" w:fill="FFFFFF"/>
        </w:rPr>
        <w:t>建设单位：</w:t>
      </w:r>
      <w:r>
        <w:rPr>
          <w:rFonts w:hint="default" w:ascii="Times New Roman" w:hAnsi="Times New Roman" w:eastAsia="宋体" w:cs="Times New Roman"/>
          <w:b/>
          <w:color w:val="auto"/>
          <w:sz w:val="30"/>
          <w:szCs w:val="30"/>
          <w:highlight w:val="none"/>
          <w:shd w:val="clear" w:color="auto" w:fill="FFFFFF"/>
          <w:lang w:eastAsia="zh-CN"/>
        </w:rPr>
        <w:t>弥勒温氏畜牧有限公司</w:t>
      </w:r>
    </w:p>
    <w:p w14:paraId="065F9CB4">
      <w:pPr>
        <w:jc w:val="center"/>
        <w:rPr>
          <w:rFonts w:hint="default" w:ascii="Times New Roman" w:hAnsi="Times New Roman" w:eastAsia="宋体" w:cs="Times New Roman"/>
          <w:b/>
          <w:color w:val="auto"/>
          <w:sz w:val="30"/>
          <w:szCs w:val="30"/>
          <w:highlight w:val="none"/>
          <w:shd w:val="clear" w:color="auto" w:fill="FFFFFF"/>
        </w:rPr>
      </w:pPr>
      <w:r>
        <w:rPr>
          <w:rFonts w:hint="default" w:ascii="Times New Roman" w:hAnsi="Times New Roman" w:eastAsia="宋体" w:cs="Times New Roman"/>
          <w:b/>
          <w:color w:val="auto"/>
          <w:sz w:val="30"/>
          <w:szCs w:val="30"/>
          <w:highlight w:val="none"/>
          <w:shd w:val="clear" w:color="auto" w:fill="FFFFFF"/>
        </w:rPr>
        <w:t>编制单位：云南卓清环保科技有限公司</w:t>
      </w:r>
    </w:p>
    <w:p w14:paraId="18BEAC10">
      <w:pPr>
        <w:jc w:val="center"/>
        <w:rPr>
          <w:rFonts w:hint="default" w:ascii="Times New Roman" w:hAnsi="Times New Roman" w:eastAsia="宋体" w:cs="Times New Roman"/>
          <w:b/>
          <w:color w:val="auto"/>
          <w:sz w:val="30"/>
          <w:szCs w:val="30"/>
          <w:highlight w:val="none"/>
        </w:rPr>
      </w:pPr>
      <w:r>
        <w:rPr>
          <w:rFonts w:hint="default" w:ascii="Times New Roman" w:hAnsi="Times New Roman" w:eastAsia="宋体" w:cs="Times New Roman"/>
          <w:b/>
          <w:color w:val="auto"/>
          <w:sz w:val="30"/>
          <w:szCs w:val="30"/>
          <w:highlight w:val="none"/>
          <w:shd w:val="clear" w:color="auto" w:fill="FFFFFF"/>
        </w:rPr>
        <w:t>二〇二</w:t>
      </w:r>
      <w:r>
        <w:rPr>
          <w:rFonts w:hint="default" w:ascii="Times New Roman" w:hAnsi="Times New Roman" w:eastAsia="宋体" w:cs="Times New Roman"/>
          <w:b/>
          <w:color w:val="auto"/>
          <w:sz w:val="30"/>
          <w:szCs w:val="30"/>
          <w:highlight w:val="none"/>
          <w:shd w:val="clear" w:color="auto" w:fill="FFFFFF"/>
          <w:lang w:val="en-US" w:eastAsia="zh-CN"/>
        </w:rPr>
        <w:t>五</w:t>
      </w:r>
      <w:r>
        <w:rPr>
          <w:rFonts w:hint="default" w:ascii="Times New Roman" w:hAnsi="Times New Roman" w:eastAsia="宋体" w:cs="Times New Roman"/>
          <w:b/>
          <w:color w:val="auto"/>
          <w:sz w:val="30"/>
          <w:szCs w:val="30"/>
          <w:highlight w:val="none"/>
          <w:shd w:val="clear" w:color="auto" w:fill="FFFFFF"/>
        </w:rPr>
        <w:t>年</w:t>
      </w:r>
      <w:r>
        <w:rPr>
          <w:rFonts w:hint="eastAsia" w:cs="Times New Roman"/>
          <w:b/>
          <w:color w:val="auto"/>
          <w:sz w:val="30"/>
          <w:szCs w:val="30"/>
          <w:highlight w:val="none"/>
          <w:shd w:val="clear" w:color="auto" w:fill="FFFFFF"/>
          <w:lang w:val="en-US" w:eastAsia="zh-CN"/>
        </w:rPr>
        <w:t>六</w:t>
      </w:r>
      <w:r>
        <w:rPr>
          <w:rFonts w:hint="default" w:ascii="Times New Roman" w:hAnsi="Times New Roman" w:eastAsia="宋体" w:cs="Times New Roman"/>
          <w:b/>
          <w:color w:val="auto"/>
          <w:sz w:val="30"/>
          <w:szCs w:val="30"/>
          <w:highlight w:val="none"/>
          <w:shd w:val="clear" w:color="auto" w:fill="FFFFFF"/>
        </w:rPr>
        <w:t>月</w:t>
      </w:r>
    </w:p>
    <w:p w14:paraId="61EA911C">
      <w:pPr>
        <w:pStyle w:val="18"/>
        <w:tabs>
          <w:tab w:val="right" w:leader="dot" w:pos="9015"/>
        </w:tabs>
        <w:jc w:val="center"/>
        <w:rPr>
          <w:rFonts w:hint="default" w:ascii="Times New Roman" w:hAnsi="Times New Roman" w:cs="Times New Roman"/>
          <w:b/>
          <w:bCs w:val="0"/>
          <w:color w:val="auto"/>
          <w:sz w:val="30"/>
          <w:szCs w:val="30"/>
          <w:highlight w:val="none"/>
        </w:rPr>
        <w:sectPr>
          <w:headerReference r:id="rId4" w:type="first"/>
          <w:headerReference r:id="rId3" w:type="default"/>
          <w:pgSz w:w="11907" w:h="16840"/>
          <w:pgMar w:top="1531" w:right="1361" w:bottom="1361" w:left="1531"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p>
    <w:p w14:paraId="0D46126B">
      <w:pPr>
        <w:pStyle w:val="18"/>
        <w:tabs>
          <w:tab w:val="right" w:leader="dot" w:pos="9015"/>
        </w:tabs>
        <w:jc w:val="center"/>
        <w:rPr>
          <w:rFonts w:hint="default" w:ascii="Times New Roman" w:hAnsi="Times New Roman" w:cs="Times New Roman"/>
          <w:b/>
          <w:bCs w:val="0"/>
          <w:color w:val="auto"/>
          <w:sz w:val="30"/>
          <w:szCs w:val="30"/>
          <w:highlight w:val="none"/>
        </w:rPr>
      </w:pPr>
      <w:r>
        <w:rPr>
          <w:rFonts w:hint="default" w:ascii="Times New Roman" w:hAnsi="Times New Roman" w:cs="Times New Roman"/>
          <w:b/>
          <w:bCs w:val="0"/>
          <w:color w:val="auto"/>
          <w:sz w:val="30"/>
          <w:szCs w:val="30"/>
          <w:highlight w:val="none"/>
        </w:rPr>
        <w:t>目录</w:t>
      </w:r>
    </w:p>
    <w:p w14:paraId="40C042D3">
      <w:pPr>
        <w:pStyle w:val="18"/>
        <w:tabs>
          <w:tab w:val="right" w:leader="dot" w:pos="9015"/>
        </w:tabs>
        <w:rPr>
          <w:rFonts w:hint="eastAsia" w:ascii="宋体" w:hAnsi="宋体" w:eastAsia="宋体" w:cs="宋体"/>
          <w:sz w:val="21"/>
          <w:szCs w:val="21"/>
        </w:rPr>
      </w:pPr>
      <w:r>
        <w:rPr>
          <w:rFonts w:hint="eastAsia" w:ascii="宋体" w:hAnsi="宋体" w:eastAsia="宋体" w:cs="宋体"/>
          <w:sz w:val="21"/>
          <w:szCs w:val="21"/>
        </w:rPr>
        <w:t>概述</w:t>
      </w:r>
      <w:r>
        <w:rPr>
          <w:rFonts w:hint="eastAsia" w:ascii="宋体" w:hAnsi="宋体" w:eastAsia="宋体" w:cs="宋体"/>
          <w:sz w:val="21"/>
          <w:szCs w:val="21"/>
        </w:rPr>
        <w:tab/>
      </w:r>
      <w:r>
        <w:rPr>
          <w:rFonts w:hint="eastAsia" w:ascii="宋体" w:hAnsi="宋体" w:eastAsia="宋体" w:cs="宋体"/>
          <w:sz w:val="21"/>
          <w:szCs w:val="21"/>
        </w:rPr>
        <w:t>1</w:t>
      </w:r>
    </w:p>
    <w:p w14:paraId="624E7156">
      <w:pPr>
        <w:pStyle w:val="19"/>
        <w:tabs>
          <w:tab w:val="right" w:leader="dot" w:pos="9015"/>
        </w:tabs>
        <w:rPr>
          <w:rFonts w:hint="eastAsia" w:ascii="宋体" w:hAnsi="宋体" w:eastAsia="宋体" w:cs="宋体"/>
          <w:sz w:val="21"/>
          <w:szCs w:val="21"/>
        </w:rPr>
      </w:pPr>
      <w:r>
        <w:rPr>
          <w:rFonts w:hint="eastAsia" w:ascii="宋体" w:hAnsi="宋体" w:eastAsia="宋体" w:cs="宋体"/>
          <w:sz w:val="21"/>
          <w:szCs w:val="21"/>
          <w:lang w:val="en-US" w:eastAsia="zh-CN"/>
        </w:rPr>
        <w:t>1项目背景</w:t>
      </w:r>
      <w:r>
        <w:rPr>
          <w:rFonts w:hint="eastAsia" w:ascii="宋体" w:hAnsi="宋体" w:eastAsia="宋体" w:cs="宋体"/>
          <w:sz w:val="21"/>
          <w:szCs w:val="21"/>
        </w:rPr>
        <w:tab/>
      </w:r>
      <w:r>
        <w:rPr>
          <w:rFonts w:hint="eastAsia" w:ascii="宋体" w:hAnsi="宋体" w:eastAsia="宋体" w:cs="宋体"/>
          <w:sz w:val="21"/>
          <w:szCs w:val="21"/>
        </w:rPr>
        <w:t>1</w:t>
      </w:r>
    </w:p>
    <w:p w14:paraId="33985114">
      <w:pPr>
        <w:pStyle w:val="19"/>
        <w:tabs>
          <w:tab w:val="right" w:leader="dot" w:pos="9015"/>
        </w:tabs>
        <w:rPr>
          <w:rFonts w:hint="eastAsia" w:ascii="宋体" w:hAnsi="宋体" w:eastAsia="宋体" w:cs="宋体"/>
          <w:sz w:val="21"/>
          <w:szCs w:val="21"/>
        </w:rPr>
      </w:pPr>
      <w:r>
        <w:rPr>
          <w:rFonts w:hint="eastAsia" w:ascii="宋体" w:hAnsi="宋体" w:eastAsia="宋体" w:cs="宋体"/>
          <w:sz w:val="21"/>
          <w:szCs w:val="21"/>
          <w:lang w:val="en-US" w:eastAsia="zh-CN"/>
        </w:rPr>
        <w:t>2项目环境影响评价工作过程</w:t>
      </w:r>
      <w:r>
        <w:rPr>
          <w:rFonts w:hint="eastAsia" w:ascii="宋体" w:hAnsi="宋体" w:eastAsia="宋体" w:cs="宋体"/>
          <w:sz w:val="21"/>
          <w:szCs w:val="21"/>
        </w:rPr>
        <w:tab/>
      </w:r>
      <w:r>
        <w:rPr>
          <w:rFonts w:hint="eastAsia" w:ascii="宋体" w:hAnsi="宋体" w:eastAsia="宋体" w:cs="宋体"/>
          <w:sz w:val="21"/>
          <w:szCs w:val="21"/>
        </w:rPr>
        <w:t>1</w:t>
      </w:r>
    </w:p>
    <w:p w14:paraId="0C53F54B">
      <w:pPr>
        <w:pStyle w:val="19"/>
        <w:tabs>
          <w:tab w:val="right" w:leader="dot" w:pos="9015"/>
        </w:tabs>
        <w:rPr>
          <w:rFonts w:hint="eastAsia" w:ascii="宋体" w:hAnsi="宋体" w:eastAsia="宋体" w:cs="宋体"/>
          <w:sz w:val="21"/>
          <w:szCs w:val="21"/>
        </w:rPr>
      </w:pPr>
      <w:r>
        <w:rPr>
          <w:rFonts w:hint="eastAsia" w:ascii="宋体" w:hAnsi="宋体" w:eastAsia="宋体" w:cs="宋体"/>
          <w:sz w:val="21"/>
          <w:szCs w:val="21"/>
          <w:lang w:val="en-US" w:eastAsia="zh-CN"/>
        </w:rPr>
        <w:t>3分析判定相关情况</w:t>
      </w:r>
      <w:r>
        <w:rPr>
          <w:rFonts w:hint="eastAsia" w:ascii="宋体" w:hAnsi="宋体" w:eastAsia="宋体" w:cs="宋体"/>
          <w:sz w:val="21"/>
          <w:szCs w:val="21"/>
        </w:rPr>
        <w:tab/>
      </w:r>
      <w:r>
        <w:rPr>
          <w:rFonts w:hint="eastAsia" w:ascii="宋体" w:hAnsi="宋体" w:eastAsia="宋体" w:cs="宋体"/>
          <w:sz w:val="21"/>
          <w:szCs w:val="21"/>
        </w:rPr>
        <w:t>2</w:t>
      </w:r>
    </w:p>
    <w:p w14:paraId="55789FE8">
      <w:pPr>
        <w:pStyle w:val="19"/>
        <w:tabs>
          <w:tab w:val="right" w:leader="dot" w:pos="9015"/>
        </w:tabs>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关注的主要环境问题</w:t>
      </w:r>
      <w:r>
        <w:rPr>
          <w:rFonts w:hint="eastAsia" w:ascii="宋体" w:hAnsi="宋体" w:eastAsia="宋体" w:cs="宋体"/>
          <w:sz w:val="21"/>
          <w:szCs w:val="21"/>
        </w:rPr>
        <w:tab/>
      </w:r>
      <w:r>
        <w:rPr>
          <w:rFonts w:hint="eastAsia" w:ascii="宋体" w:hAnsi="宋体" w:eastAsia="宋体" w:cs="宋体"/>
          <w:sz w:val="21"/>
          <w:szCs w:val="21"/>
        </w:rPr>
        <w:t>3</w:t>
      </w:r>
    </w:p>
    <w:p w14:paraId="68C7C6A1">
      <w:pPr>
        <w:pStyle w:val="19"/>
        <w:tabs>
          <w:tab w:val="right" w:leader="dot" w:pos="9015"/>
        </w:tabs>
        <w:rPr>
          <w:rFonts w:hint="eastAsia" w:ascii="宋体" w:hAnsi="宋体" w:eastAsia="宋体" w:cs="宋体"/>
          <w:sz w:val="21"/>
          <w:szCs w:val="21"/>
        </w:rPr>
      </w:pPr>
      <w:r>
        <w:rPr>
          <w:rFonts w:hint="eastAsia" w:ascii="宋体" w:hAnsi="宋体" w:eastAsia="宋体" w:cs="宋体"/>
          <w:sz w:val="21"/>
          <w:szCs w:val="21"/>
          <w:lang w:val="en-US" w:eastAsia="zh-CN"/>
        </w:rPr>
        <w:t>5主要结论</w:t>
      </w:r>
      <w:r>
        <w:rPr>
          <w:rFonts w:hint="eastAsia" w:ascii="宋体" w:hAnsi="宋体" w:eastAsia="宋体" w:cs="宋体"/>
          <w:sz w:val="21"/>
          <w:szCs w:val="21"/>
        </w:rPr>
        <w:tab/>
      </w:r>
      <w:r>
        <w:rPr>
          <w:rFonts w:hint="eastAsia" w:ascii="宋体" w:hAnsi="宋体" w:eastAsia="宋体" w:cs="宋体"/>
          <w:sz w:val="21"/>
          <w:szCs w:val="21"/>
        </w:rPr>
        <w:t>3</w:t>
      </w:r>
    </w:p>
    <w:p w14:paraId="744CE316">
      <w:pPr>
        <w:pStyle w:val="18"/>
        <w:tabs>
          <w:tab w:val="right" w:leader="dot" w:pos="9015"/>
        </w:tabs>
        <w:rPr>
          <w:rFonts w:hint="eastAsia" w:ascii="宋体" w:hAnsi="宋体" w:eastAsia="宋体" w:cs="宋体"/>
          <w:sz w:val="21"/>
          <w:szCs w:val="21"/>
        </w:rPr>
      </w:pPr>
      <w:r>
        <w:rPr>
          <w:rFonts w:hint="eastAsia" w:ascii="宋体" w:hAnsi="宋体" w:eastAsia="宋体" w:cs="宋体"/>
          <w:sz w:val="21"/>
          <w:szCs w:val="21"/>
          <w:lang w:eastAsia="zh-CN"/>
        </w:rPr>
        <w:t>1 总则</w:t>
      </w:r>
      <w:r>
        <w:rPr>
          <w:rFonts w:hint="eastAsia" w:ascii="宋体" w:hAnsi="宋体" w:eastAsia="宋体" w:cs="宋体"/>
          <w:sz w:val="21"/>
          <w:szCs w:val="21"/>
        </w:rPr>
        <w:tab/>
      </w:r>
      <w:r>
        <w:rPr>
          <w:rFonts w:hint="eastAsia" w:ascii="宋体" w:hAnsi="宋体" w:eastAsia="宋体" w:cs="宋体"/>
          <w:sz w:val="21"/>
          <w:szCs w:val="21"/>
        </w:rPr>
        <w:t>5</w:t>
      </w:r>
    </w:p>
    <w:p w14:paraId="7AC68682">
      <w:pPr>
        <w:pStyle w:val="19"/>
        <w:tabs>
          <w:tab w:val="right" w:leader="dot" w:pos="9015"/>
        </w:tabs>
        <w:rPr>
          <w:rFonts w:hint="eastAsia" w:ascii="宋体" w:hAnsi="宋体" w:eastAsia="宋体" w:cs="宋体"/>
          <w:sz w:val="21"/>
          <w:szCs w:val="21"/>
        </w:rPr>
      </w:pPr>
      <w:r>
        <w:rPr>
          <w:rFonts w:hint="eastAsia" w:ascii="宋体" w:hAnsi="宋体" w:eastAsia="宋体" w:cs="宋体"/>
          <w:sz w:val="21"/>
          <w:szCs w:val="21"/>
          <w:lang w:eastAsia="zh-CN"/>
        </w:rPr>
        <w:t xml:space="preserve">1.1 </w:t>
      </w:r>
      <w:r>
        <w:rPr>
          <w:rFonts w:hint="eastAsia" w:ascii="宋体" w:hAnsi="宋体" w:eastAsia="宋体" w:cs="宋体"/>
          <w:bCs w:val="0"/>
          <w:sz w:val="21"/>
          <w:szCs w:val="21"/>
          <w:highlight w:val="none"/>
          <w:lang w:eastAsia="zh-CN"/>
        </w:rPr>
        <w:t>编制</w:t>
      </w:r>
      <w:r>
        <w:rPr>
          <w:rFonts w:hint="eastAsia" w:ascii="宋体" w:hAnsi="宋体" w:eastAsia="宋体" w:cs="宋体"/>
          <w:sz w:val="21"/>
          <w:szCs w:val="21"/>
          <w:lang w:eastAsia="zh-CN"/>
        </w:rPr>
        <w:t>依据</w:t>
      </w:r>
      <w:r>
        <w:rPr>
          <w:rFonts w:hint="eastAsia" w:ascii="宋体" w:hAnsi="宋体" w:eastAsia="宋体" w:cs="宋体"/>
          <w:sz w:val="21"/>
          <w:szCs w:val="21"/>
        </w:rPr>
        <w:tab/>
      </w:r>
      <w:r>
        <w:rPr>
          <w:rFonts w:hint="eastAsia" w:ascii="宋体" w:hAnsi="宋体" w:eastAsia="宋体" w:cs="宋体"/>
          <w:sz w:val="21"/>
          <w:szCs w:val="21"/>
        </w:rPr>
        <w:t>5</w:t>
      </w:r>
    </w:p>
    <w:p w14:paraId="2860EF20">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1.2评价目的及原则</w:t>
      </w:r>
      <w:r>
        <w:rPr>
          <w:rFonts w:hint="eastAsia" w:ascii="宋体" w:hAnsi="宋体" w:eastAsia="宋体" w:cs="宋体"/>
          <w:sz w:val="21"/>
          <w:szCs w:val="21"/>
        </w:rPr>
        <w:tab/>
      </w:r>
      <w:r>
        <w:rPr>
          <w:rFonts w:hint="eastAsia" w:ascii="宋体" w:hAnsi="宋体" w:eastAsia="宋体" w:cs="宋体"/>
          <w:sz w:val="21"/>
          <w:szCs w:val="21"/>
        </w:rPr>
        <w:t>10</w:t>
      </w:r>
    </w:p>
    <w:p w14:paraId="3A897439">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1.3环境影响因素识别与评价因子的筛选</w:t>
      </w:r>
      <w:r>
        <w:rPr>
          <w:rFonts w:hint="eastAsia" w:ascii="宋体" w:hAnsi="宋体" w:eastAsia="宋体" w:cs="宋体"/>
          <w:sz w:val="21"/>
          <w:szCs w:val="21"/>
        </w:rPr>
        <w:tab/>
      </w:r>
      <w:r>
        <w:rPr>
          <w:rFonts w:hint="eastAsia" w:ascii="宋体" w:hAnsi="宋体" w:eastAsia="宋体" w:cs="宋体"/>
          <w:sz w:val="21"/>
          <w:szCs w:val="21"/>
        </w:rPr>
        <w:t>10</w:t>
      </w:r>
    </w:p>
    <w:p w14:paraId="280BB205">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1.</w:t>
      </w:r>
      <w:r>
        <w:rPr>
          <w:rFonts w:hint="eastAsia" w:ascii="宋体" w:hAnsi="宋体" w:eastAsia="宋体" w:cs="宋体"/>
          <w:bCs w:val="0"/>
          <w:sz w:val="21"/>
          <w:szCs w:val="21"/>
          <w:highlight w:val="none"/>
          <w:lang w:val="en-US"/>
        </w:rPr>
        <w:t>4</w:t>
      </w:r>
      <w:r>
        <w:rPr>
          <w:rFonts w:hint="eastAsia" w:ascii="宋体" w:hAnsi="宋体" w:eastAsia="宋体" w:cs="宋体"/>
          <w:bCs w:val="0"/>
          <w:sz w:val="21"/>
          <w:szCs w:val="21"/>
          <w:highlight w:val="none"/>
        </w:rPr>
        <w:t>评价标准</w:t>
      </w:r>
      <w:r>
        <w:rPr>
          <w:rFonts w:hint="eastAsia" w:ascii="宋体" w:hAnsi="宋体" w:eastAsia="宋体" w:cs="宋体"/>
          <w:sz w:val="21"/>
          <w:szCs w:val="21"/>
        </w:rPr>
        <w:tab/>
      </w:r>
      <w:r>
        <w:rPr>
          <w:rFonts w:hint="eastAsia" w:ascii="宋体" w:hAnsi="宋体" w:eastAsia="宋体" w:cs="宋体"/>
          <w:sz w:val="21"/>
          <w:szCs w:val="21"/>
        </w:rPr>
        <w:t>12</w:t>
      </w:r>
    </w:p>
    <w:p w14:paraId="75F53B5A">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1.</w:t>
      </w:r>
      <w:r>
        <w:rPr>
          <w:rFonts w:hint="eastAsia" w:ascii="宋体" w:hAnsi="宋体" w:eastAsia="宋体" w:cs="宋体"/>
          <w:bCs w:val="0"/>
          <w:sz w:val="21"/>
          <w:szCs w:val="21"/>
          <w:highlight w:val="none"/>
          <w:lang w:val="en-US"/>
        </w:rPr>
        <w:t>5</w:t>
      </w:r>
      <w:r>
        <w:rPr>
          <w:rFonts w:hint="eastAsia" w:ascii="宋体" w:hAnsi="宋体" w:eastAsia="宋体" w:cs="宋体"/>
          <w:bCs w:val="0"/>
          <w:sz w:val="21"/>
          <w:szCs w:val="21"/>
          <w:highlight w:val="none"/>
        </w:rPr>
        <w:t>评价等级及评价范围</w:t>
      </w:r>
      <w:r>
        <w:rPr>
          <w:rFonts w:hint="eastAsia" w:ascii="宋体" w:hAnsi="宋体" w:eastAsia="宋体" w:cs="宋体"/>
          <w:sz w:val="21"/>
          <w:szCs w:val="21"/>
        </w:rPr>
        <w:tab/>
      </w:r>
      <w:r>
        <w:rPr>
          <w:rFonts w:hint="eastAsia" w:ascii="宋体" w:hAnsi="宋体" w:eastAsia="宋体" w:cs="宋体"/>
          <w:sz w:val="21"/>
          <w:szCs w:val="21"/>
        </w:rPr>
        <w:t>18</w:t>
      </w:r>
    </w:p>
    <w:p w14:paraId="327831E1">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1.6环境保护目标</w:t>
      </w:r>
      <w:r>
        <w:rPr>
          <w:rFonts w:hint="eastAsia" w:ascii="宋体" w:hAnsi="宋体" w:eastAsia="宋体" w:cs="宋体"/>
          <w:sz w:val="21"/>
          <w:szCs w:val="21"/>
        </w:rPr>
        <w:tab/>
      </w:r>
      <w:r>
        <w:rPr>
          <w:rFonts w:hint="eastAsia" w:ascii="宋体" w:hAnsi="宋体" w:eastAsia="宋体" w:cs="宋体"/>
          <w:sz w:val="21"/>
          <w:szCs w:val="21"/>
        </w:rPr>
        <w:t>26</w:t>
      </w:r>
    </w:p>
    <w:p w14:paraId="2F342B22">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1.7评价重点及评价时段</w:t>
      </w:r>
      <w:r>
        <w:rPr>
          <w:rFonts w:hint="eastAsia" w:ascii="宋体" w:hAnsi="宋体" w:eastAsia="宋体" w:cs="宋体"/>
          <w:sz w:val="21"/>
          <w:szCs w:val="21"/>
        </w:rPr>
        <w:tab/>
      </w:r>
      <w:r>
        <w:rPr>
          <w:rFonts w:hint="eastAsia" w:ascii="宋体" w:hAnsi="宋体" w:eastAsia="宋体" w:cs="宋体"/>
          <w:sz w:val="21"/>
          <w:szCs w:val="21"/>
        </w:rPr>
        <w:t>29</w:t>
      </w:r>
    </w:p>
    <w:p w14:paraId="7C50AD6C">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1.8评价工作程序</w:t>
      </w:r>
      <w:r>
        <w:rPr>
          <w:rFonts w:hint="eastAsia" w:ascii="宋体" w:hAnsi="宋体" w:eastAsia="宋体" w:cs="宋体"/>
          <w:sz w:val="21"/>
          <w:szCs w:val="21"/>
        </w:rPr>
        <w:tab/>
      </w:r>
      <w:r>
        <w:rPr>
          <w:rFonts w:hint="eastAsia" w:ascii="宋体" w:hAnsi="宋体" w:eastAsia="宋体" w:cs="宋体"/>
          <w:sz w:val="21"/>
          <w:szCs w:val="21"/>
        </w:rPr>
        <w:t>29</w:t>
      </w:r>
    </w:p>
    <w:p w14:paraId="4D4F0F72">
      <w:pPr>
        <w:pStyle w:val="18"/>
        <w:tabs>
          <w:tab w:val="right" w:leader="dot" w:pos="9015"/>
        </w:tabs>
        <w:rPr>
          <w:rFonts w:hint="eastAsia" w:ascii="宋体" w:hAnsi="宋体" w:eastAsia="宋体" w:cs="宋体"/>
          <w:sz w:val="21"/>
          <w:szCs w:val="21"/>
        </w:rPr>
      </w:pPr>
      <w:r>
        <w:rPr>
          <w:rFonts w:hint="eastAsia" w:ascii="宋体" w:hAnsi="宋体" w:eastAsia="宋体" w:cs="宋体"/>
          <w:sz w:val="21"/>
          <w:szCs w:val="21"/>
          <w:highlight w:val="none"/>
        </w:rPr>
        <w:t>2工程概况</w:t>
      </w:r>
      <w:r>
        <w:rPr>
          <w:rFonts w:hint="eastAsia" w:ascii="宋体" w:hAnsi="宋体" w:eastAsia="宋体" w:cs="宋体"/>
          <w:sz w:val="21"/>
          <w:szCs w:val="21"/>
        </w:rPr>
        <w:tab/>
      </w:r>
      <w:r>
        <w:rPr>
          <w:rFonts w:hint="eastAsia" w:ascii="宋体" w:hAnsi="宋体" w:eastAsia="宋体" w:cs="宋体"/>
          <w:sz w:val="21"/>
          <w:szCs w:val="21"/>
        </w:rPr>
        <w:t>31</w:t>
      </w:r>
    </w:p>
    <w:p w14:paraId="12954883">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2.</w:t>
      </w:r>
      <w:r>
        <w:rPr>
          <w:rFonts w:hint="eastAsia" w:ascii="宋体" w:hAnsi="宋体" w:eastAsia="宋体" w:cs="宋体"/>
          <w:bCs w:val="0"/>
          <w:sz w:val="21"/>
          <w:szCs w:val="21"/>
          <w:highlight w:val="none"/>
          <w:lang w:val="en-US"/>
        </w:rPr>
        <w:t>1</w:t>
      </w:r>
      <w:r>
        <w:rPr>
          <w:rFonts w:hint="eastAsia" w:ascii="宋体" w:hAnsi="宋体" w:eastAsia="宋体" w:cs="宋体"/>
          <w:bCs w:val="0"/>
          <w:sz w:val="21"/>
          <w:szCs w:val="21"/>
          <w:highlight w:val="none"/>
        </w:rPr>
        <w:t>项目概况</w:t>
      </w:r>
      <w:r>
        <w:rPr>
          <w:rFonts w:hint="eastAsia" w:ascii="宋体" w:hAnsi="宋体" w:eastAsia="宋体" w:cs="宋体"/>
          <w:sz w:val="21"/>
          <w:szCs w:val="21"/>
        </w:rPr>
        <w:tab/>
      </w:r>
      <w:r>
        <w:rPr>
          <w:rFonts w:hint="eastAsia" w:ascii="宋体" w:hAnsi="宋体" w:eastAsia="宋体" w:cs="宋体"/>
          <w:sz w:val="21"/>
          <w:szCs w:val="21"/>
        </w:rPr>
        <w:t>31</w:t>
      </w:r>
    </w:p>
    <w:p w14:paraId="590A48E6">
      <w:pPr>
        <w:pStyle w:val="18"/>
        <w:tabs>
          <w:tab w:val="right" w:leader="dot" w:pos="9015"/>
        </w:tabs>
        <w:rPr>
          <w:rFonts w:hint="eastAsia" w:ascii="宋体" w:hAnsi="宋体" w:eastAsia="宋体" w:cs="宋体"/>
          <w:sz w:val="21"/>
          <w:szCs w:val="21"/>
        </w:rPr>
      </w:pPr>
      <w:r>
        <w:rPr>
          <w:rFonts w:hint="eastAsia" w:ascii="宋体" w:hAnsi="宋体" w:eastAsia="宋体" w:cs="宋体"/>
          <w:sz w:val="21"/>
          <w:szCs w:val="21"/>
          <w:highlight w:val="none"/>
        </w:rPr>
        <w:t>3工程分析</w:t>
      </w:r>
      <w:r>
        <w:rPr>
          <w:rFonts w:hint="eastAsia" w:ascii="宋体" w:hAnsi="宋体" w:eastAsia="宋体" w:cs="宋体"/>
          <w:sz w:val="21"/>
          <w:szCs w:val="21"/>
        </w:rPr>
        <w:tab/>
      </w:r>
      <w:r>
        <w:rPr>
          <w:rFonts w:hint="eastAsia" w:ascii="宋体" w:hAnsi="宋体" w:eastAsia="宋体" w:cs="宋体"/>
          <w:sz w:val="21"/>
          <w:szCs w:val="21"/>
        </w:rPr>
        <w:t>42</w:t>
      </w:r>
    </w:p>
    <w:p w14:paraId="5149F3B8">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3.1施工期工艺流程</w:t>
      </w:r>
      <w:r>
        <w:rPr>
          <w:rFonts w:hint="eastAsia" w:ascii="宋体" w:hAnsi="宋体" w:eastAsia="宋体" w:cs="宋体"/>
          <w:sz w:val="21"/>
          <w:szCs w:val="21"/>
        </w:rPr>
        <w:tab/>
      </w:r>
      <w:r>
        <w:rPr>
          <w:rFonts w:hint="eastAsia" w:ascii="宋体" w:hAnsi="宋体" w:eastAsia="宋体" w:cs="宋体"/>
          <w:sz w:val="21"/>
          <w:szCs w:val="21"/>
        </w:rPr>
        <w:t>42</w:t>
      </w:r>
    </w:p>
    <w:p w14:paraId="58316DE5">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3.2运营期工艺流程</w:t>
      </w:r>
      <w:r>
        <w:rPr>
          <w:rFonts w:hint="eastAsia" w:ascii="宋体" w:hAnsi="宋体" w:eastAsia="宋体" w:cs="宋体"/>
          <w:sz w:val="21"/>
          <w:szCs w:val="21"/>
        </w:rPr>
        <w:tab/>
      </w:r>
      <w:r>
        <w:rPr>
          <w:rFonts w:hint="eastAsia" w:ascii="宋体" w:hAnsi="宋体" w:eastAsia="宋体" w:cs="宋体"/>
          <w:sz w:val="21"/>
          <w:szCs w:val="21"/>
        </w:rPr>
        <w:t>44</w:t>
      </w:r>
    </w:p>
    <w:p w14:paraId="09B57FD7">
      <w:pPr>
        <w:pStyle w:val="19"/>
        <w:tabs>
          <w:tab w:val="right" w:leader="dot" w:pos="9015"/>
        </w:tabs>
        <w:rPr>
          <w:rFonts w:hint="eastAsia" w:ascii="宋体" w:hAnsi="宋体" w:eastAsia="宋体" w:cs="宋体"/>
          <w:sz w:val="21"/>
          <w:szCs w:val="21"/>
        </w:rPr>
      </w:pPr>
      <w:r>
        <w:rPr>
          <w:rFonts w:hint="eastAsia" w:ascii="宋体" w:hAnsi="宋体" w:eastAsia="宋体" w:cs="宋体"/>
          <w:sz w:val="21"/>
          <w:szCs w:val="21"/>
        </w:rPr>
        <w:t>3.3项目污染物产生及排放情况</w:t>
      </w:r>
      <w:r>
        <w:rPr>
          <w:rFonts w:hint="eastAsia" w:ascii="宋体" w:hAnsi="宋体" w:eastAsia="宋体" w:cs="宋体"/>
          <w:sz w:val="21"/>
          <w:szCs w:val="21"/>
        </w:rPr>
        <w:tab/>
      </w:r>
      <w:r>
        <w:rPr>
          <w:rFonts w:hint="eastAsia" w:ascii="宋体" w:hAnsi="宋体" w:eastAsia="宋体" w:cs="宋体"/>
          <w:sz w:val="21"/>
          <w:szCs w:val="21"/>
        </w:rPr>
        <w:t>51</w:t>
      </w:r>
    </w:p>
    <w:p w14:paraId="6F62498D">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3.</w:t>
      </w:r>
      <w:r>
        <w:rPr>
          <w:rFonts w:hint="eastAsia" w:ascii="宋体" w:hAnsi="宋体" w:eastAsia="宋体" w:cs="宋体"/>
          <w:bCs w:val="0"/>
          <w:sz w:val="21"/>
          <w:szCs w:val="21"/>
          <w:highlight w:val="none"/>
          <w:lang w:val="en-US"/>
        </w:rPr>
        <w:t>4</w:t>
      </w:r>
      <w:r>
        <w:rPr>
          <w:rFonts w:hint="eastAsia" w:ascii="宋体" w:hAnsi="宋体" w:eastAsia="宋体" w:cs="宋体"/>
          <w:bCs w:val="0"/>
          <w:sz w:val="21"/>
          <w:szCs w:val="21"/>
          <w:highlight w:val="none"/>
        </w:rPr>
        <w:t>建设项目污染物排放汇总</w:t>
      </w:r>
      <w:r>
        <w:rPr>
          <w:rFonts w:hint="eastAsia" w:ascii="宋体" w:hAnsi="宋体" w:eastAsia="宋体" w:cs="宋体"/>
          <w:sz w:val="21"/>
          <w:szCs w:val="21"/>
        </w:rPr>
        <w:tab/>
      </w:r>
      <w:r>
        <w:rPr>
          <w:rFonts w:hint="eastAsia" w:ascii="宋体" w:hAnsi="宋体" w:eastAsia="宋体" w:cs="宋体"/>
          <w:sz w:val="21"/>
          <w:szCs w:val="21"/>
        </w:rPr>
        <w:t>75</w:t>
      </w:r>
    </w:p>
    <w:p w14:paraId="7AFB5915">
      <w:pPr>
        <w:pStyle w:val="18"/>
        <w:tabs>
          <w:tab w:val="right" w:leader="dot" w:pos="9015"/>
        </w:tabs>
        <w:rPr>
          <w:rFonts w:hint="eastAsia" w:ascii="宋体" w:hAnsi="宋体" w:eastAsia="宋体" w:cs="宋体"/>
          <w:sz w:val="21"/>
          <w:szCs w:val="21"/>
        </w:rPr>
      </w:pPr>
      <w:r>
        <w:rPr>
          <w:rFonts w:hint="eastAsia" w:ascii="宋体" w:hAnsi="宋体" w:eastAsia="宋体" w:cs="宋体"/>
          <w:sz w:val="21"/>
          <w:szCs w:val="21"/>
          <w:highlight w:val="none"/>
        </w:rPr>
        <w:t>4建设项目周围环境概况</w:t>
      </w:r>
      <w:r>
        <w:rPr>
          <w:rFonts w:hint="eastAsia" w:ascii="宋体" w:hAnsi="宋体" w:eastAsia="宋体" w:cs="宋体"/>
          <w:sz w:val="21"/>
          <w:szCs w:val="21"/>
        </w:rPr>
        <w:tab/>
      </w:r>
      <w:r>
        <w:rPr>
          <w:rFonts w:hint="eastAsia" w:ascii="宋体" w:hAnsi="宋体" w:eastAsia="宋体" w:cs="宋体"/>
          <w:sz w:val="21"/>
          <w:szCs w:val="21"/>
        </w:rPr>
        <w:t>78</w:t>
      </w:r>
    </w:p>
    <w:p w14:paraId="04CBB4C4">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4.1自然环境概况</w:t>
      </w:r>
      <w:r>
        <w:rPr>
          <w:rFonts w:hint="eastAsia" w:ascii="宋体" w:hAnsi="宋体" w:eastAsia="宋体" w:cs="宋体"/>
          <w:sz w:val="21"/>
          <w:szCs w:val="21"/>
        </w:rPr>
        <w:tab/>
      </w:r>
      <w:r>
        <w:rPr>
          <w:rFonts w:hint="eastAsia" w:ascii="宋体" w:hAnsi="宋体" w:eastAsia="宋体" w:cs="宋体"/>
          <w:sz w:val="21"/>
          <w:szCs w:val="21"/>
        </w:rPr>
        <w:t>78</w:t>
      </w:r>
    </w:p>
    <w:p w14:paraId="261E9BC9">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4.2风景名胜区、自然保护区</w:t>
      </w:r>
      <w:r>
        <w:rPr>
          <w:rFonts w:hint="eastAsia" w:ascii="宋体" w:hAnsi="宋体" w:eastAsia="宋体" w:cs="宋体"/>
          <w:sz w:val="21"/>
          <w:szCs w:val="21"/>
        </w:rPr>
        <w:tab/>
      </w:r>
      <w:r>
        <w:rPr>
          <w:rFonts w:hint="eastAsia" w:ascii="宋体" w:hAnsi="宋体" w:eastAsia="宋体" w:cs="宋体"/>
          <w:sz w:val="21"/>
          <w:szCs w:val="21"/>
        </w:rPr>
        <w:t>84</w:t>
      </w:r>
    </w:p>
    <w:p w14:paraId="3923AA97">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4.3项目区环境质量现状</w:t>
      </w:r>
      <w:r>
        <w:rPr>
          <w:rFonts w:hint="eastAsia" w:ascii="宋体" w:hAnsi="宋体" w:eastAsia="宋体" w:cs="宋体"/>
          <w:sz w:val="21"/>
          <w:szCs w:val="21"/>
        </w:rPr>
        <w:tab/>
      </w:r>
      <w:r>
        <w:rPr>
          <w:rFonts w:hint="eastAsia" w:ascii="宋体" w:hAnsi="宋体" w:eastAsia="宋体" w:cs="宋体"/>
          <w:sz w:val="21"/>
          <w:szCs w:val="21"/>
        </w:rPr>
        <w:t>84</w:t>
      </w:r>
    </w:p>
    <w:p w14:paraId="7633E1A2">
      <w:pPr>
        <w:pStyle w:val="18"/>
        <w:tabs>
          <w:tab w:val="right" w:leader="dot" w:pos="9015"/>
        </w:tabs>
        <w:rPr>
          <w:rFonts w:hint="eastAsia" w:ascii="宋体" w:hAnsi="宋体" w:eastAsia="宋体" w:cs="宋体"/>
          <w:sz w:val="21"/>
          <w:szCs w:val="21"/>
        </w:rPr>
      </w:pPr>
      <w:r>
        <w:rPr>
          <w:rFonts w:hint="eastAsia" w:ascii="宋体" w:hAnsi="宋体" w:eastAsia="宋体" w:cs="宋体"/>
          <w:sz w:val="21"/>
          <w:szCs w:val="21"/>
          <w:highlight w:val="none"/>
        </w:rPr>
        <w:t>5环境影响预测分析与评价</w:t>
      </w:r>
      <w:r>
        <w:rPr>
          <w:rFonts w:hint="eastAsia" w:ascii="宋体" w:hAnsi="宋体" w:eastAsia="宋体" w:cs="宋体"/>
          <w:sz w:val="21"/>
          <w:szCs w:val="21"/>
        </w:rPr>
        <w:tab/>
      </w:r>
      <w:r>
        <w:rPr>
          <w:rFonts w:hint="eastAsia" w:ascii="宋体" w:hAnsi="宋体" w:eastAsia="宋体" w:cs="宋体"/>
          <w:sz w:val="21"/>
          <w:szCs w:val="21"/>
        </w:rPr>
        <w:t>102</w:t>
      </w:r>
    </w:p>
    <w:p w14:paraId="2C817CDC">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5.1施工期环境影响分析</w:t>
      </w:r>
      <w:r>
        <w:rPr>
          <w:rFonts w:hint="eastAsia" w:ascii="宋体" w:hAnsi="宋体" w:eastAsia="宋体" w:cs="宋体"/>
          <w:sz w:val="21"/>
          <w:szCs w:val="21"/>
        </w:rPr>
        <w:tab/>
      </w:r>
      <w:r>
        <w:rPr>
          <w:rFonts w:hint="eastAsia" w:ascii="宋体" w:hAnsi="宋体" w:eastAsia="宋体" w:cs="宋体"/>
          <w:sz w:val="21"/>
          <w:szCs w:val="21"/>
        </w:rPr>
        <w:t>102</w:t>
      </w:r>
    </w:p>
    <w:p w14:paraId="023033DE">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5.2运营期</w:t>
      </w:r>
      <w:r>
        <w:rPr>
          <w:rFonts w:hint="eastAsia" w:ascii="宋体" w:hAnsi="宋体" w:eastAsia="宋体" w:cs="宋体"/>
          <w:bCs w:val="0"/>
          <w:sz w:val="21"/>
          <w:szCs w:val="21"/>
          <w:highlight w:val="none"/>
          <w:lang w:val="en-US"/>
        </w:rPr>
        <w:t>环</w:t>
      </w:r>
      <w:r>
        <w:rPr>
          <w:rFonts w:hint="eastAsia" w:ascii="宋体" w:hAnsi="宋体" w:eastAsia="宋体" w:cs="宋体"/>
          <w:bCs w:val="0"/>
          <w:sz w:val="21"/>
          <w:szCs w:val="21"/>
          <w:highlight w:val="none"/>
        </w:rPr>
        <w:t>境影响预测与评价</w:t>
      </w:r>
      <w:r>
        <w:rPr>
          <w:rFonts w:hint="eastAsia" w:ascii="宋体" w:hAnsi="宋体" w:eastAsia="宋体" w:cs="宋体"/>
          <w:sz w:val="21"/>
          <w:szCs w:val="21"/>
        </w:rPr>
        <w:tab/>
      </w:r>
      <w:r>
        <w:rPr>
          <w:rFonts w:hint="eastAsia" w:ascii="宋体" w:hAnsi="宋体" w:eastAsia="宋体" w:cs="宋体"/>
          <w:sz w:val="21"/>
          <w:szCs w:val="21"/>
        </w:rPr>
        <w:t>109</w:t>
      </w:r>
    </w:p>
    <w:p w14:paraId="3E65F7FB">
      <w:pPr>
        <w:pStyle w:val="18"/>
        <w:tabs>
          <w:tab w:val="right" w:leader="dot" w:pos="9015"/>
        </w:tabs>
        <w:rPr>
          <w:rFonts w:hint="eastAsia" w:ascii="宋体" w:hAnsi="宋体" w:eastAsia="宋体" w:cs="宋体"/>
          <w:sz w:val="21"/>
          <w:szCs w:val="21"/>
        </w:rPr>
      </w:pPr>
      <w:r>
        <w:rPr>
          <w:rFonts w:hint="eastAsia" w:ascii="宋体" w:hAnsi="宋体" w:eastAsia="宋体" w:cs="宋体"/>
          <w:sz w:val="21"/>
          <w:szCs w:val="21"/>
          <w:highlight w:val="none"/>
        </w:rPr>
        <w:t>6环境保护措施及可行性论证</w:t>
      </w:r>
      <w:r>
        <w:rPr>
          <w:rFonts w:hint="eastAsia" w:ascii="宋体" w:hAnsi="宋体" w:eastAsia="宋体" w:cs="宋体"/>
          <w:sz w:val="21"/>
          <w:szCs w:val="21"/>
        </w:rPr>
        <w:tab/>
      </w:r>
      <w:r>
        <w:rPr>
          <w:rFonts w:hint="eastAsia" w:ascii="宋体" w:hAnsi="宋体" w:eastAsia="宋体" w:cs="宋体"/>
          <w:sz w:val="21"/>
          <w:szCs w:val="21"/>
        </w:rPr>
        <w:t>163</w:t>
      </w:r>
    </w:p>
    <w:p w14:paraId="19154F45">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6.1施工期环保措施</w:t>
      </w:r>
      <w:r>
        <w:rPr>
          <w:rFonts w:hint="eastAsia" w:ascii="宋体" w:hAnsi="宋体" w:eastAsia="宋体" w:cs="宋体"/>
          <w:sz w:val="21"/>
          <w:szCs w:val="21"/>
        </w:rPr>
        <w:tab/>
      </w:r>
      <w:r>
        <w:rPr>
          <w:rFonts w:hint="eastAsia" w:ascii="宋体" w:hAnsi="宋体" w:eastAsia="宋体" w:cs="宋体"/>
          <w:sz w:val="21"/>
          <w:szCs w:val="21"/>
        </w:rPr>
        <w:t>163</w:t>
      </w:r>
    </w:p>
    <w:p w14:paraId="63B80AD4">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6.2运营期污染物防治措施及其可行性论证</w:t>
      </w:r>
      <w:r>
        <w:rPr>
          <w:rFonts w:hint="eastAsia" w:ascii="宋体" w:hAnsi="宋体" w:eastAsia="宋体" w:cs="宋体"/>
          <w:sz w:val="21"/>
          <w:szCs w:val="21"/>
        </w:rPr>
        <w:tab/>
      </w:r>
      <w:r>
        <w:rPr>
          <w:rFonts w:hint="eastAsia" w:ascii="宋体" w:hAnsi="宋体" w:eastAsia="宋体" w:cs="宋体"/>
          <w:sz w:val="21"/>
          <w:szCs w:val="21"/>
        </w:rPr>
        <w:t>164</w:t>
      </w:r>
    </w:p>
    <w:p w14:paraId="0F5BB0B4">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6.3污染物防治措施汇总</w:t>
      </w:r>
      <w:r>
        <w:rPr>
          <w:rFonts w:hint="eastAsia" w:ascii="宋体" w:hAnsi="宋体" w:eastAsia="宋体" w:cs="宋体"/>
          <w:sz w:val="21"/>
          <w:szCs w:val="21"/>
        </w:rPr>
        <w:tab/>
      </w:r>
      <w:r>
        <w:rPr>
          <w:rFonts w:hint="eastAsia" w:ascii="宋体" w:hAnsi="宋体" w:eastAsia="宋体" w:cs="宋体"/>
          <w:sz w:val="21"/>
          <w:szCs w:val="21"/>
        </w:rPr>
        <w:t>171</w:t>
      </w:r>
    </w:p>
    <w:p w14:paraId="17BC6381">
      <w:pPr>
        <w:pStyle w:val="18"/>
        <w:tabs>
          <w:tab w:val="right" w:leader="dot" w:pos="9015"/>
        </w:tabs>
        <w:rPr>
          <w:rFonts w:hint="eastAsia" w:ascii="宋体" w:hAnsi="宋体" w:eastAsia="宋体" w:cs="宋体"/>
          <w:sz w:val="21"/>
          <w:szCs w:val="21"/>
        </w:rPr>
      </w:pPr>
      <w:r>
        <w:rPr>
          <w:rFonts w:hint="eastAsia" w:ascii="宋体" w:hAnsi="宋体" w:eastAsia="宋体" w:cs="宋体"/>
          <w:sz w:val="21"/>
          <w:szCs w:val="21"/>
          <w:highlight w:val="none"/>
        </w:rPr>
        <w:t>7产业政策及选址合理性分析</w:t>
      </w:r>
      <w:r>
        <w:rPr>
          <w:rFonts w:hint="eastAsia" w:ascii="宋体" w:hAnsi="宋体" w:eastAsia="宋体" w:cs="宋体"/>
          <w:sz w:val="21"/>
          <w:szCs w:val="21"/>
        </w:rPr>
        <w:tab/>
      </w:r>
      <w:r>
        <w:rPr>
          <w:rFonts w:hint="eastAsia" w:ascii="宋体" w:hAnsi="宋体" w:eastAsia="宋体" w:cs="宋体"/>
          <w:sz w:val="21"/>
          <w:szCs w:val="21"/>
        </w:rPr>
        <w:t>176</w:t>
      </w:r>
    </w:p>
    <w:p w14:paraId="13D5A593">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7.1产业政策符合性</w:t>
      </w:r>
      <w:r>
        <w:rPr>
          <w:rFonts w:hint="eastAsia" w:ascii="宋体" w:hAnsi="宋体" w:eastAsia="宋体" w:cs="宋体"/>
          <w:sz w:val="21"/>
          <w:szCs w:val="21"/>
        </w:rPr>
        <w:tab/>
      </w:r>
      <w:r>
        <w:rPr>
          <w:rFonts w:hint="eastAsia" w:ascii="宋体" w:hAnsi="宋体" w:eastAsia="宋体" w:cs="宋体"/>
          <w:sz w:val="21"/>
          <w:szCs w:val="21"/>
        </w:rPr>
        <w:t>176</w:t>
      </w:r>
    </w:p>
    <w:p w14:paraId="12153E1A">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7.2与相关规划、区划的相符性</w:t>
      </w:r>
      <w:r>
        <w:rPr>
          <w:rFonts w:hint="eastAsia" w:ascii="宋体" w:hAnsi="宋体" w:eastAsia="宋体" w:cs="宋体"/>
          <w:sz w:val="21"/>
          <w:szCs w:val="21"/>
        </w:rPr>
        <w:tab/>
      </w:r>
      <w:r>
        <w:rPr>
          <w:rFonts w:hint="eastAsia" w:ascii="宋体" w:hAnsi="宋体" w:eastAsia="宋体" w:cs="宋体"/>
          <w:sz w:val="21"/>
          <w:szCs w:val="21"/>
        </w:rPr>
        <w:t>176</w:t>
      </w:r>
    </w:p>
    <w:p w14:paraId="11157521">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7.3与相关规范、标准、条例的符合性分析</w:t>
      </w:r>
      <w:r>
        <w:rPr>
          <w:rFonts w:hint="eastAsia" w:ascii="宋体" w:hAnsi="宋体" w:eastAsia="宋体" w:cs="宋体"/>
          <w:sz w:val="21"/>
          <w:szCs w:val="21"/>
        </w:rPr>
        <w:tab/>
      </w:r>
      <w:r>
        <w:rPr>
          <w:rFonts w:hint="eastAsia" w:ascii="宋体" w:hAnsi="宋体" w:eastAsia="宋体" w:cs="宋体"/>
          <w:sz w:val="21"/>
          <w:szCs w:val="21"/>
        </w:rPr>
        <w:t>180</w:t>
      </w:r>
    </w:p>
    <w:p w14:paraId="50B98C3D">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7.4项目选址合理性分析</w:t>
      </w:r>
      <w:r>
        <w:rPr>
          <w:rFonts w:hint="eastAsia" w:ascii="宋体" w:hAnsi="宋体" w:eastAsia="宋体" w:cs="宋体"/>
          <w:sz w:val="21"/>
          <w:szCs w:val="21"/>
        </w:rPr>
        <w:tab/>
      </w:r>
      <w:r>
        <w:rPr>
          <w:rFonts w:hint="eastAsia" w:ascii="宋体" w:hAnsi="宋体" w:eastAsia="宋体" w:cs="宋体"/>
          <w:sz w:val="21"/>
          <w:szCs w:val="21"/>
        </w:rPr>
        <w:t>199</w:t>
      </w:r>
    </w:p>
    <w:p w14:paraId="37CB1669">
      <w:pPr>
        <w:pStyle w:val="19"/>
        <w:tabs>
          <w:tab w:val="right" w:leader="dot" w:pos="9015"/>
        </w:tabs>
        <w:rPr>
          <w:rFonts w:hint="eastAsia" w:ascii="宋体" w:hAnsi="宋体" w:eastAsia="宋体" w:cs="宋体"/>
          <w:color w:val="auto"/>
          <w:sz w:val="21"/>
          <w:szCs w:val="21"/>
          <w:highlight w:val="none"/>
        </w:rPr>
        <w:sectPr>
          <w:headerReference r:id="rId5" w:type="first"/>
          <w:footerReference r:id="rId7" w:type="first"/>
          <w:footerReference r:id="rId6" w:type="default"/>
          <w:pgSz w:w="11907" w:h="16840"/>
          <w:pgMar w:top="1531" w:right="1361" w:bottom="1361" w:left="1531"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p>
    <w:p w14:paraId="355518C4">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7.5总图布置合理性分析</w:t>
      </w:r>
      <w:r>
        <w:rPr>
          <w:rFonts w:hint="eastAsia" w:ascii="宋体" w:hAnsi="宋体" w:eastAsia="宋体" w:cs="宋体"/>
          <w:sz w:val="21"/>
          <w:szCs w:val="21"/>
        </w:rPr>
        <w:tab/>
      </w:r>
      <w:r>
        <w:rPr>
          <w:rFonts w:hint="eastAsia" w:ascii="宋体" w:hAnsi="宋体" w:eastAsia="宋体" w:cs="宋体"/>
          <w:sz w:val="21"/>
          <w:szCs w:val="21"/>
        </w:rPr>
        <w:t>199</w:t>
      </w:r>
    </w:p>
    <w:p w14:paraId="7AC8011E">
      <w:pPr>
        <w:pStyle w:val="18"/>
        <w:tabs>
          <w:tab w:val="right" w:leader="dot" w:pos="9015"/>
        </w:tabs>
        <w:rPr>
          <w:rFonts w:hint="eastAsia" w:ascii="宋体" w:hAnsi="宋体" w:eastAsia="宋体" w:cs="宋体"/>
          <w:sz w:val="21"/>
          <w:szCs w:val="21"/>
        </w:rPr>
      </w:pPr>
      <w:r>
        <w:rPr>
          <w:rFonts w:hint="eastAsia" w:ascii="宋体" w:hAnsi="宋体" w:eastAsia="宋体" w:cs="宋体"/>
          <w:sz w:val="21"/>
          <w:szCs w:val="21"/>
          <w:highlight w:val="none"/>
        </w:rPr>
        <w:t>8环境经济损益分析</w:t>
      </w:r>
      <w:r>
        <w:rPr>
          <w:rFonts w:hint="eastAsia" w:ascii="宋体" w:hAnsi="宋体" w:eastAsia="宋体" w:cs="宋体"/>
          <w:sz w:val="21"/>
          <w:szCs w:val="21"/>
        </w:rPr>
        <w:tab/>
      </w:r>
      <w:r>
        <w:rPr>
          <w:rFonts w:hint="eastAsia" w:ascii="宋体" w:hAnsi="宋体" w:eastAsia="宋体" w:cs="宋体"/>
          <w:sz w:val="21"/>
          <w:szCs w:val="21"/>
        </w:rPr>
        <w:t>201</w:t>
      </w:r>
    </w:p>
    <w:p w14:paraId="3E33F184">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8.1环保投资估算</w:t>
      </w:r>
      <w:r>
        <w:rPr>
          <w:rFonts w:hint="eastAsia" w:ascii="宋体" w:hAnsi="宋体" w:eastAsia="宋体" w:cs="宋体"/>
          <w:sz w:val="21"/>
          <w:szCs w:val="21"/>
        </w:rPr>
        <w:tab/>
      </w:r>
      <w:r>
        <w:rPr>
          <w:rFonts w:hint="eastAsia" w:ascii="宋体" w:hAnsi="宋体" w:eastAsia="宋体" w:cs="宋体"/>
          <w:sz w:val="21"/>
          <w:szCs w:val="21"/>
        </w:rPr>
        <w:t>201</w:t>
      </w:r>
    </w:p>
    <w:p w14:paraId="10AF0A99">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8.2环境经济损益分析</w:t>
      </w:r>
      <w:r>
        <w:rPr>
          <w:rFonts w:hint="eastAsia" w:ascii="宋体" w:hAnsi="宋体" w:eastAsia="宋体" w:cs="宋体"/>
          <w:sz w:val="21"/>
          <w:szCs w:val="21"/>
        </w:rPr>
        <w:tab/>
      </w:r>
      <w:r>
        <w:rPr>
          <w:rFonts w:hint="eastAsia" w:ascii="宋体" w:hAnsi="宋体" w:eastAsia="宋体" w:cs="宋体"/>
          <w:sz w:val="21"/>
          <w:szCs w:val="21"/>
        </w:rPr>
        <w:t>202</w:t>
      </w:r>
    </w:p>
    <w:p w14:paraId="168517E1">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8.3社会效益分析</w:t>
      </w:r>
      <w:r>
        <w:rPr>
          <w:rFonts w:hint="eastAsia" w:ascii="宋体" w:hAnsi="宋体" w:eastAsia="宋体" w:cs="宋体"/>
          <w:sz w:val="21"/>
          <w:szCs w:val="21"/>
        </w:rPr>
        <w:tab/>
      </w:r>
      <w:r>
        <w:rPr>
          <w:rFonts w:hint="eastAsia" w:ascii="宋体" w:hAnsi="宋体" w:eastAsia="宋体" w:cs="宋体"/>
          <w:sz w:val="21"/>
          <w:szCs w:val="21"/>
        </w:rPr>
        <w:t>202</w:t>
      </w:r>
    </w:p>
    <w:p w14:paraId="2DBA0F11">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8.4小结</w:t>
      </w:r>
      <w:r>
        <w:rPr>
          <w:rFonts w:hint="eastAsia" w:ascii="宋体" w:hAnsi="宋体" w:eastAsia="宋体" w:cs="宋体"/>
          <w:sz w:val="21"/>
          <w:szCs w:val="21"/>
        </w:rPr>
        <w:tab/>
      </w:r>
      <w:r>
        <w:rPr>
          <w:rFonts w:hint="eastAsia" w:ascii="宋体" w:hAnsi="宋体" w:eastAsia="宋体" w:cs="宋体"/>
          <w:sz w:val="21"/>
          <w:szCs w:val="21"/>
        </w:rPr>
        <w:t>202</w:t>
      </w:r>
    </w:p>
    <w:p w14:paraId="32651D2A">
      <w:pPr>
        <w:pStyle w:val="18"/>
        <w:tabs>
          <w:tab w:val="right" w:leader="dot" w:pos="9015"/>
        </w:tabs>
        <w:rPr>
          <w:rFonts w:hint="eastAsia" w:ascii="宋体" w:hAnsi="宋体" w:eastAsia="宋体" w:cs="宋体"/>
          <w:sz w:val="21"/>
          <w:szCs w:val="21"/>
        </w:rPr>
      </w:pPr>
      <w:r>
        <w:rPr>
          <w:rFonts w:hint="eastAsia" w:ascii="宋体" w:hAnsi="宋体" w:eastAsia="宋体" w:cs="宋体"/>
          <w:sz w:val="21"/>
          <w:szCs w:val="21"/>
          <w:highlight w:val="none"/>
        </w:rPr>
        <w:t>9环境管理及监测计划</w:t>
      </w:r>
      <w:r>
        <w:rPr>
          <w:rFonts w:hint="eastAsia" w:ascii="宋体" w:hAnsi="宋体" w:eastAsia="宋体" w:cs="宋体"/>
          <w:sz w:val="21"/>
          <w:szCs w:val="21"/>
        </w:rPr>
        <w:tab/>
      </w:r>
      <w:r>
        <w:rPr>
          <w:rFonts w:hint="eastAsia" w:ascii="宋体" w:hAnsi="宋体" w:eastAsia="宋体" w:cs="宋体"/>
          <w:sz w:val="21"/>
          <w:szCs w:val="21"/>
        </w:rPr>
        <w:t>204</w:t>
      </w:r>
    </w:p>
    <w:p w14:paraId="5177E2D6">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9.1环境管理</w:t>
      </w:r>
      <w:r>
        <w:rPr>
          <w:rFonts w:hint="eastAsia" w:ascii="宋体" w:hAnsi="宋体" w:eastAsia="宋体" w:cs="宋体"/>
          <w:sz w:val="21"/>
          <w:szCs w:val="21"/>
        </w:rPr>
        <w:tab/>
      </w:r>
      <w:r>
        <w:rPr>
          <w:rFonts w:hint="eastAsia" w:ascii="宋体" w:hAnsi="宋体" w:eastAsia="宋体" w:cs="宋体"/>
          <w:sz w:val="21"/>
          <w:szCs w:val="21"/>
        </w:rPr>
        <w:t>204</w:t>
      </w:r>
    </w:p>
    <w:p w14:paraId="69C9DD82">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9.2环境管理及监理计划</w:t>
      </w:r>
      <w:r>
        <w:rPr>
          <w:rFonts w:hint="eastAsia" w:ascii="宋体" w:hAnsi="宋体" w:eastAsia="宋体" w:cs="宋体"/>
          <w:sz w:val="21"/>
          <w:szCs w:val="21"/>
        </w:rPr>
        <w:tab/>
      </w:r>
      <w:r>
        <w:rPr>
          <w:rFonts w:hint="eastAsia" w:ascii="宋体" w:hAnsi="宋体" w:eastAsia="宋体" w:cs="宋体"/>
          <w:sz w:val="21"/>
          <w:szCs w:val="21"/>
        </w:rPr>
        <w:t>204</w:t>
      </w:r>
    </w:p>
    <w:p w14:paraId="4029A0D5">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9.3信息公开制度</w:t>
      </w:r>
      <w:r>
        <w:rPr>
          <w:rFonts w:hint="eastAsia" w:ascii="宋体" w:hAnsi="宋体" w:eastAsia="宋体" w:cs="宋体"/>
          <w:sz w:val="21"/>
          <w:szCs w:val="21"/>
        </w:rPr>
        <w:tab/>
      </w:r>
      <w:r>
        <w:rPr>
          <w:rFonts w:hint="eastAsia" w:ascii="宋体" w:hAnsi="宋体" w:eastAsia="宋体" w:cs="宋体"/>
          <w:sz w:val="21"/>
          <w:szCs w:val="21"/>
        </w:rPr>
        <w:t>205</w:t>
      </w:r>
    </w:p>
    <w:p w14:paraId="61E35B16">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9.4污染物排放清单及排污口设置</w:t>
      </w:r>
      <w:r>
        <w:rPr>
          <w:rFonts w:hint="eastAsia" w:ascii="宋体" w:hAnsi="宋体" w:eastAsia="宋体" w:cs="宋体"/>
          <w:sz w:val="21"/>
          <w:szCs w:val="21"/>
        </w:rPr>
        <w:tab/>
      </w:r>
      <w:r>
        <w:rPr>
          <w:rFonts w:hint="eastAsia" w:ascii="宋体" w:hAnsi="宋体" w:eastAsia="宋体" w:cs="宋体"/>
          <w:sz w:val="21"/>
          <w:szCs w:val="21"/>
        </w:rPr>
        <w:t>206</w:t>
      </w:r>
    </w:p>
    <w:p w14:paraId="0B79E58A">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9.5总量控制</w:t>
      </w:r>
      <w:r>
        <w:rPr>
          <w:rFonts w:hint="eastAsia" w:ascii="宋体" w:hAnsi="宋体" w:eastAsia="宋体" w:cs="宋体"/>
          <w:sz w:val="21"/>
          <w:szCs w:val="21"/>
        </w:rPr>
        <w:tab/>
      </w:r>
      <w:r>
        <w:rPr>
          <w:rFonts w:hint="eastAsia" w:ascii="宋体" w:hAnsi="宋体" w:eastAsia="宋体" w:cs="宋体"/>
          <w:sz w:val="21"/>
          <w:szCs w:val="21"/>
        </w:rPr>
        <w:t>209</w:t>
      </w:r>
    </w:p>
    <w:p w14:paraId="38B8637C">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9.6环境监测计划</w:t>
      </w:r>
      <w:r>
        <w:rPr>
          <w:rFonts w:hint="eastAsia" w:ascii="宋体" w:hAnsi="宋体" w:eastAsia="宋体" w:cs="宋体"/>
          <w:sz w:val="21"/>
          <w:szCs w:val="21"/>
        </w:rPr>
        <w:tab/>
      </w:r>
      <w:r>
        <w:rPr>
          <w:rFonts w:hint="eastAsia" w:ascii="宋体" w:hAnsi="宋体" w:eastAsia="宋体" w:cs="宋体"/>
          <w:sz w:val="21"/>
          <w:szCs w:val="21"/>
        </w:rPr>
        <w:t>209</w:t>
      </w:r>
    </w:p>
    <w:p w14:paraId="4BAE12A6">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9.7环境保护竣工验收</w:t>
      </w:r>
      <w:r>
        <w:rPr>
          <w:rFonts w:hint="eastAsia" w:ascii="宋体" w:hAnsi="宋体" w:eastAsia="宋体" w:cs="宋体"/>
          <w:sz w:val="21"/>
          <w:szCs w:val="21"/>
        </w:rPr>
        <w:tab/>
      </w:r>
      <w:r>
        <w:rPr>
          <w:rFonts w:hint="eastAsia" w:ascii="宋体" w:hAnsi="宋体" w:eastAsia="宋体" w:cs="宋体"/>
          <w:sz w:val="21"/>
          <w:szCs w:val="21"/>
        </w:rPr>
        <w:t>210</w:t>
      </w:r>
    </w:p>
    <w:p w14:paraId="0CFA3E54">
      <w:pPr>
        <w:pStyle w:val="18"/>
        <w:tabs>
          <w:tab w:val="right" w:leader="dot" w:pos="9015"/>
        </w:tabs>
        <w:rPr>
          <w:rFonts w:hint="eastAsia" w:ascii="宋体" w:hAnsi="宋体" w:eastAsia="宋体" w:cs="宋体"/>
          <w:sz w:val="21"/>
          <w:szCs w:val="21"/>
        </w:rPr>
      </w:pPr>
      <w:r>
        <w:rPr>
          <w:rFonts w:hint="eastAsia" w:ascii="宋体" w:hAnsi="宋体" w:eastAsia="宋体" w:cs="宋体"/>
          <w:sz w:val="21"/>
          <w:szCs w:val="21"/>
          <w:highlight w:val="none"/>
        </w:rPr>
        <w:t>10环境影响评价结论</w:t>
      </w:r>
      <w:r>
        <w:rPr>
          <w:rFonts w:hint="eastAsia" w:ascii="宋体" w:hAnsi="宋体" w:eastAsia="宋体" w:cs="宋体"/>
          <w:sz w:val="21"/>
          <w:szCs w:val="21"/>
        </w:rPr>
        <w:tab/>
      </w:r>
      <w:r>
        <w:rPr>
          <w:rFonts w:hint="eastAsia" w:ascii="宋体" w:hAnsi="宋体" w:eastAsia="宋体" w:cs="宋体"/>
          <w:sz w:val="21"/>
          <w:szCs w:val="21"/>
        </w:rPr>
        <w:t>213</w:t>
      </w:r>
    </w:p>
    <w:p w14:paraId="44BAC2BC">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10.1项目概况</w:t>
      </w:r>
      <w:r>
        <w:rPr>
          <w:rFonts w:hint="eastAsia" w:ascii="宋体" w:hAnsi="宋体" w:eastAsia="宋体" w:cs="宋体"/>
          <w:sz w:val="21"/>
          <w:szCs w:val="21"/>
        </w:rPr>
        <w:tab/>
      </w:r>
      <w:r>
        <w:rPr>
          <w:rFonts w:hint="eastAsia" w:ascii="宋体" w:hAnsi="宋体" w:eastAsia="宋体" w:cs="宋体"/>
          <w:sz w:val="21"/>
          <w:szCs w:val="21"/>
        </w:rPr>
        <w:t>213</w:t>
      </w:r>
    </w:p>
    <w:p w14:paraId="7C3C1D74">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10.2环境质量现状</w:t>
      </w:r>
      <w:r>
        <w:rPr>
          <w:rFonts w:hint="eastAsia" w:ascii="宋体" w:hAnsi="宋体" w:eastAsia="宋体" w:cs="宋体"/>
          <w:sz w:val="21"/>
          <w:szCs w:val="21"/>
        </w:rPr>
        <w:tab/>
      </w:r>
      <w:r>
        <w:rPr>
          <w:rFonts w:hint="eastAsia" w:ascii="宋体" w:hAnsi="宋体" w:eastAsia="宋体" w:cs="宋体"/>
          <w:sz w:val="21"/>
          <w:szCs w:val="21"/>
        </w:rPr>
        <w:t>213</w:t>
      </w:r>
    </w:p>
    <w:p w14:paraId="4CBDC37A">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10.3环境影响分析结论</w:t>
      </w:r>
      <w:r>
        <w:rPr>
          <w:rFonts w:hint="eastAsia" w:ascii="宋体" w:hAnsi="宋体" w:eastAsia="宋体" w:cs="宋体"/>
          <w:sz w:val="21"/>
          <w:szCs w:val="21"/>
        </w:rPr>
        <w:tab/>
      </w:r>
      <w:r>
        <w:rPr>
          <w:rFonts w:hint="eastAsia" w:ascii="宋体" w:hAnsi="宋体" w:eastAsia="宋体" w:cs="宋体"/>
          <w:sz w:val="21"/>
          <w:szCs w:val="21"/>
        </w:rPr>
        <w:t>214</w:t>
      </w:r>
    </w:p>
    <w:p w14:paraId="34278AFD">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10.4环境经济损益分析</w:t>
      </w:r>
      <w:r>
        <w:rPr>
          <w:rFonts w:hint="eastAsia" w:ascii="宋体" w:hAnsi="宋体" w:eastAsia="宋体" w:cs="宋体"/>
          <w:sz w:val="21"/>
          <w:szCs w:val="21"/>
        </w:rPr>
        <w:tab/>
      </w:r>
      <w:r>
        <w:rPr>
          <w:rFonts w:hint="eastAsia" w:ascii="宋体" w:hAnsi="宋体" w:eastAsia="宋体" w:cs="宋体"/>
          <w:sz w:val="21"/>
          <w:szCs w:val="21"/>
        </w:rPr>
        <w:t>216</w:t>
      </w:r>
    </w:p>
    <w:p w14:paraId="41C5AAF9">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10.5总量控制结论</w:t>
      </w:r>
      <w:r>
        <w:rPr>
          <w:rFonts w:hint="eastAsia" w:ascii="宋体" w:hAnsi="宋体" w:eastAsia="宋体" w:cs="宋体"/>
          <w:sz w:val="21"/>
          <w:szCs w:val="21"/>
        </w:rPr>
        <w:tab/>
      </w:r>
      <w:r>
        <w:rPr>
          <w:rFonts w:hint="eastAsia" w:ascii="宋体" w:hAnsi="宋体" w:eastAsia="宋体" w:cs="宋体"/>
          <w:sz w:val="21"/>
          <w:szCs w:val="21"/>
        </w:rPr>
        <w:t>216</w:t>
      </w:r>
    </w:p>
    <w:p w14:paraId="735D5737">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10.6公众参与采纳情况</w:t>
      </w:r>
      <w:r>
        <w:rPr>
          <w:rFonts w:hint="eastAsia" w:ascii="宋体" w:hAnsi="宋体" w:eastAsia="宋体" w:cs="宋体"/>
          <w:sz w:val="21"/>
          <w:szCs w:val="21"/>
        </w:rPr>
        <w:tab/>
      </w:r>
      <w:r>
        <w:rPr>
          <w:rFonts w:hint="eastAsia" w:ascii="宋体" w:hAnsi="宋体" w:eastAsia="宋体" w:cs="宋体"/>
          <w:sz w:val="21"/>
          <w:szCs w:val="21"/>
        </w:rPr>
        <w:t>217</w:t>
      </w:r>
    </w:p>
    <w:p w14:paraId="2E3AEE04">
      <w:pPr>
        <w:pStyle w:val="19"/>
        <w:tabs>
          <w:tab w:val="right" w:leader="dot" w:pos="9015"/>
        </w:tabs>
        <w:rPr>
          <w:rFonts w:hint="eastAsia" w:ascii="宋体" w:hAnsi="宋体" w:eastAsia="宋体" w:cs="宋体"/>
          <w:sz w:val="21"/>
          <w:szCs w:val="21"/>
        </w:rPr>
      </w:pPr>
      <w:r>
        <w:rPr>
          <w:rFonts w:hint="eastAsia" w:ascii="宋体" w:hAnsi="宋体" w:eastAsia="宋体" w:cs="宋体"/>
          <w:bCs w:val="0"/>
          <w:sz w:val="21"/>
          <w:szCs w:val="21"/>
          <w:highlight w:val="none"/>
        </w:rPr>
        <w:t>10.7评价总结论</w:t>
      </w:r>
      <w:r>
        <w:rPr>
          <w:rFonts w:hint="eastAsia" w:ascii="宋体" w:hAnsi="宋体" w:eastAsia="宋体" w:cs="宋体"/>
          <w:sz w:val="21"/>
          <w:szCs w:val="21"/>
        </w:rPr>
        <w:tab/>
      </w:r>
      <w:r>
        <w:rPr>
          <w:rFonts w:hint="eastAsia" w:ascii="宋体" w:hAnsi="宋体" w:eastAsia="宋体" w:cs="宋体"/>
          <w:sz w:val="21"/>
          <w:szCs w:val="21"/>
        </w:rPr>
        <w:t>217</w:t>
      </w:r>
    </w:p>
    <w:p w14:paraId="1318C47B">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宋体"/>
          <w:color w:val="auto"/>
          <w:sz w:val="21"/>
          <w:szCs w:val="21"/>
          <w:highlight w:val="none"/>
        </w:rPr>
      </w:pPr>
    </w:p>
    <w:p w14:paraId="5CFF9BCF">
      <w:pPr>
        <w:pStyle w:val="2"/>
        <w:bidi w:val="0"/>
        <w:rPr>
          <w:rFonts w:hint="eastAsia" w:ascii="宋体" w:hAnsi="宋体" w:eastAsia="宋体" w:cs="宋体"/>
          <w:sz w:val="21"/>
          <w:szCs w:val="21"/>
        </w:rPr>
        <w:sectPr>
          <w:footerReference r:id="rId9" w:type="first"/>
          <w:footerReference r:id="rId8" w:type="default"/>
          <w:pgSz w:w="11907" w:h="16840"/>
          <w:pgMar w:top="1531" w:right="1361" w:bottom="1361" w:left="153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46DDB432">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附表：</w:t>
      </w:r>
    </w:p>
    <w:p w14:paraId="0C19F8BD">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附表1  建设项目环评审批基础信息表</w:t>
      </w:r>
    </w:p>
    <w:p w14:paraId="21FD1044">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附表2  建设项目大气环境影响评价自查表</w:t>
      </w:r>
    </w:p>
    <w:p w14:paraId="3FE33CDD">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附表3  建设项目地表水环境影响评价自查表</w:t>
      </w:r>
    </w:p>
    <w:p w14:paraId="325D5B12">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附表4  声环境影响评价自查表</w:t>
      </w:r>
    </w:p>
    <w:p w14:paraId="27F65E6E">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附表5  土壤环境影响评价自查表</w:t>
      </w:r>
    </w:p>
    <w:p w14:paraId="2A133E51">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附表6  生态影响评价自查表</w:t>
      </w:r>
    </w:p>
    <w:p w14:paraId="12C706C9">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附表7  建设项目环境风险评价自查表</w:t>
      </w:r>
    </w:p>
    <w:p w14:paraId="77041F64">
      <w:pPr>
        <w:snapToGrid w:val="0"/>
        <w:spacing w:line="360" w:lineRule="auto"/>
        <w:ind w:firstLine="480" w:firstLineChars="200"/>
        <w:rPr>
          <w:rFonts w:hint="default" w:ascii="Times New Roman" w:hAnsi="Times New Roman" w:cs="Times New Roman"/>
          <w:bCs/>
          <w:color w:val="auto"/>
          <w:sz w:val="24"/>
          <w:highlight w:val="none"/>
        </w:rPr>
      </w:pPr>
    </w:p>
    <w:p w14:paraId="681E8AB9">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附图：</w:t>
      </w:r>
    </w:p>
    <w:p w14:paraId="7F5347E0">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附图1 项目地理位置图</w:t>
      </w:r>
    </w:p>
    <w:p w14:paraId="5A6A36AA">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附图2 项目所在区域水系图</w:t>
      </w:r>
    </w:p>
    <w:p w14:paraId="4E59E211">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附图3 平面布置</w:t>
      </w:r>
      <w:r>
        <w:rPr>
          <w:rFonts w:hint="eastAsia" w:cs="Times New Roman"/>
          <w:bCs/>
          <w:color w:val="auto"/>
          <w:sz w:val="24"/>
          <w:highlight w:val="none"/>
          <w:lang w:val="en-US" w:eastAsia="zh-CN"/>
        </w:rPr>
        <w:t>及环保设施分布</w:t>
      </w:r>
      <w:r>
        <w:rPr>
          <w:rFonts w:hint="default" w:ascii="Times New Roman" w:hAnsi="Times New Roman" w:cs="Times New Roman"/>
          <w:bCs/>
          <w:color w:val="auto"/>
          <w:sz w:val="24"/>
          <w:highlight w:val="none"/>
        </w:rPr>
        <w:t>图</w:t>
      </w:r>
    </w:p>
    <w:p w14:paraId="2F227DE5">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附图4 水文地质及地下水评价范围图</w:t>
      </w:r>
    </w:p>
    <w:p w14:paraId="4A5C053E">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附图5 分区防渗图</w:t>
      </w:r>
    </w:p>
    <w:p w14:paraId="4E1E80FE">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附图6 评价范围及周边关系图</w:t>
      </w:r>
    </w:p>
    <w:p w14:paraId="524592A4">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附图7 项目与云南省生态功能区划位置关系图</w:t>
      </w:r>
    </w:p>
    <w:p w14:paraId="0B321246">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附图8 项目与云南省主体功能区划位置关系图</w:t>
      </w:r>
    </w:p>
    <w:p w14:paraId="69F3DEF1">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附图9 项目与云南生物多样性优先保护区位置关系图</w:t>
      </w:r>
    </w:p>
    <w:p w14:paraId="0C376A53">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附图10 环境质量现状监测布点图</w:t>
      </w:r>
    </w:p>
    <w:p w14:paraId="783DB336">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附图11引用地下水监测数据布点图</w:t>
      </w:r>
    </w:p>
    <w:p w14:paraId="338A62DF">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附图12 土地利用类型</w:t>
      </w:r>
    </w:p>
    <w:p w14:paraId="32155E76">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附图13 植被类型图</w:t>
      </w:r>
    </w:p>
    <w:p w14:paraId="69153422">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附图14 项目与周边天然林位置关系图</w:t>
      </w:r>
    </w:p>
    <w:p w14:paraId="03E7937A">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附图15 项目与周边公益林位置关系图</w:t>
      </w:r>
    </w:p>
    <w:p w14:paraId="212C7C5F">
      <w:pPr>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附图16 粪污消纳区运输路线图</w:t>
      </w:r>
    </w:p>
    <w:p w14:paraId="3F6AA69C">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附件：</w:t>
      </w:r>
    </w:p>
    <w:p w14:paraId="39D12D0C">
      <w:pPr>
        <w:snapToGrid w:val="0"/>
        <w:spacing w:line="360" w:lineRule="auto"/>
        <w:ind w:left="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附件1 委托书</w:t>
      </w:r>
    </w:p>
    <w:p w14:paraId="1364E10E">
      <w:pPr>
        <w:snapToGrid w:val="0"/>
        <w:spacing w:line="360" w:lineRule="auto"/>
        <w:ind w:left="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附件2备案证</w:t>
      </w:r>
    </w:p>
    <w:p w14:paraId="10EA8474">
      <w:pPr>
        <w:snapToGrid w:val="0"/>
        <w:spacing w:line="360" w:lineRule="auto"/>
        <w:ind w:left="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附件3营业执照</w:t>
      </w:r>
    </w:p>
    <w:p w14:paraId="0A3022FF">
      <w:pPr>
        <w:snapToGrid w:val="0"/>
        <w:spacing w:line="360" w:lineRule="auto"/>
        <w:ind w:left="480"/>
        <w:rPr>
          <w:rFonts w:hint="default" w:ascii="Times New Roman" w:hAnsi="Times New Roman" w:cs="Times New Roman"/>
          <w:color w:val="auto"/>
          <w:sz w:val="24"/>
          <w:highlight w:val="none"/>
        </w:rPr>
        <w:sectPr>
          <w:footerReference r:id="rId12" w:type="first"/>
          <w:headerReference r:id="rId10" w:type="default"/>
          <w:footerReference r:id="rId11" w:type="default"/>
          <w:pgSz w:w="11907" w:h="16840"/>
          <w:pgMar w:top="1531" w:right="1361" w:bottom="1361" w:left="153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162F89A0">
      <w:pPr>
        <w:snapToGrid w:val="0"/>
        <w:spacing w:line="360" w:lineRule="auto"/>
        <w:ind w:left="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附件4 </w:t>
      </w:r>
      <w:r>
        <w:rPr>
          <w:rFonts w:hint="eastAsia" w:cs="Times New Roman"/>
          <w:color w:val="auto"/>
          <w:sz w:val="24"/>
          <w:highlight w:val="none"/>
          <w:lang w:eastAsia="zh-CN"/>
        </w:rPr>
        <w:t>“三区三线”</w:t>
      </w:r>
      <w:r>
        <w:rPr>
          <w:rFonts w:hint="default" w:ascii="Times New Roman" w:hAnsi="Times New Roman" w:cs="Times New Roman"/>
          <w:color w:val="auto"/>
          <w:sz w:val="24"/>
          <w:highlight w:val="none"/>
        </w:rPr>
        <w:t>查询文件</w:t>
      </w:r>
    </w:p>
    <w:p w14:paraId="62B538D6">
      <w:pPr>
        <w:snapToGrid w:val="0"/>
        <w:spacing w:line="360" w:lineRule="auto"/>
        <w:ind w:left="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附件5 弥勒温氏畜牧有限公司新哨二区后备猪培育基地项目涉及生态环境管控单元与环境管控详情</w:t>
      </w:r>
    </w:p>
    <w:p w14:paraId="657035CD">
      <w:pPr>
        <w:snapToGrid w:val="0"/>
        <w:spacing w:line="360" w:lineRule="auto"/>
        <w:ind w:left="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附件6 设施农用地备案</w:t>
      </w:r>
    </w:p>
    <w:p w14:paraId="7C17434B">
      <w:pPr>
        <w:snapToGrid w:val="0"/>
        <w:spacing w:line="360" w:lineRule="auto"/>
        <w:ind w:left="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附件7 禁养区查询情况说明</w:t>
      </w:r>
    </w:p>
    <w:p w14:paraId="505852C3">
      <w:pPr>
        <w:snapToGrid w:val="0"/>
        <w:spacing w:line="360" w:lineRule="auto"/>
        <w:ind w:left="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附件8 粪污消纳协议</w:t>
      </w:r>
    </w:p>
    <w:p w14:paraId="5ED27AF0">
      <w:pPr>
        <w:snapToGrid w:val="0"/>
        <w:spacing w:line="360" w:lineRule="auto"/>
        <w:ind w:left="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附件9 弥勒温氏畜牧有限公司新哨二区后备猪培育基地环境质量现状监测报告</w:t>
      </w:r>
    </w:p>
    <w:p w14:paraId="58598183">
      <w:pPr>
        <w:snapToGrid w:val="0"/>
        <w:spacing w:line="360" w:lineRule="auto"/>
        <w:ind w:left="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附件10 依托污水处理站运营台账</w:t>
      </w:r>
    </w:p>
    <w:p w14:paraId="54232E71">
      <w:pPr>
        <w:snapToGrid w:val="0"/>
        <w:spacing w:line="360" w:lineRule="auto"/>
        <w:ind w:left="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附件11 依托种猪场2024年度环境监测报告</w:t>
      </w:r>
    </w:p>
    <w:p w14:paraId="76D387A9">
      <w:pPr>
        <w:snapToGrid w:val="0"/>
        <w:spacing w:line="360" w:lineRule="auto"/>
        <w:ind w:left="48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附件12 病死猪无害化处置协议</w:t>
      </w:r>
    </w:p>
    <w:p w14:paraId="2CA3DBF8">
      <w:pPr>
        <w:snapToGrid w:val="0"/>
        <w:spacing w:line="360" w:lineRule="auto"/>
        <w:ind w:left="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附件1</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 xml:space="preserve"> 项目工作进度管理表及内部审核清单</w:t>
      </w:r>
    </w:p>
    <w:p w14:paraId="3B0C26FA">
      <w:pPr>
        <w:snapToGrid w:val="0"/>
        <w:spacing w:line="360" w:lineRule="auto"/>
        <w:ind w:left="480"/>
        <w:rPr>
          <w:rFonts w:hint="default" w:cs="Times New Roman"/>
          <w:color w:val="auto"/>
          <w:sz w:val="24"/>
          <w:highlight w:val="none"/>
          <w:lang w:val="en-US" w:eastAsia="zh-CN"/>
        </w:rPr>
      </w:pPr>
      <w:r>
        <w:rPr>
          <w:rFonts w:hint="eastAsia" w:cs="Times New Roman"/>
          <w:color w:val="auto"/>
          <w:sz w:val="24"/>
          <w:highlight w:val="none"/>
          <w:lang w:val="en-US" w:eastAsia="zh-CN"/>
        </w:rPr>
        <w:t>附件14 技术合同</w:t>
      </w:r>
    </w:p>
    <w:p w14:paraId="4F294EFA">
      <w:pPr>
        <w:snapToGrid w:val="0"/>
        <w:spacing w:line="360" w:lineRule="auto"/>
        <w:jc w:val="left"/>
        <w:rPr>
          <w:rFonts w:hint="default" w:ascii="Times New Roman" w:hAnsi="Times New Roman" w:cs="Times New Roman"/>
          <w:color w:val="auto"/>
          <w:sz w:val="24"/>
          <w:highlight w:val="none"/>
        </w:rPr>
        <w:sectPr>
          <w:footerReference r:id="rId13" w:type="default"/>
          <w:pgSz w:w="11907" w:h="16840"/>
          <w:pgMar w:top="1531" w:right="1361" w:bottom="1361" w:left="153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613E1078">
      <w:pPr>
        <w:pStyle w:val="2"/>
        <w:bidi w:val="0"/>
        <w:rPr>
          <w:rFonts w:hint="default" w:ascii="Times New Roman" w:hAnsi="Times New Roman" w:cs="Times New Roman"/>
          <w:color w:val="auto"/>
        </w:rPr>
      </w:pPr>
      <w:bookmarkStart w:id="10" w:name="_Toc13704"/>
      <w:bookmarkStart w:id="11" w:name="_Toc24283"/>
      <w:bookmarkStart w:id="12" w:name="_Toc21792"/>
      <w:bookmarkStart w:id="13" w:name="_Toc26129"/>
      <w:r>
        <w:rPr>
          <w:rFonts w:hint="default" w:ascii="Times New Roman" w:hAnsi="Times New Roman" w:cs="Times New Roman"/>
          <w:color w:val="auto"/>
        </w:rPr>
        <w:t>概述</w:t>
      </w:r>
      <w:bookmarkEnd w:id="10"/>
      <w:bookmarkEnd w:id="11"/>
      <w:bookmarkEnd w:id="12"/>
      <w:bookmarkEnd w:id="13"/>
    </w:p>
    <w:p w14:paraId="49075C74">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Times New Roman" w:hAnsi="Times New Roman" w:eastAsia="宋体" w:cs="Times New Roman"/>
          <w:color w:val="auto"/>
          <w:lang w:val="en-US" w:eastAsia="zh-CN"/>
        </w:rPr>
      </w:pPr>
      <w:bookmarkStart w:id="14" w:name="_Toc16858"/>
      <w:bookmarkStart w:id="15" w:name="_Toc17733"/>
      <w:bookmarkStart w:id="16" w:name="_Toc16351"/>
      <w:r>
        <w:rPr>
          <w:rFonts w:hint="default" w:ascii="Times New Roman" w:hAnsi="Times New Roman" w:eastAsia="宋体" w:cs="Times New Roman"/>
          <w:color w:val="auto"/>
          <w:lang w:val="en-US" w:eastAsia="zh-CN"/>
        </w:rPr>
        <w:t>1项目背景</w:t>
      </w:r>
      <w:bookmarkEnd w:id="14"/>
      <w:bookmarkEnd w:id="15"/>
      <w:bookmarkEnd w:id="16"/>
    </w:p>
    <w:p w14:paraId="764FC7C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中国是世界上头号肉食品消费大国，2018年肉类消费总量为8944万吨，人均消费64公斤。由于国内产能无法满足消费需要，我国进口肉类的数量一直呈逐年上涨的态势。随着我国人口数量的不断增长，对肉类的需求量还将大幅增加。</w:t>
      </w:r>
    </w:p>
    <w:p w14:paraId="2398F865">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长期以来，我国农民养猪大多是以农户小规模散养为主的传统养殖方式，品种差、效益低，严重制约了农村养猪业的发展。引导农民调整品种结构并高效率的生产模式导入，是开创养猪业快速发展的重要契机。目前，弥勒市生猪养殖主要为小型散户养殖，抵御市场供求波动及疫病带来的风险能力弱。为此，弥勒温氏畜牧有限公司提出采用“公司+家庭农场”的经营模式，与农户建立生猪饲养合作关系，以此拓宽当地农民经济收入渠道，带动一方农民致富，促进当地生猪养殖业向现代化、产业化、规模化发展。在此背景下，弥勒温氏畜牧有限公司提出拟在弥勒市新哨镇设置一个</w:t>
      </w:r>
      <w:r>
        <w:rPr>
          <w:rFonts w:hint="default" w:ascii="Times New Roman" w:hAnsi="Times New Roman" w:cs="Times New Roman" w:eastAsiaTheme="minorEastAsia"/>
          <w:color w:val="auto"/>
          <w:sz w:val="24"/>
          <w:lang w:val="en-US" w:eastAsia="zh-CN"/>
        </w:rPr>
        <w:t>后备猪</w:t>
      </w:r>
      <w:r>
        <w:rPr>
          <w:rFonts w:hint="default" w:ascii="Times New Roman" w:hAnsi="Times New Roman" w:cs="Times New Roman" w:eastAsiaTheme="minorEastAsia"/>
          <w:color w:val="auto"/>
          <w:sz w:val="24"/>
        </w:rPr>
        <w:t>养殖场，即</w:t>
      </w:r>
      <w:r>
        <w:rPr>
          <w:rFonts w:hint="default" w:ascii="Times New Roman" w:hAnsi="Times New Roman" w:cs="Times New Roman" w:eastAsiaTheme="minorEastAsia"/>
          <w:color w:val="auto"/>
          <w:sz w:val="24"/>
          <w:lang w:eastAsia="zh-CN"/>
        </w:rPr>
        <w:t>弥勒温氏畜牧有限公司新哨二区后备猪培育基地</w:t>
      </w:r>
      <w:r>
        <w:rPr>
          <w:rFonts w:hint="default" w:ascii="Times New Roman" w:hAnsi="Times New Roman" w:cs="Times New Roman" w:eastAsiaTheme="minorEastAsia"/>
          <w:color w:val="auto"/>
          <w:sz w:val="24"/>
        </w:rPr>
        <w:t>（以下简称“本项目”）。</w:t>
      </w:r>
    </w:p>
    <w:p w14:paraId="53F1BDF2">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cs="Times New Roman"/>
          <w:bCs/>
          <w:color w:val="auto"/>
          <w:sz w:val="24"/>
          <w:highlight w:val="none"/>
          <w:lang w:val="en-US" w:eastAsia="zh-CN"/>
        </w:rPr>
        <w:t>项目已于</w:t>
      </w:r>
      <w:r>
        <w:rPr>
          <w:rFonts w:hint="default" w:ascii="Times New Roman" w:hAnsi="Times New Roman" w:cs="Times New Roman"/>
          <w:bCs/>
          <w:color w:val="auto"/>
          <w:sz w:val="24"/>
          <w:highlight w:val="none"/>
        </w:rPr>
        <w:t>202</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年</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月</w:t>
      </w:r>
      <w:r>
        <w:rPr>
          <w:rFonts w:hint="default" w:ascii="Times New Roman" w:hAnsi="Times New Roman" w:cs="Times New Roman"/>
          <w:bCs/>
          <w:color w:val="auto"/>
          <w:sz w:val="24"/>
          <w:highlight w:val="none"/>
          <w:lang w:val="en-US" w:eastAsia="zh-CN"/>
        </w:rPr>
        <w:t>7</w:t>
      </w:r>
      <w:r>
        <w:rPr>
          <w:rFonts w:hint="default" w:ascii="Times New Roman" w:hAnsi="Times New Roman" w:cs="Times New Roman"/>
          <w:bCs/>
          <w:color w:val="auto"/>
          <w:sz w:val="24"/>
          <w:highlight w:val="none"/>
        </w:rPr>
        <w:t>日</w:t>
      </w:r>
      <w:r>
        <w:rPr>
          <w:rFonts w:hint="default" w:ascii="Times New Roman" w:hAnsi="Times New Roman" w:eastAsia="宋体" w:cs="Times New Roman"/>
          <w:color w:val="auto"/>
          <w:spacing w:val="-6"/>
          <w:sz w:val="24"/>
          <w:szCs w:val="24"/>
        </w:rPr>
        <w:t>取得弥勒市发展和改革局文件《</w:t>
      </w:r>
      <w:r>
        <w:rPr>
          <w:rFonts w:hint="default" w:ascii="Times New Roman" w:hAnsi="Times New Roman" w:cs="Times New Roman"/>
          <w:color w:val="auto"/>
          <w:spacing w:val="-6"/>
          <w:sz w:val="24"/>
          <w:szCs w:val="24"/>
          <w:lang w:val="en-US" w:eastAsia="zh-CN"/>
        </w:rPr>
        <w:t>云南省固定资产</w:t>
      </w:r>
      <w:r>
        <w:rPr>
          <w:rFonts w:hint="default" w:ascii="Times New Roman" w:hAnsi="Times New Roman" w:eastAsia="宋体" w:cs="Times New Roman"/>
          <w:color w:val="auto"/>
          <w:spacing w:val="-6"/>
          <w:sz w:val="24"/>
          <w:szCs w:val="24"/>
        </w:rPr>
        <w:t>投资项目备案证》</w:t>
      </w:r>
      <w:r>
        <w:rPr>
          <w:rFonts w:hint="default" w:ascii="Times New Roman" w:hAnsi="Times New Roman" w:cs="Times New Roman"/>
          <w:color w:val="auto"/>
          <w:spacing w:val="-6"/>
          <w:sz w:val="24"/>
          <w:szCs w:val="24"/>
          <w:lang w:val="en-US" w:eastAsia="zh-CN"/>
        </w:rPr>
        <w:t>（</w:t>
      </w:r>
      <w:r>
        <w:rPr>
          <w:rFonts w:hint="default" w:ascii="Times New Roman" w:hAnsi="Times New Roman" w:cs="Times New Roman"/>
          <w:bCs/>
          <w:color w:val="auto"/>
          <w:sz w:val="24"/>
          <w:highlight w:val="none"/>
        </w:rPr>
        <w:t>2505-532504-04-01-526157</w:t>
      </w:r>
      <w:r>
        <w:rPr>
          <w:rFonts w:hint="default" w:ascii="Times New Roman" w:hAnsi="Times New Roman" w:cs="Times New Roman"/>
          <w:color w:val="auto"/>
          <w:spacing w:val="-6"/>
          <w:sz w:val="24"/>
          <w:szCs w:val="24"/>
          <w:lang w:val="en-US" w:eastAsia="zh-CN"/>
        </w:rPr>
        <w:t>）</w:t>
      </w:r>
      <w:r>
        <w:rPr>
          <w:rFonts w:hint="default" w:ascii="Times New Roman" w:hAnsi="Times New Roman" w:cs="Times New Roman"/>
          <w:bCs/>
          <w:color w:val="auto"/>
          <w:sz w:val="24"/>
          <w:highlight w:val="none"/>
        </w:rPr>
        <w:t>，项目总占地面积88.0865亩，建筑面积7278平方米，饲养规模为年存栏生猪4000头，出栏生猪8000头。建设标准化猪舍2幢、保育舍1幢、同步配套污水处理、废气治理等环保设施:公用工程包括养殖相关设施设备、电力设施、给水排水、道路、围墙大门、绿化隔离带等。</w:t>
      </w:r>
    </w:p>
    <w:p w14:paraId="6DE009EF">
      <w:pPr>
        <w:pStyle w:val="15"/>
        <w:ind w:firstLine="482"/>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color w:val="auto"/>
          <w:sz w:val="24"/>
          <w:highlight w:val="none"/>
          <w:lang w:eastAsia="zh-CN"/>
        </w:rPr>
        <w:t>经查阅</w:t>
      </w:r>
      <w:r>
        <w:rPr>
          <w:rFonts w:hint="default" w:ascii="Times New Roman" w:hAnsi="Times New Roman" w:cs="Times New Roman"/>
          <w:color w:val="auto"/>
          <w:sz w:val="24"/>
          <w:highlight w:val="none"/>
        </w:rPr>
        <w:t>《建设项目环境影响评价分类管理目录（2021年版）》（生态环境部令第16号）</w:t>
      </w:r>
      <w:r>
        <w:rPr>
          <w:rFonts w:hint="default" w:ascii="Times New Roman" w:hAnsi="Times New Roman" w:cs="Times New Roman"/>
          <w:color w:val="auto"/>
          <w:sz w:val="24"/>
          <w:highlight w:val="none"/>
          <w:lang w:val="en-US" w:eastAsia="zh-CN"/>
        </w:rPr>
        <w:t>，判定属于</w:t>
      </w:r>
      <w:r>
        <w:rPr>
          <w:rFonts w:hint="default" w:ascii="Times New Roman" w:hAnsi="Times New Roman" w:cs="Times New Roman"/>
          <w:color w:val="auto"/>
          <w:sz w:val="24"/>
          <w:highlight w:val="none"/>
        </w:rPr>
        <w:t>名录中“二、畜牧业”</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“牲畜饲养031”</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“年出栏生猪5000头（其他畜禽种类折合猪的养殖规模）及以上的规模化畜禽养殖”，应编制环境影响报告书</w:t>
      </w:r>
      <w:r>
        <w:rPr>
          <w:rFonts w:hint="default" w:ascii="Times New Roman" w:hAnsi="Times New Roman" w:cs="Times New Roman"/>
          <w:color w:val="auto"/>
          <w:sz w:val="24"/>
          <w:highlight w:val="none"/>
          <w:lang w:eastAsia="zh-CN"/>
        </w:rPr>
        <w:t>。</w:t>
      </w:r>
    </w:p>
    <w:p w14:paraId="2630B003">
      <w:pPr>
        <w:pStyle w:val="15"/>
        <w:keepNext w:val="0"/>
        <w:keepLines w:val="0"/>
        <w:pageBreakBefore w:val="0"/>
        <w:widowControl w:val="0"/>
        <w:kinsoku/>
        <w:wordWrap/>
        <w:overflowPunct/>
        <w:topLinePunct w:val="0"/>
        <w:autoSpaceDE/>
        <w:autoSpaceDN/>
        <w:bidi w:val="0"/>
        <w:ind w:firstLine="482"/>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eastAsia="zh-CN"/>
        </w:rPr>
        <w:t>据此，</w:t>
      </w:r>
      <w:r>
        <w:rPr>
          <w:rFonts w:hint="default" w:ascii="Times New Roman" w:hAnsi="Times New Roman" w:cs="Times New Roman"/>
          <w:bCs/>
          <w:color w:val="auto"/>
          <w:sz w:val="24"/>
          <w:highlight w:val="none"/>
          <w:lang w:eastAsia="zh-CN"/>
        </w:rPr>
        <w:t>弥勒温氏畜牧有限公司</w:t>
      </w:r>
      <w:r>
        <w:rPr>
          <w:rFonts w:hint="default" w:ascii="Times New Roman" w:hAnsi="Times New Roman" w:cs="Times New Roman"/>
          <w:bCs/>
          <w:color w:val="auto"/>
          <w:sz w:val="24"/>
          <w:highlight w:val="none"/>
        </w:rPr>
        <w:t>委托云南卓清环保科技有限公司对“</w:t>
      </w:r>
      <w:r>
        <w:rPr>
          <w:rFonts w:hint="default" w:ascii="Times New Roman" w:hAnsi="Times New Roman" w:cs="Times New Roman"/>
          <w:bCs/>
          <w:color w:val="auto"/>
          <w:sz w:val="24"/>
          <w:highlight w:val="none"/>
          <w:lang w:eastAsia="zh-CN"/>
        </w:rPr>
        <w:t>弥勒温氏畜牧有限公司新哨二区后备猪培育基地</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highlight w:val="none"/>
        </w:rPr>
        <w:t>进行环境影响评价工作。</w:t>
      </w:r>
    </w:p>
    <w:p w14:paraId="66FF0157">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Times New Roman" w:hAnsi="Times New Roman" w:eastAsia="宋体" w:cs="Times New Roman"/>
          <w:color w:val="auto"/>
          <w:lang w:val="en-US" w:eastAsia="zh-CN"/>
        </w:rPr>
      </w:pPr>
      <w:bookmarkStart w:id="17" w:name="_Toc15209"/>
      <w:bookmarkStart w:id="18" w:name="_Toc3384"/>
      <w:bookmarkStart w:id="19" w:name="_Toc28077"/>
      <w:r>
        <w:rPr>
          <w:rFonts w:hint="default" w:ascii="Times New Roman" w:hAnsi="Times New Roman" w:eastAsia="宋体" w:cs="Times New Roman"/>
          <w:color w:val="auto"/>
          <w:lang w:val="en-US" w:eastAsia="zh-CN"/>
        </w:rPr>
        <w:t>2项目环境影响评价工作过程</w:t>
      </w:r>
      <w:bookmarkEnd w:id="17"/>
      <w:bookmarkEnd w:id="18"/>
      <w:bookmarkEnd w:id="19"/>
    </w:p>
    <w:p w14:paraId="0243A428">
      <w:pPr>
        <w:pStyle w:val="46"/>
        <w:rPr>
          <w:rFonts w:hint="default" w:ascii="Times New Roman" w:hAnsi="Times New Roman" w:cs="Times New Roman"/>
          <w:bCs/>
          <w:color w:val="auto"/>
        </w:rPr>
      </w:pPr>
      <w:r>
        <w:rPr>
          <w:rFonts w:hint="default" w:ascii="Times New Roman" w:hAnsi="Times New Roman" w:cs="Times New Roman"/>
          <w:color w:val="auto"/>
          <w:sz w:val="24"/>
          <w:highlight w:val="none"/>
        </w:rPr>
        <w:t>（1）</w:t>
      </w:r>
      <w:r>
        <w:rPr>
          <w:rFonts w:hint="default" w:ascii="Times New Roman" w:hAnsi="Times New Roman" w:cs="Times New Roman"/>
          <w:bCs/>
          <w:color w:val="auto"/>
          <w:highlight w:val="none"/>
        </w:rPr>
        <w:t>202</w:t>
      </w:r>
      <w:r>
        <w:rPr>
          <w:rFonts w:hint="default" w:ascii="Times New Roman" w:hAnsi="Times New Roman" w:cs="Times New Roman"/>
          <w:bCs/>
          <w:color w:val="auto"/>
          <w:highlight w:val="none"/>
          <w:lang w:val="en-US" w:eastAsia="zh-CN"/>
        </w:rPr>
        <w:t>5</w:t>
      </w:r>
      <w:r>
        <w:rPr>
          <w:rFonts w:hint="default" w:ascii="Times New Roman" w:hAnsi="Times New Roman" w:cs="Times New Roman"/>
          <w:bCs/>
          <w:color w:val="auto"/>
          <w:highlight w:val="none"/>
        </w:rPr>
        <w:t>年</w:t>
      </w:r>
      <w:r>
        <w:rPr>
          <w:rFonts w:hint="eastAsia" w:cs="Times New Roman"/>
          <w:bCs/>
          <w:color w:val="auto"/>
          <w:highlight w:val="none"/>
          <w:lang w:val="en-US" w:eastAsia="zh-CN"/>
        </w:rPr>
        <w:t>5</w:t>
      </w:r>
      <w:r>
        <w:rPr>
          <w:rFonts w:hint="default" w:ascii="Times New Roman" w:hAnsi="Times New Roman" w:cs="Times New Roman"/>
          <w:bCs/>
          <w:color w:val="auto"/>
          <w:highlight w:val="none"/>
        </w:rPr>
        <w:t>月</w:t>
      </w:r>
      <w:r>
        <w:rPr>
          <w:rFonts w:hint="eastAsia" w:cs="Times New Roman"/>
          <w:bCs/>
          <w:color w:val="auto"/>
          <w:highlight w:val="none"/>
          <w:lang w:val="en-US" w:eastAsia="zh-CN"/>
        </w:rPr>
        <w:t>2</w:t>
      </w:r>
      <w:r>
        <w:rPr>
          <w:rFonts w:hint="default" w:ascii="Times New Roman" w:hAnsi="Times New Roman" w:cs="Times New Roman"/>
          <w:bCs/>
          <w:color w:val="auto"/>
          <w:highlight w:val="none"/>
        </w:rPr>
        <w:t>日</w:t>
      </w:r>
      <w:r>
        <w:rPr>
          <w:rFonts w:hint="default" w:ascii="Times New Roman" w:hAnsi="Times New Roman" w:cs="Times New Roman"/>
          <w:color w:val="auto"/>
        </w:rPr>
        <w:t>，我单位接受</w:t>
      </w:r>
      <w:r>
        <w:rPr>
          <w:rFonts w:hint="default" w:ascii="Times New Roman" w:hAnsi="Times New Roman" w:cs="Times New Roman"/>
          <w:bCs/>
          <w:color w:val="auto"/>
          <w:lang w:eastAsia="zh-CN"/>
        </w:rPr>
        <w:t>弥勒温氏畜牧有限公司</w:t>
      </w:r>
      <w:r>
        <w:rPr>
          <w:rFonts w:hint="default" w:ascii="Times New Roman" w:hAnsi="Times New Roman" w:cs="Times New Roman"/>
          <w:bCs/>
          <w:color w:val="auto"/>
        </w:rPr>
        <w:t>委托后，组织环评工作人员进行了现场踏勘，并收集资料。</w:t>
      </w:r>
    </w:p>
    <w:p w14:paraId="08FDA20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rPr>
        <w:t>日，建设单位在“弥勒市人民政府”网站进行了第一次公示，公示时间为202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9日至征求意见稿公示止</w:t>
      </w:r>
      <w:r>
        <w:rPr>
          <w:rFonts w:hint="default" w:ascii="Times New Roman" w:hAnsi="Times New Roman" w:cs="Times New Roman"/>
          <w:color w:val="auto"/>
          <w:sz w:val="24"/>
          <w:highlight w:val="none"/>
        </w:rPr>
        <w:t>。公示期间未收到</w:t>
      </w:r>
      <w:r>
        <w:rPr>
          <w:rFonts w:hint="default" w:ascii="Times New Roman" w:hAnsi="Times New Roman" w:cs="Times New Roman"/>
          <w:color w:val="auto"/>
          <w:sz w:val="24"/>
          <w:highlight w:val="none"/>
          <w:lang w:eastAsia="zh-CN"/>
        </w:rPr>
        <w:t>反馈</w:t>
      </w:r>
      <w:r>
        <w:rPr>
          <w:rFonts w:hint="default" w:ascii="Times New Roman" w:hAnsi="Times New Roman" w:cs="Times New Roman"/>
          <w:color w:val="auto"/>
          <w:sz w:val="24"/>
          <w:highlight w:val="none"/>
        </w:rPr>
        <w:t>意见。</w:t>
      </w:r>
    </w:p>
    <w:p w14:paraId="0CE850EC">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snapToGrid w:val="0"/>
          <w:color w:val="auto"/>
          <w:sz w:val="24"/>
          <w:szCs w:val="32"/>
          <w:highlight w:val="none"/>
        </w:rPr>
        <w:t>（3）为了满足项目环境影响评价的工作需求，</w:t>
      </w:r>
      <w:r>
        <w:rPr>
          <w:rFonts w:hint="default" w:ascii="Times New Roman" w:hAnsi="Times New Roman" w:cs="Times New Roman"/>
          <w:color w:val="auto"/>
          <w:sz w:val="24"/>
          <w:highlight w:val="none"/>
        </w:rPr>
        <w:t>在报告书编制过程中，建设单位委托</w:t>
      </w:r>
      <w:r>
        <w:rPr>
          <w:rFonts w:hint="default" w:ascii="Times New Roman" w:hAnsi="Times New Roman" w:cs="Times New Roman"/>
          <w:color w:val="auto"/>
          <w:sz w:val="24"/>
          <w:highlight w:val="none"/>
          <w:lang w:eastAsia="zh-CN"/>
        </w:rPr>
        <w:t>云南鼎祺检测有限公司</w:t>
      </w:r>
      <w:r>
        <w:rPr>
          <w:rFonts w:hint="default" w:ascii="Times New Roman" w:hAnsi="Times New Roman" w:cs="Times New Roman"/>
          <w:color w:val="auto"/>
          <w:sz w:val="24"/>
          <w:highlight w:val="none"/>
        </w:rPr>
        <w:t>于202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14</w:t>
      </w:r>
      <w:r>
        <w:rPr>
          <w:rFonts w:hint="default" w:ascii="Times New Roman" w:hAnsi="Times New Roman" w:cs="Times New Roman"/>
          <w:color w:val="auto"/>
          <w:sz w:val="24"/>
          <w:highlight w:val="none"/>
        </w:rPr>
        <w:t>日～202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日对项目区周边大气环境、声环境以及土壤环境质量现状进行了检测。</w:t>
      </w:r>
    </w:p>
    <w:p w14:paraId="48BFFCF1">
      <w:pPr>
        <w:keepNext w:val="0"/>
        <w:keepLines w:val="0"/>
        <w:widowControl/>
        <w:suppressLineNumbers w:val="0"/>
        <w:spacing w:line="360" w:lineRule="auto"/>
        <w:ind w:firstLine="480" w:firstLineChars="200"/>
        <w:jc w:val="left"/>
        <w:rPr>
          <w:rFonts w:hint="default" w:ascii="Times New Roman" w:hAnsi="Times New Roman" w:eastAsia="宋体" w:cs="Times New Roman"/>
          <w:bCs/>
          <w:color w:val="auto"/>
          <w:sz w:val="24"/>
          <w:szCs w:val="24"/>
        </w:rPr>
      </w:pPr>
      <w:bookmarkStart w:id="20" w:name="_Toc6312"/>
      <w:bookmarkStart w:id="21" w:name="_Toc15311"/>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4</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202</w:t>
      </w:r>
      <w:r>
        <w:rPr>
          <w:rFonts w:hint="default" w:ascii="Times New Roman" w:hAnsi="Times New Roman" w:eastAsia="宋体" w:cs="Times New Roman"/>
          <w:bCs/>
          <w:color w:val="auto"/>
          <w:sz w:val="24"/>
          <w:szCs w:val="24"/>
          <w:lang w:val="en-US" w:eastAsia="zh-CN"/>
        </w:rPr>
        <w:t>5</w:t>
      </w:r>
      <w:r>
        <w:rPr>
          <w:rFonts w:hint="default" w:ascii="Times New Roman" w:hAnsi="Times New Roman" w:eastAsia="宋体" w:cs="Times New Roman"/>
          <w:bCs/>
          <w:color w:val="auto"/>
          <w:sz w:val="24"/>
          <w:szCs w:val="24"/>
        </w:rPr>
        <w:t>年</w:t>
      </w:r>
      <w:r>
        <w:rPr>
          <w:rFonts w:hint="default" w:ascii="Times New Roman" w:hAnsi="Times New Roman" w:eastAsia="宋体" w:cs="Times New Roman"/>
          <w:bCs/>
          <w:color w:val="auto"/>
          <w:sz w:val="24"/>
          <w:szCs w:val="24"/>
          <w:lang w:val="en-US" w:eastAsia="zh-CN"/>
        </w:rPr>
        <w:t>5</w:t>
      </w:r>
      <w:r>
        <w:rPr>
          <w:rFonts w:hint="default" w:ascii="Times New Roman" w:hAnsi="Times New Roman" w:eastAsia="宋体" w:cs="Times New Roman"/>
          <w:bCs/>
          <w:color w:val="auto"/>
          <w:sz w:val="24"/>
          <w:szCs w:val="24"/>
        </w:rPr>
        <w:t>月</w:t>
      </w:r>
      <w:r>
        <w:rPr>
          <w:rFonts w:hint="default" w:ascii="Times New Roman" w:hAnsi="Times New Roman" w:eastAsia="宋体" w:cs="Times New Roman"/>
          <w:bCs/>
          <w:color w:val="auto"/>
          <w:sz w:val="24"/>
          <w:szCs w:val="24"/>
          <w:lang w:val="en-US" w:eastAsia="zh-CN"/>
        </w:rPr>
        <w:t>28</w:t>
      </w:r>
      <w:r>
        <w:rPr>
          <w:rFonts w:hint="default" w:ascii="Times New Roman" w:hAnsi="Times New Roman" w:eastAsia="宋体" w:cs="Times New Roman"/>
          <w:bCs/>
          <w:color w:val="auto"/>
          <w:sz w:val="24"/>
          <w:szCs w:val="24"/>
        </w:rPr>
        <w:t>日编制完成《</w:t>
      </w:r>
      <w:r>
        <w:rPr>
          <w:rFonts w:hint="default" w:ascii="Times New Roman" w:hAnsi="Times New Roman" w:eastAsia="宋体" w:cs="Times New Roman"/>
          <w:color w:val="auto"/>
          <w:sz w:val="24"/>
          <w:szCs w:val="24"/>
          <w:lang w:eastAsia="zh-CN"/>
        </w:rPr>
        <w:t>弥勒温氏畜牧有限公司新哨二区后备猪培育基地</w:t>
      </w:r>
      <w:r>
        <w:rPr>
          <w:rFonts w:hint="default" w:ascii="Times New Roman" w:hAnsi="Times New Roman" w:eastAsia="宋体" w:cs="Times New Roman"/>
          <w:bCs/>
          <w:color w:val="auto"/>
          <w:sz w:val="24"/>
          <w:szCs w:val="24"/>
        </w:rPr>
        <w:t>环境影响报告书》（征求意见稿），建设单位完成了征求意见稿公示，包括：</w:t>
      </w:r>
    </w:p>
    <w:p w14:paraId="094B7827">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日在“</w:t>
      </w:r>
      <w:r>
        <w:rPr>
          <w:rFonts w:hint="default" w:ascii="Times New Roman" w:hAnsi="Times New Roman" w:eastAsia="宋体" w:cs="Times New Roman"/>
          <w:color w:val="auto"/>
          <w:sz w:val="24"/>
          <w:szCs w:val="24"/>
          <w:lang w:val="en-US" w:eastAsia="zh-CN"/>
        </w:rPr>
        <w:t>弥勒</w:t>
      </w:r>
      <w:r>
        <w:rPr>
          <w:rFonts w:hint="default" w:ascii="Times New Roman" w:hAnsi="Times New Roman" w:eastAsia="宋体" w:cs="Times New Roman"/>
          <w:color w:val="auto"/>
          <w:sz w:val="24"/>
          <w:szCs w:val="24"/>
        </w:rPr>
        <w:t>市人民政府”网站进行了征求意见稿公示，公示时间为202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日，共10个工作日，并附建设项目公众参与意见表；公示期间未收到团体和群众的反馈意见。</w:t>
      </w:r>
    </w:p>
    <w:p w14:paraId="475971B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②登报公示：在网站公示期间，同步在</w:t>
      </w:r>
      <w:r>
        <w:rPr>
          <w:rFonts w:hint="default" w:ascii="Times New Roman" w:hAnsi="Times New Roman" w:eastAsia="宋体" w:cs="Times New Roman"/>
          <w:color w:val="auto"/>
          <w:sz w:val="24"/>
          <w:szCs w:val="24"/>
          <w:highlight w:val="none"/>
          <w:lang w:val="en-US" w:eastAsia="zh-CN"/>
        </w:rPr>
        <w:t>红河日报</w:t>
      </w:r>
      <w:r>
        <w:rPr>
          <w:rFonts w:hint="default" w:ascii="Times New Roman" w:hAnsi="Times New Roman" w:eastAsia="宋体" w:cs="Times New Roman"/>
          <w:color w:val="auto"/>
          <w:sz w:val="24"/>
          <w:szCs w:val="24"/>
          <w:highlight w:val="none"/>
        </w:rPr>
        <w:t>进行2次登报公示，具体时间为202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rPr>
        <w:t>日（总第</w:t>
      </w:r>
      <w:r>
        <w:rPr>
          <w:rFonts w:hint="default" w:ascii="Times New Roman" w:hAnsi="Times New Roman" w:eastAsia="宋体" w:cs="Times New Roman"/>
          <w:color w:val="auto"/>
          <w:sz w:val="24"/>
          <w:szCs w:val="24"/>
          <w:highlight w:val="none"/>
          <w:lang w:val="en-US" w:eastAsia="zh-CN"/>
        </w:rPr>
        <w:t>11876</w:t>
      </w:r>
      <w:r>
        <w:rPr>
          <w:rFonts w:hint="default" w:ascii="Times New Roman" w:hAnsi="Times New Roman" w:eastAsia="宋体" w:cs="Times New Roman"/>
          <w:color w:val="auto"/>
          <w:sz w:val="24"/>
          <w:szCs w:val="24"/>
          <w:highlight w:val="none"/>
        </w:rPr>
        <w:t>期</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版）、202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9日（总第</w:t>
      </w:r>
      <w:r>
        <w:rPr>
          <w:rFonts w:hint="default" w:ascii="Times New Roman" w:hAnsi="Times New Roman" w:eastAsia="宋体" w:cs="Times New Roman"/>
          <w:color w:val="auto"/>
          <w:sz w:val="24"/>
          <w:szCs w:val="24"/>
          <w:highlight w:val="none"/>
          <w:lang w:val="en-US" w:eastAsia="zh-CN"/>
        </w:rPr>
        <w:t>11877</w:t>
      </w:r>
      <w:r>
        <w:rPr>
          <w:rFonts w:hint="default" w:ascii="Times New Roman" w:hAnsi="Times New Roman" w:eastAsia="宋体" w:cs="Times New Roman"/>
          <w:color w:val="auto"/>
          <w:sz w:val="24"/>
          <w:szCs w:val="24"/>
          <w:highlight w:val="none"/>
        </w:rPr>
        <w:t>期</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在两次公示期间均未收到团体和群众的反馈意见。</w:t>
      </w:r>
    </w:p>
    <w:p w14:paraId="053C4B28">
      <w:pPr>
        <w:pStyle w:val="4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③现场粘贴公示：在项目区所属地</w:t>
      </w:r>
      <w:r>
        <w:rPr>
          <w:rFonts w:hint="default" w:ascii="Times New Roman" w:hAnsi="Times New Roman" w:eastAsia="宋体" w:cs="Times New Roman"/>
          <w:color w:val="auto"/>
          <w:sz w:val="24"/>
          <w:szCs w:val="24"/>
          <w:lang w:val="en-US" w:eastAsia="zh-CN"/>
        </w:rPr>
        <w:t>猴街村</w:t>
      </w:r>
      <w:r>
        <w:rPr>
          <w:rFonts w:hint="default" w:ascii="Times New Roman" w:hAnsi="Times New Roman" w:eastAsia="宋体" w:cs="Times New Roman"/>
          <w:color w:val="auto"/>
          <w:sz w:val="24"/>
          <w:szCs w:val="24"/>
        </w:rPr>
        <w:t>委会公告栏进行公告张贴，公告张贴时间为202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日，共10个工作日；粘贴公示期间均未收到团体和群众的反馈意见。</w:t>
      </w:r>
    </w:p>
    <w:p w14:paraId="38372344">
      <w:pPr>
        <w:pStyle w:val="9"/>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日，建</w:t>
      </w:r>
      <w:r>
        <w:rPr>
          <w:rFonts w:hint="default" w:ascii="Times New Roman" w:hAnsi="Times New Roman" w:eastAsia="宋体" w:cs="Times New Roman"/>
          <w:snapToGrid w:val="0"/>
          <w:color w:val="auto"/>
          <w:sz w:val="24"/>
          <w:szCs w:val="24"/>
        </w:rPr>
        <w:t>设单位</w:t>
      </w:r>
      <w:r>
        <w:rPr>
          <w:rFonts w:hint="default" w:ascii="Times New Roman" w:hAnsi="Times New Roman" w:eastAsia="宋体" w:cs="Times New Roman"/>
          <w:color w:val="auto"/>
          <w:sz w:val="24"/>
          <w:szCs w:val="24"/>
          <w:lang w:eastAsia="zh-CN"/>
        </w:rPr>
        <w:t>向周边影响范围内居民</w:t>
      </w:r>
      <w:r>
        <w:rPr>
          <w:rFonts w:hint="default" w:ascii="Times New Roman" w:hAnsi="Times New Roman" w:eastAsia="宋体" w:cs="Times New Roman"/>
          <w:color w:val="auto"/>
          <w:sz w:val="24"/>
          <w:szCs w:val="24"/>
          <w:lang w:val="en-US" w:eastAsia="zh-CN"/>
        </w:rPr>
        <w:t>及公众团体</w:t>
      </w:r>
      <w:r>
        <w:rPr>
          <w:rFonts w:hint="default" w:ascii="Times New Roman" w:hAnsi="Times New Roman" w:eastAsia="宋体" w:cs="Times New Roman"/>
          <w:color w:val="auto"/>
          <w:sz w:val="24"/>
          <w:szCs w:val="24"/>
          <w:lang w:eastAsia="zh-CN"/>
        </w:rPr>
        <w:t>发放公众意见调查表，</w:t>
      </w:r>
      <w:r>
        <w:rPr>
          <w:rFonts w:hint="default" w:ascii="Times New Roman" w:hAnsi="Times New Roman" w:eastAsia="宋体" w:cs="Times New Roman"/>
          <w:snapToGrid w:val="0"/>
          <w:color w:val="auto"/>
          <w:sz w:val="24"/>
          <w:szCs w:val="24"/>
        </w:rPr>
        <w:t>主要调查对象为项目所属的</w:t>
      </w:r>
      <w:r>
        <w:rPr>
          <w:rFonts w:hint="default" w:ascii="Times New Roman" w:hAnsi="Times New Roman" w:eastAsia="宋体" w:cs="Times New Roman"/>
          <w:snapToGrid w:val="0"/>
          <w:color w:val="auto"/>
          <w:sz w:val="24"/>
          <w:szCs w:val="24"/>
          <w:lang w:val="en-US" w:eastAsia="zh-CN"/>
        </w:rPr>
        <w:t>猴街村委会</w:t>
      </w:r>
      <w:r>
        <w:rPr>
          <w:rFonts w:hint="default" w:ascii="Times New Roman" w:hAnsi="Times New Roman" w:eastAsia="宋体" w:cs="Times New Roman"/>
          <w:snapToGrid w:val="0"/>
          <w:color w:val="auto"/>
          <w:sz w:val="24"/>
          <w:szCs w:val="24"/>
        </w:rPr>
        <w:t>距离项目区较近的</w:t>
      </w:r>
      <w:r>
        <w:rPr>
          <w:rFonts w:hint="default" w:ascii="Times New Roman" w:hAnsi="Times New Roman" w:eastAsia="宋体" w:cs="Times New Roman"/>
          <w:snapToGrid w:val="0"/>
          <w:color w:val="auto"/>
          <w:sz w:val="24"/>
          <w:szCs w:val="24"/>
          <w:lang w:val="en-US" w:eastAsia="zh-CN"/>
        </w:rPr>
        <w:t>居民，</w:t>
      </w:r>
      <w:r>
        <w:rPr>
          <w:rFonts w:hint="default" w:ascii="Times New Roman" w:hAnsi="Times New Roman" w:eastAsia="宋体" w:cs="Times New Roman"/>
          <w:color w:val="auto"/>
          <w:sz w:val="24"/>
          <w:szCs w:val="24"/>
          <w:highlight w:val="none"/>
        </w:rPr>
        <w:t>建设单位总共发放公众意见表</w:t>
      </w:r>
      <w:r>
        <w:rPr>
          <w:rFonts w:hint="default"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份，共回收</w:t>
      </w:r>
      <w:r>
        <w:rPr>
          <w:rFonts w:hint="default"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份，均无反对意见。</w:t>
      </w:r>
    </w:p>
    <w:p w14:paraId="65FC1C8B">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在上述工作的基础上，我公司于20</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月编制完成《</w:t>
      </w:r>
      <w:r>
        <w:rPr>
          <w:rFonts w:hint="default" w:ascii="Times New Roman" w:hAnsi="Times New Roman" w:eastAsia="宋体" w:cs="Times New Roman"/>
          <w:color w:val="auto"/>
          <w:sz w:val="24"/>
          <w:szCs w:val="24"/>
          <w:lang w:eastAsia="zh-CN"/>
        </w:rPr>
        <w:t>弥勒温氏畜牧有限公司新哨二区后备猪培育基地</w:t>
      </w:r>
      <w:r>
        <w:rPr>
          <w:rFonts w:hint="default" w:ascii="Times New Roman" w:hAnsi="Times New Roman" w:eastAsia="宋体" w:cs="Times New Roman"/>
          <w:bCs/>
          <w:color w:val="auto"/>
          <w:sz w:val="24"/>
          <w:szCs w:val="24"/>
        </w:rPr>
        <w:t>环境影响报告书</w:t>
      </w:r>
      <w:r>
        <w:rPr>
          <w:rFonts w:hint="default" w:ascii="Times New Roman" w:hAnsi="Times New Roman" w:eastAsia="宋体" w:cs="Times New Roman"/>
          <w:color w:val="auto"/>
          <w:sz w:val="24"/>
          <w:szCs w:val="24"/>
        </w:rPr>
        <w:t>》（送审稿）。</w:t>
      </w:r>
    </w:p>
    <w:p w14:paraId="1F102EA0">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Times New Roman" w:hAnsi="Times New Roman" w:eastAsia="宋体" w:cs="Times New Roman"/>
          <w:color w:val="auto"/>
          <w:lang w:val="en-US" w:eastAsia="zh-CN"/>
        </w:rPr>
      </w:pPr>
      <w:bookmarkStart w:id="22" w:name="_Toc22577"/>
      <w:r>
        <w:rPr>
          <w:rFonts w:hint="default" w:ascii="Times New Roman" w:hAnsi="Times New Roman" w:eastAsia="宋体" w:cs="Times New Roman"/>
          <w:color w:val="auto"/>
          <w:lang w:val="en-US" w:eastAsia="zh-CN"/>
        </w:rPr>
        <w:t>3分析判定相关情况</w:t>
      </w:r>
      <w:bookmarkEnd w:id="20"/>
      <w:bookmarkEnd w:id="21"/>
      <w:bookmarkEnd w:id="22"/>
    </w:p>
    <w:p w14:paraId="777F315E">
      <w:pPr>
        <w:snapToGrid w:val="0"/>
        <w:spacing w:line="360" w:lineRule="auto"/>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color w:val="auto"/>
          <w:sz w:val="24"/>
          <w:highlight w:val="none"/>
        </w:rPr>
        <w:t>本项目为生猪养殖项目，项目建设符合</w:t>
      </w:r>
      <w:r>
        <w:rPr>
          <w:rFonts w:hint="default" w:ascii="Times New Roman" w:hAnsi="Times New Roman" w:cs="Times New Roman"/>
          <w:snapToGrid w:val="0"/>
          <w:color w:val="auto"/>
          <w:kern w:val="0"/>
          <w:sz w:val="24"/>
          <w:highlight w:val="none"/>
        </w:rPr>
        <w:t>《产业结构调整指导目录（</w:t>
      </w:r>
      <w:r>
        <w:rPr>
          <w:rFonts w:hint="default" w:ascii="Times New Roman" w:hAnsi="Times New Roman" w:cs="Times New Roman"/>
          <w:snapToGrid w:val="0"/>
          <w:color w:val="auto"/>
          <w:kern w:val="0"/>
          <w:sz w:val="24"/>
          <w:highlight w:val="none"/>
          <w:lang w:val="en-US" w:eastAsia="zh-CN"/>
        </w:rPr>
        <w:t>2024</w:t>
      </w:r>
      <w:r>
        <w:rPr>
          <w:rFonts w:hint="default" w:ascii="Times New Roman" w:hAnsi="Times New Roman" w:cs="Times New Roman"/>
          <w:snapToGrid w:val="0"/>
          <w:color w:val="auto"/>
          <w:kern w:val="0"/>
          <w:sz w:val="24"/>
          <w:highlight w:val="none"/>
        </w:rPr>
        <w:t>年本）》及云南省相关产业政策。</w:t>
      </w:r>
    </w:p>
    <w:p w14:paraId="539D471E">
      <w:pPr>
        <w:snapToGrid w:val="0"/>
        <w:spacing w:line="360" w:lineRule="auto"/>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项目符合《云南省主体功能区规划</w:t>
      </w:r>
      <w:r>
        <w:rPr>
          <w:rFonts w:hint="eastAsia" w:ascii="Times New Roman" w:hAnsi="Times New Roman" w:cs="Times New Roman"/>
          <w:snapToGrid w:val="0"/>
          <w:color w:val="auto"/>
          <w:kern w:val="0"/>
          <w:sz w:val="24"/>
          <w:highlight w:val="none"/>
          <w:lang w:eastAsia="zh-CN"/>
        </w:rPr>
        <w:t>》《</w:t>
      </w:r>
      <w:r>
        <w:rPr>
          <w:rFonts w:hint="default" w:ascii="Times New Roman" w:hAnsi="Times New Roman" w:cs="Times New Roman"/>
          <w:snapToGrid w:val="0"/>
          <w:color w:val="auto"/>
          <w:kern w:val="0"/>
          <w:sz w:val="24"/>
          <w:highlight w:val="none"/>
        </w:rPr>
        <w:t>云南省生态功能区划</w:t>
      </w:r>
      <w:r>
        <w:rPr>
          <w:rFonts w:hint="eastAsia" w:ascii="Times New Roman" w:hAnsi="Times New Roman" w:cs="Times New Roman"/>
          <w:snapToGrid w:val="0"/>
          <w:color w:val="auto"/>
          <w:kern w:val="0"/>
          <w:sz w:val="24"/>
          <w:highlight w:val="none"/>
          <w:lang w:eastAsia="zh-CN"/>
        </w:rPr>
        <w:t>》《</w:t>
      </w:r>
      <w:r>
        <w:rPr>
          <w:rFonts w:hint="default" w:ascii="Times New Roman" w:hAnsi="Times New Roman" w:cs="Times New Roman"/>
          <w:snapToGrid w:val="0"/>
          <w:color w:val="auto"/>
          <w:kern w:val="0"/>
          <w:sz w:val="24"/>
          <w:highlight w:val="none"/>
        </w:rPr>
        <w:t>云南省“十四五”生态环境保护规划》；项目建设内容满足《畜禽养殖业污染防治技术规范》（HJ/T 81-2001）、《畜禽规模养殖污染防治条例</w:t>
      </w:r>
      <w:r>
        <w:rPr>
          <w:rFonts w:hint="eastAsia" w:ascii="Times New Roman" w:hAnsi="Times New Roman" w:cs="Times New Roman"/>
          <w:snapToGrid w:val="0"/>
          <w:color w:val="auto"/>
          <w:kern w:val="0"/>
          <w:sz w:val="24"/>
          <w:highlight w:val="none"/>
          <w:lang w:eastAsia="zh-CN"/>
        </w:rPr>
        <w:t>》《</w:t>
      </w:r>
      <w:r>
        <w:rPr>
          <w:rFonts w:hint="default" w:ascii="Times New Roman" w:hAnsi="Times New Roman" w:cs="Times New Roman"/>
          <w:snapToGrid w:val="0"/>
          <w:color w:val="auto"/>
          <w:kern w:val="0"/>
          <w:sz w:val="24"/>
          <w:highlight w:val="none"/>
        </w:rPr>
        <w:t>畜禽养殖业污染治理工程技术规范》（HJ 497-2009）等畜禽养殖业相关技术政策、规范及标准要求。</w:t>
      </w:r>
    </w:p>
    <w:p w14:paraId="23F522AF">
      <w:pPr>
        <w:snapToGrid w:val="0"/>
        <w:spacing w:line="360" w:lineRule="auto"/>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项目不涉及生态保护红线，符合</w:t>
      </w:r>
      <w:r>
        <w:rPr>
          <w:rFonts w:hint="default" w:ascii="Times New Roman" w:hAnsi="Times New Roman" w:cs="Times New Roman"/>
          <w:snapToGrid w:val="0"/>
          <w:color w:val="auto"/>
          <w:kern w:val="0"/>
          <w:sz w:val="24"/>
          <w:highlight w:val="none"/>
          <w:lang w:val="en-US" w:eastAsia="zh-CN"/>
        </w:rPr>
        <w:t>《红河州生态环境分区管控动态更新调整方案（2023年）》</w:t>
      </w:r>
      <w:r>
        <w:rPr>
          <w:rFonts w:hint="default" w:ascii="Times New Roman" w:hAnsi="Times New Roman" w:cs="Times New Roman"/>
          <w:color w:val="auto"/>
          <w:kern w:val="0"/>
          <w:sz w:val="24"/>
          <w:highlight w:val="none"/>
          <w:lang w:bidi="ar"/>
        </w:rPr>
        <w:t>，项目选址不在禁养区及限养区内。在落实各项环保措施的前提下，项目运营阶段排放的各类污染物不会导致区域环境功能发生明显变化，不触及所在地环境质量底线；</w:t>
      </w:r>
      <w:r>
        <w:rPr>
          <w:rFonts w:hint="default" w:ascii="Times New Roman" w:hAnsi="Times New Roman" w:cs="Times New Roman"/>
          <w:color w:val="auto"/>
          <w:sz w:val="24"/>
        </w:rPr>
        <w:t>项目综合废水</w:t>
      </w:r>
      <w:r>
        <w:rPr>
          <w:rFonts w:hint="default" w:ascii="Times New Roman" w:hAnsi="Times New Roman" w:cs="Times New Roman"/>
          <w:color w:val="auto"/>
          <w:sz w:val="24"/>
          <w:lang w:val="en-US" w:eastAsia="zh-CN"/>
        </w:rPr>
        <w:t>依托本项目西北侧弥勒温氏畜牧有限公司新哨种猪场建设项目</w:t>
      </w:r>
      <w:r>
        <w:rPr>
          <w:rFonts w:hint="default" w:ascii="Times New Roman" w:hAnsi="Times New Roman" w:cs="Times New Roman"/>
          <w:color w:val="auto"/>
          <w:sz w:val="24"/>
        </w:rPr>
        <w:t>污水处理站收集处理后，回用于项目区内绿化浇洒，对粪便、饲料残渣进行</w:t>
      </w:r>
      <w:r>
        <w:rPr>
          <w:rFonts w:hint="default" w:ascii="Times New Roman" w:hAnsi="Times New Roman" w:cs="Times New Roman"/>
          <w:color w:val="auto"/>
          <w:sz w:val="24"/>
          <w:lang w:val="en-US" w:eastAsia="zh-CN"/>
        </w:rPr>
        <w:t>项目区暂存后</w:t>
      </w:r>
      <w:r>
        <w:rPr>
          <w:rFonts w:hint="default" w:ascii="Times New Roman" w:hAnsi="Times New Roman" w:cs="Times New Roman"/>
          <w:color w:val="auto"/>
          <w:sz w:val="24"/>
        </w:rPr>
        <w:t>外售有机肥生产企业，项目产生的病死猪在冷库暂存，最终全部外运有资质的畜禽无害化处理企业进行处理</w:t>
      </w:r>
      <w:r>
        <w:rPr>
          <w:rFonts w:hint="default" w:ascii="Times New Roman" w:hAnsi="Times New Roman" w:cs="Times New Roman"/>
          <w:color w:val="auto"/>
          <w:kern w:val="0"/>
          <w:sz w:val="24"/>
          <w:highlight w:val="none"/>
          <w:lang w:bidi="ar"/>
        </w:rPr>
        <w:t>。项目周边不存在重大环境制约因素。</w:t>
      </w:r>
    </w:p>
    <w:p w14:paraId="6EBD0A86">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Times New Roman" w:hAnsi="Times New Roman" w:cs="Times New Roman"/>
          <w:color w:val="auto"/>
        </w:rPr>
      </w:pPr>
      <w:bookmarkStart w:id="23" w:name="_Toc18377"/>
      <w:bookmarkStart w:id="24" w:name="_Toc6374"/>
      <w:bookmarkStart w:id="25" w:name="_Toc18777"/>
      <w:r>
        <w:rPr>
          <w:rFonts w:hint="default" w:ascii="Times New Roman" w:hAnsi="Times New Roman" w:cs="Times New Roman"/>
          <w:color w:val="auto"/>
          <w:lang w:val="en-US" w:eastAsia="zh-CN"/>
        </w:rPr>
        <w:t>4</w:t>
      </w:r>
      <w:r>
        <w:rPr>
          <w:rFonts w:hint="default" w:ascii="Times New Roman" w:hAnsi="Times New Roman" w:cs="Times New Roman"/>
          <w:color w:val="auto"/>
        </w:rPr>
        <w:t>关注的主要环境问题</w:t>
      </w:r>
      <w:bookmarkEnd w:id="23"/>
      <w:bookmarkEnd w:id="24"/>
      <w:bookmarkEnd w:id="25"/>
    </w:p>
    <w:p w14:paraId="783A722F">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项目为生猪养殖项目，在建设、运营过程中将不可避免的对项目区周围环境产生影响，结合项目特点，本次环评关注的主要环境问题如下： </w:t>
      </w:r>
    </w:p>
    <w:p w14:paraId="37F35C9B">
      <w:pPr>
        <w:pStyle w:val="55"/>
        <w:rPr>
          <w:rFonts w:hint="default" w:ascii="Times New Roman" w:hAnsi="Times New Roman" w:cs="Times New Roman"/>
          <w:color w:val="auto"/>
        </w:rPr>
      </w:pPr>
      <w:r>
        <w:rPr>
          <w:rFonts w:hint="default" w:ascii="Times New Roman" w:hAnsi="Times New Roman" w:cs="Times New Roman"/>
          <w:color w:val="auto"/>
          <w:sz w:val="24"/>
          <w:highlight w:val="none"/>
        </w:rPr>
        <w:t>（1）</w:t>
      </w:r>
      <w:r>
        <w:rPr>
          <w:rFonts w:hint="default" w:ascii="Times New Roman" w:hAnsi="Times New Roman" w:cs="Times New Roman"/>
          <w:color w:val="auto"/>
        </w:rPr>
        <w:t>本项目施工过程主要涉及土石方开挖、场地平整、以及土木工程建设。项目建设过程中产生的噪声、废气、废水及固废可能会对周边环境造成一定的影响，重点关注土石方的来源及去向，以及施工造成的生态破坏等问题。</w:t>
      </w:r>
    </w:p>
    <w:p w14:paraId="6B1E9B15">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（2）项目废水</w:t>
      </w:r>
      <w:r>
        <w:rPr>
          <w:rFonts w:hint="default" w:ascii="Times New Roman" w:hAnsi="Times New Roman" w:cs="Times New Roman"/>
          <w:color w:val="auto"/>
          <w:sz w:val="24"/>
          <w:highlight w:val="none"/>
          <w:lang w:val="en-US" w:eastAsia="zh-CN"/>
        </w:rPr>
        <w:t>依托</w:t>
      </w:r>
      <w:r>
        <w:rPr>
          <w:rFonts w:hint="default" w:ascii="Times New Roman" w:hAnsi="Times New Roman" w:cs="Times New Roman"/>
          <w:color w:val="auto"/>
          <w:sz w:val="24"/>
          <w:lang w:val="en-US" w:eastAsia="zh-CN"/>
        </w:rPr>
        <w:t>弥勒温氏畜牧有限公司新哨种猪场建设项目</w:t>
      </w:r>
      <w:r>
        <w:rPr>
          <w:rFonts w:hint="default" w:ascii="Times New Roman" w:hAnsi="Times New Roman" w:cs="Times New Roman"/>
          <w:color w:val="auto"/>
          <w:sz w:val="24"/>
        </w:rPr>
        <w:t>污水处理站收集处理</w:t>
      </w:r>
      <w:r>
        <w:rPr>
          <w:rFonts w:hint="default" w:ascii="Times New Roman" w:hAnsi="Times New Roman" w:cs="Times New Roman"/>
          <w:color w:val="auto"/>
          <w:sz w:val="24"/>
          <w:highlight w:val="none"/>
        </w:rPr>
        <w:t>，重点关注废水处理</w:t>
      </w:r>
      <w:r>
        <w:rPr>
          <w:rFonts w:hint="default" w:ascii="Times New Roman" w:hAnsi="Times New Roman" w:cs="Times New Roman"/>
          <w:color w:val="auto"/>
          <w:sz w:val="24"/>
          <w:highlight w:val="none"/>
          <w:lang w:val="en-US" w:eastAsia="zh-CN"/>
        </w:rPr>
        <w:t>站</w:t>
      </w:r>
      <w:r>
        <w:rPr>
          <w:rFonts w:hint="default" w:ascii="Times New Roman" w:hAnsi="Times New Roman" w:cs="Times New Roman"/>
          <w:color w:val="auto"/>
          <w:sz w:val="24"/>
          <w:highlight w:val="none"/>
        </w:rPr>
        <w:t>规模的可行性，</w:t>
      </w:r>
      <w:r>
        <w:rPr>
          <w:rFonts w:hint="default" w:ascii="Times New Roman" w:hAnsi="Times New Roman" w:cs="Times New Roman"/>
          <w:color w:val="auto"/>
          <w:sz w:val="24"/>
          <w:highlight w:val="none"/>
          <w:lang w:val="en-US" w:eastAsia="zh-CN"/>
        </w:rPr>
        <w:t>长期稳定达标的可靠性，废水回用</w:t>
      </w:r>
      <w:r>
        <w:rPr>
          <w:rFonts w:hint="eastAsia" w:cs="Times New Roman"/>
          <w:color w:val="auto"/>
          <w:sz w:val="24"/>
          <w:highlight w:val="none"/>
          <w:lang w:val="en-US" w:eastAsia="zh-CN"/>
        </w:rPr>
        <w:t>农田灌溉、</w:t>
      </w:r>
      <w:r>
        <w:rPr>
          <w:rFonts w:hint="default" w:ascii="Times New Roman" w:hAnsi="Times New Roman" w:cs="Times New Roman"/>
          <w:color w:val="auto"/>
          <w:sz w:val="24"/>
          <w:highlight w:val="none"/>
          <w:lang w:val="en-US" w:eastAsia="zh-CN"/>
        </w:rPr>
        <w:t>绿化的可行性</w:t>
      </w:r>
      <w:r>
        <w:rPr>
          <w:rFonts w:hint="default" w:ascii="Times New Roman" w:hAnsi="Times New Roman" w:cs="Times New Roman"/>
          <w:color w:val="auto"/>
          <w:sz w:val="24"/>
          <w:highlight w:val="none"/>
        </w:rPr>
        <w:t>。</w:t>
      </w:r>
    </w:p>
    <w:p w14:paraId="7CAC3F78">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（3）运营期</w:t>
      </w:r>
      <w:r>
        <w:rPr>
          <w:rFonts w:hint="default" w:ascii="Times New Roman" w:hAnsi="Times New Roman" w:cs="Times New Roman"/>
          <w:bCs/>
          <w:color w:val="auto"/>
          <w:sz w:val="24"/>
          <w:highlight w:val="none"/>
        </w:rPr>
        <w:t>猪舍</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堆粪棚</w:t>
      </w:r>
      <w:r>
        <w:rPr>
          <w:rFonts w:hint="default" w:ascii="Times New Roman" w:hAnsi="Times New Roman" w:cs="Times New Roman"/>
          <w:bCs/>
          <w:color w:val="auto"/>
          <w:sz w:val="24"/>
          <w:highlight w:val="none"/>
        </w:rPr>
        <w:t>恶臭</w:t>
      </w:r>
      <w:r>
        <w:rPr>
          <w:rFonts w:hint="default" w:ascii="Times New Roman" w:hAnsi="Times New Roman" w:cs="Times New Roman"/>
          <w:color w:val="auto"/>
          <w:sz w:val="24"/>
          <w:highlight w:val="none"/>
        </w:rPr>
        <w:t>等治理措施的可行性及其对周围环境空气、敏感目标的影响。</w:t>
      </w:r>
    </w:p>
    <w:p w14:paraId="688E9766">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（4）运营过程中</w:t>
      </w:r>
      <w:r>
        <w:rPr>
          <w:rFonts w:hint="default" w:ascii="Times New Roman" w:hAnsi="Times New Roman" w:cs="Times New Roman"/>
          <w:color w:val="auto"/>
          <w:kern w:val="0"/>
          <w:sz w:val="24"/>
          <w:highlight w:val="none"/>
          <w:lang w:bidi="ar"/>
        </w:rPr>
        <w:t>产生的猪粪、饲料残渣、病死猪、医疗废物等固体废物处置</w:t>
      </w:r>
      <w:r>
        <w:rPr>
          <w:rFonts w:hint="default" w:ascii="Times New Roman" w:hAnsi="Times New Roman" w:cs="Times New Roman"/>
          <w:color w:val="auto"/>
          <w:sz w:val="24"/>
          <w:highlight w:val="none"/>
        </w:rPr>
        <w:t>是否符合相关要求。</w:t>
      </w:r>
    </w:p>
    <w:p w14:paraId="35F32EB4">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（5）项目</w:t>
      </w:r>
      <w:r>
        <w:rPr>
          <w:rFonts w:hint="default" w:ascii="Times New Roman" w:hAnsi="Times New Roman" w:cs="Times New Roman"/>
          <w:color w:val="auto"/>
          <w:sz w:val="24"/>
          <w:highlight w:val="none"/>
          <w:lang w:eastAsia="zh-CN" w:bidi="en-US"/>
        </w:rPr>
        <w:t>粪污</w:t>
      </w:r>
      <w:r>
        <w:rPr>
          <w:rFonts w:hint="default" w:ascii="Times New Roman" w:hAnsi="Times New Roman" w:cs="Times New Roman"/>
          <w:color w:val="auto"/>
          <w:sz w:val="24"/>
          <w:highlight w:val="none"/>
        </w:rPr>
        <w:t>收集处理区防渗措施的可行性及其对地下水环境影响分析。</w:t>
      </w:r>
    </w:p>
    <w:p w14:paraId="549CEDA9">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Times New Roman" w:hAnsi="Times New Roman" w:eastAsia="宋体" w:cs="Times New Roman"/>
          <w:color w:val="auto"/>
          <w:lang w:val="en-US" w:eastAsia="zh-CN"/>
        </w:rPr>
      </w:pPr>
      <w:bookmarkStart w:id="26" w:name="_Toc13239"/>
      <w:bookmarkStart w:id="27" w:name="_Toc632"/>
      <w:bookmarkStart w:id="28" w:name="_Toc4732"/>
      <w:r>
        <w:rPr>
          <w:rFonts w:hint="default" w:ascii="Times New Roman" w:hAnsi="Times New Roman" w:eastAsia="宋体" w:cs="Times New Roman"/>
          <w:color w:val="auto"/>
          <w:lang w:val="en-US" w:eastAsia="zh-CN"/>
        </w:rPr>
        <w:t>5主要结论</w:t>
      </w:r>
      <w:bookmarkEnd w:id="26"/>
      <w:bookmarkEnd w:id="27"/>
      <w:bookmarkEnd w:id="28"/>
    </w:p>
    <w:p w14:paraId="081DA24B">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弥勒温氏畜牧有限公司新哨二区后备猪培育基地</w:t>
      </w:r>
      <w:r>
        <w:rPr>
          <w:rFonts w:hint="default" w:ascii="Times New Roman" w:hAnsi="Times New Roman" w:cs="Times New Roman"/>
          <w:color w:val="auto"/>
          <w:sz w:val="24"/>
          <w:highlight w:val="none"/>
        </w:rPr>
        <w:t>”符合国家及云南省产业政策，符合国家及地方相关规划。项目不涉及生态保护红线，不涉及弥勒市畜禽养殖禁养区和</w:t>
      </w:r>
      <w:r>
        <w:rPr>
          <w:rFonts w:hint="default" w:ascii="Times New Roman" w:hAnsi="Times New Roman" w:cs="Times New Roman"/>
          <w:color w:val="auto"/>
          <w:kern w:val="0"/>
          <w:sz w:val="24"/>
          <w:highlight w:val="none"/>
          <w:lang w:bidi="ar"/>
        </w:rPr>
        <w:t>限养区，选址合理。项目运营期过程中产生的污染物，经采取本次环评提出的污染防治措施后，废气及噪声达标排放，</w:t>
      </w:r>
      <w:r>
        <w:rPr>
          <w:rFonts w:hint="default" w:ascii="Times New Roman" w:hAnsi="Times New Roman" w:cs="Times New Roman"/>
          <w:color w:val="auto"/>
          <w:sz w:val="24"/>
        </w:rPr>
        <w:t>综合废水</w:t>
      </w:r>
      <w:r>
        <w:rPr>
          <w:rFonts w:hint="default" w:ascii="Times New Roman" w:hAnsi="Times New Roman" w:cs="Times New Roman"/>
          <w:color w:val="auto"/>
          <w:sz w:val="24"/>
          <w:lang w:val="en-US" w:eastAsia="zh-CN"/>
        </w:rPr>
        <w:t>依托本项目西北侧弥勒温氏畜牧有限公司新哨种猪场建设项目</w:t>
      </w:r>
      <w:r>
        <w:rPr>
          <w:rFonts w:hint="default" w:ascii="Times New Roman" w:hAnsi="Times New Roman" w:cs="Times New Roman"/>
          <w:color w:val="auto"/>
          <w:sz w:val="24"/>
        </w:rPr>
        <w:t>污水处理站收集处理后，回用于</w:t>
      </w:r>
      <w:r>
        <w:rPr>
          <w:rFonts w:hint="eastAsia" w:cs="Times New Roman"/>
          <w:color w:val="auto"/>
          <w:sz w:val="24"/>
          <w:lang w:val="en-US" w:eastAsia="zh-CN"/>
        </w:rPr>
        <w:t>农田灌溉及</w:t>
      </w:r>
      <w:r>
        <w:rPr>
          <w:rFonts w:hint="default" w:ascii="Times New Roman" w:hAnsi="Times New Roman" w:cs="Times New Roman"/>
          <w:color w:val="auto"/>
          <w:sz w:val="24"/>
        </w:rPr>
        <w:t>绿化浇洒</w:t>
      </w:r>
      <w:r>
        <w:rPr>
          <w:rFonts w:hint="default" w:ascii="Times New Roman" w:hAnsi="Times New Roman" w:cs="Times New Roman"/>
          <w:color w:val="auto"/>
          <w:kern w:val="0"/>
          <w:sz w:val="24"/>
          <w:highlight w:val="none"/>
          <w:lang w:bidi="ar"/>
        </w:rPr>
        <w:t>，固体废物处置率达100%，对周围环境影响较小，项目建设不会改变区域环境功能。本次评价认为，建设单位在认真落实环评报告书中提出的各项环保措施的前提下，工程建设对环境的不利影响可得到有效控制或缓解，为环境所接受。从环境角度分析，项目建设可行。</w:t>
      </w:r>
    </w:p>
    <w:p w14:paraId="5F084F78">
      <w:pPr>
        <w:rPr>
          <w:rFonts w:hint="default" w:ascii="Times New Roman" w:hAnsi="Times New Roman" w:cs="Times New Roman"/>
          <w:color w:val="auto"/>
          <w:lang w:val="en-US" w:eastAsia="zh-CN"/>
        </w:rPr>
        <w:sectPr>
          <w:headerReference r:id="rId14" w:type="default"/>
          <w:footerReference r:id="rId15" w:type="default"/>
          <w:pgSz w:w="11907" w:h="16840"/>
          <w:pgMar w:top="1531" w:right="1797" w:bottom="1440" w:left="153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bookmarkEnd w:id="0"/>
    <w:bookmarkEnd w:id="1"/>
    <w:bookmarkEnd w:id="2"/>
    <w:bookmarkEnd w:id="3"/>
    <w:bookmarkEnd w:id="4"/>
    <w:p w14:paraId="79EF889B">
      <w:pPr>
        <w:pStyle w:val="2"/>
        <w:keepNext/>
        <w:keepLines/>
        <w:pageBreakBefore/>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lang w:eastAsia="zh-CN"/>
        </w:rPr>
      </w:pPr>
      <w:bookmarkStart w:id="29" w:name="_Toc23812"/>
      <w:bookmarkStart w:id="30" w:name="_Toc20996_WPSOffice_Level1"/>
      <w:bookmarkStart w:id="31" w:name="_Toc27419"/>
      <w:bookmarkStart w:id="32" w:name="_Toc2890"/>
      <w:bookmarkStart w:id="33" w:name="_Toc25638"/>
      <w:bookmarkStart w:id="34" w:name="_Toc20696"/>
      <w:r>
        <w:rPr>
          <w:rFonts w:hint="default" w:ascii="Times New Roman" w:hAnsi="Times New Roman" w:cs="Times New Roman"/>
          <w:color w:val="auto"/>
          <w:lang w:eastAsia="zh-CN"/>
        </w:rPr>
        <w:t>1 总则</w:t>
      </w:r>
      <w:bookmarkEnd w:id="29"/>
      <w:bookmarkEnd w:id="30"/>
      <w:bookmarkEnd w:id="31"/>
      <w:bookmarkEnd w:id="32"/>
      <w:bookmarkEnd w:id="33"/>
      <w:bookmarkEnd w:id="34"/>
    </w:p>
    <w:p w14:paraId="2F55F674">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Times New Roman" w:hAnsi="Times New Roman" w:cs="Times New Roman"/>
          <w:color w:val="auto"/>
          <w:lang w:eastAsia="zh-CN"/>
        </w:rPr>
      </w:pPr>
      <w:bookmarkStart w:id="35" w:name="_Toc530071176"/>
      <w:bookmarkEnd w:id="35"/>
      <w:bookmarkStart w:id="36" w:name="_Toc530071177"/>
      <w:bookmarkEnd w:id="36"/>
      <w:bookmarkStart w:id="37" w:name="_Toc4091"/>
      <w:bookmarkStart w:id="38" w:name="_Toc29349"/>
      <w:bookmarkStart w:id="39" w:name="_Toc15609"/>
      <w:bookmarkStart w:id="40" w:name="_Toc18535_WPSOffice_Level2"/>
      <w:bookmarkStart w:id="41" w:name="_Toc15198"/>
      <w:bookmarkStart w:id="42" w:name="_Toc3098"/>
      <w:r>
        <w:rPr>
          <w:rFonts w:hint="default" w:ascii="Times New Roman" w:hAnsi="Times New Roman" w:cs="Times New Roman"/>
          <w:color w:val="auto"/>
          <w:lang w:eastAsia="zh-CN"/>
        </w:rPr>
        <w:t xml:space="preserve">1.1 </w:t>
      </w:r>
      <w:r>
        <w:rPr>
          <w:rStyle w:val="34"/>
          <w:rFonts w:hint="default" w:ascii="Times New Roman" w:hAnsi="Times New Roman" w:cs="Times New Roman"/>
          <w:b w:val="0"/>
          <w:bCs w:val="0"/>
          <w:color w:val="auto"/>
          <w:sz w:val="24"/>
          <w:highlight w:val="none"/>
          <w:lang w:eastAsia="zh-CN"/>
        </w:rPr>
        <w:t>编制</w:t>
      </w:r>
      <w:r>
        <w:rPr>
          <w:rFonts w:hint="default" w:ascii="Times New Roman" w:hAnsi="Times New Roman" w:cs="Times New Roman"/>
          <w:color w:val="auto"/>
          <w:lang w:eastAsia="zh-CN"/>
        </w:rPr>
        <w:t>依据</w:t>
      </w:r>
      <w:bookmarkEnd w:id="37"/>
      <w:bookmarkEnd w:id="38"/>
      <w:bookmarkEnd w:id="39"/>
      <w:bookmarkEnd w:id="40"/>
      <w:bookmarkEnd w:id="41"/>
      <w:bookmarkEnd w:id="42"/>
    </w:p>
    <w:p w14:paraId="364309E3">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lang w:eastAsia="zh-CN"/>
        </w:rPr>
      </w:pPr>
      <w:bookmarkStart w:id="43" w:name="_Toc26288"/>
      <w:r>
        <w:rPr>
          <w:rFonts w:hint="default" w:ascii="Times New Roman" w:hAnsi="Times New Roman" w:cs="Times New Roman"/>
          <w:color w:val="auto"/>
          <w:lang w:eastAsia="zh-CN"/>
        </w:rPr>
        <w:t>1.1.1 法律法规</w:t>
      </w:r>
      <w:bookmarkEnd w:id="43"/>
    </w:p>
    <w:p w14:paraId="6ED5614F">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1、《中华人民共和国环境保护法》（2014年4月24日中华人民共和国第十二届全国人民代表大会常务委员会第八次会议修订，于2015年1月1日起施行）；</w:t>
      </w:r>
    </w:p>
    <w:p w14:paraId="033335B4">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2、《中华人民共和国环境影响评价法》（2018年12月29日第十三届全国人民代表大会常务委员会第七次会议修订，自公布之日起实施）；</w:t>
      </w:r>
    </w:p>
    <w:p w14:paraId="78BCAFC7">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3、《中华人民共和国大气污染防治法》（2018年10月26日修订并施行）；</w:t>
      </w:r>
    </w:p>
    <w:p w14:paraId="199D5670">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4、《中华人民共和国水污染防治法》（2017年6月27日第十二届全国人民代表大会常务委员会第二十八次会议修订，于2018年1月1日起施行）；</w:t>
      </w:r>
    </w:p>
    <w:p w14:paraId="1C8A4E39">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5、《中华人民共和国噪声污染防治法》（2022年6月5日起施行）；</w:t>
      </w:r>
    </w:p>
    <w:p w14:paraId="0C64BC24">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6、《中华人民共和国固体废物污染环境防治法》（2020年4月29日中华人民共和国第十三届全国人民代表大会常务委员会第十七次会议修订通过，自2020年9月1日起施行）；</w:t>
      </w:r>
    </w:p>
    <w:p w14:paraId="7FDB9120">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7、《中华人民共和国土壤污染防治法》（2018年8月31日第十三届全国人大常委会第五次会议通过，于2019年1月1日起施行）；</w:t>
      </w:r>
    </w:p>
    <w:p w14:paraId="47DEDD7B">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8、《中华人民共和国土地管理法》（2019年8月26日第十三届全国人民代表大会常务委员会第十二次会议修正，于2020年1月1日起施行）；</w:t>
      </w:r>
    </w:p>
    <w:p w14:paraId="6E9C7751">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9、《中华人民共和国节约能源法》（2018年10月26日第十三届全国人民代表大会常务委员会第六次会议修订）；</w:t>
      </w:r>
    </w:p>
    <w:p w14:paraId="29176924">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10、《中华人民共和国循环经济促进法》（2018年10月26日第十三届全国人民代表大会常务委员会第六次会议修订）；</w:t>
      </w:r>
    </w:p>
    <w:p w14:paraId="1C022D7A">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11、《中华人民共和国水法》（</w:t>
      </w:r>
      <w:r>
        <w:rPr>
          <w:rFonts w:hint="default" w:ascii="Times New Roman" w:hAnsi="Times New Roman" w:cs="Times New Roman"/>
          <w:color w:val="auto"/>
          <w:sz w:val="24"/>
          <w:highlight w:val="none"/>
          <w:lang w:val="en-US" w:eastAsia="zh-CN"/>
        </w:rPr>
        <w:t>2022年10月1日施行，</w:t>
      </w:r>
      <w:r>
        <w:rPr>
          <w:rFonts w:hint="default" w:ascii="Times New Roman" w:hAnsi="Times New Roman" w:cs="Times New Roman"/>
          <w:color w:val="auto"/>
          <w:sz w:val="24"/>
          <w:highlight w:val="none"/>
          <w:lang w:eastAsia="zh-CN"/>
        </w:rPr>
        <w:t>2016年7月2日第十二届全国人民代表大会常务委员会第二十一次会议修订）；</w:t>
      </w:r>
    </w:p>
    <w:p w14:paraId="2741AF56">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12、《中华人民共和国森林法》（2019年12月28日第十三届全国人民代表大会常务委员会第十五次会议修订，于2020年7月1日起施行）；</w:t>
      </w:r>
    </w:p>
    <w:p w14:paraId="25CC70C6">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13、《中华人民共和国野生动物保护法》（中华人民共和国第十三届全国人民代表大会常务委员会第三十八次会议于2022年12月30日修订通过，自2023年5月1日起施行）；</w:t>
      </w:r>
    </w:p>
    <w:p w14:paraId="2A0E36A7">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14、《中华人民共和国畜牧法》（2022年10月30日，中华人民共和国第十三届全国人民代表大会常务委员会第三十七次会议修订通过《中华人民共和国畜牧法》，自2023年3月1日起施行）；</w:t>
      </w:r>
    </w:p>
    <w:p w14:paraId="66D4A8AE">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15、《中华人民共和国野生植物保护条例》（2017年10月7日，根据中华人民共和国国务院令第（687号）修正，自公布之日起施行）；</w:t>
      </w:r>
      <w:bookmarkStart w:id="509" w:name="_GoBack"/>
      <w:bookmarkEnd w:id="509"/>
    </w:p>
    <w:p w14:paraId="699620D4">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16、《国务院关于修改&lt;建设项目环境保护管理条例&gt;的决定》（国务院第682号，2017年10月1日起施行）；</w:t>
      </w:r>
    </w:p>
    <w:p w14:paraId="54196948">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17、《排污许可管理条例》（国务院令第736号，2021年3月1日施行）；</w:t>
      </w:r>
    </w:p>
    <w:p w14:paraId="5EC7A8A4">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18、《地下水管理条例》（国务院令第748号，2021年12月1起施行）；</w:t>
      </w:r>
    </w:p>
    <w:p w14:paraId="41E8B063">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eastAsia="zh-CN"/>
        </w:rPr>
      </w:pPr>
      <w:bookmarkStart w:id="44" w:name="_Toc29514"/>
      <w:r>
        <w:rPr>
          <w:rFonts w:hint="default" w:ascii="Times New Roman" w:hAnsi="Times New Roman" w:eastAsia="宋体" w:cs="Times New Roman"/>
          <w:color w:val="auto"/>
          <w:lang w:eastAsia="zh-CN"/>
        </w:rPr>
        <w:t>1.1.2国家行政法规及部门规章</w:t>
      </w:r>
      <w:bookmarkEnd w:id="44"/>
    </w:p>
    <w:p w14:paraId="49416710">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1、《建设项目环境影响评价分类管理名录（2021年版）》（中华人民共和国生态环境部令第16号，2021年1月1日起施行）；</w:t>
      </w:r>
    </w:p>
    <w:p w14:paraId="518DD99E">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2、《产业结构调整指导目录（2024年本）》，2023年12月27日国家发展改革委令第7号公布，自2024年2月1日起施行；</w:t>
      </w:r>
    </w:p>
    <w:p w14:paraId="059B4E94">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3、《关于进一步加强环境影响评价管理防范环境风险的通知》，环发</w:t>
      </w:r>
      <w:r>
        <w:rPr>
          <w:rFonts w:hint="eastAsia" w:ascii="Times New Roman" w:hAnsi="Times New Roman" w:cs="Times New Roman"/>
          <w:color w:val="auto"/>
          <w:sz w:val="24"/>
          <w:highlight w:val="none"/>
          <w:lang w:eastAsia="zh-CN"/>
        </w:rPr>
        <w:t>〔2012〕77号</w:t>
      </w:r>
      <w:r>
        <w:rPr>
          <w:rFonts w:hint="default" w:ascii="Times New Roman" w:hAnsi="Times New Roman" w:cs="Times New Roman"/>
          <w:color w:val="auto"/>
          <w:sz w:val="24"/>
          <w:highlight w:val="none"/>
          <w:lang w:eastAsia="zh-CN"/>
        </w:rPr>
        <w:t>；</w:t>
      </w:r>
    </w:p>
    <w:p w14:paraId="7D4664BD">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4、《环境影响评价公众参与办法》（生态环境部 部令第4号，2018年4月16日由生态环境部务会议审议通过，自2019年1月1日起施行）；</w:t>
      </w:r>
    </w:p>
    <w:p w14:paraId="269CCF3C">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5、《国家危险废物名录（202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eastAsia="zh-CN"/>
        </w:rPr>
        <w:t>年版）》（202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eastAsia="zh-CN"/>
        </w:rPr>
        <w:t>年1月1日起施行）；</w:t>
      </w:r>
    </w:p>
    <w:p w14:paraId="20874D52">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6、《固定污染源排污许可分类管理名录（2019年版）》；</w:t>
      </w:r>
    </w:p>
    <w:p w14:paraId="0AA818F2">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7、《国务院办公厅关于建立病死畜禽无害化处理机制的意见》（国办发</w:t>
      </w:r>
      <w:r>
        <w:rPr>
          <w:rFonts w:hint="eastAsia" w:ascii="Times New Roman" w:hAnsi="Times New Roman" w:cs="Times New Roman"/>
          <w:color w:val="auto"/>
          <w:sz w:val="24"/>
          <w:highlight w:val="none"/>
          <w:lang w:eastAsia="zh-CN"/>
        </w:rPr>
        <w:t>〔2014〕74号</w:t>
      </w:r>
      <w:r>
        <w:rPr>
          <w:rFonts w:hint="default" w:ascii="Times New Roman" w:hAnsi="Times New Roman" w:cs="Times New Roman"/>
          <w:color w:val="auto"/>
          <w:sz w:val="24"/>
          <w:highlight w:val="none"/>
          <w:lang w:eastAsia="zh-CN"/>
        </w:rPr>
        <w:t>）；</w:t>
      </w:r>
    </w:p>
    <w:p w14:paraId="7006A34D">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8、《国务院办公厅关于加快推进畜禽养殖废弃物资源化利用的意见》（国办发</w:t>
      </w:r>
      <w:r>
        <w:rPr>
          <w:rFonts w:hint="eastAsia" w:ascii="Times New Roman" w:hAnsi="Times New Roman" w:cs="Times New Roman"/>
          <w:color w:val="auto"/>
          <w:sz w:val="24"/>
          <w:highlight w:val="none"/>
          <w:lang w:eastAsia="zh-CN"/>
        </w:rPr>
        <w:t>〔2017〕48号</w:t>
      </w:r>
      <w:r>
        <w:rPr>
          <w:rFonts w:hint="default" w:ascii="Times New Roman" w:hAnsi="Times New Roman" w:cs="Times New Roman"/>
          <w:color w:val="auto"/>
          <w:sz w:val="24"/>
          <w:highlight w:val="none"/>
          <w:lang w:eastAsia="zh-CN"/>
        </w:rPr>
        <w:t>）；</w:t>
      </w:r>
    </w:p>
    <w:p w14:paraId="378D1C97">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9、关于印发《畜禽养殖场（小区）环境守法导则》的通知（环保部办公厅文件，环办</w:t>
      </w:r>
      <w:r>
        <w:rPr>
          <w:rFonts w:hint="eastAsia" w:ascii="Times New Roman" w:hAnsi="Times New Roman" w:cs="Times New Roman"/>
          <w:color w:val="auto"/>
          <w:sz w:val="24"/>
          <w:highlight w:val="none"/>
          <w:lang w:eastAsia="zh-CN"/>
        </w:rPr>
        <w:t>〔2011〕89号</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2011年7月12日</w:t>
      </w:r>
      <w:r>
        <w:rPr>
          <w:rFonts w:hint="default" w:ascii="Times New Roman" w:hAnsi="Times New Roman" w:cs="Times New Roman"/>
          <w:color w:val="auto"/>
          <w:sz w:val="24"/>
          <w:highlight w:val="none"/>
          <w:lang w:eastAsia="zh-CN"/>
        </w:rPr>
        <w:t>）；</w:t>
      </w:r>
    </w:p>
    <w:p w14:paraId="02FB97F6">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10、《关于病害动物无害化处理有关意见的复函》（环办函</w:t>
      </w:r>
      <w:r>
        <w:rPr>
          <w:rFonts w:hint="eastAsia" w:ascii="Times New Roman" w:hAnsi="Times New Roman" w:cs="Times New Roman"/>
          <w:color w:val="auto"/>
          <w:sz w:val="24"/>
          <w:highlight w:val="none"/>
          <w:lang w:eastAsia="zh-CN"/>
        </w:rPr>
        <w:t>〔2014〕789号</w:t>
      </w:r>
      <w:r>
        <w:rPr>
          <w:rFonts w:hint="default" w:ascii="Times New Roman" w:hAnsi="Times New Roman" w:cs="Times New Roman"/>
          <w:color w:val="auto"/>
          <w:sz w:val="24"/>
          <w:highlight w:val="none"/>
          <w:lang w:eastAsia="zh-CN"/>
        </w:rPr>
        <w:t>）；</w:t>
      </w:r>
    </w:p>
    <w:p w14:paraId="1C690C4B">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11、《关于生态环境领域进一步深化“放管服”改革，推动经济高质量发展的指导意见》（环规财</w:t>
      </w:r>
      <w:r>
        <w:rPr>
          <w:rFonts w:hint="eastAsia" w:ascii="Times New Roman" w:hAnsi="Times New Roman" w:cs="Times New Roman"/>
          <w:color w:val="auto"/>
          <w:sz w:val="24"/>
          <w:highlight w:val="none"/>
          <w:lang w:eastAsia="zh-CN"/>
        </w:rPr>
        <w:t>〔2018〕86号</w:t>
      </w:r>
      <w:r>
        <w:rPr>
          <w:rFonts w:hint="default" w:ascii="Times New Roman" w:hAnsi="Times New Roman" w:cs="Times New Roman"/>
          <w:color w:val="auto"/>
          <w:sz w:val="24"/>
          <w:highlight w:val="none"/>
          <w:lang w:eastAsia="zh-CN"/>
        </w:rPr>
        <w:t>，2018</w:t>
      </w:r>
      <w:r>
        <w:rPr>
          <w:rFonts w:hint="default" w:ascii="Times New Roman" w:hAnsi="Times New Roman" w:cs="Times New Roman"/>
          <w:color w:val="auto"/>
          <w:sz w:val="24"/>
          <w:highlight w:val="none"/>
          <w:lang w:val="en-US" w:eastAsia="zh-CN"/>
        </w:rPr>
        <w:t>年</w:t>
      </w:r>
      <w:r>
        <w:rPr>
          <w:rFonts w:hint="default" w:ascii="Times New Roman" w:hAnsi="Times New Roman" w:cs="Times New Roman"/>
          <w:color w:val="auto"/>
          <w:sz w:val="24"/>
          <w:highlight w:val="none"/>
          <w:lang w:eastAsia="zh-CN"/>
        </w:rPr>
        <w:t>8</w:t>
      </w:r>
      <w:r>
        <w:rPr>
          <w:rFonts w:hint="default" w:ascii="Times New Roman" w:hAnsi="Times New Roman" w:cs="Times New Roman"/>
          <w:color w:val="auto"/>
          <w:sz w:val="24"/>
          <w:highlight w:val="none"/>
          <w:lang w:val="en-US" w:eastAsia="zh-CN"/>
        </w:rPr>
        <w:t>月</w:t>
      </w:r>
      <w:r>
        <w:rPr>
          <w:rFonts w:hint="default" w:ascii="Times New Roman" w:hAnsi="Times New Roman" w:cs="Times New Roman"/>
          <w:color w:val="auto"/>
          <w:sz w:val="24"/>
          <w:highlight w:val="none"/>
          <w:lang w:eastAsia="zh-CN"/>
        </w:rPr>
        <w:t>3</w:t>
      </w:r>
      <w:r>
        <w:rPr>
          <w:rFonts w:hint="default" w:ascii="Times New Roman" w:hAnsi="Times New Roman" w:cs="Times New Roman"/>
          <w:color w:val="auto"/>
          <w:sz w:val="24"/>
          <w:highlight w:val="none"/>
          <w:lang w:val="en-US" w:eastAsia="zh-CN"/>
        </w:rPr>
        <w:t>0日</w:t>
      </w:r>
      <w:r>
        <w:rPr>
          <w:rFonts w:hint="default" w:ascii="Times New Roman" w:hAnsi="Times New Roman" w:cs="Times New Roman"/>
          <w:color w:val="auto"/>
          <w:sz w:val="24"/>
          <w:highlight w:val="none"/>
          <w:lang w:eastAsia="zh-CN"/>
        </w:rPr>
        <w:t>）；</w:t>
      </w:r>
    </w:p>
    <w:p w14:paraId="2A7E3EAA">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12、《关于在国土空间规划中统筹划定落实三条控制线的指导意见》（2019</w:t>
      </w:r>
      <w:r>
        <w:rPr>
          <w:rFonts w:hint="default" w:ascii="Times New Roman" w:hAnsi="Times New Roman" w:cs="Times New Roman"/>
          <w:color w:val="auto"/>
          <w:sz w:val="24"/>
          <w:highlight w:val="none"/>
          <w:lang w:val="en-US" w:eastAsia="zh-CN"/>
        </w:rPr>
        <w:t>年</w:t>
      </w:r>
      <w:r>
        <w:rPr>
          <w:rFonts w:hint="default" w:ascii="Times New Roman" w:hAnsi="Times New Roman" w:cs="Times New Roman"/>
          <w:color w:val="auto"/>
          <w:sz w:val="24"/>
          <w:highlight w:val="none"/>
          <w:lang w:eastAsia="zh-CN"/>
        </w:rPr>
        <w:t>11</w:t>
      </w:r>
      <w:r>
        <w:rPr>
          <w:rFonts w:hint="default" w:ascii="Times New Roman" w:hAnsi="Times New Roman" w:cs="Times New Roman"/>
          <w:color w:val="auto"/>
          <w:sz w:val="24"/>
          <w:highlight w:val="none"/>
          <w:lang w:val="en-US" w:eastAsia="zh-CN"/>
        </w:rPr>
        <w:t>月</w:t>
      </w:r>
      <w:r>
        <w:rPr>
          <w:rFonts w:hint="default" w:ascii="Times New Roman" w:hAnsi="Times New Roman" w:cs="Times New Roman"/>
          <w:color w:val="auto"/>
          <w:sz w:val="24"/>
          <w:highlight w:val="none"/>
          <w:lang w:eastAsia="zh-CN"/>
        </w:rPr>
        <w:t>1</w:t>
      </w:r>
      <w:r>
        <w:rPr>
          <w:rFonts w:hint="default" w:ascii="Times New Roman" w:hAnsi="Times New Roman" w:cs="Times New Roman"/>
          <w:color w:val="auto"/>
          <w:sz w:val="24"/>
          <w:highlight w:val="none"/>
          <w:lang w:val="en-US" w:eastAsia="zh-CN"/>
        </w:rPr>
        <w:t>日</w:t>
      </w:r>
      <w:r>
        <w:rPr>
          <w:rFonts w:hint="default" w:ascii="Times New Roman" w:hAnsi="Times New Roman" w:cs="Times New Roman"/>
          <w:color w:val="auto"/>
          <w:sz w:val="24"/>
          <w:highlight w:val="none"/>
          <w:lang w:eastAsia="zh-CN"/>
        </w:rPr>
        <w:t>）；</w:t>
      </w:r>
    </w:p>
    <w:p w14:paraId="71ACA8C5">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13、《关于做好畜禽规模养殖项目环评工作的通知》（环办环评</w:t>
      </w:r>
      <w:r>
        <w:rPr>
          <w:rFonts w:hint="eastAsia" w:ascii="Times New Roman" w:hAnsi="Times New Roman" w:cs="Times New Roman"/>
          <w:color w:val="auto"/>
          <w:sz w:val="24"/>
          <w:highlight w:val="none"/>
          <w:lang w:eastAsia="zh-CN"/>
        </w:rPr>
        <w:t>〔2018〕31号</w:t>
      </w:r>
      <w:r>
        <w:rPr>
          <w:rFonts w:hint="default" w:ascii="Times New Roman" w:hAnsi="Times New Roman" w:cs="Times New Roman"/>
          <w:color w:val="auto"/>
          <w:sz w:val="24"/>
          <w:highlight w:val="none"/>
          <w:lang w:eastAsia="zh-CN"/>
        </w:rPr>
        <w:t>）；</w:t>
      </w:r>
    </w:p>
    <w:p w14:paraId="4F9D770E">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14、《排污许可管理办法（试行）》（生态环境部令</w:t>
      </w:r>
      <w:r>
        <w:rPr>
          <w:rFonts w:hint="eastAsia" w:cs="Times New Roman"/>
          <w:color w:val="auto"/>
          <w:sz w:val="24"/>
          <w:highlight w:val="none"/>
          <w:lang w:val="en-US" w:eastAsia="zh-CN"/>
        </w:rPr>
        <w:t xml:space="preserve"> </w:t>
      </w:r>
      <w:r>
        <w:rPr>
          <w:rFonts w:hint="default" w:ascii="Times New Roman" w:hAnsi="Times New Roman" w:cs="Times New Roman"/>
          <w:color w:val="auto"/>
          <w:sz w:val="24"/>
          <w:highlight w:val="none"/>
          <w:lang w:eastAsia="zh-CN"/>
        </w:rPr>
        <w:t>第48号，2018年1月10日起施行，</w:t>
      </w:r>
      <w:r>
        <w:rPr>
          <w:rFonts w:hint="default" w:ascii="Times New Roman" w:hAnsi="Times New Roman" w:cs="Times New Roman"/>
          <w:color w:val="auto"/>
          <w:sz w:val="24"/>
          <w:highlight w:val="none"/>
          <w:lang w:val="en-US" w:eastAsia="zh-CN"/>
        </w:rPr>
        <w:t>2019年8月22日修订</w:t>
      </w:r>
      <w:r>
        <w:rPr>
          <w:rFonts w:hint="default" w:ascii="Times New Roman" w:hAnsi="Times New Roman" w:cs="Times New Roman"/>
          <w:color w:val="auto"/>
          <w:sz w:val="24"/>
          <w:highlight w:val="none"/>
          <w:lang w:eastAsia="zh-CN"/>
        </w:rPr>
        <w:t>）；</w:t>
      </w:r>
    </w:p>
    <w:p w14:paraId="5E0554F8">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15、《农业农村部办公厅 生态环境部办公厅关于进一步明确畜禽粪污还田利用要求强化养殖污染监管的通知》（农办牧〔2020〕23 号）；</w:t>
      </w:r>
    </w:p>
    <w:p w14:paraId="35FBED78">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16、《畜禽养殖污染防治管理办法》（总局令 第9号）；</w:t>
      </w:r>
    </w:p>
    <w:p w14:paraId="46AA812E">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17、《畜禽养殖场（户）粪污处理设施建设技术指南》（农办牧〔2022〕19号，</w:t>
      </w:r>
      <w:r>
        <w:rPr>
          <w:rFonts w:hint="default" w:ascii="Times New Roman" w:hAnsi="Times New Roman" w:cs="Times New Roman"/>
          <w:color w:val="auto"/>
          <w:sz w:val="24"/>
          <w:highlight w:val="none"/>
          <w:lang w:val="en-US" w:eastAsia="zh-CN"/>
        </w:rPr>
        <w:t>2022年8月12日</w:t>
      </w:r>
      <w:r>
        <w:rPr>
          <w:rFonts w:hint="default" w:ascii="Times New Roman" w:hAnsi="Times New Roman" w:cs="Times New Roman"/>
          <w:color w:val="auto"/>
          <w:sz w:val="24"/>
          <w:highlight w:val="none"/>
          <w:lang w:eastAsia="zh-CN"/>
        </w:rPr>
        <w:t>）；</w:t>
      </w:r>
    </w:p>
    <w:p w14:paraId="31C1F085">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18、《关于切实加强风险防范严格环境影响评价管理的通知》（环发〔2012〕</w:t>
      </w:r>
      <w:r>
        <w:rPr>
          <w:rFonts w:hint="default" w:ascii="Times New Roman" w:hAnsi="Times New Roman" w:cs="Times New Roman"/>
          <w:color w:val="auto"/>
          <w:sz w:val="24"/>
          <w:highlight w:val="none"/>
          <w:lang w:val="en-US" w:eastAsia="zh-CN"/>
        </w:rPr>
        <w:t>77</w:t>
      </w:r>
      <w:r>
        <w:rPr>
          <w:rFonts w:hint="default" w:ascii="Times New Roman" w:hAnsi="Times New Roman" w:cs="Times New Roman"/>
          <w:color w:val="auto"/>
          <w:sz w:val="24"/>
          <w:highlight w:val="none"/>
          <w:lang w:eastAsia="zh-CN"/>
        </w:rPr>
        <w:t>号）；</w:t>
      </w:r>
    </w:p>
    <w:p w14:paraId="3A2B68EF">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19、《农业农村部办公厅、生态环境部办公厅关于促进畜禽粪污还田利用依法加强养殖污染治理的指导意见》（农办牧〔20</w:t>
      </w:r>
      <w:r>
        <w:rPr>
          <w:rFonts w:hint="default" w:ascii="Times New Roman" w:hAnsi="Times New Roman" w:cs="Times New Roman"/>
          <w:color w:val="auto"/>
          <w:sz w:val="24"/>
          <w:highlight w:val="none"/>
          <w:lang w:val="en-US" w:eastAsia="zh-CN"/>
        </w:rPr>
        <w:t>19</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84</w:t>
      </w:r>
      <w:r>
        <w:rPr>
          <w:rFonts w:hint="default" w:ascii="Times New Roman" w:hAnsi="Times New Roman" w:cs="Times New Roman"/>
          <w:color w:val="auto"/>
          <w:sz w:val="24"/>
          <w:highlight w:val="none"/>
          <w:lang w:eastAsia="zh-CN"/>
        </w:rPr>
        <w:t>号）；</w:t>
      </w:r>
    </w:p>
    <w:p w14:paraId="296490F1">
      <w:pPr>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20、《农业农村部办公厅 生态环境部办公厅关于进一步明确畜禽粪污还田利用要求强化养殖污染监管的通知》（</w:t>
      </w:r>
      <w:r>
        <w:rPr>
          <w:rFonts w:hint="default" w:ascii="Times New Roman" w:hAnsi="Times New Roman" w:cs="Times New Roman"/>
          <w:color w:val="auto"/>
          <w:sz w:val="24"/>
          <w:highlight w:val="none"/>
          <w:lang w:eastAsia="zh-CN"/>
        </w:rPr>
        <w:t>农办牧〔20</w:t>
      </w:r>
      <w:r>
        <w:rPr>
          <w:rFonts w:hint="default"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23</w:t>
      </w:r>
      <w:r>
        <w:rPr>
          <w:rFonts w:hint="default" w:ascii="Times New Roman" w:hAnsi="Times New Roman" w:cs="Times New Roman"/>
          <w:color w:val="auto"/>
          <w:sz w:val="24"/>
          <w:highlight w:val="none"/>
          <w:lang w:eastAsia="zh-CN"/>
        </w:rPr>
        <w:t>号</w:t>
      </w:r>
      <w:r>
        <w:rPr>
          <w:rFonts w:hint="default" w:ascii="Times New Roman" w:hAnsi="Times New Roman" w:cs="Times New Roman"/>
          <w:color w:val="auto"/>
          <w:sz w:val="24"/>
          <w:highlight w:val="none"/>
          <w:lang w:val="en-US" w:eastAsia="zh-CN"/>
        </w:rPr>
        <w:t>）；</w:t>
      </w:r>
    </w:p>
    <w:p w14:paraId="346ED03B">
      <w:pPr>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21、《农业农村部办公厅关于进一步强化病死畜禽无害化处理工作的通知》（农办牧〔2024〕25号，2024年11月01日施行）；</w:t>
      </w:r>
    </w:p>
    <w:p w14:paraId="33FDF4DC">
      <w:pPr>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22、</w:t>
      </w:r>
      <w:r>
        <w:rPr>
          <w:rFonts w:hint="default" w:ascii="Times New Roman" w:hAnsi="Times New Roman" w:cs="Times New Roman"/>
          <w:color w:val="auto"/>
          <w:sz w:val="24"/>
          <w:highlight w:val="none"/>
          <w:lang w:eastAsia="zh-CN"/>
        </w:rPr>
        <w:t>《病死畜禽和病害畜禽产品无害化处理管理办法》（农业农村部令2022年第3号，2022年7月1日起施行）；</w:t>
      </w:r>
    </w:p>
    <w:p w14:paraId="05B3E991">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2</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、国务院关于印发《空气质量持续改善行动计划》的通知（国发〔2023〕24号）；</w:t>
      </w:r>
    </w:p>
    <w:p w14:paraId="295841C0">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eastAsia="zh-CN"/>
        </w:rPr>
      </w:pPr>
      <w:bookmarkStart w:id="45" w:name="_Toc32086"/>
      <w:r>
        <w:rPr>
          <w:rFonts w:hint="default" w:ascii="Times New Roman" w:hAnsi="Times New Roman" w:eastAsia="宋体" w:cs="Times New Roman"/>
          <w:color w:val="auto"/>
          <w:lang w:eastAsia="zh-CN"/>
        </w:rPr>
        <w:t>1.1.3 地方政府部门法规及规章</w:t>
      </w:r>
      <w:bookmarkEnd w:id="45"/>
    </w:p>
    <w:p w14:paraId="68A7044C">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1、《云南省生态环境保护条例》，2024年11月1日起施行；</w:t>
      </w:r>
    </w:p>
    <w:p w14:paraId="035D024B">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2、《云南省人民政府办公厅关于进一步加强环境影响评价管理工作的通知》（云政办发〔2007〕160号），200</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lang w:eastAsia="zh-CN"/>
        </w:rPr>
        <w:t>年</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eastAsia="zh-CN"/>
        </w:rPr>
        <w:t>月</w:t>
      </w:r>
      <w:r>
        <w:rPr>
          <w:rFonts w:hint="default" w:ascii="Times New Roman" w:hAnsi="Times New Roman" w:cs="Times New Roman"/>
          <w:color w:val="auto"/>
          <w:sz w:val="24"/>
          <w:highlight w:val="none"/>
          <w:lang w:val="en-US" w:eastAsia="zh-CN"/>
        </w:rPr>
        <w:t>5日</w:t>
      </w:r>
      <w:r>
        <w:rPr>
          <w:rFonts w:hint="default" w:ascii="Times New Roman" w:hAnsi="Times New Roman" w:cs="Times New Roman"/>
          <w:color w:val="auto"/>
          <w:sz w:val="24"/>
          <w:highlight w:val="none"/>
          <w:lang w:eastAsia="zh-CN"/>
        </w:rPr>
        <w:t>；</w:t>
      </w:r>
    </w:p>
    <w:p w14:paraId="0904F274">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3、《云南省林地管理办法》（997年3月31日云南省人民政府令第43号公布，1997年3月31日起施行）；</w:t>
      </w:r>
    </w:p>
    <w:p w14:paraId="49660C00">
      <w:pPr>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4、《云南省林地管理条例》，2010年10月1日起施行；</w:t>
      </w:r>
    </w:p>
    <w:p w14:paraId="16697683">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eastAsia="zh-CN"/>
        </w:rPr>
        <w:t>、《云南省国民经济和社会发展第十四个五年规划和二〇三五年远景目标》；</w:t>
      </w:r>
    </w:p>
    <w:p w14:paraId="6711A224">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lang w:eastAsia="zh-CN"/>
        </w:rPr>
        <w:t>、《云南省人民政府关于发布云南省生态保护红线的通知》（云政发</w:t>
      </w:r>
      <w:r>
        <w:rPr>
          <w:rFonts w:hint="eastAsia" w:ascii="Times New Roman" w:hAnsi="Times New Roman" w:cs="Times New Roman"/>
          <w:color w:val="auto"/>
          <w:sz w:val="24"/>
          <w:highlight w:val="none"/>
          <w:lang w:eastAsia="zh-CN"/>
        </w:rPr>
        <w:t>〔2018〕32号</w:t>
      </w:r>
      <w:r>
        <w:rPr>
          <w:rFonts w:hint="default" w:ascii="Times New Roman" w:hAnsi="Times New Roman" w:cs="Times New Roman"/>
          <w:color w:val="auto"/>
          <w:sz w:val="24"/>
          <w:highlight w:val="none"/>
          <w:lang w:eastAsia="zh-CN"/>
        </w:rPr>
        <w:t>，2018年6月29日）；</w:t>
      </w:r>
    </w:p>
    <w:p w14:paraId="44CF4422">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lang w:eastAsia="zh-CN"/>
        </w:rPr>
        <w:t>、《云南省人民政府办公厅关于印发云南省畜禽养殖废弃物资源化利用工作方案的通知》（云政办发〔2017〕135 号，2017 年 12 月 22 日公布）；</w:t>
      </w:r>
    </w:p>
    <w:p w14:paraId="12E8AD5D">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lang w:eastAsia="zh-CN"/>
        </w:rPr>
        <w:t>、《云南省大气污染防治条例》（2019年1月1日起施行）；</w:t>
      </w:r>
    </w:p>
    <w:p w14:paraId="0EF811E9">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lang w:eastAsia="zh-CN"/>
        </w:rPr>
        <w:t>、《云南省土壤污染防治条例》（2022年5月1日起施行）；</w:t>
      </w:r>
    </w:p>
    <w:p w14:paraId="28BF8DAC">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lang w:eastAsia="zh-CN"/>
        </w:rPr>
        <w:t>、《云南省固体废物污染环境防治条例》（2023年3月1日起施行）；</w:t>
      </w:r>
    </w:p>
    <w:p w14:paraId="0CD3DAAA">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、《中共云南省委</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lang w:eastAsia="zh-CN"/>
        </w:rPr>
        <w:t>云南省人民政府关于深入打好污染防治攻坚战的实施意见》（2022年7月27日发布）；</w:t>
      </w:r>
    </w:p>
    <w:p w14:paraId="109009F9">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、《云南省长江经济带发展负面清单指南实施细则（试行，2022年版）》；</w:t>
      </w:r>
    </w:p>
    <w:p w14:paraId="647B8969">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、《云南省“十四五”生态环境保护规划》（</w:t>
      </w:r>
      <w:r>
        <w:rPr>
          <w:rFonts w:hint="default" w:ascii="Times New Roman" w:hAnsi="Times New Roman" w:cs="Times New Roman"/>
          <w:color w:val="auto"/>
          <w:sz w:val="24"/>
          <w:highlight w:val="none"/>
          <w:lang w:val="en-US" w:eastAsia="zh-CN"/>
        </w:rPr>
        <w:t>云环发</w:t>
      </w:r>
      <w:r>
        <w:rPr>
          <w:rFonts w:hint="default" w:ascii="Times New Roman" w:hAnsi="Times New Roman" w:cs="Times New Roman"/>
          <w:color w:val="auto"/>
          <w:sz w:val="24"/>
          <w:highlight w:val="none"/>
          <w:lang w:eastAsia="zh-CN"/>
        </w:rPr>
        <w:t>〔20</w:t>
      </w:r>
      <w:r>
        <w:rPr>
          <w:rFonts w:hint="default" w:ascii="Times New Roman" w:hAnsi="Times New Roman" w:cs="Times New Roman"/>
          <w:color w:val="auto"/>
          <w:sz w:val="24"/>
          <w:highlight w:val="none"/>
          <w:lang w:val="en-US" w:eastAsia="zh-CN"/>
        </w:rPr>
        <w:t>22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13</w:t>
      </w:r>
      <w:r>
        <w:rPr>
          <w:rFonts w:hint="default" w:ascii="Times New Roman" w:hAnsi="Times New Roman" w:cs="Times New Roman"/>
          <w:color w:val="auto"/>
          <w:sz w:val="24"/>
          <w:highlight w:val="none"/>
          <w:lang w:eastAsia="zh-CN"/>
        </w:rPr>
        <w:t>号，</w:t>
      </w:r>
      <w:r>
        <w:rPr>
          <w:rFonts w:hint="default" w:ascii="Times New Roman" w:hAnsi="Times New Roman" w:cs="Times New Roman"/>
          <w:color w:val="auto"/>
          <w:sz w:val="24"/>
          <w:highlight w:val="none"/>
          <w:lang w:val="en-US" w:eastAsia="zh-CN"/>
        </w:rPr>
        <w:t>2022年4月8日施行</w:t>
      </w:r>
      <w:r>
        <w:rPr>
          <w:rFonts w:hint="default" w:ascii="Times New Roman" w:hAnsi="Times New Roman" w:cs="Times New Roman"/>
          <w:color w:val="auto"/>
          <w:sz w:val="24"/>
          <w:highlight w:val="none"/>
          <w:lang w:eastAsia="zh-CN"/>
        </w:rPr>
        <w:t>）；</w:t>
      </w:r>
    </w:p>
    <w:p w14:paraId="5A868FB2">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lang w:eastAsia="zh-CN"/>
        </w:rPr>
        <w:t>、《云南省环保厅关于规模化畜禽养殖主要污染物减排量认定条件的函》（云环函〔2012〕343号）；</w:t>
      </w:r>
    </w:p>
    <w:p w14:paraId="6B77239D">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eastAsia="zh-CN"/>
        </w:rPr>
        <w:t>、《云南省病死畜禽无害化处理体系建设规划（2021~2025年）》；</w:t>
      </w:r>
    </w:p>
    <w:p w14:paraId="75D5DC62">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lang w:eastAsia="zh-CN"/>
        </w:rPr>
        <w:t>、《云南“十四五”畜牧业高质量发展实施意见》；</w:t>
      </w:r>
    </w:p>
    <w:p w14:paraId="74B2D98E">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lang w:eastAsia="zh-CN"/>
        </w:rPr>
        <w:t>、《云南省地下水管理办法》（2024年2月1日起施行）；</w:t>
      </w:r>
    </w:p>
    <w:p w14:paraId="27533B08">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18、</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红河州生态环境分区管控动态更新调整方案（2023年）</w:t>
      </w:r>
      <w:r>
        <w:rPr>
          <w:rFonts w:hint="default" w:ascii="Times New Roman" w:hAnsi="Times New Roman" w:cs="Times New Roman"/>
          <w:color w:val="auto"/>
          <w:sz w:val="24"/>
          <w:highlight w:val="none"/>
          <w:lang w:eastAsia="zh-CN"/>
        </w:rPr>
        <w:t>》；</w:t>
      </w:r>
    </w:p>
    <w:p w14:paraId="39DF2497">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19</w:t>
      </w:r>
      <w:r>
        <w:rPr>
          <w:rFonts w:hint="default" w:ascii="Times New Roman" w:hAnsi="Times New Roman" w:cs="Times New Roman"/>
          <w:color w:val="auto"/>
          <w:sz w:val="24"/>
          <w:highlight w:val="none"/>
          <w:lang w:eastAsia="zh-CN"/>
        </w:rPr>
        <w:t>、《红河州人民政府办公室关于印发红河州建立病死畜禽无害化处理机制实施方案的通知》（红政办发〔2019〕32号）；</w:t>
      </w:r>
    </w:p>
    <w:p w14:paraId="6AB52823">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lang w:eastAsia="zh-CN"/>
        </w:rPr>
        <w:t>、红河州人民政府办公室关于印发《红河州畜禽养殖废弃物资源化利用工作方案的通知》（红政办发〔2018〕18号）；</w:t>
      </w:r>
    </w:p>
    <w:p w14:paraId="4D1F578B">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eastAsia="zh-CN"/>
        </w:rPr>
      </w:pPr>
      <w:bookmarkStart w:id="46" w:name="_Toc211"/>
      <w:r>
        <w:rPr>
          <w:rFonts w:hint="default" w:ascii="Times New Roman" w:hAnsi="Times New Roman" w:eastAsia="宋体" w:cs="Times New Roman"/>
          <w:color w:val="auto"/>
          <w:lang w:eastAsia="zh-CN"/>
        </w:rPr>
        <w:t>1.1.4 环境影响评价技术导则和地方的技术规范</w:t>
      </w:r>
      <w:bookmarkEnd w:id="46"/>
    </w:p>
    <w:p w14:paraId="58CAD7F6">
      <w:pPr>
        <w:snapToGrid w:val="0"/>
        <w:spacing w:line="360" w:lineRule="auto"/>
        <w:ind w:firstLine="480" w:firstLineChars="200"/>
        <w:rPr>
          <w:rFonts w:hint="default" w:ascii="Times New Roman" w:hAnsi="Times New Roman" w:cs="Times New Roman"/>
          <w:color w:val="auto"/>
          <w:sz w:val="24"/>
          <w:highlight w:val="none"/>
          <w:lang w:eastAsia="zh-CN"/>
        </w:rPr>
      </w:pPr>
      <w:bookmarkStart w:id="47" w:name="_Toc19584"/>
      <w:bookmarkStart w:id="48" w:name="_Toc316388617"/>
      <w:bookmarkStart w:id="49" w:name="_Toc323657556"/>
      <w:r>
        <w:rPr>
          <w:rFonts w:hint="default" w:ascii="Times New Roman" w:hAnsi="Times New Roman" w:cs="Times New Roman"/>
          <w:color w:val="auto"/>
          <w:sz w:val="24"/>
          <w:highlight w:val="none"/>
          <w:lang w:eastAsia="zh-CN"/>
        </w:rPr>
        <w:t>1、《建设项目环境影响评价技术导则 总纲》，HJ2.1-2016；</w:t>
      </w:r>
    </w:p>
    <w:p w14:paraId="0DA28998">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2、《环境影响评价技术导则 大气环境》，HJ2.2-2018；</w:t>
      </w:r>
    </w:p>
    <w:p w14:paraId="1F46747A">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3、《环境影响评价技术导则 地表水环境》，HJ2.3-2018；</w:t>
      </w:r>
    </w:p>
    <w:p w14:paraId="23ABC2B6">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4、《环境影响评价技术导则 地下水环境》，HJ610-2016；</w:t>
      </w:r>
    </w:p>
    <w:p w14:paraId="21D7E55B">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5、《环境影响评价技术导则 声环境》，HJ2.4-2021；</w:t>
      </w:r>
    </w:p>
    <w:p w14:paraId="0F166A45">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6、《环境影响评价技术导则 生态影响》，HJ19-2022；</w:t>
      </w:r>
    </w:p>
    <w:p w14:paraId="36B8DA30">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7、《环境影响评价技术导则 土壤环境》，HJ 964-2018；</w:t>
      </w:r>
    </w:p>
    <w:p w14:paraId="4D65E10C">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8、《建设项目环境风险评价技术导则》，HJ169-2018；</w:t>
      </w:r>
    </w:p>
    <w:p w14:paraId="45DB08A7">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9、《排污许可证申请与核发技术规范 总则》，HJ942-2018；</w:t>
      </w:r>
    </w:p>
    <w:p w14:paraId="77BCF3D6">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10、《排污单位自行监测技术指南 总则》，HJ819-2017；</w:t>
      </w:r>
    </w:p>
    <w:p w14:paraId="4F2E1867">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11、《排污单位自行监测技术指南 畜禽养殖业》，HJ1252-2020；</w:t>
      </w:r>
    </w:p>
    <w:p w14:paraId="5E7A4ED2">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12、《污染源源强核算技术指南 准则》，HJ884-2018；</w:t>
      </w:r>
    </w:p>
    <w:p w14:paraId="063DA950">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13、《排污单位环境管理台账及排污许可证执行报告技术规范 总则（试行）》，HJ944-2018；</w:t>
      </w:r>
    </w:p>
    <w:p w14:paraId="5AF2B9C8">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14、《排污许可证申请与核发技术规范 畜禽养殖行业》，HJ1029-2019；</w:t>
      </w:r>
    </w:p>
    <w:p w14:paraId="370D392F">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15、《畜禽养殖业污染防治技术规范》（HJ/T81-2001）；</w:t>
      </w:r>
    </w:p>
    <w:p w14:paraId="15202EE6">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16、《畜禽粪便无害化处理技术规范》（GB/T 36195-2018）；</w:t>
      </w:r>
    </w:p>
    <w:p w14:paraId="1F166E8C">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17、《畜禽粪便还田技术规范》（GB/T25246-2010）；</w:t>
      </w:r>
    </w:p>
    <w:p w14:paraId="087A5E60">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18、《病死及病害动物无害化处理技术规范》（农医发</w:t>
      </w:r>
      <w:r>
        <w:rPr>
          <w:rFonts w:hint="eastAsia" w:ascii="Times New Roman" w:hAnsi="Times New Roman" w:cs="Times New Roman"/>
          <w:color w:val="auto"/>
          <w:sz w:val="24"/>
          <w:highlight w:val="none"/>
          <w:lang w:eastAsia="zh-CN"/>
        </w:rPr>
        <w:t>〔2017〕25号</w:t>
      </w:r>
      <w:r>
        <w:rPr>
          <w:rFonts w:hint="default" w:ascii="Times New Roman" w:hAnsi="Times New Roman" w:cs="Times New Roman"/>
          <w:color w:val="auto"/>
          <w:sz w:val="24"/>
          <w:highlight w:val="none"/>
          <w:lang w:eastAsia="zh-CN"/>
        </w:rPr>
        <w:t>）；</w:t>
      </w:r>
    </w:p>
    <w:p w14:paraId="581CF97D">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19、《畜禽养殖污染发酵床治理工程技术指南》（环办</w:t>
      </w:r>
      <w:r>
        <w:rPr>
          <w:rFonts w:hint="eastAsia" w:ascii="Times New Roman" w:hAnsi="Times New Roman" w:cs="Times New Roman"/>
          <w:color w:val="auto"/>
          <w:sz w:val="24"/>
          <w:highlight w:val="none"/>
          <w:lang w:eastAsia="zh-CN"/>
        </w:rPr>
        <w:t>〔2014〕111号</w:t>
      </w:r>
      <w:r>
        <w:rPr>
          <w:rFonts w:hint="default" w:ascii="Times New Roman" w:hAnsi="Times New Roman" w:cs="Times New Roman"/>
          <w:color w:val="auto"/>
          <w:sz w:val="24"/>
          <w:highlight w:val="none"/>
          <w:lang w:eastAsia="zh-CN"/>
        </w:rPr>
        <w:t>）；</w:t>
      </w:r>
    </w:p>
    <w:p w14:paraId="041CB151">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20、《病死动物无害化处理技术规范》（2013.10.21印发）；</w:t>
      </w:r>
    </w:p>
    <w:p w14:paraId="0A17591F">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21、《规模畜禽养殖场污染防治最佳可行技术指南（试行）》（HJ-BAT-10）；</w:t>
      </w:r>
    </w:p>
    <w:p w14:paraId="2AEC4D26">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22、《畜禽养殖产地环境评价规范》，HJ568-2010；</w:t>
      </w:r>
    </w:p>
    <w:p w14:paraId="1255E1DC">
      <w:pPr>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23、</w:t>
      </w:r>
      <w:r>
        <w:rPr>
          <w:rFonts w:hint="default" w:ascii="Times New Roman" w:hAnsi="Times New Roman" w:cs="Times New Roman"/>
          <w:color w:val="auto"/>
          <w:sz w:val="24"/>
          <w:highlight w:val="none"/>
          <w:lang w:eastAsia="zh-CN"/>
        </w:rPr>
        <w:t>《畜禽规模养殖场粪污资源化利用设施建设规范（试行）》（农办牧〔2018〕2号，</w:t>
      </w:r>
      <w:r>
        <w:rPr>
          <w:rFonts w:hint="default" w:ascii="Times New Roman" w:hAnsi="Times New Roman" w:cs="Times New Roman"/>
          <w:color w:val="auto"/>
          <w:sz w:val="24"/>
          <w:highlight w:val="none"/>
          <w:lang w:val="en-US" w:eastAsia="zh-CN"/>
        </w:rPr>
        <w:t>2018年1月5日</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w:t>
      </w:r>
    </w:p>
    <w:p w14:paraId="4AD544F0">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2</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lang w:eastAsia="zh-CN"/>
        </w:rPr>
        <w:t>、 《建设项目危险废物环境影响评价指南》（环境保护部公告2017年第43 号）；</w:t>
      </w:r>
    </w:p>
    <w:p w14:paraId="787CF3DF">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eastAsia="zh-CN"/>
        </w:rPr>
        <w:t>、《大气有害物质无组织排放卫生防护距离推导技术导则》（GB/T39499-2020）；</w:t>
      </w:r>
    </w:p>
    <w:p w14:paraId="42808EC3">
      <w:pPr>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26、《动物防疫条件审查办法》（农业农村部令2022年第8号）；</w:t>
      </w:r>
    </w:p>
    <w:p w14:paraId="4B7B4860">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eastAsia="zh-CN"/>
        </w:rPr>
      </w:pPr>
      <w:bookmarkStart w:id="50" w:name="_Toc15851"/>
      <w:r>
        <w:rPr>
          <w:rFonts w:hint="default" w:ascii="Times New Roman" w:hAnsi="Times New Roman" w:eastAsia="宋体" w:cs="Times New Roman"/>
          <w:color w:val="auto"/>
          <w:lang w:eastAsia="zh-CN"/>
        </w:rPr>
        <w:t>1.1.5行业、地方规划</w:t>
      </w:r>
      <w:bookmarkEnd w:id="47"/>
      <w:bookmarkEnd w:id="48"/>
      <w:bookmarkEnd w:id="49"/>
      <w:bookmarkEnd w:id="50"/>
    </w:p>
    <w:p w14:paraId="0ECA0C50">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1、《云南省水功能区划（2014年修订）》（云南省水利厅，2014年5月）；</w:t>
      </w:r>
    </w:p>
    <w:p w14:paraId="6D9E6A80">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2、《云南省主体功能区规划》（云政发</w:t>
      </w:r>
      <w:r>
        <w:rPr>
          <w:rFonts w:hint="eastAsia" w:ascii="Times New Roman" w:hAnsi="Times New Roman" w:cs="Times New Roman"/>
          <w:color w:val="auto"/>
          <w:sz w:val="24"/>
          <w:highlight w:val="none"/>
          <w:lang w:eastAsia="zh-CN"/>
        </w:rPr>
        <w:t>〔2014〕1号</w:t>
      </w:r>
      <w:r>
        <w:rPr>
          <w:rFonts w:hint="default" w:ascii="Times New Roman" w:hAnsi="Times New Roman" w:cs="Times New Roman"/>
          <w:color w:val="auto"/>
          <w:sz w:val="24"/>
          <w:highlight w:val="none"/>
          <w:lang w:eastAsia="zh-CN"/>
        </w:rPr>
        <w:t>，2014年1月6日）；</w:t>
      </w:r>
    </w:p>
    <w:p w14:paraId="37141245">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3、《云南省生态功能区划》（2009.11印发）；</w:t>
      </w:r>
    </w:p>
    <w:p w14:paraId="55547CA4">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4、《云南省地方标准 用水定额》（DB53/T168-2019）。</w:t>
      </w:r>
    </w:p>
    <w:p w14:paraId="061A66D5">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eastAsia="zh-CN"/>
        </w:rPr>
      </w:pPr>
      <w:bookmarkStart w:id="51" w:name="_Toc27302"/>
      <w:r>
        <w:rPr>
          <w:rFonts w:hint="default" w:ascii="Times New Roman" w:hAnsi="Times New Roman" w:eastAsia="宋体" w:cs="Times New Roman"/>
          <w:color w:val="auto"/>
          <w:lang w:eastAsia="zh-CN"/>
        </w:rPr>
        <w:t>1.1.6 相关技术资料及其它文件</w:t>
      </w:r>
      <w:bookmarkEnd w:id="51"/>
    </w:p>
    <w:p w14:paraId="5796590A">
      <w:pPr>
        <w:snapToGrid w:val="0"/>
        <w:spacing w:line="360" w:lineRule="auto"/>
        <w:ind w:firstLine="480" w:firstLineChars="200"/>
        <w:rPr>
          <w:rFonts w:hint="default" w:ascii="Times New Roman" w:hAnsi="Times New Roman" w:cs="Times New Roman"/>
          <w:color w:val="auto"/>
          <w:sz w:val="24"/>
          <w:highlight w:val="none"/>
          <w:lang w:eastAsia="zh-CN"/>
        </w:rPr>
      </w:pPr>
      <w:bookmarkStart w:id="52" w:name="_Toc530071178"/>
      <w:bookmarkEnd w:id="52"/>
      <w:r>
        <w:rPr>
          <w:rFonts w:hint="default" w:ascii="Times New Roman" w:hAnsi="Times New Roman" w:cs="Times New Roman"/>
          <w:color w:val="auto"/>
          <w:sz w:val="24"/>
          <w:highlight w:val="none"/>
          <w:lang w:eastAsia="zh-CN"/>
        </w:rPr>
        <w:t>1、《弥勒温氏畜牧有限公司新哨二区后备猪培育基地环境影响评价委托书》，202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eastAsia="zh-CN"/>
        </w:rPr>
        <w:t>年</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eastAsia="zh-CN"/>
        </w:rPr>
        <w:t>月2日，弥勒温氏畜牧有限公司；</w:t>
      </w:r>
    </w:p>
    <w:p w14:paraId="30ABE62D">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2、弥勒温氏畜牧有限公司新哨二区后备猪培育基地投资项目备案证；</w:t>
      </w:r>
    </w:p>
    <w:p w14:paraId="21495A9A">
      <w:pPr>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、《弥勒温氏畜牧有限公司新哨二区后备猪培育基地环境质量现状监测报告》</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eastAsia="zh-CN"/>
        </w:rPr>
        <w:t>YND</w:t>
      </w:r>
      <w:r>
        <w:rPr>
          <w:rFonts w:hint="eastAsia" w:cs="Times New Roman"/>
          <w:color w:val="auto"/>
          <w:sz w:val="24"/>
          <w:highlight w:val="none"/>
          <w:lang w:val="en-US" w:eastAsia="zh-CN"/>
        </w:rPr>
        <w:t>Q</w:t>
      </w:r>
      <w:r>
        <w:rPr>
          <w:rFonts w:hint="default" w:ascii="Times New Roman" w:hAnsi="Times New Roman" w:cs="Times New Roman"/>
          <w:color w:val="auto"/>
          <w:sz w:val="24"/>
          <w:highlight w:val="none"/>
          <w:lang w:eastAsia="zh-CN"/>
        </w:rPr>
        <w:t>-HJ-202505386</w:t>
      </w:r>
      <w:r>
        <w:rPr>
          <w:rFonts w:hint="eastAsia" w:cs="Times New Roman"/>
          <w:color w:val="auto"/>
          <w:sz w:val="24"/>
          <w:highlight w:val="none"/>
          <w:lang w:val="en-US" w:eastAsia="zh-CN"/>
        </w:rPr>
        <w:t>);</w:t>
      </w:r>
    </w:p>
    <w:p w14:paraId="6FC6FBF1">
      <w:pPr>
        <w:snapToGrid w:val="0"/>
        <w:spacing w:line="360" w:lineRule="auto"/>
        <w:ind w:firstLine="480" w:firstLineChars="200"/>
        <w:rPr>
          <w:rFonts w:hint="default" w:ascii="Times New Roman" w:hAnsi="Times New Roman" w:cs="Times New Roman"/>
          <w:color w:val="auto"/>
          <w:sz w:val="24"/>
          <w:highlight w:val="none"/>
          <w:lang w:eastAsia="zh-CN"/>
        </w:rPr>
      </w:pPr>
      <w:bookmarkStart w:id="53" w:name="_Toc389827211"/>
      <w:bookmarkStart w:id="54" w:name="_Toc393440801"/>
      <w:bookmarkStart w:id="55" w:name="_Toc371607830"/>
      <w:bookmarkStart w:id="56" w:name="_Toc26712"/>
      <w:bookmarkStart w:id="57" w:name="_Toc9319"/>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lang w:eastAsia="zh-CN"/>
        </w:rPr>
        <w:t>、建设单位提供的其它资料。</w:t>
      </w:r>
    </w:p>
    <w:p w14:paraId="34B9EA78">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Style w:val="34"/>
          <w:rFonts w:hint="default" w:ascii="Times New Roman" w:hAnsi="Times New Roman" w:cs="Times New Roman"/>
          <w:b w:val="0"/>
          <w:bCs w:val="0"/>
          <w:color w:val="auto"/>
          <w:sz w:val="24"/>
          <w:highlight w:val="none"/>
        </w:rPr>
      </w:pPr>
      <w:bookmarkStart w:id="58" w:name="_Toc12638"/>
      <w:bookmarkStart w:id="59" w:name="_Toc22064"/>
      <w:bookmarkStart w:id="60" w:name="_Toc18525"/>
      <w:r>
        <w:rPr>
          <w:rStyle w:val="34"/>
          <w:rFonts w:hint="default" w:ascii="Times New Roman" w:hAnsi="Times New Roman" w:cs="Times New Roman"/>
          <w:b w:val="0"/>
          <w:bCs w:val="0"/>
          <w:color w:val="auto"/>
          <w:sz w:val="24"/>
          <w:highlight w:val="none"/>
        </w:rPr>
        <w:t>1.2</w:t>
      </w:r>
      <w:bookmarkEnd w:id="53"/>
      <w:bookmarkEnd w:id="54"/>
      <w:bookmarkEnd w:id="55"/>
      <w:r>
        <w:rPr>
          <w:rStyle w:val="34"/>
          <w:rFonts w:hint="default" w:ascii="Times New Roman" w:hAnsi="Times New Roman" w:cs="Times New Roman"/>
          <w:b w:val="0"/>
          <w:bCs w:val="0"/>
          <w:color w:val="auto"/>
          <w:sz w:val="24"/>
          <w:highlight w:val="none"/>
        </w:rPr>
        <w:t>评价目的及原则</w:t>
      </w:r>
      <w:bookmarkEnd w:id="56"/>
      <w:bookmarkEnd w:id="57"/>
      <w:bookmarkEnd w:id="58"/>
      <w:bookmarkEnd w:id="59"/>
      <w:bookmarkEnd w:id="60"/>
    </w:p>
    <w:p w14:paraId="54202015">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eastAsia="zh-CN"/>
        </w:rPr>
      </w:pPr>
      <w:bookmarkStart w:id="61" w:name="_Toc5044"/>
      <w:bookmarkStart w:id="62" w:name="_Toc27007"/>
      <w:r>
        <w:rPr>
          <w:rFonts w:hint="default" w:ascii="Times New Roman" w:hAnsi="Times New Roman" w:eastAsia="宋体" w:cs="Times New Roman"/>
          <w:color w:val="auto"/>
          <w:lang w:eastAsia="zh-CN"/>
        </w:rPr>
        <w:t>1.2.1评价目的</w:t>
      </w:r>
      <w:bookmarkEnd w:id="61"/>
      <w:bookmarkEnd w:id="62"/>
    </w:p>
    <w:p w14:paraId="5FA8847D">
      <w:pPr>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项目特点及项目周围环境特征，本次评价目的是针对项目建设运营后对各种环境要素可能造成的影响，并提出有针对性的减缓影响的防治对策。依据国家有关法规，对项目的环境可行性作出明确结论，为上级主管部门和环境管理部门进行决策、地方环境管理部门和建设单位进行环境管理以及设计单位优化其设计提供科学依据；使工程建设与地方经济和环境保护协调发展。</w:t>
      </w:r>
    </w:p>
    <w:p w14:paraId="3F73A20C">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eastAsia="zh-CN"/>
        </w:rPr>
      </w:pPr>
      <w:bookmarkStart w:id="63" w:name="_Toc5032"/>
      <w:bookmarkStart w:id="64" w:name="_Toc12120"/>
      <w:r>
        <w:rPr>
          <w:rFonts w:hint="default" w:ascii="Times New Roman" w:hAnsi="Times New Roman" w:eastAsia="宋体" w:cs="Times New Roman"/>
          <w:color w:val="auto"/>
          <w:lang w:eastAsia="zh-CN"/>
        </w:rPr>
        <w:t>1.2.2评价原则</w:t>
      </w:r>
      <w:bookmarkEnd w:id="63"/>
      <w:bookmarkEnd w:id="64"/>
    </w:p>
    <w:p w14:paraId="6FC35868">
      <w:pPr>
        <w:pStyle w:val="36"/>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突出环境影响评价的源头预防作用，坚持保护和改善环境质量。</w:t>
      </w:r>
    </w:p>
    <w:p w14:paraId="02FB2415">
      <w:pPr>
        <w:pStyle w:val="36"/>
        <w:snapToGrid w:val="0"/>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（1）依法评价</w:t>
      </w:r>
    </w:p>
    <w:p w14:paraId="38ED8670">
      <w:pPr>
        <w:pStyle w:val="36"/>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贯彻执行我国环境保护相关法律法规、标准、政策和规划等，优化项目建设，服务环境管理。</w:t>
      </w:r>
    </w:p>
    <w:p w14:paraId="0685ECCD">
      <w:pPr>
        <w:pStyle w:val="36"/>
        <w:snapToGrid w:val="0"/>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（2）科学评价</w:t>
      </w:r>
    </w:p>
    <w:p w14:paraId="20401D20">
      <w:pPr>
        <w:pStyle w:val="36"/>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规范环境影响评价方法，科学分析项目建设对环境质量的影响。</w:t>
      </w:r>
    </w:p>
    <w:p w14:paraId="572645A2">
      <w:pPr>
        <w:pStyle w:val="36"/>
        <w:snapToGrid w:val="0"/>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（3）突出重点</w:t>
      </w:r>
    </w:p>
    <w:p w14:paraId="284ECA0C">
      <w:pPr>
        <w:pStyle w:val="36"/>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根据建设项目的工程内容及其特点，明确与环境要素间的作用效应关系，根据规划环境影响评价结论和审查意见，充分利用符合时效的数据资料及成果，对建设项目主要环境影响予以重点分析和评价。</w:t>
      </w:r>
    </w:p>
    <w:p w14:paraId="757FA6B6">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Style w:val="34"/>
          <w:rFonts w:hint="default" w:ascii="Times New Roman" w:hAnsi="Times New Roman" w:cs="Times New Roman"/>
          <w:b w:val="0"/>
          <w:bCs w:val="0"/>
          <w:color w:val="auto"/>
          <w:sz w:val="24"/>
          <w:highlight w:val="none"/>
        </w:rPr>
      </w:pPr>
      <w:bookmarkStart w:id="65" w:name="_Toc6956"/>
      <w:bookmarkStart w:id="66" w:name="_Toc32658"/>
      <w:bookmarkStart w:id="67" w:name="_Toc21755"/>
      <w:bookmarkStart w:id="68" w:name="_Toc2499"/>
      <w:r>
        <w:rPr>
          <w:rStyle w:val="34"/>
          <w:rFonts w:hint="default" w:ascii="Times New Roman" w:hAnsi="Times New Roman" w:cs="Times New Roman"/>
          <w:b w:val="0"/>
          <w:bCs w:val="0"/>
          <w:color w:val="auto"/>
          <w:sz w:val="24"/>
          <w:highlight w:val="none"/>
        </w:rPr>
        <w:t>1.3环境影响因素识别与评价因子的筛选</w:t>
      </w:r>
      <w:bookmarkEnd w:id="65"/>
      <w:bookmarkEnd w:id="66"/>
      <w:bookmarkEnd w:id="67"/>
      <w:bookmarkEnd w:id="68"/>
    </w:p>
    <w:p w14:paraId="1E822F2A">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eastAsia="zh-CN"/>
        </w:rPr>
      </w:pPr>
      <w:bookmarkStart w:id="69" w:name="_Toc881"/>
      <w:r>
        <w:rPr>
          <w:rFonts w:hint="default" w:ascii="Times New Roman" w:hAnsi="Times New Roman" w:eastAsia="宋体" w:cs="Times New Roman"/>
          <w:color w:val="auto"/>
          <w:lang w:eastAsia="zh-CN"/>
        </w:rPr>
        <w:t>1.3.1环境影响因素识别</w:t>
      </w:r>
      <w:bookmarkEnd w:id="69"/>
    </w:p>
    <w:p w14:paraId="1D826CB4">
      <w:pPr>
        <w:pStyle w:val="36"/>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根据项目特点及所在地环境特征，项目的环境影响因素识别见表1.3-1。</w:t>
      </w:r>
    </w:p>
    <w:p w14:paraId="2158849C">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表1.3-1      项目环境影响因素识别</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271"/>
        <w:gridCol w:w="965"/>
        <w:gridCol w:w="877"/>
        <w:gridCol w:w="876"/>
        <w:gridCol w:w="877"/>
        <w:gridCol w:w="876"/>
        <w:gridCol w:w="878"/>
        <w:gridCol w:w="878"/>
        <w:gridCol w:w="871"/>
      </w:tblGrid>
      <w:tr w14:paraId="50BE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gridSpan w:val="2"/>
            <w:vMerge w:val="restart"/>
            <w:tcBorders>
              <w:tl2br w:val="single" w:color="auto" w:sz="4" w:space="0"/>
            </w:tcBorders>
          </w:tcPr>
          <w:p w14:paraId="78AB079C">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 xml:space="preserve">      时段</w:t>
            </w:r>
          </w:p>
          <w:p w14:paraId="61933FE2">
            <w:pPr>
              <w:keepNext w:val="0"/>
              <w:keepLines w:val="0"/>
              <w:suppressLineNumbers w:val="0"/>
              <w:snapToGrid w:val="0"/>
              <w:spacing w:before="0" w:beforeAutospacing="0" w:after="0" w:afterAutospacing="0"/>
              <w:ind w:left="0" w:right="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环境因素</w:t>
            </w:r>
          </w:p>
        </w:tc>
        <w:tc>
          <w:tcPr>
            <w:tcW w:w="1842" w:type="dxa"/>
            <w:gridSpan w:val="2"/>
          </w:tcPr>
          <w:p w14:paraId="0110183B">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废气</w:t>
            </w:r>
          </w:p>
        </w:tc>
        <w:tc>
          <w:tcPr>
            <w:tcW w:w="1753" w:type="dxa"/>
            <w:gridSpan w:val="2"/>
          </w:tcPr>
          <w:p w14:paraId="692CA7F2">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废水</w:t>
            </w:r>
          </w:p>
        </w:tc>
        <w:tc>
          <w:tcPr>
            <w:tcW w:w="1754" w:type="dxa"/>
            <w:gridSpan w:val="2"/>
          </w:tcPr>
          <w:p w14:paraId="732B753C">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固体废物</w:t>
            </w:r>
          </w:p>
        </w:tc>
        <w:tc>
          <w:tcPr>
            <w:tcW w:w="1749" w:type="dxa"/>
            <w:gridSpan w:val="2"/>
          </w:tcPr>
          <w:p w14:paraId="1D0E3274">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噪声</w:t>
            </w:r>
          </w:p>
        </w:tc>
      </w:tr>
      <w:tr w14:paraId="282B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697" w:type="dxa"/>
            <w:gridSpan w:val="2"/>
            <w:vMerge w:val="continue"/>
          </w:tcPr>
          <w:p w14:paraId="0FD06703">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p>
        </w:tc>
        <w:tc>
          <w:tcPr>
            <w:tcW w:w="965" w:type="dxa"/>
            <w:vAlign w:val="center"/>
          </w:tcPr>
          <w:p w14:paraId="194D621D">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施工期</w:t>
            </w:r>
          </w:p>
        </w:tc>
        <w:tc>
          <w:tcPr>
            <w:tcW w:w="877" w:type="dxa"/>
            <w:vAlign w:val="center"/>
          </w:tcPr>
          <w:p w14:paraId="671C3753">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运营期</w:t>
            </w:r>
          </w:p>
        </w:tc>
        <w:tc>
          <w:tcPr>
            <w:tcW w:w="876" w:type="dxa"/>
            <w:vAlign w:val="center"/>
          </w:tcPr>
          <w:p w14:paraId="098747C1">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施工期</w:t>
            </w:r>
          </w:p>
        </w:tc>
        <w:tc>
          <w:tcPr>
            <w:tcW w:w="877" w:type="dxa"/>
            <w:vAlign w:val="center"/>
          </w:tcPr>
          <w:p w14:paraId="4356F89B">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运营期</w:t>
            </w:r>
          </w:p>
        </w:tc>
        <w:tc>
          <w:tcPr>
            <w:tcW w:w="876" w:type="dxa"/>
            <w:vAlign w:val="center"/>
          </w:tcPr>
          <w:p w14:paraId="438D0705">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施工期</w:t>
            </w:r>
          </w:p>
        </w:tc>
        <w:tc>
          <w:tcPr>
            <w:tcW w:w="878" w:type="dxa"/>
            <w:vAlign w:val="center"/>
          </w:tcPr>
          <w:p w14:paraId="09BAEDAD">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运营期</w:t>
            </w:r>
          </w:p>
        </w:tc>
        <w:tc>
          <w:tcPr>
            <w:tcW w:w="878" w:type="dxa"/>
            <w:vAlign w:val="center"/>
          </w:tcPr>
          <w:p w14:paraId="4365739C">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施工期</w:t>
            </w:r>
          </w:p>
        </w:tc>
        <w:tc>
          <w:tcPr>
            <w:tcW w:w="871" w:type="dxa"/>
            <w:vAlign w:val="center"/>
          </w:tcPr>
          <w:p w14:paraId="0BA89645">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运营期</w:t>
            </w:r>
          </w:p>
        </w:tc>
      </w:tr>
      <w:tr w14:paraId="1CAF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5F0E25C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自然环境</w:t>
            </w:r>
          </w:p>
        </w:tc>
        <w:tc>
          <w:tcPr>
            <w:tcW w:w="1271" w:type="dxa"/>
            <w:vAlign w:val="center"/>
          </w:tcPr>
          <w:p w14:paraId="50BA8A7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大气质量</w:t>
            </w:r>
          </w:p>
        </w:tc>
        <w:tc>
          <w:tcPr>
            <w:tcW w:w="965" w:type="dxa"/>
            <w:vAlign w:val="center"/>
          </w:tcPr>
          <w:p w14:paraId="109DDD87">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4452B68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22EA22D2">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3CF20373">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1224B693">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59D26D5D">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465347F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1" w:type="dxa"/>
            <w:vAlign w:val="center"/>
          </w:tcPr>
          <w:p w14:paraId="24C84FC3">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33C2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33EAD426">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271" w:type="dxa"/>
            <w:vAlign w:val="center"/>
          </w:tcPr>
          <w:p w14:paraId="3EC55DD5">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地表水水质</w:t>
            </w:r>
          </w:p>
        </w:tc>
        <w:tc>
          <w:tcPr>
            <w:tcW w:w="965" w:type="dxa"/>
            <w:vAlign w:val="center"/>
          </w:tcPr>
          <w:p w14:paraId="2A0D2761">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1E15CC41">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5F1227AA">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40F4435A">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3FF9B40F">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68F2F55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4665DB2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1" w:type="dxa"/>
            <w:vAlign w:val="center"/>
          </w:tcPr>
          <w:p w14:paraId="771E9B3A">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1B8D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30283825">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271" w:type="dxa"/>
            <w:vAlign w:val="center"/>
          </w:tcPr>
          <w:p w14:paraId="6AC0C4F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地下水</w:t>
            </w:r>
          </w:p>
        </w:tc>
        <w:tc>
          <w:tcPr>
            <w:tcW w:w="965" w:type="dxa"/>
            <w:vAlign w:val="center"/>
          </w:tcPr>
          <w:p w14:paraId="6A327DD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1738BB88">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60FB1221">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5CD7F654">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63A053DA">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255CF0E2">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3313AFF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1" w:type="dxa"/>
            <w:vAlign w:val="center"/>
          </w:tcPr>
          <w:p w14:paraId="299EEC44">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1E36D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47B4FBA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271" w:type="dxa"/>
            <w:vAlign w:val="center"/>
          </w:tcPr>
          <w:p w14:paraId="7D15D373">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w:t>
            </w:r>
          </w:p>
        </w:tc>
        <w:tc>
          <w:tcPr>
            <w:tcW w:w="965" w:type="dxa"/>
            <w:vAlign w:val="center"/>
          </w:tcPr>
          <w:p w14:paraId="4731D543">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153204F0">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5E7260F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1A3481C1">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6C38063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00A4AF1A">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270357F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1" w:type="dxa"/>
            <w:vAlign w:val="center"/>
          </w:tcPr>
          <w:p w14:paraId="38850065">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7E673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26" w:type="dxa"/>
            <w:vMerge w:val="continue"/>
            <w:vAlign w:val="center"/>
          </w:tcPr>
          <w:p w14:paraId="59E6756F">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271" w:type="dxa"/>
            <w:vAlign w:val="center"/>
          </w:tcPr>
          <w:p w14:paraId="2F75B6F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植被</w:t>
            </w:r>
          </w:p>
        </w:tc>
        <w:tc>
          <w:tcPr>
            <w:tcW w:w="965" w:type="dxa"/>
            <w:vAlign w:val="center"/>
          </w:tcPr>
          <w:p w14:paraId="3019EBD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596ED7C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322DD39F">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146EC597">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0FBA8DC6">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0B4ECDF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1FD281B6">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1" w:type="dxa"/>
            <w:vAlign w:val="center"/>
          </w:tcPr>
          <w:p w14:paraId="5D4781F1">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2BDF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09ED1D6D">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271" w:type="dxa"/>
            <w:vAlign w:val="center"/>
          </w:tcPr>
          <w:p w14:paraId="01B738ED">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土壤</w:t>
            </w:r>
          </w:p>
        </w:tc>
        <w:tc>
          <w:tcPr>
            <w:tcW w:w="965" w:type="dxa"/>
            <w:vAlign w:val="center"/>
          </w:tcPr>
          <w:p w14:paraId="5EEEAB08">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30767C32">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757E48A6">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28A2B11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5F152D77">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3442AC42">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7D2C93F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1" w:type="dxa"/>
            <w:vAlign w:val="center"/>
          </w:tcPr>
          <w:p w14:paraId="67643195">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7D16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5E92D52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自然资源</w:t>
            </w:r>
          </w:p>
        </w:tc>
        <w:tc>
          <w:tcPr>
            <w:tcW w:w="1271" w:type="dxa"/>
            <w:vAlign w:val="center"/>
          </w:tcPr>
          <w:p w14:paraId="4CE7CB05">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水资源</w:t>
            </w:r>
          </w:p>
        </w:tc>
        <w:tc>
          <w:tcPr>
            <w:tcW w:w="965" w:type="dxa"/>
            <w:vAlign w:val="center"/>
          </w:tcPr>
          <w:p w14:paraId="23E6900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49AD20A8">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5BF36083">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2B98539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4E33DB7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358D388F">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521C2BE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1" w:type="dxa"/>
            <w:vAlign w:val="center"/>
          </w:tcPr>
          <w:p w14:paraId="38729282">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73CD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01F80D8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271" w:type="dxa"/>
            <w:vAlign w:val="center"/>
          </w:tcPr>
          <w:p w14:paraId="29FC4A7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森林资源</w:t>
            </w:r>
          </w:p>
        </w:tc>
        <w:tc>
          <w:tcPr>
            <w:tcW w:w="965" w:type="dxa"/>
            <w:vAlign w:val="center"/>
          </w:tcPr>
          <w:p w14:paraId="6A6D0FD4">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2863B665">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678DE6A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0071A842">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017F9126">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72B1406F">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7F8C475A">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1" w:type="dxa"/>
            <w:vAlign w:val="center"/>
          </w:tcPr>
          <w:p w14:paraId="5FB4C73F">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52BB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53DF32CF">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271" w:type="dxa"/>
            <w:vAlign w:val="center"/>
          </w:tcPr>
          <w:p w14:paraId="60877445">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土地资源</w:t>
            </w:r>
          </w:p>
        </w:tc>
        <w:tc>
          <w:tcPr>
            <w:tcW w:w="965" w:type="dxa"/>
            <w:vAlign w:val="center"/>
          </w:tcPr>
          <w:p w14:paraId="2B6E2354">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79308698">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427F5D88">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4FFEA56A">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7DC295F4">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5D91B064">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723E662D">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1" w:type="dxa"/>
            <w:vAlign w:val="center"/>
          </w:tcPr>
          <w:p w14:paraId="529BF282">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110C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7A2AC12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社会经济</w:t>
            </w:r>
          </w:p>
        </w:tc>
        <w:tc>
          <w:tcPr>
            <w:tcW w:w="1271" w:type="dxa"/>
            <w:vAlign w:val="center"/>
          </w:tcPr>
          <w:p w14:paraId="44D8407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区域经济</w:t>
            </w:r>
          </w:p>
        </w:tc>
        <w:tc>
          <w:tcPr>
            <w:tcW w:w="965" w:type="dxa"/>
            <w:vAlign w:val="center"/>
          </w:tcPr>
          <w:p w14:paraId="4D3E3CE8">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43D3B965">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1C12BB86">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61C8327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7F2A6E58">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25903B64">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0CDEA865">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1" w:type="dxa"/>
            <w:vAlign w:val="center"/>
          </w:tcPr>
          <w:p w14:paraId="31CC6E4D">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6AE4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2DEDF715">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271" w:type="dxa"/>
            <w:vAlign w:val="center"/>
          </w:tcPr>
          <w:p w14:paraId="1E11395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农业经济</w:t>
            </w:r>
          </w:p>
        </w:tc>
        <w:tc>
          <w:tcPr>
            <w:tcW w:w="965" w:type="dxa"/>
            <w:vAlign w:val="center"/>
          </w:tcPr>
          <w:p w14:paraId="1D56C047">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67284768">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0851A09D">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191EB248">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353697C8">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03CA3C2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1E689BB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1" w:type="dxa"/>
            <w:vAlign w:val="center"/>
          </w:tcPr>
          <w:p w14:paraId="38ACF9D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1AB7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75629D47">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271" w:type="dxa"/>
            <w:vAlign w:val="center"/>
          </w:tcPr>
          <w:p w14:paraId="581245D7">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人群健康</w:t>
            </w:r>
          </w:p>
        </w:tc>
        <w:tc>
          <w:tcPr>
            <w:tcW w:w="965" w:type="dxa"/>
            <w:vAlign w:val="center"/>
          </w:tcPr>
          <w:p w14:paraId="1C87009F">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76A3A05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5DCC6FE7">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7" w:type="dxa"/>
            <w:vAlign w:val="center"/>
          </w:tcPr>
          <w:p w14:paraId="49B60020">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6" w:type="dxa"/>
            <w:vAlign w:val="center"/>
          </w:tcPr>
          <w:p w14:paraId="6E7069E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48830113">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8" w:type="dxa"/>
            <w:vAlign w:val="center"/>
          </w:tcPr>
          <w:p w14:paraId="3AAB005D">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71" w:type="dxa"/>
            <w:vAlign w:val="center"/>
          </w:tcPr>
          <w:p w14:paraId="1CAC614D">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69BC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5" w:type="dxa"/>
            <w:gridSpan w:val="10"/>
            <w:vAlign w:val="center"/>
          </w:tcPr>
          <w:p w14:paraId="18CB47F8">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注：□/△：长期影响/短期影响；黑/白：不利影响/有利影响；-：无影响。</w:t>
            </w:r>
          </w:p>
        </w:tc>
      </w:tr>
    </w:tbl>
    <w:p w14:paraId="007373AB">
      <w:pPr>
        <w:pStyle w:val="36"/>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从识别矩阵中可以看出，</w:t>
      </w:r>
      <w:r>
        <w:rPr>
          <w:rFonts w:hint="default" w:ascii="Times New Roman" w:hAnsi="Times New Roman" w:cs="Times New Roman"/>
          <w:color w:val="auto"/>
          <w:highlight w:val="none"/>
          <w:lang w:bidi="zh-CN"/>
        </w:rPr>
        <w:t>项目施工期的影响主要是施工废气、噪声的影响，以及占地对植被的影响；运营期带来的主要环境问题是：养殖猪舍臭气对环境空气的影响；养殖废水对周围水环境的影响；设备噪声对周围声环境质量的影响；项目产生的猪粪便、病死猪、生活垃圾等对环境的影响等。项目实施</w:t>
      </w:r>
      <w:r>
        <w:rPr>
          <w:rFonts w:hint="default" w:ascii="Times New Roman" w:hAnsi="Times New Roman" w:cs="Times New Roman"/>
          <w:color w:val="auto"/>
          <w:highlight w:val="none"/>
        </w:rPr>
        <w:t>有利的影响主要表现在项目运营有利于改进所在区域的养殖业结构，稳定生猪供给，促进当地社会经济发展及提高当地农民收入等方面。</w:t>
      </w:r>
    </w:p>
    <w:p w14:paraId="4B0E9C57">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eastAsia="zh-CN"/>
        </w:rPr>
      </w:pPr>
      <w:bookmarkStart w:id="70" w:name="_Toc16426"/>
      <w:r>
        <w:rPr>
          <w:rFonts w:hint="default" w:ascii="Times New Roman" w:hAnsi="Times New Roman" w:eastAsia="宋体" w:cs="Times New Roman"/>
          <w:color w:val="auto"/>
          <w:lang w:eastAsia="zh-CN"/>
        </w:rPr>
        <w:t>1.3.2评价因子</w:t>
      </w:r>
      <w:bookmarkEnd w:id="70"/>
    </w:p>
    <w:p w14:paraId="216E5FBA">
      <w:pPr>
        <w:pStyle w:val="36"/>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根据项目污染物排放特征、污染因子的影响程度和环境现状功能要求，经分析筛选确定的评价因子见表1.3-2。</w:t>
      </w:r>
    </w:p>
    <w:p w14:paraId="497C75A1">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表1.3-2      评价因子筛选结果</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061"/>
        <w:gridCol w:w="1066"/>
        <w:gridCol w:w="5638"/>
      </w:tblGrid>
      <w:tr w14:paraId="1D9A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1" w:type="dxa"/>
            <w:gridSpan w:val="2"/>
            <w:vAlign w:val="center"/>
          </w:tcPr>
          <w:p w14:paraId="0E4BF69F">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评价时段</w:t>
            </w:r>
          </w:p>
        </w:tc>
        <w:tc>
          <w:tcPr>
            <w:tcW w:w="6704" w:type="dxa"/>
            <w:gridSpan w:val="2"/>
            <w:vAlign w:val="center"/>
          </w:tcPr>
          <w:p w14:paraId="0A1FD8B0">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评价因子</w:t>
            </w:r>
          </w:p>
        </w:tc>
      </w:tr>
      <w:tr w14:paraId="7D01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1" w:type="dxa"/>
            <w:gridSpan w:val="2"/>
            <w:vAlign w:val="center"/>
          </w:tcPr>
          <w:p w14:paraId="005F0D9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建设期</w:t>
            </w:r>
          </w:p>
        </w:tc>
        <w:tc>
          <w:tcPr>
            <w:tcW w:w="6704" w:type="dxa"/>
            <w:gridSpan w:val="2"/>
            <w:vAlign w:val="center"/>
          </w:tcPr>
          <w:p w14:paraId="1BE106E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施工扬尘及水土流失、施工机械设备噪声、施工人员产生的生活垃圾、生活污水以及施工过程产生的建筑垃圾等</w:t>
            </w:r>
          </w:p>
        </w:tc>
      </w:tr>
      <w:tr w14:paraId="6926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Merge w:val="restart"/>
            <w:vAlign w:val="center"/>
          </w:tcPr>
          <w:p w14:paraId="39C4F35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营运期</w:t>
            </w:r>
          </w:p>
        </w:tc>
        <w:tc>
          <w:tcPr>
            <w:tcW w:w="1061" w:type="dxa"/>
            <w:vMerge w:val="restart"/>
            <w:vAlign w:val="center"/>
          </w:tcPr>
          <w:p w14:paraId="2D2E6E7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环境空气</w:t>
            </w:r>
          </w:p>
        </w:tc>
        <w:tc>
          <w:tcPr>
            <w:tcW w:w="1066" w:type="dxa"/>
            <w:vAlign w:val="center"/>
          </w:tcPr>
          <w:p w14:paraId="0FBC259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现状评价</w:t>
            </w:r>
          </w:p>
        </w:tc>
        <w:tc>
          <w:tcPr>
            <w:tcW w:w="5638" w:type="dxa"/>
            <w:vAlign w:val="center"/>
          </w:tcPr>
          <w:p w14:paraId="7E633A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10</w:t>
            </w: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2.5</w:t>
            </w: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、NO</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、CO、O</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、H</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S、NH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vertAlign w:val="subscript"/>
                <w:lang w:eastAsia="zh-CN"/>
              </w:rPr>
              <w:t>、</w:t>
            </w:r>
            <w:r>
              <w:rPr>
                <w:rFonts w:hint="default" w:ascii="Times New Roman" w:hAnsi="Times New Roman" w:cs="Times New Roman"/>
                <w:color w:val="auto"/>
                <w:szCs w:val="21"/>
                <w:highlight w:val="none"/>
                <w:vertAlign w:val="baseline"/>
                <w:lang w:val="en-US" w:eastAsia="zh-CN"/>
              </w:rPr>
              <w:t>臭气浓度</w:t>
            </w:r>
          </w:p>
        </w:tc>
      </w:tr>
      <w:tr w14:paraId="5C14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Merge w:val="continue"/>
            <w:vAlign w:val="center"/>
          </w:tcPr>
          <w:p w14:paraId="569A21C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1" w:type="dxa"/>
            <w:vMerge w:val="continue"/>
            <w:vAlign w:val="center"/>
          </w:tcPr>
          <w:p w14:paraId="5DDB7A8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6" w:type="dxa"/>
            <w:vAlign w:val="center"/>
          </w:tcPr>
          <w:p w14:paraId="18D0F63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预测评价</w:t>
            </w:r>
          </w:p>
        </w:tc>
        <w:tc>
          <w:tcPr>
            <w:tcW w:w="5638" w:type="dxa"/>
            <w:vAlign w:val="center"/>
          </w:tcPr>
          <w:p w14:paraId="738F1EA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S、NH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rPr>
              <w:t>臭气浓度</w:t>
            </w:r>
          </w:p>
        </w:tc>
      </w:tr>
      <w:tr w14:paraId="7EA6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Merge w:val="continue"/>
            <w:vAlign w:val="center"/>
          </w:tcPr>
          <w:p w14:paraId="04FBAD0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1" w:type="dxa"/>
            <w:vMerge w:val="restart"/>
            <w:vAlign w:val="center"/>
          </w:tcPr>
          <w:p w14:paraId="000F63B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w:t>
            </w:r>
          </w:p>
        </w:tc>
        <w:tc>
          <w:tcPr>
            <w:tcW w:w="1066" w:type="dxa"/>
            <w:vAlign w:val="center"/>
          </w:tcPr>
          <w:p w14:paraId="2B5A300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现状评价</w:t>
            </w:r>
          </w:p>
        </w:tc>
        <w:tc>
          <w:tcPr>
            <w:tcW w:w="5638" w:type="dxa"/>
            <w:vAlign w:val="center"/>
          </w:tcPr>
          <w:p w14:paraId="33DB9A8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rPr>
              <w:t>pH</w:t>
            </w:r>
            <w:r>
              <w:rPr>
                <w:rFonts w:hint="default" w:ascii="Times New Roman" w:hAnsi="Times New Roman" w:cs="Times New Roman"/>
                <w:color w:val="auto"/>
                <w:sz w:val="21"/>
                <w:szCs w:val="21"/>
                <w:lang w:val="en-US" w:eastAsia="zh-CN"/>
              </w:rPr>
              <w:t>值</w:t>
            </w:r>
            <w:r>
              <w:rPr>
                <w:rFonts w:hint="default" w:ascii="Times New Roman" w:hAnsi="Times New Roman" w:cs="Times New Roman"/>
                <w:color w:val="auto"/>
                <w:sz w:val="21"/>
                <w:szCs w:val="21"/>
              </w:rPr>
              <w:t>、溶解氧、化学需氧量、高锰酸盐指数、五日生化需氧量、氨氮、总磷、悬浮物、石油类、粪大肠菌群、总氮</w:t>
            </w:r>
          </w:p>
        </w:tc>
      </w:tr>
      <w:tr w14:paraId="527B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Merge w:val="continue"/>
            <w:vAlign w:val="center"/>
          </w:tcPr>
          <w:p w14:paraId="1A40BF4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1" w:type="dxa"/>
            <w:vMerge w:val="continue"/>
            <w:vAlign w:val="center"/>
          </w:tcPr>
          <w:p w14:paraId="03F1C97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6" w:type="dxa"/>
            <w:vAlign w:val="center"/>
          </w:tcPr>
          <w:p w14:paraId="4FC6753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预测评价</w:t>
            </w:r>
          </w:p>
        </w:tc>
        <w:tc>
          <w:tcPr>
            <w:tcW w:w="5638" w:type="dxa"/>
            <w:vAlign w:val="center"/>
          </w:tcPr>
          <w:p w14:paraId="52A086D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w:t>
            </w:r>
            <w:r>
              <w:rPr>
                <w:rFonts w:hint="default" w:ascii="Times New Roman" w:hAnsi="Times New Roman" w:cs="Times New Roman"/>
                <w:color w:val="auto"/>
                <w:szCs w:val="21"/>
                <w:highlight w:val="none"/>
                <w:lang w:val="en-US" w:eastAsia="zh-CN"/>
              </w:rPr>
              <w:t>依托</w:t>
            </w:r>
            <w:r>
              <w:rPr>
                <w:rFonts w:hint="default" w:ascii="Times New Roman" w:hAnsi="Times New Roman" w:cs="Times New Roman"/>
                <w:color w:val="auto"/>
                <w:szCs w:val="21"/>
                <w:highlight w:val="none"/>
              </w:rPr>
              <w:t>可行性、可靠性及事故排放污染分析</w:t>
            </w:r>
          </w:p>
        </w:tc>
      </w:tr>
      <w:tr w14:paraId="030B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Merge w:val="continue"/>
            <w:vAlign w:val="center"/>
          </w:tcPr>
          <w:p w14:paraId="65866DE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1" w:type="dxa"/>
            <w:vMerge w:val="restart"/>
            <w:vAlign w:val="center"/>
          </w:tcPr>
          <w:p w14:paraId="2FA068C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地下水</w:t>
            </w:r>
          </w:p>
        </w:tc>
        <w:tc>
          <w:tcPr>
            <w:tcW w:w="1066" w:type="dxa"/>
            <w:vAlign w:val="center"/>
          </w:tcPr>
          <w:p w14:paraId="054AAB9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现状评价</w:t>
            </w:r>
          </w:p>
        </w:tc>
        <w:tc>
          <w:tcPr>
            <w:tcW w:w="5638" w:type="dxa"/>
            <w:vAlign w:val="center"/>
          </w:tcPr>
          <w:p w14:paraId="441F556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、Mg</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，pH、氨氮、硝酸盐、亚硝酸盐、挥发性酚类、氰化物、砷、汞、六价铬、总硬度、铅、氟化物、镉、铁、锰、溶解性总固体、耗氧量（高锰酸盐指数）、硫酸盐、氯化物、硫化物、总大肠菌群、细菌总数</w:t>
            </w:r>
          </w:p>
        </w:tc>
      </w:tr>
      <w:tr w14:paraId="371CA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Merge w:val="continue"/>
            <w:vAlign w:val="center"/>
          </w:tcPr>
          <w:p w14:paraId="2DBD1AA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1" w:type="dxa"/>
            <w:vMerge w:val="continue"/>
            <w:vAlign w:val="center"/>
          </w:tcPr>
          <w:p w14:paraId="3E544D6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6" w:type="dxa"/>
            <w:vAlign w:val="center"/>
          </w:tcPr>
          <w:p w14:paraId="76347A1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预测评价</w:t>
            </w:r>
          </w:p>
        </w:tc>
        <w:tc>
          <w:tcPr>
            <w:tcW w:w="5638" w:type="dxa"/>
            <w:vAlign w:val="center"/>
          </w:tcPr>
          <w:p w14:paraId="1A7B00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氨氮、</w:t>
            </w:r>
            <w:r>
              <w:rPr>
                <w:rFonts w:hint="default" w:ascii="Times New Roman" w:hAnsi="Times New Roman" w:cs="Times New Roman"/>
                <w:color w:val="auto"/>
                <w:sz w:val="21"/>
                <w:szCs w:val="21"/>
                <w:highlight w:val="none"/>
                <w:lang w:val="en-US" w:eastAsia="zh-CN"/>
              </w:rPr>
              <w:t>COD</w:t>
            </w:r>
            <w:r>
              <w:rPr>
                <w:rFonts w:hint="default" w:ascii="Times New Roman" w:hAnsi="Times New Roman" w:cs="Times New Roman"/>
                <w:color w:val="auto"/>
                <w:sz w:val="21"/>
                <w:szCs w:val="21"/>
                <w:highlight w:val="none"/>
                <w:vertAlign w:val="subscript"/>
                <w:lang w:val="en-US" w:eastAsia="zh-CN"/>
              </w:rPr>
              <w:t>cr</w:t>
            </w:r>
          </w:p>
        </w:tc>
      </w:tr>
      <w:tr w14:paraId="0699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Merge w:val="continue"/>
            <w:vAlign w:val="center"/>
          </w:tcPr>
          <w:p w14:paraId="12D9006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1" w:type="dxa"/>
            <w:vMerge w:val="restart"/>
            <w:vAlign w:val="center"/>
          </w:tcPr>
          <w:p w14:paraId="265F74A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w:t>
            </w:r>
          </w:p>
        </w:tc>
        <w:tc>
          <w:tcPr>
            <w:tcW w:w="1066" w:type="dxa"/>
            <w:vAlign w:val="center"/>
          </w:tcPr>
          <w:p w14:paraId="3F97428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现状评价</w:t>
            </w:r>
          </w:p>
        </w:tc>
        <w:tc>
          <w:tcPr>
            <w:tcW w:w="5638" w:type="dxa"/>
            <w:vAlign w:val="center"/>
          </w:tcPr>
          <w:p w14:paraId="119935D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rPr>
              <w:t>L</w:t>
            </w:r>
            <w:r>
              <w:rPr>
                <w:rFonts w:hint="default" w:ascii="Times New Roman" w:hAnsi="Times New Roman" w:cs="Times New Roman"/>
                <w:color w:val="auto"/>
                <w:kern w:val="0"/>
                <w:szCs w:val="21"/>
                <w:lang w:val="en-US" w:eastAsia="zh-CN"/>
              </w:rPr>
              <w:t xml:space="preserve">d、Ln </w:t>
            </w:r>
            <w:r>
              <w:rPr>
                <w:rFonts w:hint="default" w:ascii="Times New Roman" w:hAnsi="Times New Roman" w:cs="Times New Roman"/>
                <w:color w:val="auto"/>
                <w:kern w:val="0"/>
                <w:szCs w:val="21"/>
              </w:rPr>
              <w:t>dB(A)</w:t>
            </w:r>
          </w:p>
        </w:tc>
      </w:tr>
      <w:tr w14:paraId="6188C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Merge w:val="continue"/>
            <w:vAlign w:val="center"/>
          </w:tcPr>
          <w:p w14:paraId="3519B19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1" w:type="dxa"/>
            <w:vMerge w:val="continue"/>
            <w:vAlign w:val="center"/>
          </w:tcPr>
          <w:p w14:paraId="6CA1757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6" w:type="dxa"/>
            <w:vAlign w:val="center"/>
          </w:tcPr>
          <w:p w14:paraId="2E36030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预测评价</w:t>
            </w:r>
          </w:p>
        </w:tc>
        <w:tc>
          <w:tcPr>
            <w:tcW w:w="5638" w:type="dxa"/>
            <w:vAlign w:val="center"/>
          </w:tcPr>
          <w:p w14:paraId="76E6932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rPr>
              <w:t>L</w:t>
            </w:r>
            <w:r>
              <w:rPr>
                <w:rFonts w:hint="default" w:ascii="Times New Roman" w:hAnsi="Times New Roman" w:cs="Times New Roman"/>
                <w:color w:val="auto"/>
                <w:kern w:val="0"/>
                <w:szCs w:val="21"/>
                <w:lang w:val="en-US" w:eastAsia="zh-CN"/>
              </w:rPr>
              <w:t xml:space="preserve">d、Ln </w:t>
            </w:r>
            <w:r>
              <w:rPr>
                <w:rFonts w:hint="default" w:ascii="Times New Roman" w:hAnsi="Times New Roman" w:cs="Times New Roman"/>
                <w:color w:val="auto"/>
                <w:kern w:val="0"/>
                <w:szCs w:val="21"/>
              </w:rPr>
              <w:t>dB(A)</w:t>
            </w:r>
          </w:p>
        </w:tc>
      </w:tr>
      <w:tr w14:paraId="5EF02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Merge w:val="continue"/>
            <w:vAlign w:val="center"/>
          </w:tcPr>
          <w:p w14:paraId="2C32263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1" w:type="dxa"/>
            <w:vMerge w:val="restart"/>
            <w:vAlign w:val="center"/>
          </w:tcPr>
          <w:p w14:paraId="0BB7FD7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土壤</w:t>
            </w:r>
          </w:p>
        </w:tc>
        <w:tc>
          <w:tcPr>
            <w:tcW w:w="1066" w:type="dxa"/>
            <w:vAlign w:val="center"/>
          </w:tcPr>
          <w:p w14:paraId="647FF26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现状评价</w:t>
            </w:r>
          </w:p>
        </w:tc>
        <w:tc>
          <w:tcPr>
            <w:tcW w:w="5638" w:type="dxa"/>
            <w:vAlign w:val="center"/>
          </w:tcPr>
          <w:p w14:paraId="362BBE4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pH值、镉、汞、砷、铅、铬、铜、镍、锌、含盐量、阳离子交换量、氧化还原电位、饱和导水率、土壤容重、孔隙度</w:t>
            </w:r>
          </w:p>
        </w:tc>
      </w:tr>
      <w:tr w14:paraId="23FD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Merge w:val="continue"/>
            <w:vAlign w:val="center"/>
          </w:tcPr>
          <w:p w14:paraId="0FF8607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1" w:type="dxa"/>
            <w:vMerge w:val="continue"/>
            <w:vAlign w:val="center"/>
          </w:tcPr>
          <w:p w14:paraId="085345E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6" w:type="dxa"/>
            <w:vAlign w:val="center"/>
          </w:tcPr>
          <w:p w14:paraId="5935116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预测评价</w:t>
            </w:r>
          </w:p>
        </w:tc>
        <w:tc>
          <w:tcPr>
            <w:tcW w:w="5638" w:type="dxa"/>
            <w:vAlign w:val="center"/>
          </w:tcPr>
          <w:p w14:paraId="79599AC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 w:val="21"/>
                <w:szCs w:val="21"/>
              </w:rPr>
              <w:t>定性分析事故情况对土壤影响、含盐量</w:t>
            </w:r>
          </w:p>
        </w:tc>
      </w:tr>
      <w:tr w14:paraId="7D3D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Merge w:val="continue"/>
            <w:vAlign w:val="center"/>
          </w:tcPr>
          <w:p w14:paraId="675F75E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1" w:type="dxa"/>
            <w:vAlign w:val="center"/>
          </w:tcPr>
          <w:p w14:paraId="79E503F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固体废物</w:t>
            </w:r>
          </w:p>
        </w:tc>
        <w:tc>
          <w:tcPr>
            <w:tcW w:w="6704" w:type="dxa"/>
            <w:gridSpan w:val="2"/>
            <w:vAlign w:val="center"/>
          </w:tcPr>
          <w:p w14:paraId="31DC091C">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TimesNewRomanPSMT" w:cs="Times New Roman"/>
                <w:color w:val="auto"/>
                <w:kern w:val="0"/>
                <w:szCs w:val="21"/>
                <w:highlight w:val="none"/>
              </w:rPr>
            </w:pPr>
            <w:r>
              <w:rPr>
                <w:rFonts w:hint="default" w:ascii="Times New Roman" w:hAnsi="Times New Roman" w:cs="Times New Roman"/>
                <w:color w:val="auto"/>
                <w:highlight w:val="none"/>
                <w:lang w:bidi="ar"/>
              </w:rPr>
              <w:t>猪粪、病死猪、饲料残渣、废弃包装材料、生活垃圾、隔油池废油、食堂泔水、化粪池污泥；医疗垃圾、废机油。</w:t>
            </w:r>
          </w:p>
        </w:tc>
      </w:tr>
      <w:tr w14:paraId="1571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Merge w:val="continue"/>
            <w:vAlign w:val="center"/>
          </w:tcPr>
          <w:p w14:paraId="06B5EE4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1" w:type="dxa"/>
            <w:vAlign w:val="center"/>
          </w:tcPr>
          <w:p w14:paraId="7041463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生态环境</w:t>
            </w:r>
          </w:p>
        </w:tc>
        <w:tc>
          <w:tcPr>
            <w:tcW w:w="6704" w:type="dxa"/>
            <w:gridSpan w:val="2"/>
            <w:vAlign w:val="center"/>
          </w:tcPr>
          <w:p w14:paraId="6FBF5A1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植被、动植物、土地利用、水土流失</w:t>
            </w:r>
          </w:p>
        </w:tc>
      </w:tr>
      <w:tr w14:paraId="2DDB7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Merge w:val="continue"/>
            <w:vAlign w:val="center"/>
          </w:tcPr>
          <w:p w14:paraId="68B2358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1" w:type="dxa"/>
            <w:vAlign w:val="center"/>
          </w:tcPr>
          <w:p w14:paraId="673D298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w:t>
            </w:r>
          </w:p>
        </w:tc>
        <w:tc>
          <w:tcPr>
            <w:tcW w:w="6704" w:type="dxa"/>
            <w:gridSpan w:val="2"/>
            <w:vAlign w:val="center"/>
          </w:tcPr>
          <w:p w14:paraId="32CC270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H</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lang w:val="en-US" w:eastAsia="zh-CN"/>
              </w:rPr>
              <w:t>S</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废润滑油、</w:t>
            </w:r>
            <w:r>
              <w:rPr>
                <w:rFonts w:hint="default" w:ascii="Times New Roman" w:hAnsi="Times New Roman" w:cs="Times New Roman"/>
                <w:color w:val="auto"/>
                <w:sz w:val="21"/>
                <w:szCs w:val="21"/>
                <w:highlight w:val="none"/>
              </w:rPr>
              <w:t>废机油</w:t>
            </w:r>
            <w:r>
              <w:rPr>
                <w:rFonts w:hint="default" w:ascii="Times New Roman" w:hAnsi="Times New Roman" w:cs="Times New Roman"/>
                <w:b w:val="0"/>
                <w:bCs w:val="0"/>
                <w:color w:val="auto"/>
                <w:sz w:val="21"/>
                <w:szCs w:val="21"/>
                <w:highlight w:val="none"/>
                <w:lang w:val="en-US" w:eastAsia="zh-CN"/>
              </w:rPr>
              <w:t>、柴油</w:t>
            </w:r>
          </w:p>
        </w:tc>
      </w:tr>
    </w:tbl>
    <w:p w14:paraId="38E30DFF">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Style w:val="34"/>
          <w:rFonts w:hint="default" w:ascii="Times New Roman" w:hAnsi="Times New Roman" w:cs="Times New Roman"/>
          <w:b w:val="0"/>
          <w:bCs w:val="0"/>
          <w:color w:val="auto"/>
          <w:sz w:val="24"/>
          <w:highlight w:val="none"/>
        </w:rPr>
      </w:pPr>
      <w:bookmarkStart w:id="71" w:name="_Toc26750"/>
      <w:bookmarkStart w:id="72" w:name="_Toc267948879"/>
      <w:bookmarkStart w:id="73" w:name="_Toc323657558"/>
      <w:bookmarkStart w:id="74" w:name="_Toc4974"/>
      <w:bookmarkStart w:id="75" w:name="_Toc6803"/>
      <w:bookmarkStart w:id="76" w:name="_Toc316388619"/>
      <w:bookmarkStart w:id="77" w:name="_Toc3974"/>
      <w:bookmarkStart w:id="78" w:name="_Toc10776"/>
      <w:bookmarkStart w:id="79" w:name="_Toc267948880"/>
      <w:bookmarkStart w:id="80" w:name="_Toc316388622"/>
      <w:bookmarkStart w:id="81" w:name="_Toc323657561"/>
      <w:bookmarkStart w:id="82" w:name="_Toc5411"/>
      <w:bookmarkStart w:id="83" w:name="_Toc29392"/>
      <w:r>
        <w:rPr>
          <w:rStyle w:val="34"/>
          <w:rFonts w:hint="default" w:ascii="Times New Roman" w:hAnsi="Times New Roman" w:cs="Times New Roman"/>
          <w:b w:val="0"/>
          <w:bCs w:val="0"/>
          <w:color w:val="auto"/>
          <w:sz w:val="24"/>
          <w:highlight w:val="none"/>
        </w:rPr>
        <w:t>1.</w:t>
      </w:r>
      <w:r>
        <w:rPr>
          <w:rStyle w:val="34"/>
          <w:rFonts w:hint="default" w:ascii="Times New Roman" w:hAnsi="Times New Roman" w:cs="Times New Roman"/>
          <w:b w:val="0"/>
          <w:bCs w:val="0"/>
          <w:color w:val="auto"/>
          <w:sz w:val="24"/>
          <w:highlight w:val="none"/>
          <w:lang w:val="en-US"/>
        </w:rPr>
        <w:t>4</w:t>
      </w:r>
      <w:r>
        <w:rPr>
          <w:rStyle w:val="34"/>
          <w:rFonts w:hint="default" w:ascii="Times New Roman" w:hAnsi="Times New Roman" w:cs="Times New Roman"/>
          <w:b w:val="0"/>
          <w:bCs w:val="0"/>
          <w:color w:val="auto"/>
          <w:sz w:val="24"/>
          <w:highlight w:val="none"/>
        </w:rPr>
        <w:t>评价标准</w:t>
      </w:r>
      <w:bookmarkEnd w:id="71"/>
      <w:bookmarkEnd w:id="72"/>
      <w:bookmarkEnd w:id="73"/>
      <w:bookmarkEnd w:id="74"/>
      <w:bookmarkEnd w:id="75"/>
      <w:bookmarkEnd w:id="76"/>
      <w:bookmarkEnd w:id="77"/>
      <w:bookmarkEnd w:id="78"/>
    </w:p>
    <w:p w14:paraId="1EE419F5">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eastAsia="zh-CN"/>
        </w:rPr>
      </w:pPr>
      <w:bookmarkStart w:id="84" w:name="_Toc5639"/>
      <w:bookmarkStart w:id="85" w:name="_Toc6275"/>
      <w:bookmarkStart w:id="86" w:name="_Toc316388620"/>
      <w:bookmarkStart w:id="87" w:name="_Toc323657559"/>
      <w:r>
        <w:rPr>
          <w:rFonts w:hint="default" w:ascii="Times New Roman" w:hAnsi="Times New Roman" w:eastAsia="宋体" w:cs="Times New Roman"/>
          <w:color w:val="auto"/>
          <w:lang w:eastAsia="zh-CN"/>
        </w:rPr>
        <w:t>1.</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.1环境质量标准</w:t>
      </w:r>
      <w:bookmarkEnd w:id="84"/>
      <w:bookmarkEnd w:id="85"/>
      <w:bookmarkEnd w:id="86"/>
      <w:bookmarkEnd w:id="87"/>
    </w:p>
    <w:p w14:paraId="3142E44E">
      <w:pPr>
        <w:pStyle w:val="12"/>
        <w:snapToGrid w:val="0"/>
        <w:ind w:firstLine="482" w:firstLineChars="200"/>
        <w:rPr>
          <w:rFonts w:hint="default" w:ascii="Times New Roman" w:hAnsi="Times New Roman" w:cs="Times New Roman"/>
          <w:b/>
          <w:color w:val="auto"/>
          <w:highlight w:val="none"/>
        </w:rPr>
      </w:pPr>
      <w:r>
        <w:rPr>
          <w:rFonts w:hint="default" w:ascii="Times New Roman" w:hAnsi="Times New Roman" w:cs="Times New Roman"/>
          <w:b/>
          <w:color w:val="auto"/>
          <w:highlight w:val="none"/>
        </w:rPr>
        <w:t>（1）大气环境</w:t>
      </w:r>
    </w:p>
    <w:p w14:paraId="5353BCBF">
      <w:pPr>
        <w:pStyle w:val="36"/>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项目位于</w:t>
      </w:r>
      <w:r>
        <w:rPr>
          <w:rFonts w:hint="default" w:ascii="Times New Roman" w:hAnsi="Times New Roman" w:cs="Times New Roman"/>
          <w:bCs/>
          <w:color w:val="auto"/>
          <w:highlight w:val="none"/>
          <w:lang w:eastAsia="zh-CN"/>
        </w:rPr>
        <w:t>弥勒市新哨镇猴街居委会猴街二组</w:t>
      </w:r>
      <w:r>
        <w:rPr>
          <w:rFonts w:hint="default" w:ascii="Times New Roman" w:hAnsi="Times New Roman" w:cs="Times New Roman"/>
          <w:color w:val="auto"/>
          <w:highlight w:val="none"/>
        </w:rPr>
        <w:t>，属环境空气质量二类功能区。项目区环境空气质量执行《环境空气质量标准》（GB3095-2012）及其修改单中的二级标准。标准值见表1.</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-1。</w:t>
      </w:r>
    </w:p>
    <w:p w14:paraId="0B9DFBBD">
      <w:pPr>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表1.</w:t>
      </w:r>
      <w:r>
        <w:rPr>
          <w:rFonts w:hint="default" w:ascii="Times New Roman" w:hAnsi="Times New Roman" w:cs="Times New Roman"/>
          <w:b/>
          <w:color w:val="auto"/>
          <w:highlight w:val="none"/>
          <w:lang w:val="en-US" w:eastAsia="zh-CN"/>
        </w:rPr>
        <w:t>4</w:t>
      </w:r>
      <w:r>
        <w:rPr>
          <w:rFonts w:hint="default" w:ascii="Times New Roman" w:hAnsi="Times New Roman" w:cs="Times New Roman"/>
          <w:b/>
          <w:color w:val="auto"/>
          <w:highlight w:val="none"/>
        </w:rPr>
        <w:t>-1  环境空气质量标准</w:t>
      </w:r>
    </w:p>
    <w:tbl>
      <w:tblPr>
        <w:tblStyle w:val="23"/>
        <w:tblW w:w="8795"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2373"/>
        <w:gridCol w:w="1638"/>
        <w:gridCol w:w="2269"/>
        <w:gridCol w:w="1456"/>
      </w:tblGrid>
      <w:tr w14:paraId="30EDD12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59" w:type="dxa"/>
            <w:vAlign w:val="center"/>
          </w:tcPr>
          <w:p w14:paraId="24BA4911">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2373" w:type="dxa"/>
            <w:vAlign w:val="center"/>
          </w:tcPr>
          <w:p w14:paraId="20B917DD">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污染物项目</w:t>
            </w:r>
          </w:p>
        </w:tc>
        <w:tc>
          <w:tcPr>
            <w:tcW w:w="1638" w:type="dxa"/>
            <w:vAlign w:val="center"/>
          </w:tcPr>
          <w:p w14:paraId="14CBA318">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平均时间</w:t>
            </w:r>
          </w:p>
        </w:tc>
        <w:tc>
          <w:tcPr>
            <w:tcW w:w="2269" w:type="dxa"/>
            <w:vAlign w:val="center"/>
          </w:tcPr>
          <w:p w14:paraId="3F9395F6">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浓度限值</w:t>
            </w:r>
          </w:p>
        </w:tc>
        <w:tc>
          <w:tcPr>
            <w:tcW w:w="1456" w:type="dxa"/>
          </w:tcPr>
          <w:p w14:paraId="37D1CBC3">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单位</w:t>
            </w:r>
          </w:p>
        </w:tc>
      </w:tr>
      <w:tr w14:paraId="300DACB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59" w:type="dxa"/>
            <w:vMerge w:val="restart"/>
            <w:vAlign w:val="center"/>
          </w:tcPr>
          <w:p w14:paraId="65822AB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373" w:type="dxa"/>
            <w:vMerge w:val="restart"/>
            <w:vAlign w:val="center"/>
          </w:tcPr>
          <w:p w14:paraId="527964D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二氧化硫（SO</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w:t>
            </w:r>
          </w:p>
        </w:tc>
        <w:tc>
          <w:tcPr>
            <w:tcW w:w="1638" w:type="dxa"/>
            <w:vAlign w:val="center"/>
          </w:tcPr>
          <w:p w14:paraId="5462D61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w:t>
            </w:r>
          </w:p>
        </w:tc>
        <w:tc>
          <w:tcPr>
            <w:tcW w:w="2269" w:type="dxa"/>
            <w:vAlign w:val="center"/>
          </w:tcPr>
          <w:p w14:paraId="388795F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1456" w:type="dxa"/>
            <w:vMerge w:val="restart"/>
            <w:vAlign w:val="center"/>
          </w:tcPr>
          <w:p w14:paraId="167C491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μg/m</w:t>
            </w:r>
            <w:r>
              <w:rPr>
                <w:rFonts w:hint="default" w:ascii="Times New Roman" w:hAnsi="Times New Roman" w:cs="Times New Roman"/>
                <w:color w:val="auto"/>
                <w:szCs w:val="21"/>
                <w:highlight w:val="none"/>
                <w:vertAlign w:val="superscript"/>
              </w:rPr>
              <w:t>3</w:t>
            </w:r>
          </w:p>
        </w:tc>
      </w:tr>
      <w:tr w14:paraId="3B37C2B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59" w:type="dxa"/>
            <w:vMerge w:val="continue"/>
            <w:vAlign w:val="center"/>
          </w:tcPr>
          <w:p w14:paraId="35AC39B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373" w:type="dxa"/>
            <w:vMerge w:val="continue"/>
            <w:vAlign w:val="center"/>
          </w:tcPr>
          <w:p w14:paraId="764DC52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638" w:type="dxa"/>
            <w:vAlign w:val="center"/>
          </w:tcPr>
          <w:p w14:paraId="3DDDBE1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269" w:type="dxa"/>
            <w:vAlign w:val="center"/>
          </w:tcPr>
          <w:p w14:paraId="4DBD962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1456" w:type="dxa"/>
            <w:vMerge w:val="continue"/>
            <w:vAlign w:val="center"/>
          </w:tcPr>
          <w:p w14:paraId="0720F77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48D3B84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59" w:type="dxa"/>
            <w:vMerge w:val="continue"/>
            <w:vAlign w:val="center"/>
          </w:tcPr>
          <w:p w14:paraId="57C4CA1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373" w:type="dxa"/>
            <w:vMerge w:val="continue"/>
            <w:vAlign w:val="center"/>
          </w:tcPr>
          <w:p w14:paraId="7605E04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638" w:type="dxa"/>
            <w:vAlign w:val="center"/>
          </w:tcPr>
          <w:p w14:paraId="6C611B6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1小时平均</w:t>
            </w:r>
          </w:p>
        </w:tc>
        <w:tc>
          <w:tcPr>
            <w:tcW w:w="2269" w:type="dxa"/>
            <w:vAlign w:val="center"/>
          </w:tcPr>
          <w:p w14:paraId="1CE304A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w:t>
            </w:r>
          </w:p>
        </w:tc>
        <w:tc>
          <w:tcPr>
            <w:tcW w:w="1456" w:type="dxa"/>
            <w:vMerge w:val="continue"/>
            <w:vAlign w:val="center"/>
          </w:tcPr>
          <w:p w14:paraId="4C1012B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36C4B1A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59" w:type="dxa"/>
            <w:vMerge w:val="restart"/>
            <w:vAlign w:val="center"/>
          </w:tcPr>
          <w:p w14:paraId="6170C67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2373" w:type="dxa"/>
            <w:vMerge w:val="restart"/>
            <w:vAlign w:val="center"/>
          </w:tcPr>
          <w:p w14:paraId="47A1277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二氧化氮（NO</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w:t>
            </w:r>
          </w:p>
        </w:tc>
        <w:tc>
          <w:tcPr>
            <w:tcW w:w="1638" w:type="dxa"/>
            <w:vAlign w:val="center"/>
          </w:tcPr>
          <w:p w14:paraId="3570CC5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w:t>
            </w:r>
          </w:p>
        </w:tc>
        <w:tc>
          <w:tcPr>
            <w:tcW w:w="2269" w:type="dxa"/>
            <w:vAlign w:val="center"/>
          </w:tcPr>
          <w:p w14:paraId="4CC75A7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c>
          <w:tcPr>
            <w:tcW w:w="1456" w:type="dxa"/>
            <w:vMerge w:val="continue"/>
            <w:vAlign w:val="center"/>
          </w:tcPr>
          <w:p w14:paraId="5B00B17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103B1D8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59" w:type="dxa"/>
            <w:vMerge w:val="continue"/>
            <w:vAlign w:val="center"/>
          </w:tcPr>
          <w:p w14:paraId="5F5468B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373" w:type="dxa"/>
            <w:vMerge w:val="continue"/>
            <w:vAlign w:val="center"/>
          </w:tcPr>
          <w:p w14:paraId="183518A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638" w:type="dxa"/>
            <w:vAlign w:val="center"/>
          </w:tcPr>
          <w:p w14:paraId="4F0BBAA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269" w:type="dxa"/>
            <w:vAlign w:val="center"/>
          </w:tcPr>
          <w:p w14:paraId="25742DC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80</w:t>
            </w:r>
          </w:p>
        </w:tc>
        <w:tc>
          <w:tcPr>
            <w:tcW w:w="1456" w:type="dxa"/>
            <w:vMerge w:val="continue"/>
            <w:vAlign w:val="center"/>
          </w:tcPr>
          <w:p w14:paraId="6E1A4A5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5171DB2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59" w:type="dxa"/>
            <w:vMerge w:val="continue"/>
            <w:vAlign w:val="center"/>
          </w:tcPr>
          <w:p w14:paraId="0F1CF72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373" w:type="dxa"/>
            <w:vMerge w:val="continue"/>
            <w:vAlign w:val="center"/>
          </w:tcPr>
          <w:p w14:paraId="1DF9188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638" w:type="dxa"/>
            <w:vAlign w:val="center"/>
          </w:tcPr>
          <w:p w14:paraId="057E621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1小时平均</w:t>
            </w:r>
          </w:p>
        </w:tc>
        <w:tc>
          <w:tcPr>
            <w:tcW w:w="2269" w:type="dxa"/>
            <w:vAlign w:val="center"/>
          </w:tcPr>
          <w:p w14:paraId="76176EB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1456" w:type="dxa"/>
            <w:vMerge w:val="continue"/>
            <w:vAlign w:val="center"/>
          </w:tcPr>
          <w:p w14:paraId="485E583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2715341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59" w:type="dxa"/>
            <w:vMerge w:val="restart"/>
            <w:vAlign w:val="center"/>
          </w:tcPr>
          <w:p w14:paraId="0FD38DD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2373" w:type="dxa"/>
            <w:vMerge w:val="restart"/>
            <w:vAlign w:val="center"/>
          </w:tcPr>
          <w:p w14:paraId="564E563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总悬浮颗粒物（TSP）</w:t>
            </w:r>
          </w:p>
        </w:tc>
        <w:tc>
          <w:tcPr>
            <w:tcW w:w="1638" w:type="dxa"/>
            <w:vAlign w:val="center"/>
          </w:tcPr>
          <w:p w14:paraId="3E19B9B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w:t>
            </w:r>
          </w:p>
        </w:tc>
        <w:tc>
          <w:tcPr>
            <w:tcW w:w="2269" w:type="dxa"/>
            <w:vAlign w:val="center"/>
          </w:tcPr>
          <w:p w14:paraId="76FE93E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1456" w:type="dxa"/>
            <w:vMerge w:val="continue"/>
            <w:vAlign w:val="center"/>
          </w:tcPr>
          <w:p w14:paraId="14657CF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2C7D608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59" w:type="dxa"/>
            <w:vMerge w:val="continue"/>
            <w:vAlign w:val="center"/>
          </w:tcPr>
          <w:p w14:paraId="36FCEF1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373" w:type="dxa"/>
            <w:vMerge w:val="continue"/>
            <w:vAlign w:val="center"/>
          </w:tcPr>
          <w:p w14:paraId="4A3E674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638" w:type="dxa"/>
            <w:vAlign w:val="center"/>
          </w:tcPr>
          <w:p w14:paraId="54DFB1F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269" w:type="dxa"/>
            <w:vAlign w:val="center"/>
          </w:tcPr>
          <w:p w14:paraId="7E5ED6B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300</w:t>
            </w:r>
          </w:p>
        </w:tc>
        <w:tc>
          <w:tcPr>
            <w:tcW w:w="1456" w:type="dxa"/>
            <w:vMerge w:val="continue"/>
            <w:vAlign w:val="center"/>
          </w:tcPr>
          <w:p w14:paraId="5C67AAE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4E1B0A2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59" w:type="dxa"/>
            <w:vMerge w:val="restart"/>
            <w:vAlign w:val="center"/>
          </w:tcPr>
          <w:p w14:paraId="7D71F86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2373" w:type="dxa"/>
            <w:vMerge w:val="restart"/>
            <w:vAlign w:val="center"/>
          </w:tcPr>
          <w:p w14:paraId="29219BD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细颗粒物（PM</w:t>
            </w:r>
            <w:r>
              <w:rPr>
                <w:rFonts w:hint="default" w:ascii="Times New Roman" w:hAnsi="Times New Roman" w:cs="Times New Roman"/>
                <w:color w:val="auto"/>
                <w:szCs w:val="21"/>
                <w:highlight w:val="none"/>
                <w:vertAlign w:val="subscript"/>
              </w:rPr>
              <w:t>2.5</w:t>
            </w:r>
            <w:r>
              <w:rPr>
                <w:rFonts w:hint="default" w:ascii="Times New Roman" w:hAnsi="Times New Roman" w:cs="Times New Roman"/>
                <w:color w:val="auto"/>
                <w:szCs w:val="21"/>
                <w:highlight w:val="none"/>
              </w:rPr>
              <w:t>）</w:t>
            </w:r>
          </w:p>
        </w:tc>
        <w:tc>
          <w:tcPr>
            <w:tcW w:w="1638" w:type="dxa"/>
            <w:vAlign w:val="center"/>
          </w:tcPr>
          <w:p w14:paraId="275B04B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w:t>
            </w:r>
          </w:p>
        </w:tc>
        <w:tc>
          <w:tcPr>
            <w:tcW w:w="2269" w:type="dxa"/>
            <w:vAlign w:val="center"/>
          </w:tcPr>
          <w:p w14:paraId="2D38DB4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c>
          <w:tcPr>
            <w:tcW w:w="1456" w:type="dxa"/>
            <w:vMerge w:val="continue"/>
            <w:vAlign w:val="center"/>
          </w:tcPr>
          <w:p w14:paraId="43F9CC4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524C001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59" w:type="dxa"/>
            <w:vMerge w:val="continue"/>
            <w:vAlign w:val="center"/>
          </w:tcPr>
          <w:p w14:paraId="080DFCD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373" w:type="dxa"/>
            <w:vMerge w:val="continue"/>
            <w:vAlign w:val="center"/>
          </w:tcPr>
          <w:p w14:paraId="7D49E85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638" w:type="dxa"/>
            <w:vAlign w:val="center"/>
          </w:tcPr>
          <w:p w14:paraId="04F228C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269" w:type="dxa"/>
            <w:vAlign w:val="center"/>
          </w:tcPr>
          <w:p w14:paraId="783D390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75</w:t>
            </w:r>
          </w:p>
        </w:tc>
        <w:tc>
          <w:tcPr>
            <w:tcW w:w="1456" w:type="dxa"/>
            <w:vMerge w:val="continue"/>
            <w:vAlign w:val="center"/>
          </w:tcPr>
          <w:p w14:paraId="75C9243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726A9E1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59" w:type="dxa"/>
            <w:vMerge w:val="restart"/>
            <w:vAlign w:val="center"/>
          </w:tcPr>
          <w:p w14:paraId="1D2FD76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2373" w:type="dxa"/>
            <w:vMerge w:val="restart"/>
            <w:vAlign w:val="center"/>
          </w:tcPr>
          <w:p w14:paraId="268C72C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可吸入颗粒物（PM</w:t>
            </w:r>
            <w:r>
              <w:rPr>
                <w:rFonts w:hint="default" w:ascii="Times New Roman" w:hAnsi="Times New Roman" w:cs="Times New Roman"/>
                <w:color w:val="auto"/>
                <w:szCs w:val="21"/>
                <w:highlight w:val="none"/>
                <w:vertAlign w:val="subscript"/>
              </w:rPr>
              <w:t>10</w:t>
            </w:r>
            <w:r>
              <w:rPr>
                <w:rFonts w:hint="default" w:ascii="Times New Roman" w:hAnsi="Times New Roman" w:cs="Times New Roman"/>
                <w:color w:val="auto"/>
                <w:szCs w:val="21"/>
                <w:highlight w:val="none"/>
              </w:rPr>
              <w:t>）</w:t>
            </w:r>
          </w:p>
        </w:tc>
        <w:tc>
          <w:tcPr>
            <w:tcW w:w="1638" w:type="dxa"/>
            <w:vAlign w:val="center"/>
          </w:tcPr>
          <w:p w14:paraId="54C2DDB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w:t>
            </w:r>
          </w:p>
        </w:tc>
        <w:tc>
          <w:tcPr>
            <w:tcW w:w="2269" w:type="dxa"/>
            <w:vAlign w:val="center"/>
          </w:tcPr>
          <w:p w14:paraId="5A0BF64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1456" w:type="dxa"/>
            <w:vMerge w:val="continue"/>
            <w:vAlign w:val="center"/>
          </w:tcPr>
          <w:p w14:paraId="393206A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7CAE580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59" w:type="dxa"/>
            <w:vMerge w:val="continue"/>
            <w:vAlign w:val="center"/>
          </w:tcPr>
          <w:p w14:paraId="6F4D66F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373" w:type="dxa"/>
            <w:vMerge w:val="continue"/>
            <w:vAlign w:val="center"/>
          </w:tcPr>
          <w:p w14:paraId="5EC85DA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638" w:type="dxa"/>
            <w:vAlign w:val="center"/>
          </w:tcPr>
          <w:p w14:paraId="68B1597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269" w:type="dxa"/>
            <w:vAlign w:val="center"/>
          </w:tcPr>
          <w:p w14:paraId="4818449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1456" w:type="dxa"/>
            <w:vMerge w:val="continue"/>
            <w:vAlign w:val="center"/>
          </w:tcPr>
          <w:p w14:paraId="0B475F2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6350F1D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59" w:type="dxa"/>
            <w:vMerge w:val="restart"/>
            <w:vAlign w:val="center"/>
          </w:tcPr>
          <w:p w14:paraId="3614A05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2373" w:type="dxa"/>
            <w:vMerge w:val="restart"/>
            <w:vAlign w:val="center"/>
          </w:tcPr>
          <w:p w14:paraId="190C0B0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一氧化碳（CO）</w:t>
            </w:r>
          </w:p>
        </w:tc>
        <w:tc>
          <w:tcPr>
            <w:tcW w:w="1638" w:type="dxa"/>
            <w:vAlign w:val="center"/>
          </w:tcPr>
          <w:p w14:paraId="79369CA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269" w:type="dxa"/>
            <w:vAlign w:val="center"/>
          </w:tcPr>
          <w:p w14:paraId="6A55DC2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456" w:type="dxa"/>
            <w:vMerge w:val="restart"/>
            <w:vAlign w:val="center"/>
          </w:tcPr>
          <w:p w14:paraId="2419C8D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r>
      <w:tr w14:paraId="0BBFEDF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59" w:type="dxa"/>
            <w:vMerge w:val="continue"/>
            <w:vAlign w:val="center"/>
          </w:tcPr>
          <w:p w14:paraId="1BB820E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373" w:type="dxa"/>
            <w:vMerge w:val="continue"/>
            <w:vAlign w:val="center"/>
          </w:tcPr>
          <w:p w14:paraId="4D6586E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638" w:type="dxa"/>
            <w:vAlign w:val="center"/>
          </w:tcPr>
          <w:p w14:paraId="1128376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1小时平均</w:t>
            </w:r>
          </w:p>
        </w:tc>
        <w:tc>
          <w:tcPr>
            <w:tcW w:w="2269" w:type="dxa"/>
            <w:vAlign w:val="center"/>
          </w:tcPr>
          <w:p w14:paraId="2AA8E6B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1456" w:type="dxa"/>
            <w:vMerge w:val="continue"/>
            <w:vAlign w:val="center"/>
          </w:tcPr>
          <w:p w14:paraId="7EA022B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6393CCD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59" w:type="dxa"/>
            <w:vMerge w:val="restart"/>
            <w:vAlign w:val="center"/>
          </w:tcPr>
          <w:p w14:paraId="7508678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2373" w:type="dxa"/>
            <w:vMerge w:val="restart"/>
            <w:vAlign w:val="center"/>
          </w:tcPr>
          <w:p w14:paraId="6CF5E82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臭氧（O</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w:t>
            </w:r>
          </w:p>
        </w:tc>
        <w:tc>
          <w:tcPr>
            <w:tcW w:w="1638" w:type="dxa"/>
            <w:vAlign w:val="center"/>
          </w:tcPr>
          <w:p w14:paraId="3544353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日最大8h平均</w:t>
            </w:r>
          </w:p>
        </w:tc>
        <w:tc>
          <w:tcPr>
            <w:tcW w:w="2269" w:type="dxa"/>
            <w:vAlign w:val="center"/>
          </w:tcPr>
          <w:p w14:paraId="2B737B9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160</w:t>
            </w:r>
          </w:p>
        </w:tc>
        <w:tc>
          <w:tcPr>
            <w:tcW w:w="1456" w:type="dxa"/>
            <w:vMerge w:val="restart"/>
            <w:vAlign w:val="center"/>
          </w:tcPr>
          <w:p w14:paraId="70F25F1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μg/m</w:t>
            </w:r>
            <w:r>
              <w:rPr>
                <w:rFonts w:hint="default" w:ascii="Times New Roman" w:hAnsi="Times New Roman" w:cs="Times New Roman"/>
                <w:color w:val="auto"/>
                <w:szCs w:val="21"/>
                <w:highlight w:val="none"/>
                <w:vertAlign w:val="superscript"/>
              </w:rPr>
              <w:t>3</w:t>
            </w:r>
          </w:p>
        </w:tc>
      </w:tr>
      <w:tr w14:paraId="5B58726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59" w:type="dxa"/>
            <w:vMerge w:val="continue"/>
            <w:vAlign w:val="center"/>
          </w:tcPr>
          <w:p w14:paraId="4534007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373" w:type="dxa"/>
            <w:vMerge w:val="continue"/>
            <w:vAlign w:val="center"/>
          </w:tcPr>
          <w:p w14:paraId="35F4C09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638" w:type="dxa"/>
            <w:vAlign w:val="center"/>
          </w:tcPr>
          <w:p w14:paraId="0A98752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1小时平均</w:t>
            </w:r>
          </w:p>
        </w:tc>
        <w:tc>
          <w:tcPr>
            <w:tcW w:w="2269" w:type="dxa"/>
            <w:vAlign w:val="center"/>
          </w:tcPr>
          <w:p w14:paraId="62546E3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1456" w:type="dxa"/>
            <w:vMerge w:val="continue"/>
            <w:vAlign w:val="center"/>
          </w:tcPr>
          <w:p w14:paraId="34AB0E2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bl>
    <w:p w14:paraId="4A40F172">
      <w:pPr>
        <w:adjustRightInd w:val="0"/>
        <w:snapToGrid w:val="0"/>
        <w:spacing w:before="156" w:beforeLines="5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S参照执行《环境影响评价技术导则 大气环境》（HJ2.2-2018）附录D其他污染物空气质量浓度参考限值要求，具体详见表1.</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-2。</w:t>
      </w:r>
    </w:p>
    <w:p w14:paraId="15810E3F">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表1.</w:t>
      </w:r>
      <w:r>
        <w:rPr>
          <w:rFonts w:hint="default" w:ascii="Times New Roman" w:hAnsi="Times New Roman" w:cs="Times New Roman"/>
          <w:b/>
          <w:color w:val="auto"/>
          <w:szCs w:val="21"/>
          <w:highlight w:val="none"/>
          <w:lang w:val="en-US" w:eastAsia="zh-CN"/>
        </w:rPr>
        <w:t>4</w:t>
      </w:r>
      <w:r>
        <w:rPr>
          <w:rFonts w:hint="default" w:ascii="Times New Roman" w:hAnsi="Times New Roman" w:cs="Times New Roman"/>
          <w:b/>
          <w:color w:val="auto"/>
          <w:szCs w:val="21"/>
          <w:highlight w:val="none"/>
        </w:rPr>
        <w:t>-2    NH</w:t>
      </w:r>
      <w:r>
        <w:rPr>
          <w:rFonts w:hint="default" w:ascii="Times New Roman" w:hAnsi="Times New Roman" w:cs="Times New Roman"/>
          <w:b/>
          <w:color w:val="auto"/>
          <w:szCs w:val="21"/>
          <w:highlight w:val="none"/>
          <w:vertAlign w:val="subscript"/>
        </w:rPr>
        <w:t>3</w:t>
      </w:r>
      <w:r>
        <w:rPr>
          <w:rFonts w:hint="default" w:ascii="Times New Roman" w:hAnsi="Times New Roman" w:cs="Times New Roman"/>
          <w:b/>
          <w:color w:val="auto"/>
          <w:szCs w:val="21"/>
          <w:highlight w:val="none"/>
        </w:rPr>
        <w:t>、H</w:t>
      </w:r>
      <w:r>
        <w:rPr>
          <w:rFonts w:hint="default" w:ascii="Times New Roman" w:hAnsi="Times New Roman" w:cs="Times New Roman"/>
          <w:b/>
          <w:color w:val="auto"/>
          <w:szCs w:val="21"/>
          <w:highlight w:val="none"/>
          <w:vertAlign w:val="subscript"/>
        </w:rPr>
        <w:t>2</w:t>
      </w:r>
      <w:r>
        <w:rPr>
          <w:rFonts w:hint="default" w:ascii="Times New Roman" w:hAnsi="Times New Roman" w:cs="Times New Roman"/>
          <w:b/>
          <w:color w:val="auto"/>
          <w:szCs w:val="21"/>
          <w:highlight w:val="none"/>
        </w:rPr>
        <w:t xml:space="preserve">S环境空气质量浓度   </w:t>
      </w:r>
    </w:p>
    <w:tbl>
      <w:tblPr>
        <w:tblStyle w:val="23"/>
        <w:tblW w:w="87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94"/>
        <w:gridCol w:w="2601"/>
        <w:gridCol w:w="3300"/>
      </w:tblGrid>
      <w:tr w14:paraId="62C5A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94" w:type="dxa"/>
          </w:tcPr>
          <w:p w14:paraId="21D84066">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污染物</w:t>
            </w:r>
          </w:p>
        </w:tc>
        <w:tc>
          <w:tcPr>
            <w:tcW w:w="2601" w:type="dxa"/>
          </w:tcPr>
          <w:p w14:paraId="18F80C9E">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1小时平均</w:t>
            </w:r>
          </w:p>
        </w:tc>
        <w:tc>
          <w:tcPr>
            <w:tcW w:w="3300" w:type="dxa"/>
          </w:tcPr>
          <w:p w14:paraId="731F604C">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标准</w:t>
            </w:r>
          </w:p>
        </w:tc>
      </w:tr>
      <w:tr w14:paraId="23B34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94" w:type="dxa"/>
          </w:tcPr>
          <w:p w14:paraId="4D66AB44">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p>
        </w:tc>
        <w:tc>
          <w:tcPr>
            <w:tcW w:w="2601" w:type="dxa"/>
          </w:tcPr>
          <w:p w14:paraId="4646B072">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200μg/m</w:t>
            </w:r>
            <w:r>
              <w:rPr>
                <w:rFonts w:hint="default" w:ascii="Times New Roman" w:hAnsi="Times New Roman" w:cs="Times New Roman"/>
                <w:color w:val="auto"/>
                <w:szCs w:val="21"/>
                <w:highlight w:val="none"/>
                <w:vertAlign w:val="superscript"/>
              </w:rPr>
              <w:t>3</w:t>
            </w:r>
          </w:p>
        </w:tc>
        <w:tc>
          <w:tcPr>
            <w:tcW w:w="3300" w:type="dxa"/>
            <w:vMerge w:val="restart"/>
          </w:tcPr>
          <w:p w14:paraId="62DDC116">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《环境影响评价技术导则 大气环境》（HJ2.2-2018）附录D</w:t>
            </w:r>
          </w:p>
        </w:tc>
      </w:tr>
      <w:tr w14:paraId="48B99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94" w:type="dxa"/>
          </w:tcPr>
          <w:p w14:paraId="103836E8">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S</w:t>
            </w:r>
          </w:p>
        </w:tc>
        <w:tc>
          <w:tcPr>
            <w:tcW w:w="2601" w:type="dxa"/>
          </w:tcPr>
          <w:p w14:paraId="04243694">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10μg/m</w:t>
            </w:r>
            <w:r>
              <w:rPr>
                <w:rFonts w:hint="default" w:ascii="Times New Roman" w:hAnsi="Times New Roman" w:cs="Times New Roman"/>
                <w:color w:val="auto"/>
                <w:szCs w:val="21"/>
                <w:highlight w:val="none"/>
                <w:vertAlign w:val="superscript"/>
              </w:rPr>
              <w:t>3</w:t>
            </w:r>
          </w:p>
        </w:tc>
        <w:tc>
          <w:tcPr>
            <w:tcW w:w="3300" w:type="dxa"/>
            <w:vMerge w:val="continue"/>
          </w:tcPr>
          <w:p w14:paraId="2C9CE247">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r>
    </w:tbl>
    <w:p w14:paraId="5BC4B488">
      <w:pPr>
        <w:pStyle w:val="12"/>
        <w:snapToGrid w:val="0"/>
        <w:spacing w:before="156" w:beforeLines="50"/>
        <w:ind w:firstLine="482" w:firstLineChars="200"/>
        <w:rPr>
          <w:rFonts w:hint="default" w:ascii="Times New Roman" w:hAnsi="Times New Roman" w:cs="Times New Roman"/>
          <w:b/>
          <w:color w:val="auto"/>
          <w:highlight w:val="none"/>
        </w:rPr>
      </w:pPr>
      <w:r>
        <w:rPr>
          <w:rFonts w:hint="default" w:ascii="Times New Roman" w:hAnsi="Times New Roman" w:cs="Times New Roman"/>
          <w:b/>
          <w:color w:val="auto"/>
          <w:highlight w:val="none"/>
        </w:rPr>
        <w:t>（2）地表水环境</w:t>
      </w:r>
    </w:p>
    <w:p w14:paraId="67B4A47D">
      <w:pPr>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szCs w:val="20"/>
          <w:highlight w:val="none"/>
          <w:lang w:bidi="ar"/>
        </w:rPr>
        <w:t>本项目所在区域内的地表河流为甸溪河，甸溪河属</w:t>
      </w:r>
      <w:r>
        <w:rPr>
          <w:rFonts w:hint="default" w:ascii="Times New Roman" w:hAnsi="Times New Roman" w:cs="Times New Roman"/>
          <w:color w:val="auto"/>
          <w:sz w:val="24"/>
          <w:szCs w:val="20"/>
          <w:highlight w:val="none"/>
          <w:lang w:eastAsia="zh-CN" w:bidi="ar"/>
        </w:rPr>
        <w:t>珠江</w:t>
      </w:r>
      <w:r>
        <w:rPr>
          <w:rFonts w:hint="default" w:ascii="Times New Roman" w:hAnsi="Times New Roman" w:cs="Times New Roman"/>
          <w:color w:val="auto"/>
          <w:sz w:val="24"/>
          <w:szCs w:val="20"/>
          <w:highlight w:val="none"/>
          <w:lang w:bidi="ar"/>
        </w:rPr>
        <w:t>流域。根据《云南省水功能区划（2014年修订）》，“甸溪河弥勒农业、工业用水区河段”：由弥勒县山外到矣夏，全长 88.4km，流经弥勒县大庄-新哨-竹园-朋普等农灌区，以农业用水为主，区间还有制糖、酿酒、卷烟、氮肥、水泥等工业用水，规划水平年水质目标为Ⅲ类。因此项目地表水执行《地表水环境质量标准》（GB3838-2002）Ⅲ类标准。</w:t>
      </w:r>
      <w:r>
        <w:rPr>
          <w:rFonts w:hint="default" w:ascii="Times New Roman" w:hAnsi="Times New Roman" w:cs="Times New Roman"/>
          <w:color w:val="auto"/>
          <w:sz w:val="24"/>
          <w:highlight w:val="none"/>
        </w:rPr>
        <w:t>标准值见表1.</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-3。</w:t>
      </w:r>
    </w:p>
    <w:p w14:paraId="441C6B02">
      <w:pPr>
        <w:pStyle w:val="36"/>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-3    地表水环境质量标准    单位：mg/L；pH无量纲</w:t>
      </w:r>
    </w:p>
    <w:tbl>
      <w:tblPr>
        <w:tblStyle w:val="23"/>
        <w:tblW w:w="8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041"/>
        <w:gridCol w:w="1099"/>
        <w:gridCol w:w="1027"/>
        <w:gridCol w:w="1027"/>
        <w:gridCol w:w="1242"/>
        <w:gridCol w:w="2331"/>
      </w:tblGrid>
      <w:tr w14:paraId="101E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tcPr>
          <w:p w14:paraId="01C60260">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w:t>
            </w:r>
          </w:p>
        </w:tc>
        <w:tc>
          <w:tcPr>
            <w:tcW w:w="1041" w:type="dxa"/>
          </w:tcPr>
          <w:p w14:paraId="381F93D4">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pH</w:t>
            </w:r>
          </w:p>
        </w:tc>
        <w:tc>
          <w:tcPr>
            <w:tcW w:w="1099" w:type="dxa"/>
          </w:tcPr>
          <w:p w14:paraId="7BE6B847">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COD</w:t>
            </w:r>
            <w:r>
              <w:rPr>
                <w:rFonts w:hint="default" w:ascii="Times New Roman" w:hAnsi="Times New Roman" w:cs="Times New Roman"/>
                <w:b/>
                <w:bCs/>
                <w:color w:val="auto"/>
                <w:szCs w:val="21"/>
                <w:highlight w:val="none"/>
                <w:vertAlign w:val="subscript"/>
              </w:rPr>
              <w:t>cr</w:t>
            </w:r>
          </w:p>
        </w:tc>
        <w:tc>
          <w:tcPr>
            <w:tcW w:w="1027" w:type="dxa"/>
          </w:tcPr>
          <w:p w14:paraId="10A6F98C">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BOD</w:t>
            </w:r>
            <w:r>
              <w:rPr>
                <w:rFonts w:hint="default" w:ascii="Times New Roman" w:hAnsi="Times New Roman" w:cs="Times New Roman"/>
                <w:b/>
                <w:bCs/>
                <w:color w:val="auto"/>
                <w:szCs w:val="21"/>
                <w:highlight w:val="none"/>
                <w:vertAlign w:val="subscript"/>
              </w:rPr>
              <w:t>5</w:t>
            </w:r>
          </w:p>
        </w:tc>
        <w:tc>
          <w:tcPr>
            <w:tcW w:w="1027" w:type="dxa"/>
          </w:tcPr>
          <w:p w14:paraId="01F34EAD">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氨氮</w:t>
            </w:r>
          </w:p>
        </w:tc>
        <w:tc>
          <w:tcPr>
            <w:tcW w:w="1242" w:type="dxa"/>
            <w:vAlign w:val="top"/>
          </w:tcPr>
          <w:p w14:paraId="7D48B853">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Cs w:val="21"/>
                <w:highlight w:val="none"/>
              </w:rPr>
              <w:t>总磷</w:t>
            </w:r>
          </w:p>
        </w:tc>
        <w:tc>
          <w:tcPr>
            <w:tcW w:w="2331" w:type="dxa"/>
            <w:vAlign w:val="top"/>
          </w:tcPr>
          <w:p w14:paraId="2296EA8E">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Cs w:val="21"/>
                <w:highlight w:val="none"/>
              </w:rPr>
              <w:t>粪大肠菌群（个/L）</w:t>
            </w:r>
          </w:p>
        </w:tc>
      </w:tr>
      <w:tr w14:paraId="7C5A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tcPr>
          <w:p w14:paraId="230DF3AB">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标准值</w:t>
            </w:r>
          </w:p>
        </w:tc>
        <w:tc>
          <w:tcPr>
            <w:tcW w:w="1041" w:type="dxa"/>
          </w:tcPr>
          <w:p w14:paraId="6751B73E">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6-9</w:t>
            </w:r>
          </w:p>
        </w:tc>
        <w:tc>
          <w:tcPr>
            <w:tcW w:w="1099" w:type="dxa"/>
          </w:tcPr>
          <w:p w14:paraId="4CB1675B">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≤20</w:t>
            </w:r>
          </w:p>
        </w:tc>
        <w:tc>
          <w:tcPr>
            <w:tcW w:w="1027" w:type="dxa"/>
          </w:tcPr>
          <w:p w14:paraId="1F589883">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≤4</w:t>
            </w:r>
          </w:p>
        </w:tc>
        <w:tc>
          <w:tcPr>
            <w:tcW w:w="1027" w:type="dxa"/>
          </w:tcPr>
          <w:p w14:paraId="2E5ECBF2">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≤1.0</w:t>
            </w:r>
          </w:p>
        </w:tc>
        <w:tc>
          <w:tcPr>
            <w:tcW w:w="1242" w:type="dxa"/>
            <w:vAlign w:val="top"/>
          </w:tcPr>
          <w:p w14:paraId="57A118E0">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≤0.2</w:t>
            </w:r>
          </w:p>
        </w:tc>
        <w:tc>
          <w:tcPr>
            <w:tcW w:w="2331" w:type="dxa"/>
            <w:vAlign w:val="top"/>
          </w:tcPr>
          <w:p w14:paraId="2EF6C268">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≤10000</w:t>
            </w:r>
          </w:p>
        </w:tc>
      </w:tr>
      <w:tr w14:paraId="6498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tcPr>
          <w:p w14:paraId="216F59A1">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w:t>
            </w:r>
          </w:p>
        </w:tc>
        <w:tc>
          <w:tcPr>
            <w:tcW w:w="1041" w:type="dxa"/>
            <w:vAlign w:val="top"/>
          </w:tcPr>
          <w:p w14:paraId="18D1775E">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Cs w:val="21"/>
                <w:highlight w:val="none"/>
              </w:rPr>
              <w:t>硫化物</w:t>
            </w:r>
          </w:p>
        </w:tc>
        <w:tc>
          <w:tcPr>
            <w:tcW w:w="1099" w:type="dxa"/>
          </w:tcPr>
          <w:p w14:paraId="7F685FDE">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lang w:eastAsia="zh-CN"/>
              </w:rPr>
              <w:t>挥发酚</w:t>
            </w:r>
          </w:p>
        </w:tc>
        <w:tc>
          <w:tcPr>
            <w:tcW w:w="1027" w:type="dxa"/>
            <w:vAlign w:val="top"/>
          </w:tcPr>
          <w:p w14:paraId="5A641336">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Cs w:val="21"/>
                <w:highlight w:val="none"/>
                <w:lang w:eastAsia="zh-CN"/>
              </w:rPr>
              <w:t>氰化物</w:t>
            </w:r>
          </w:p>
        </w:tc>
        <w:tc>
          <w:tcPr>
            <w:tcW w:w="1027" w:type="dxa"/>
            <w:vAlign w:val="top"/>
          </w:tcPr>
          <w:p w14:paraId="60A7CCE4">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Cs w:val="21"/>
                <w:highlight w:val="none"/>
              </w:rPr>
              <w:t>石油类</w:t>
            </w:r>
          </w:p>
        </w:tc>
        <w:tc>
          <w:tcPr>
            <w:tcW w:w="1242" w:type="dxa"/>
            <w:vAlign w:val="top"/>
          </w:tcPr>
          <w:p w14:paraId="3B43DA29">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Cs w:val="21"/>
                <w:highlight w:val="none"/>
              </w:rPr>
              <w:t>溶解氧</w:t>
            </w:r>
          </w:p>
        </w:tc>
        <w:tc>
          <w:tcPr>
            <w:tcW w:w="2331" w:type="dxa"/>
          </w:tcPr>
          <w:p w14:paraId="665CAE93">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lang w:eastAsia="zh-CN"/>
              </w:rPr>
              <w:t>阴离子表面活性剂</w:t>
            </w:r>
          </w:p>
        </w:tc>
      </w:tr>
      <w:tr w14:paraId="5C59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tcPr>
          <w:p w14:paraId="4E41C177">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标准值</w:t>
            </w:r>
          </w:p>
        </w:tc>
        <w:tc>
          <w:tcPr>
            <w:tcW w:w="1041" w:type="dxa"/>
            <w:vAlign w:val="top"/>
          </w:tcPr>
          <w:p w14:paraId="5FACD7F6">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≤0.2</w:t>
            </w:r>
          </w:p>
        </w:tc>
        <w:tc>
          <w:tcPr>
            <w:tcW w:w="1099" w:type="dxa"/>
          </w:tcPr>
          <w:p w14:paraId="0C374DD2">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0.005</w:t>
            </w:r>
          </w:p>
        </w:tc>
        <w:tc>
          <w:tcPr>
            <w:tcW w:w="1027" w:type="dxa"/>
            <w:vAlign w:val="top"/>
          </w:tcPr>
          <w:p w14:paraId="1FD8552F">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≤0.2</w:t>
            </w:r>
          </w:p>
        </w:tc>
        <w:tc>
          <w:tcPr>
            <w:tcW w:w="1027" w:type="dxa"/>
            <w:vAlign w:val="top"/>
          </w:tcPr>
          <w:p w14:paraId="5B0B6F60">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≤0.05</w:t>
            </w:r>
          </w:p>
        </w:tc>
        <w:tc>
          <w:tcPr>
            <w:tcW w:w="1242" w:type="dxa"/>
            <w:vAlign w:val="top"/>
          </w:tcPr>
          <w:p w14:paraId="3A48E828">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≥5</w:t>
            </w:r>
          </w:p>
        </w:tc>
        <w:tc>
          <w:tcPr>
            <w:tcW w:w="2331" w:type="dxa"/>
          </w:tcPr>
          <w:p w14:paraId="1BBC1489">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≤0.2</w:t>
            </w:r>
          </w:p>
        </w:tc>
      </w:tr>
    </w:tbl>
    <w:p w14:paraId="14007400">
      <w:pPr>
        <w:pStyle w:val="12"/>
        <w:snapToGrid w:val="0"/>
        <w:spacing w:before="156" w:beforeLines="50"/>
        <w:ind w:firstLine="482" w:firstLineChars="200"/>
        <w:rPr>
          <w:rFonts w:hint="default" w:ascii="Times New Roman" w:hAnsi="Times New Roman" w:cs="Times New Roman"/>
          <w:b/>
          <w:color w:val="auto"/>
          <w:highlight w:val="none"/>
        </w:rPr>
      </w:pPr>
      <w:r>
        <w:rPr>
          <w:rFonts w:hint="default" w:ascii="Times New Roman" w:hAnsi="Times New Roman" w:cs="Times New Roman"/>
          <w:b/>
          <w:color w:val="auto"/>
          <w:highlight w:val="none"/>
        </w:rPr>
        <w:t>（3）地下水环境</w:t>
      </w:r>
    </w:p>
    <w:p w14:paraId="7AB99CD9">
      <w:pPr>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项目区地下水执行《地下水质量标准》（GB/T14848-2017）Ⅲ类标准，标准值见表1.</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-4。</w:t>
      </w:r>
    </w:p>
    <w:p w14:paraId="0F3B7874">
      <w:pPr>
        <w:pStyle w:val="36"/>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-4     地下水质量标准   单位：mg/L；pH无量纲</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782"/>
        <w:gridCol w:w="781"/>
        <w:gridCol w:w="906"/>
        <w:gridCol w:w="782"/>
        <w:gridCol w:w="704"/>
        <w:gridCol w:w="804"/>
        <w:gridCol w:w="1676"/>
        <w:gridCol w:w="1722"/>
      </w:tblGrid>
      <w:tr w14:paraId="2D35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8" w:type="dxa"/>
            <w:vAlign w:val="center"/>
          </w:tcPr>
          <w:p w14:paraId="76009C6B">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项目</w:t>
            </w:r>
          </w:p>
        </w:tc>
        <w:tc>
          <w:tcPr>
            <w:tcW w:w="782" w:type="dxa"/>
            <w:vAlign w:val="center"/>
          </w:tcPr>
          <w:p w14:paraId="01301799">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pH</w:t>
            </w:r>
          </w:p>
        </w:tc>
        <w:tc>
          <w:tcPr>
            <w:tcW w:w="781" w:type="dxa"/>
            <w:vAlign w:val="center"/>
          </w:tcPr>
          <w:p w14:paraId="5959AC30">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总硬度</w:t>
            </w:r>
          </w:p>
        </w:tc>
        <w:tc>
          <w:tcPr>
            <w:tcW w:w="906" w:type="dxa"/>
            <w:vAlign w:val="center"/>
          </w:tcPr>
          <w:p w14:paraId="3CDE875A">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硫酸盐</w:t>
            </w:r>
          </w:p>
        </w:tc>
        <w:tc>
          <w:tcPr>
            <w:tcW w:w="782" w:type="dxa"/>
            <w:vAlign w:val="center"/>
          </w:tcPr>
          <w:p w14:paraId="4B8F6454">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锰</w:t>
            </w:r>
          </w:p>
        </w:tc>
        <w:tc>
          <w:tcPr>
            <w:tcW w:w="704" w:type="dxa"/>
            <w:vAlign w:val="center"/>
          </w:tcPr>
          <w:p w14:paraId="5FA48DBC">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铁</w:t>
            </w:r>
          </w:p>
        </w:tc>
        <w:tc>
          <w:tcPr>
            <w:tcW w:w="804" w:type="dxa"/>
            <w:vAlign w:val="center"/>
          </w:tcPr>
          <w:p w14:paraId="7F36F329">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色度</w:t>
            </w:r>
          </w:p>
        </w:tc>
        <w:tc>
          <w:tcPr>
            <w:tcW w:w="1676" w:type="dxa"/>
            <w:vAlign w:val="center"/>
          </w:tcPr>
          <w:p w14:paraId="3A168DED">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溶解性总固体</w:t>
            </w:r>
          </w:p>
        </w:tc>
        <w:tc>
          <w:tcPr>
            <w:tcW w:w="1722" w:type="dxa"/>
            <w:vAlign w:val="center"/>
          </w:tcPr>
          <w:p w14:paraId="47E25988">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耗氧量（COD</w:t>
            </w:r>
            <w:r>
              <w:rPr>
                <w:rFonts w:hint="default" w:ascii="Times New Roman" w:hAnsi="Times New Roman" w:cs="Times New Roman"/>
                <w:b/>
                <w:color w:val="auto"/>
                <w:highlight w:val="none"/>
                <w:vertAlign w:val="subscript"/>
              </w:rPr>
              <w:t>Mn</w:t>
            </w:r>
            <w:r>
              <w:rPr>
                <w:rFonts w:hint="default" w:ascii="Times New Roman" w:hAnsi="Times New Roman" w:cs="Times New Roman"/>
                <w:b/>
                <w:color w:val="auto"/>
                <w:highlight w:val="none"/>
              </w:rPr>
              <w:t>法）</w:t>
            </w:r>
          </w:p>
        </w:tc>
      </w:tr>
      <w:tr w14:paraId="527D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8" w:type="dxa"/>
            <w:vAlign w:val="center"/>
          </w:tcPr>
          <w:p w14:paraId="59292CC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Ⅲ类标准</w:t>
            </w:r>
          </w:p>
        </w:tc>
        <w:tc>
          <w:tcPr>
            <w:tcW w:w="782" w:type="dxa"/>
            <w:vAlign w:val="center"/>
          </w:tcPr>
          <w:p w14:paraId="6C00713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6.5～8.5</w:t>
            </w:r>
          </w:p>
        </w:tc>
        <w:tc>
          <w:tcPr>
            <w:tcW w:w="781" w:type="dxa"/>
            <w:vAlign w:val="center"/>
          </w:tcPr>
          <w:p w14:paraId="602899D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≤450</w:t>
            </w:r>
          </w:p>
        </w:tc>
        <w:tc>
          <w:tcPr>
            <w:tcW w:w="906" w:type="dxa"/>
            <w:vAlign w:val="center"/>
          </w:tcPr>
          <w:p w14:paraId="551FE22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c>
          <w:tcPr>
            <w:tcW w:w="782" w:type="dxa"/>
            <w:vAlign w:val="center"/>
          </w:tcPr>
          <w:p w14:paraId="7D2DA34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≤0.1</w:t>
            </w:r>
          </w:p>
        </w:tc>
        <w:tc>
          <w:tcPr>
            <w:tcW w:w="704" w:type="dxa"/>
            <w:vAlign w:val="center"/>
          </w:tcPr>
          <w:p w14:paraId="75FB5BA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≤0.3</w:t>
            </w:r>
          </w:p>
        </w:tc>
        <w:tc>
          <w:tcPr>
            <w:tcW w:w="804" w:type="dxa"/>
            <w:vAlign w:val="center"/>
          </w:tcPr>
          <w:p w14:paraId="362D8F7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1676" w:type="dxa"/>
            <w:vAlign w:val="center"/>
          </w:tcPr>
          <w:p w14:paraId="3BFE40E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≤1000</w:t>
            </w:r>
          </w:p>
        </w:tc>
        <w:tc>
          <w:tcPr>
            <w:tcW w:w="1722" w:type="dxa"/>
            <w:vAlign w:val="center"/>
          </w:tcPr>
          <w:p w14:paraId="4CEE99C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r>
      <w:tr w14:paraId="30B8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8" w:type="dxa"/>
            <w:vAlign w:val="center"/>
          </w:tcPr>
          <w:p w14:paraId="7108B06B">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项目</w:t>
            </w:r>
          </w:p>
        </w:tc>
        <w:tc>
          <w:tcPr>
            <w:tcW w:w="782" w:type="dxa"/>
            <w:vAlign w:val="center"/>
          </w:tcPr>
          <w:p w14:paraId="3FF65E5A">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氨氮</w:t>
            </w:r>
          </w:p>
        </w:tc>
        <w:tc>
          <w:tcPr>
            <w:tcW w:w="781" w:type="dxa"/>
            <w:vAlign w:val="center"/>
          </w:tcPr>
          <w:p w14:paraId="34CAEB92">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氟化物</w:t>
            </w:r>
          </w:p>
        </w:tc>
        <w:tc>
          <w:tcPr>
            <w:tcW w:w="906" w:type="dxa"/>
            <w:vAlign w:val="center"/>
          </w:tcPr>
          <w:p w14:paraId="2A912A35">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挥发酚</w:t>
            </w:r>
          </w:p>
        </w:tc>
        <w:tc>
          <w:tcPr>
            <w:tcW w:w="782" w:type="dxa"/>
            <w:vAlign w:val="center"/>
          </w:tcPr>
          <w:p w14:paraId="0FF6A38C">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硝酸盐</w:t>
            </w:r>
          </w:p>
        </w:tc>
        <w:tc>
          <w:tcPr>
            <w:tcW w:w="704" w:type="dxa"/>
            <w:vAlign w:val="center"/>
          </w:tcPr>
          <w:p w14:paraId="3AC88759">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亚硝酸盐</w:t>
            </w:r>
          </w:p>
        </w:tc>
        <w:tc>
          <w:tcPr>
            <w:tcW w:w="804" w:type="dxa"/>
            <w:vAlign w:val="center"/>
          </w:tcPr>
          <w:p w14:paraId="2868F1EF">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硫化物</w:t>
            </w:r>
          </w:p>
        </w:tc>
        <w:tc>
          <w:tcPr>
            <w:tcW w:w="1676" w:type="dxa"/>
            <w:vAlign w:val="center"/>
          </w:tcPr>
          <w:p w14:paraId="1569D616">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总大肠菌群（CFU/100ml）</w:t>
            </w:r>
          </w:p>
        </w:tc>
        <w:tc>
          <w:tcPr>
            <w:tcW w:w="1722" w:type="dxa"/>
            <w:vAlign w:val="center"/>
          </w:tcPr>
          <w:p w14:paraId="2C08B42A">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菌落总数（CFU/ml）</w:t>
            </w:r>
          </w:p>
        </w:tc>
      </w:tr>
      <w:tr w14:paraId="5425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8" w:type="dxa"/>
            <w:vAlign w:val="center"/>
          </w:tcPr>
          <w:p w14:paraId="5509F6C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Ⅲ类标准</w:t>
            </w:r>
          </w:p>
        </w:tc>
        <w:tc>
          <w:tcPr>
            <w:tcW w:w="782" w:type="dxa"/>
            <w:vAlign w:val="center"/>
          </w:tcPr>
          <w:p w14:paraId="14AFAD0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≤0.5</w:t>
            </w:r>
          </w:p>
        </w:tc>
        <w:tc>
          <w:tcPr>
            <w:tcW w:w="781" w:type="dxa"/>
            <w:vAlign w:val="center"/>
          </w:tcPr>
          <w:p w14:paraId="069C393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906" w:type="dxa"/>
            <w:vAlign w:val="center"/>
          </w:tcPr>
          <w:p w14:paraId="5617E11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≤0.002</w:t>
            </w:r>
          </w:p>
        </w:tc>
        <w:tc>
          <w:tcPr>
            <w:tcW w:w="782" w:type="dxa"/>
            <w:vAlign w:val="center"/>
          </w:tcPr>
          <w:p w14:paraId="2698722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704" w:type="dxa"/>
            <w:vAlign w:val="center"/>
          </w:tcPr>
          <w:p w14:paraId="03D1AD6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804" w:type="dxa"/>
            <w:vAlign w:val="center"/>
          </w:tcPr>
          <w:p w14:paraId="6B1C277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≤0.02</w:t>
            </w:r>
          </w:p>
        </w:tc>
        <w:tc>
          <w:tcPr>
            <w:tcW w:w="1676" w:type="dxa"/>
            <w:vAlign w:val="center"/>
          </w:tcPr>
          <w:p w14:paraId="5E77713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c>
          <w:tcPr>
            <w:tcW w:w="1722" w:type="dxa"/>
            <w:vAlign w:val="center"/>
          </w:tcPr>
          <w:p w14:paraId="6198365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r>
      <w:tr w14:paraId="3135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8" w:type="dxa"/>
            <w:vAlign w:val="center"/>
          </w:tcPr>
          <w:p w14:paraId="6E536C56">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项目</w:t>
            </w:r>
          </w:p>
        </w:tc>
        <w:tc>
          <w:tcPr>
            <w:tcW w:w="782" w:type="dxa"/>
            <w:vAlign w:val="center"/>
          </w:tcPr>
          <w:p w14:paraId="6BF77046">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氰化物</w:t>
            </w:r>
          </w:p>
        </w:tc>
        <w:tc>
          <w:tcPr>
            <w:tcW w:w="781" w:type="dxa"/>
            <w:vAlign w:val="center"/>
          </w:tcPr>
          <w:p w14:paraId="71AD6AA1">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砷</w:t>
            </w:r>
          </w:p>
        </w:tc>
        <w:tc>
          <w:tcPr>
            <w:tcW w:w="906" w:type="dxa"/>
            <w:vAlign w:val="center"/>
          </w:tcPr>
          <w:p w14:paraId="70A83EE6">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汞</w:t>
            </w:r>
          </w:p>
        </w:tc>
        <w:tc>
          <w:tcPr>
            <w:tcW w:w="782" w:type="dxa"/>
            <w:vAlign w:val="center"/>
          </w:tcPr>
          <w:p w14:paraId="2039AD1E">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六价铬</w:t>
            </w:r>
          </w:p>
        </w:tc>
        <w:tc>
          <w:tcPr>
            <w:tcW w:w="704" w:type="dxa"/>
            <w:vAlign w:val="center"/>
          </w:tcPr>
          <w:p w14:paraId="248D690B">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铅</w:t>
            </w:r>
          </w:p>
        </w:tc>
        <w:tc>
          <w:tcPr>
            <w:tcW w:w="804" w:type="dxa"/>
            <w:vAlign w:val="center"/>
          </w:tcPr>
          <w:p w14:paraId="537E5330">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镉</w:t>
            </w:r>
          </w:p>
        </w:tc>
        <w:tc>
          <w:tcPr>
            <w:tcW w:w="1676" w:type="dxa"/>
            <w:vAlign w:val="center"/>
          </w:tcPr>
          <w:p w14:paraId="657314FF">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阳离子表面活性剂</w:t>
            </w:r>
          </w:p>
        </w:tc>
        <w:tc>
          <w:tcPr>
            <w:tcW w:w="1722" w:type="dxa"/>
            <w:vAlign w:val="center"/>
          </w:tcPr>
          <w:p w14:paraId="2363B024">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氯化物</w:t>
            </w:r>
          </w:p>
        </w:tc>
      </w:tr>
      <w:tr w14:paraId="2879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8" w:type="dxa"/>
            <w:vAlign w:val="center"/>
          </w:tcPr>
          <w:p w14:paraId="51F1994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Ⅲ类标准</w:t>
            </w:r>
          </w:p>
        </w:tc>
        <w:tc>
          <w:tcPr>
            <w:tcW w:w="782" w:type="dxa"/>
            <w:vAlign w:val="center"/>
          </w:tcPr>
          <w:p w14:paraId="090E91B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c>
          <w:tcPr>
            <w:tcW w:w="781" w:type="dxa"/>
            <w:vAlign w:val="center"/>
          </w:tcPr>
          <w:p w14:paraId="3AA32B4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≤0.01</w:t>
            </w:r>
          </w:p>
        </w:tc>
        <w:tc>
          <w:tcPr>
            <w:tcW w:w="906" w:type="dxa"/>
            <w:vAlign w:val="center"/>
          </w:tcPr>
          <w:p w14:paraId="674C2EA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≤0.001</w:t>
            </w:r>
          </w:p>
        </w:tc>
        <w:tc>
          <w:tcPr>
            <w:tcW w:w="782" w:type="dxa"/>
            <w:vAlign w:val="center"/>
          </w:tcPr>
          <w:p w14:paraId="7165A8C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≤0.05</w:t>
            </w:r>
          </w:p>
        </w:tc>
        <w:tc>
          <w:tcPr>
            <w:tcW w:w="704" w:type="dxa"/>
            <w:vAlign w:val="center"/>
          </w:tcPr>
          <w:p w14:paraId="1C81122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≤0.01</w:t>
            </w:r>
          </w:p>
        </w:tc>
        <w:tc>
          <w:tcPr>
            <w:tcW w:w="804" w:type="dxa"/>
            <w:vAlign w:val="center"/>
          </w:tcPr>
          <w:p w14:paraId="2CCC197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≤0.005</w:t>
            </w:r>
          </w:p>
        </w:tc>
        <w:tc>
          <w:tcPr>
            <w:tcW w:w="1676" w:type="dxa"/>
            <w:vAlign w:val="center"/>
          </w:tcPr>
          <w:p w14:paraId="15A44BE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≤0.3</w:t>
            </w:r>
          </w:p>
        </w:tc>
        <w:tc>
          <w:tcPr>
            <w:tcW w:w="1722" w:type="dxa"/>
            <w:vAlign w:val="center"/>
          </w:tcPr>
          <w:p w14:paraId="11311BA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≤250</w:t>
            </w:r>
          </w:p>
        </w:tc>
      </w:tr>
    </w:tbl>
    <w:p w14:paraId="3BC1B51D">
      <w:pPr>
        <w:adjustRightInd w:val="0"/>
        <w:snapToGrid w:val="0"/>
        <w:spacing w:before="156" w:beforeLines="50"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（4）声环境</w:t>
      </w:r>
    </w:p>
    <w:p w14:paraId="1B1FB067">
      <w:pPr>
        <w:pStyle w:val="12"/>
        <w:snapToGrid w:val="0"/>
        <w:ind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项目位于</w:t>
      </w:r>
      <w:r>
        <w:rPr>
          <w:rFonts w:hint="default" w:ascii="Times New Roman" w:hAnsi="Times New Roman" w:cs="Times New Roman"/>
          <w:bCs/>
          <w:color w:val="auto"/>
          <w:highlight w:val="none"/>
          <w:lang w:eastAsia="zh-CN"/>
        </w:rPr>
        <w:t>新哨镇猴街居委会</w:t>
      </w:r>
      <w:r>
        <w:rPr>
          <w:rFonts w:hint="default" w:ascii="Times New Roman" w:hAnsi="Times New Roman" w:cs="Times New Roman"/>
          <w:color w:val="auto"/>
          <w:highlight w:val="none"/>
        </w:rPr>
        <w:t>，周边分布有工业企业，属于居住、商业、工业混杂区，根据声环境功能区分类，为2类声环境功能区，同时参照《畜禽养殖产地环境评价规范》（HJ 568-2010）“4.4声环境质量评价指标限值”，区域环境噪声执行《声环境质量标准》（GB3096-2008）2类标准。标准值见表1.</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-5。</w:t>
      </w:r>
    </w:p>
    <w:p w14:paraId="6A3598F6">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表1.</w:t>
      </w:r>
      <w:r>
        <w:rPr>
          <w:rFonts w:hint="default" w:ascii="Times New Roman" w:hAnsi="Times New Roman" w:cs="Times New Roman"/>
          <w:b/>
          <w:color w:val="auto"/>
          <w:szCs w:val="21"/>
          <w:highlight w:val="none"/>
          <w:lang w:val="en-US" w:eastAsia="zh-CN"/>
        </w:rPr>
        <w:t>4</w:t>
      </w:r>
      <w:r>
        <w:rPr>
          <w:rFonts w:hint="default" w:ascii="Times New Roman" w:hAnsi="Times New Roman" w:cs="Times New Roman"/>
          <w:b/>
          <w:color w:val="auto"/>
          <w:szCs w:val="21"/>
          <w:highlight w:val="none"/>
        </w:rPr>
        <w:t>-5    声环境质量标准  单位：dB（A）</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3143"/>
        <w:gridCol w:w="3161"/>
      </w:tblGrid>
      <w:tr w14:paraId="1AEB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491" w:type="dxa"/>
            <w:vAlign w:val="center"/>
          </w:tcPr>
          <w:p w14:paraId="086B8573">
            <w:pPr>
              <w:pStyle w:val="41"/>
              <w:keepNext w:val="0"/>
              <w:keepLines w:val="0"/>
              <w:suppressLineNumbers w:val="0"/>
              <w:spacing w:before="0" w:beforeAutospacing="0" w:after="0" w:afterAutospacing="0" w:line="240" w:lineRule="auto"/>
              <w:ind w:left="0" w:right="0"/>
              <w:rPr>
                <w:rFonts w:hint="default" w:ascii="Times New Roman" w:hAnsi="Times New Roman" w:cs="Times New Roman"/>
                <w:b/>
                <w:color w:val="auto"/>
                <w:sz w:val="21"/>
                <w:szCs w:val="24"/>
                <w:highlight w:val="none"/>
              </w:rPr>
            </w:pPr>
            <w:r>
              <w:rPr>
                <w:rFonts w:hint="default" w:ascii="Times New Roman" w:hAnsi="Times New Roman" w:cs="Times New Roman"/>
                <w:b/>
                <w:color w:val="auto"/>
                <w:sz w:val="21"/>
                <w:szCs w:val="24"/>
                <w:highlight w:val="none"/>
              </w:rPr>
              <w:t>类别</w:t>
            </w:r>
          </w:p>
        </w:tc>
        <w:tc>
          <w:tcPr>
            <w:tcW w:w="3143" w:type="dxa"/>
            <w:vAlign w:val="center"/>
          </w:tcPr>
          <w:p w14:paraId="398417A7">
            <w:pPr>
              <w:pStyle w:val="41"/>
              <w:keepNext w:val="0"/>
              <w:keepLines w:val="0"/>
              <w:suppressLineNumbers w:val="0"/>
              <w:spacing w:before="0" w:beforeAutospacing="0" w:after="0" w:afterAutospacing="0" w:line="240" w:lineRule="auto"/>
              <w:ind w:left="0" w:right="0"/>
              <w:rPr>
                <w:rFonts w:hint="default" w:ascii="Times New Roman" w:hAnsi="Times New Roman" w:cs="Times New Roman"/>
                <w:b/>
                <w:color w:val="auto"/>
                <w:sz w:val="21"/>
                <w:szCs w:val="24"/>
                <w:highlight w:val="none"/>
              </w:rPr>
            </w:pPr>
            <w:r>
              <w:rPr>
                <w:rFonts w:hint="default" w:ascii="Times New Roman" w:hAnsi="Times New Roman" w:cs="Times New Roman"/>
                <w:b/>
                <w:color w:val="auto"/>
                <w:sz w:val="21"/>
                <w:szCs w:val="24"/>
                <w:highlight w:val="none"/>
              </w:rPr>
              <w:t>昼间</w:t>
            </w:r>
          </w:p>
        </w:tc>
        <w:tc>
          <w:tcPr>
            <w:tcW w:w="3161" w:type="dxa"/>
            <w:vAlign w:val="center"/>
          </w:tcPr>
          <w:p w14:paraId="751E2553">
            <w:pPr>
              <w:pStyle w:val="41"/>
              <w:keepNext w:val="0"/>
              <w:keepLines w:val="0"/>
              <w:suppressLineNumbers w:val="0"/>
              <w:spacing w:before="0" w:beforeAutospacing="0" w:after="0" w:afterAutospacing="0" w:line="240" w:lineRule="auto"/>
              <w:ind w:left="0" w:right="0"/>
              <w:rPr>
                <w:rFonts w:hint="default" w:ascii="Times New Roman" w:hAnsi="Times New Roman" w:cs="Times New Roman"/>
                <w:b/>
                <w:color w:val="auto"/>
                <w:sz w:val="21"/>
                <w:szCs w:val="24"/>
                <w:highlight w:val="none"/>
              </w:rPr>
            </w:pPr>
            <w:r>
              <w:rPr>
                <w:rFonts w:hint="default" w:ascii="Times New Roman" w:hAnsi="Times New Roman" w:cs="Times New Roman"/>
                <w:b/>
                <w:color w:val="auto"/>
                <w:sz w:val="21"/>
                <w:szCs w:val="24"/>
                <w:highlight w:val="none"/>
              </w:rPr>
              <w:t>夜间</w:t>
            </w:r>
          </w:p>
        </w:tc>
      </w:tr>
      <w:tr w14:paraId="13A6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491" w:type="dxa"/>
            <w:vAlign w:val="center"/>
          </w:tcPr>
          <w:p w14:paraId="15F41F7D">
            <w:pPr>
              <w:pStyle w:val="41"/>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2类</w:t>
            </w:r>
          </w:p>
        </w:tc>
        <w:tc>
          <w:tcPr>
            <w:tcW w:w="3143" w:type="dxa"/>
            <w:vAlign w:val="center"/>
          </w:tcPr>
          <w:p w14:paraId="5FC44878">
            <w:pPr>
              <w:pStyle w:val="41"/>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60</w:t>
            </w:r>
          </w:p>
        </w:tc>
        <w:tc>
          <w:tcPr>
            <w:tcW w:w="3161" w:type="dxa"/>
            <w:vAlign w:val="center"/>
          </w:tcPr>
          <w:p w14:paraId="11D878E4">
            <w:pPr>
              <w:pStyle w:val="41"/>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50</w:t>
            </w:r>
          </w:p>
        </w:tc>
      </w:tr>
    </w:tbl>
    <w:p w14:paraId="1F06FC46">
      <w:pPr>
        <w:pStyle w:val="12"/>
        <w:snapToGrid w:val="0"/>
        <w:ind w:firstLineChars="200"/>
        <w:rPr>
          <w:rFonts w:hint="default" w:ascii="Times New Roman" w:hAnsi="Times New Roman" w:cs="Times New Roman"/>
          <w:color w:val="auto"/>
          <w:highlight w:val="none"/>
        </w:rPr>
      </w:pPr>
      <w:bookmarkStart w:id="88" w:name="_Toc101764777"/>
      <w:bookmarkStart w:id="89" w:name="_Toc101201291"/>
      <w:bookmarkStart w:id="90" w:name="_Toc316388621"/>
      <w:bookmarkStart w:id="91" w:name="_Toc101789594"/>
      <w:bookmarkStart w:id="92" w:name="_Toc101773471"/>
      <w:bookmarkStart w:id="93" w:name="_Toc103400800"/>
      <w:bookmarkStart w:id="94" w:name="_Toc113951637"/>
      <w:bookmarkStart w:id="95" w:name="_Toc103426027"/>
      <w:bookmarkStart w:id="96" w:name="_Toc114403403"/>
      <w:bookmarkStart w:id="97" w:name="_Toc190756958"/>
      <w:bookmarkStart w:id="98" w:name="_Toc103424008"/>
      <w:bookmarkStart w:id="99" w:name="_Toc101773214"/>
      <w:bookmarkStart w:id="100" w:name="_Toc15868"/>
      <w:bookmarkStart w:id="101" w:name="_Toc323657560"/>
      <w:bookmarkStart w:id="102" w:name="_Toc131435532"/>
    </w:p>
    <w:p w14:paraId="4F71F791">
      <w:pPr>
        <w:pStyle w:val="12"/>
        <w:snapToGrid w:val="0"/>
        <w:ind w:firstLine="482" w:firstLineChars="200"/>
        <w:rPr>
          <w:rStyle w:val="35"/>
          <w:rFonts w:hint="default" w:ascii="Times New Roman" w:hAnsi="Times New Roman" w:cs="Times New Roman"/>
          <w:b/>
          <w:color w:val="auto"/>
          <w:highlight w:val="none"/>
        </w:rPr>
      </w:pPr>
      <w:r>
        <w:rPr>
          <w:rStyle w:val="35"/>
          <w:rFonts w:hint="default" w:ascii="Times New Roman" w:hAnsi="Times New Roman" w:cs="Times New Roman"/>
          <w:b/>
          <w:color w:val="auto"/>
          <w:highlight w:val="none"/>
        </w:rPr>
        <w:t>（5）土壤环境</w:t>
      </w:r>
    </w:p>
    <w:p w14:paraId="24E0D264">
      <w:pPr>
        <w:pStyle w:val="12"/>
        <w:snapToGrid w:val="0"/>
        <w:ind w:firstLineChars="200"/>
        <w:rPr>
          <w:rStyle w:val="35"/>
          <w:rFonts w:hint="default" w:ascii="Times New Roman" w:hAnsi="Times New Roman" w:cs="Times New Roman"/>
          <w:color w:val="auto"/>
          <w:highlight w:val="none"/>
        </w:rPr>
      </w:pPr>
      <w:r>
        <w:rPr>
          <w:rStyle w:val="35"/>
          <w:rFonts w:hint="default" w:ascii="Times New Roman" w:hAnsi="Times New Roman" w:cs="Times New Roman"/>
          <w:color w:val="auto"/>
          <w:highlight w:val="none"/>
        </w:rPr>
        <w:t>项目用地性质为设施农用地，项目用地及周边</w:t>
      </w:r>
      <w:r>
        <w:rPr>
          <w:rFonts w:hint="default" w:ascii="Times New Roman" w:hAnsi="Times New Roman" w:cs="Times New Roman"/>
          <w:color w:val="auto"/>
          <w:highlight w:val="none"/>
        </w:rPr>
        <w:t>农用地土壤执行《土壤环境质量 农用地土壤污染风险管控标准（试行）》（GB15618-2018），标准值见表1.</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-6。</w:t>
      </w:r>
    </w:p>
    <w:p w14:paraId="71CD3A55">
      <w:pPr>
        <w:pStyle w:val="36"/>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 xml:space="preserve">-6     农用地土壤污染风险筛选值和管制值   单位：mg/kg </w:t>
      </w:r>
    </w:p>
    <w:tbl>
      <w:tblPr>
        <w:tblStyle w:val="23"/>
        <w:tblW w:w="8795"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414"/>
        <w:gridCol w:w="414"/>
        <w:gridCol w:w="815"/>
        <w:gridCol w:w="1175"/>
        <w:gridCol w:w="1175"/>
        <w:gridCol w:w="818"/>
        <w:gridCol w:w="815"/>
        <w:gridCol w:w="1175"/>
        <w:gridCol w:w="1175"/>
        <w:gridCol w:w="819"/>
      </w:tblGrid>
      <w:tr w14:paraId="15E6E03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414" w:type="dxa"/>
            <w:vMerge w:val="restart"/>
            <w:vAlign w:val="center"/>
          </w:tcPr>
          <w:p w14:paraId="11B1BB79">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414" w:type="dxa"/>
            <w:vMerge w:val="restart"/>
            <w:vAlign w:val="center"/>
          </w:tcPr>
          <w:p w14:paraId="398D8BD0">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w:t>
            </w:r>
          </w:p>
        </w:tc>
        <w:tc>
          <w:tcPr>
            <w:tcW w:w="3983" w:type="dxa"/>
            <w:gridSpan w:val="4"/>
            <w:vAlign w:val="center"/>
          </w:tcPr>
          <w:p w14:paraId="05370E09">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风险筛选值（mg/kg）</w:t>
            </w:r>
          </w:p>
        </w:tc>
        <w:tc>
          <w:tcPr>
            <w:tcW w:w="3984" w:type="dxa"/>
            <w:gridSpan w:val="4"/>
            <w:vAlign w:val="center"/>
          </w:tcPr>
          <w:p w14:paraId="049CC5E6">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风险管制值（mg/kg）</w:t>
            </w:r>
          </w:p>
        </w:tc>
      </w:tr>
      <w:tr w14:paraId="1CFFCF9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414" w:type="dxa"/>
            <w:vMerge w:val="continue"/>
            <w:vAlign w:val="center"/>
          </w:tcPr>
          <w:p w14:paraId="00E86DAD">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p>
        </w:tc>
        <w:tc>
          <w:tcPr>
            <w:tcW w:w="414" w:type="dxa"/>
            <w:vMerge w:val="continue"/>
            <w:vAlign w:val="center"/>
          </w:tcPr>
          <w:p w14:paraId="4EE7E2F7">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p>
        </w:tc>
        <w:tc>
          <w:tcPr>
            <w:tcW w:w="815" w:type="dxa"/>
            <w:vAlign w:val="center"/>
          </w:tcPr>
          <w:p w14:paraId="4B3E53F9">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pH≤5.5</w:t>
            </w:r>
          </w:p>
        </w:tc>
        <w:tc>
          <w:tcPr>
            <w:tcW w:w="1175" w:type="dxa"/>
            <w:vAlign w:val="center"/>
          </w:tcPr>
          <w:p w14:paraId="5635066C">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5.5&lt;pH≤6.5</w:t>
            </w:r>
          </w:p>
        </w:tc>
        <w:tc>
          <w:tcPr>
            <w:tcW w:w="1175" w:type="dxa"/>
            <w:vAlign w:val="center"/>
          </w:tcPr>
          <w:p w14:paraId="61AE6C61">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6.5&lt;pH≤7.5</w:t>
            </w:r>
          </w:p>
        </w:tc>
        <w:tc>
          <w:tcPr>
            <w:tcW w:w="818" w:type="dxa"/>
            <w:vAlign w:val="center"/>
          </w:tcPr>
          <w:p w14:paraId="68B5CF89">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pH&gt;7.5</w:t>
            </w:r>
          </w:p>
        </w:tc>
        <w:tc>
          <w:tcPr>
            <w:tcW w:w="815" w:type="dxa"/>
            <w:vAlign w:val="center"/>
          </w:tcPr>
          <w:p w14:paraId="22198315">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pH≤5.5</w:t>
            </w:r>
          </w:p>
        </w:tc>
        <w:tc>
          <w:tcPr>
            <w:tcW w:w="1175" w:type="dxa"/>
            <w:vAlign w:val="center"/>
          </w:tcPr>
          <w:p w14:paraId="74280320">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5.5&lt;pH≤6.5</w:t>
            </w:r>
          </w:p>
        </w:tc>
        <w:tc>
          <w:tcPr>
            <w:tcW w:w="1175" w:type="dxa"/>
            <w:vAlign w:val="center"/>
          </w:tcPr>
          <w:p w14:paraId="7EE82035">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6.5&lt;pH≤7.5</w:t>
            </w:r>
          </w:p>
        </w:tc>
        <w:tc>
          <w:tcPr>
            <w:tcW w:w="819" w:type="dxa"/>
            <w:vAlign w:val="center"/>
          </w:tcPr>
          <w:p w14:paraId="1F20C589">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pH&gt;7.5</w:t>
            </w:r>
          </w:p>
        </w:tc>
      </w:tr>
      <w:tr w14:paraId="321E270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414" w:type="dxa"/>
            <w:vAlign w:val="center"/>
          </w:tcPr>
          <w:p w14:paraId="11306909">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414" w:type="dxa"/>
            <w:vAlign w:val="center"/>
          </w:tcPr>
          <w:p w14:paraId="7D481A94">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镉</w:t>
            </w:r>
          </w:p>
        </w:tc>
        <w:tc>
          <w:tcPr>
            <w:tcW w:w="815" w:type="dxa"/>
            <w:vAlign w:val="center"/>
          </w:tcPr>
          <w:p w14:paraId="6C6FD01C">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0.3</w:t>
            </w:r>
          </w:p>
        </w:tc>
        <w:tc>
          <w:tcPr>
            <w:tcW w:w="1175" w:type="dxa"/>
            <w:vAlign w:val="center"/>
          </w:tcPr>
          <w:p w14:paraId="471354A5">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0.3</w:t>
            </w:r>
          </w:p>
        </w:tc>
        <w:tc>
          <w:tcPr>
            <w:tcW w:w="1175" w:type="dxa"/>
            <w:vAlign w:val="center"/>
          </w:tcPr>
          <w:p w14:paraId="19E90C48">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0.3</w:t>
            </w:r>
          </w:p>
        </w:tc>
        <w:tc>
          <w:tcPr>
            <w:tcW w:w="818" w:type="dxa"/>
            <w:vAlign w:val="center"/>
          </w:tcPr>
          <w:p w14:paraId="537E909A">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0.6</w:t>
            </w:r>
          </w:p>
        </w:tc>
        <w:tc>
          <w:tcPr>
            <w:tcW w:w="815" w:type="dxa"/>
            <w:vAlign w:val="center"/>
          </w:tcPr>
          <w:p w14:paraId="32DAA1F5">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1175" w:type="dxa"/>
            <w:vAlign w:val="center"/>
          </w:tcPr>
          <w:p w14:paraId="068C1365">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1175" w:type="dxa"/>
            <w:vAlign w:val="center"/>
          </w:tcPr>
          <w:p w14:paraId="390D9570">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w:t>
            </w:r>
          </w:p>
        </w:tc>
        <w:tc>
          <w:tcPr>
            <w:tcW w:w="819" w:type="dxa"/>
            <w:vAlign w:val="center"/>
          </w:tcPr>
          <w:p w14:paraId="08BF5172">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r>
      <w:tr w14:paraId="66284FE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414" w:type="dxa"/>
            <w:vAlign w:val="center"/>
          </w:tcPr>
          <w:p w14:paraId="0CF6A737">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414" w:type="dxa"/>
            <w:vAlign w:val="center"/>
          </w:tcPr>
          <w:p w14:paraId="79819BD6">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汞</w:t>
            </w:r>
          </w:p>
        </w:tc>
        <w:tc>
          <w:tcPr>
            <w:tcW w:w="815" w:type="dxa"/>
            <w:vAlign w:val="center"/>
          </w:tcPr>
          <w:p w14:paraId="408A562E">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w:t>
            </w:r>
          </w:p>
        </w:tc>
        <w:tc>
          <w:tcPr>
            <w:tcW w:w="1175" w:type="dxa"/>
            <w:vAlign w:val="center"/>
          </w:tcPr>
          <w:p w14:paraId="6BB36243">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w:t>
            </w:r>
          </w:p>
        </w:tc>
        <w:tc>
          <w:tcPr>
            <w:tcW w:w="1175" w:type="dxa"/>
            <w:vAlign w:val="center"/>
          </w:tcPr>
          <w:p w14:paraId="1EF8E3B7">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w:t>
            </w:r>
          </w:p>
        </w:tc>
        <w:tc>
          <w:tcPr>
            <w:tcW w:w="818" w:type="dxa"/>
            <w:vAlign w:val="center"/>
          </w:tcPr>
          <w:p w14:paraId="46AF7EAC">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w:t>
            </w:r>
          </w:p>
        </w:tc>
        <w:tc>
          <w:tcPr>
            <w:tcW w:w="815" w:type="dxa"/>
            <w:vAlign w:val="center"/>
          </w:tcPr>
          <w:p w14:paraId="416789E8">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1175" w:type="dxa"/>
            <w:vAlign w:val="center"/>
          </w:tcPr>
          <w:p w14:paraId="62BE59C4">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w:t>
            </w:r>
          </w:p>
        </w:tc>
        <w:tc>
          <w:tcPr>
            <w:tcW w:w="1175" w:type="dxa"/>
            <w:vAlign w:val="center"/>
          </w:tcPr>
          <w:p w14:paraId="2CBB0B7E">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c>
          <w:tcPr>
            <w:tcW w:w="819" w:type="dxa"/>
            <w:vAlign w:val="center"/>
          </w:tcPr>
          <w:p w14:paraId="30B39518">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r>
      <w:tr w14:paraId="34A6040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414" w:type="dxa"/>
            <w:vAlign w:val="center"/>
          </w:tcPr>
          <w:p w14:paraId="089F366A">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414" w:type="dxa"/>
            <w:vAlign w:val="center"/>
          </w:tcPr>
          <w:p w14:paraId="3ED30A05">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砷</w:t>
            </w:r>
          </w:p>
        </w:tc>
        <w:tc>
          <w:tcPr>
            <w:tcW w:w="815" w:type="dxa"/>
            <w:vAlign w:val="center"/>
          </w:tcPr>
          <w:p w14:paraId="34C3F923">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c>
          <w:tcPr>
            <w:tcW w:w="1175" w:type="dxa"/>
            <w:vAlign w:val="center"/>
          </w:tcPr>
          <w:p w14:paraId="449632A9">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c>
          <w:tcPr>
            <w:tcW w:w="1175" w:type="dxa"/>
            <w:vAlign w:val="center"/>
          </w:tcPr>
          <w:p w14:paraId="1E758A29">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w:t>
            </w:r>
          </w:p>
        </w:tc>
        <w:tc>
          <w:tcPr>
            <w:tcW w:w="818" w:type="dxa"/>
            <w:vAlign w:val="center"/>
          </w:tcPr>
          <w:p w14:paraId="73369F19">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w:t>
            </w:r>
          </w:p>
        </w:tc>
        <w:tc>
          <w:tcPr>
            <w:tcW w:w="815" w:type="dxa"/>
            <w:vAlign w:val="center"/>
          </w:tcPr>
          <w:p w14:paraId="700F8CD2">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1175" w:type="dxa"/>
            <w:vAlign w:val="center"/>
          </w:tcPr>
          <w:p w14:paraId="224541D5">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1175" w:type="dxa"/>
            <w:vAlign w:val="center"/>
          </w:tcPr>
          <w:p w14:paraId="4E650675">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120</w:t>
            </w:r>
          </w:p>
        </w:tc>
        <w:tc>
          <w:tcPr>
            <w:tcW w:w="819" w:type="dxa"/>
            <w:vAlign w:val="center"/>
          </w:tcPr>
          <w:p w14:paraId="24FA1841">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r>
      <w:tr w14:paraId="6557E04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414" w:type="dxa"/>
            <w:vAlign w:val="center"/>
          </w:tcPr>
          <w:p w14:paraId="47AFCD0A">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414" w:type="dxa"/>
            <w:vAlign w:val="center"/>
          </w:tcPr>
          <w:p w14:paraId="32D885E7">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铅</w:t>
            </w:r>
          </w:p>
        </w:tc>
        <w:tc>
          <w:tcPr>
            <w:tcW w:w="815" w:type="dxa"/>
            <w:vAlign w:val="center"/>
          </w:tcPr>
          <w:p w14:paraId="15684166">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1175" w:type="dxa"/>
            <w:vAlign w:val="center"/>
          </w:tcPr>
          <w:p w14:paraId="7D770605">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w:t>
            </w:r>
          </w:p>
        </w:tc>
        <w:tc>
          <w:tcPr>
            <w:tcW w:w="1175" w:type="dxa"/>
            <w:vAlign w:val="center"/>
          </w:tcPr>
          <w:p w14:paraId="2FD950FA">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120</w:t>
            </w:r>
          </w:p>
        </w:tc>
        <w:tc>
          <w:tcPr>
            <w:tcW w:w="818" w:type="dxa"/>
            <w:vAlign w:val="center"/>
          </w:tcPr>
          <w:p w14:paraId="263983B3">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170</w:t>
            </w:r>
          </w:p>
        </w:tc>
        <w:tc>
          <w:tcPr>
            <w:tcW w:w="815" w:type="dxa"/>
            <w:vAlign w:val="center"/>
          </w:tcPr>
          <w:p w14:paraId="2CF35C5D">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400</w:t>
            </w:r>
          </w:p>
        </w:tc>
        <w:tc>
          <w:tcPr>
            <w:tcW w:w="1175" w:type="dxa"/>
            <w:vAlign w:val="center"/>
          </w:tcPr>
          <w:p w14:paraId="1061B02D">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w:t>
            </w:r>
          </w:p>
        </w:tc>
        <w:tc>
          <w:tcPr>
            <w:tcW w:w="1175" w:type="dxa"/>
            <w:vAlign w:val="center"/>
          </w:tcPr>
          <w:p w14:paraId="3917DB16">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700</w:t>
            </w:r>
          </w:p>
        </w:tc>
        <w:tc>
          <w:tcPr>
            <w:tcW w:w="819" w:type="dxa"/>
            <w:vAlign w:val="center"/>
          </w:tcPr>
          <w:p w14:paraId="262D1600">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1000</w:t>
            </w:r>
          </w:p>
        </w:tc>
      </w:tr>
      <w:tr w14:paraId="43C1127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414" w:type="dxa"/>
            <w:vAlign w:val="center"/>
          </w:tcPr>
          <w:p w14:paraId="794B3343">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414" w:type="dxa"/>
            <w:vAlign w:val="center"/>
          </w:tcPr>
          <w:p w14:paraId="3665ABA6">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铬</w:t>
            </w:r>
          </w:p>
        </w:tc>
        <w:tc>
          <w:tcPr>
            <w:tcW w:w="815" w:type="dxa"/>
            <w:vAlign w:val="center"/>
          </w:tcPr>
          <w:p w14:paraId="7A3EDCF6">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1175" w:type="dxa"/>
            <w:vAlign w:val="center"/>
          </w:tcPr>
          <w:p w14:paraId="3E741BD1">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1175" w:type="dxa"/>
            <w:vAlign w:val="center"/>
          </w:tcPr>
          <w:p w14:paraId="77FD6DD7">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818" w:type="dxa"/>
            <w:vAlign w:val="center"/>
          </w:tcPr>
          <w:p w14:paraId="2F10F2CE">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250</w:t>
            </w:r>
          </w:p>
        </w:tc>
        <w:tc>
          <w:tcPr>
            <w:tcW w:w="815" w:type="dxa"/>
            <w:vAlign w:val="center"/>
          </w:tcPr>
          <w:p w14:paraId="1400FD1C">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800</w:t>
            </w:r>
          </w:p>
        </w:tc>
        <w:tc>
          <w:tcPr>
            <w:tcW w:w="1175" w:type="dxa"/>
            <w:vAlign w:val="center"/>
          </w:tcPr>
          <w:p w14:paraId="0E1B9D51">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850</w:t>
            </w:r>
          </w:p>
        </w:tc>
        <w:tc>
          <w:tcPr>
            <w:tcW w:w="1175" w:type="dxa"/>
            <w:vAlign w:val="center"/>
          </w:tcPr>
          <w:p w14:paraId="7CD5C0BA">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1000</w:t>
            </w:r>
          </w:p>
        </w:tc>
        <w:tc>
          <w:tcPr>
            <w:tcW w:w="819" w:type="dxa"/>
            <w:vAlign w:val="center"/>
          </w:tcPr>
          <w:p w14:paraId="335CEC49">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1300</w:t>
            </w:r>
          </w:p>
        </w:tc>
      </w:tr>
      <w:tr w14:paraId="3EF2597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414" w:type="dxa"/>
            <w:vAlign w:val="center"/>
          </w:tcPr>
          <w:p w14:paraId="41E068E9">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414" w:type="dxa"/>
            <w:vAlign w:val="center"/>
          </w:tcPr>
          <w:p w14:paraId="7BF07635">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铜</w:t>
            </w:r>
          </w:p>
        </w:tc>
        <w:tc>
          <w:tcPr>
            <w:tcW w:w="815" w:type="dxa"/>
            <w:vAlign w:val="center"/>
          </w:tcPr>
          <w:p w14:paraId="195D75BA">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w:t>
            </w:r>
          </w:p>
        </w:tc>
        <w:tc>
          <w:tcPr>
            <w:tcW w:w="1175" w:type="dxa"/>
            <w:vAlign w:val="center"/>
          </w:tcPr>
          <w:p w14:paraId="48EE109F">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w:t>
            </w:r>
          </w:p>
        </w:tc>
        <w:tc>
          <w:tcPr>
            <w:tcW w:w="1175" w:type="dxa"/>
            <w:vAlign w:val="center"/>
          </w:tcPr>
          <w:p w14:paraId="5E6B52A4">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818" w:type="dxa"/>
            <w:vAlign w:val="center"/>
          </w:tcPr>
          <w:p w14:paraId="56D8F6CB">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815" w:type="dxa"/>
            <w:vAlign w:val="center"/>
          </w:tcPr>
          <w:p w14:paraId="140986DB">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175" w:type="dxa"/>
            <w:vAlign w:val="center"/>
          </w:tcPr>
          <w:p w14:paraId="05E843C5">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175" w:type="dxa"/>
            <w:vAlign w:val="center"/>
          </w:tcPr>
          <w:p w14:paraId="6E9AA564">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19" w:type="dxa"/>
            <w:vAlign w:val="center"/>
          </w:tcPr>
          <w:p w14:paraId="65205EA6">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017F558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414" w:type="dxa"/>
            <w:vAlign w:val="center"/>
          </w:tcPr>
          <w:p w14:paraId="64EF0190">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414" w:type="dxa"/>
            <w:vAlign w:val="center"/>
          </w:tcPr>
          <w:p w14:paraId="4C2E068C">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镍</w:t>
            </w:r>
          </w:p>
        </w:tc>
        <w:tc>
          <w:tcPr>
            <w:tcW w:w="815" w:type="dxa"/>
            <w:vAlign w:val="center"/>
          </w:tcPr>
          <w:p w14:paraId="38B1E61F">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1175" w:type="dxa"/>
            <w:vAlign w:val="center"/>
          </w:tcPr>
          <w:p w14:paraId="4C6943FD">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1175" w:type="dxa"/>
            <w:vAlign w:val="center"/>
          </w:tcPr>
          <w:p w14:paraId="554A8CF9">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818" w:type="dxa"/>
            <w:vAlign w:val="center"/>
          </w:tcPr>
          <w:p w14:paraId="1291E8F4">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190</w:t>
            </w:r>
          </w:p>
        </w:tc>
        <w:tc>
          <w:tcPr>
            <w:tcW w:w="815" w:type="dxa"/>
            <w:vAlign w:val="center"/>
          </w:tcPr>
          <w:p w14:paraId="454640B7">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175" w:type="dxa"/>
            <w:vAlign w:val="center"/>
          </w:tcPr>
          <w:p w14:paraId="004ECECF">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175" w:type="dxa"/>
            <w:vAlign w:val="center"/>
          </w:tcPr>
          <w:p w14:paraId="1B1A8840">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19" w:type="dxa"/>
            <w:vAlign w:val="center"/>
          </w:tcPr>
          <w:p w14:paraId="3412E81E">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1250397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414" w:type="dxa"/>
            <w:vAlign w:val="center"/>
          </w:tcPr>
          <w:p w14:paraId="4F6E35B9">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414" w:type="dxa"/>
            <w:vAlign w:val="center"/>
          </w:tcPr>
          <w:p w14:paraId="50F3ACC1">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锌</w:t>
            </w:r>
          </w:p>
        </w:tc>
        <w:tc>
          <w:tcPr>
            <w:tcW w:w="815" w:type="dxa"/>
            <w:vAlign w:val="center"/>
          </w:tcPr>
          <w:p w14:paraId="68C66C65">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1175" w:type="dxa"/>
            <w:vAlign w:val="center"/>
          </w:tcPr>
          <w:p w14:paraId="18EF8399">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1175" w:type="dxa"/>
            <w:vAlign w:val="center"/>
          </w:tcPr>
          <w:p w14:paraId="7ED778F0">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250</w:t>
            </w:r>
          </w:p>
        </w:tc>
        <w:tc>
          <w:tcPr>
            <w:tcW w:w="818" w:type="dxa"/>
            <w:vAlign w:val="center"/>
          </w:tcPr>
          <w:p w14:paraId="07D658B2">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300</w:t>
            </w:r>
          </w:p>
        </w:tc>
        <w:tc>
          <w:tcPr>
            <w:tcW w:w="815" w:type="dxa"/>
            <w:vAlign w:val="center"/>
          </w:tcPr>
          <w:p w14:paraId="7E9E082A">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175" w:type="dxa"/>
            <w:vAlign w:val="center"/>
          </w:tcPr>
          <w:p w14:paraId="20A7732A">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175" w:type="dxa"/>
            <w:vAlign w:val="center"/>
          </w:tcPr>
          <w:p w14:paraId="5B8F1C7D">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19" w:type="dxa"/>
            <w:vAlign w:val="center"/>
          </w:tcPr>
          <w:p w14:paraId="3AD0F2B0">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45E1F98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4811" w:type="dxa"/>
            <w:gridSpan w:val="6"/>
            <w:vAlign w:val="center"/>
          </w:tcPr>
          <w:p w14:paraId="02C23511">
            <w:pPr>
              <w:keepNext w:val="0"/>
              <w:keepLines w:val="0"/>
              <w:suppressLineNumbers w:val="0"/>
              <w:tabs>
                <w:tab w:val="left" w:pos="1365"/>
              </w:tabs>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注：1）重金属和类金属砷均按元素总量计</w:t>
            </w:r>
          </w:p>
          <w:p w14:paraId="02844706">
            <w:pPr>
              <w:keepNext w:val="0"/>
              <w:keepLines w:val="0"/>
              <w:suppressLineNumbers w:val="0"/>
              <w:tabs>
                <w:tab w:val="left" w:pos="1365"/>
              </w:tabs>
              <w:spacing w:before="0" w:beforeAutospacing="0" w:after="0" w:afterAutospacing="0"/>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2）对于水旱轮作地，采用其中较严格的风险筛选值</w:t>
            </w:r>
          </w:p>
        </w:tc>
        <w:tc>
          <w:tcPr>
            <w:tcW w:w="3984" w:type="dxa"/>
            <w:gridSpan w:val="4"/>
            <w:vAlign w:val="center"/>
          </w:tcPr>
          <w:p w14:paraId="240E05DC">
            <w:pPr>
              <w:keepNext w:val="0"/>
              <w:keepLines w:val="0"/>
              <w:suppressLineNumbers w:val="0"/>
              <w:tabs>
                <w:tab w:val="left" w:pos="1365"/>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14:paraId="4BEB6799">
      <w:pPr>
        <w:pStyle w:val="12"/>
        <w:snapToGrid w:val="0"/>
        <w:ind w:firstLineChars="200"/>
        <w:rPr>
          <w:rStyle w:val="35"/>
          <w:rFonts w:hint="default" w:ascii="Times New Roman" w:hAnsi="Times New Roman" w:cs="Times New Roman"/>
          <w:color w:val="auto"/>
          <w:highlight w:val="none"/>
        </w:rPr>
      </w:pPr>
    </w:p>
    <w:p w14:paraId="57B393C4">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eastAsia="zh-CN"/>
        </w:rPr>
      </w:pPr>
      <w:bookmarkStart w:id="103" w:name="_Toc3838"/>
      <w:r>
        <w:rPr>
          <w:rFonts w:hint="default" w:ascii="Times New Roman" w:hAnsi="Times New Roman" w:eastAsia="宋体" w:cs="Times New Roman"/>
          <w:color w:val="auto"/>
          <w:lang w:eastAsia="zh-CN"/>
        </w:rPr>
        <w:t>1.</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.2排放标准</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7A12164B">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（1）大气污染物排放标准</w:t>
      </w:r>
    </w:p>
    <w:p w14:paraId="2BF5F388">
      <w:pPr>
        <w:snapToGrid w:val="0"/>
        <w:spacing w:line="360" w:lineRule="auto"/>
        <w:ind w:firstLine="482" w:firstLineChars="200"/>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①施工期</w:t>
      </w:r>
    </w:p>
    <w:p w14:paraId="6A00D4E1">
      <w:pPr>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项目施工期大气污染物排放执行《大气污染物综合排放标准》（GB16297-1996）中无组织排放监控浓度限值要求，见表1.</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7</w:t>
      </w:r>
      <w:r>
        <w:rPr>
          <w:rFonts w:hint="default" w:ascii="Times New Roman" w:hAnsi="Times New Roman" w:cs="Times New Roman"/>
          <w:color w:val="auto"/>
          <w:kern w:val="0"/>
          <w:sz w:val="24"/>
          <w:highlight w:val="none"/>
        </w:rPr>
        <w:t>。</w:t>
      </w:r>
    </w:p>
    <w:p w14:paraId="4E09AA9D">
      <w:pPr>
        <w:snapToGri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表1.</w:t>
      </w:r>
      <w:r>
        <w:rPr>
          <w:rFonts w:hint="default" w:ascii="Times New Roman" w:hAnsi="Times New Roman" w:cs="Times New Roman"/>
          <w:b/>
          <w:color w:val="auto"/>
          <w:kern w:val="0"/>
          <w:szCs w:val="21"/>
          <w:highlight w:val="none"/>
          <w:lang w:val="en-US" w:eastAsia="zh-CN"/>
        </w:rPr>
        <w:t>4</w:t>
      </w:r>
      <w:r>
        <w:rPr>
          <w:rFonts w:hint="default" w:ascii="Times New Roman" w:hAnsi="Times New Roman" w:cs="Times New Roman"/>
          <w:b/>
          <w:color w:val="auto"/>
          <w:kern w:val="0"/>
          <w:szCs w:val="21"/>
          <w:highlight w:val="none"/>
        </w:rPr>
        <w:t>-</w:t>
      </w:r>
      <w:r>
        <w:rPr>
          <w:rFonts w:hint="default" w:ascii="Times New Roman" w:hAnsi="Times New Roman" w:cs="Times New Roman"/>
          <w:b/>
          <w:color w:val="auto"/>
          <w:kern w:val="0"/>
          <w:szCs w:val="21"/>
          <w:highlight w:val="none"/>
          <w:lang w:val="en-US" w:eastAsia="zh-CN"/>
        </w:rPr>
        <w:t>7</w:t>
      </w:r>
      <w:r>
        <w:rPr>
          <w:rFonts w:hint="default" w:ascii="Times New Roman" w:hAnsi="Times New Roman" w:cs="Times New Roman"/>
          <w:b/>
          <w:color w:val="auto"/>
          <w:kern w:val="0"/>
          <w:szCs w:val="21"/>
          <w:highlight w:val="none"/>
        </w:rPr>
        <w:t xml:space="preserve">    大气污染物综合排放标准    单位：mg/m</w:t>
      </w:r>
      <w:r>
        <w:rPr>
          <w:rFonts w:hint="default" w:ascii="Times New Roman" w:hAnsi="Times New Roman" w:cs="Times New Roman"/>
          <w:b/>
          <w:color w:val="auto"/>
          <w:kern w:val="0"/>
          <w:szCs w:val="21"/>
          <w:highlight w:val="none"/>
          <w:vertAlign w:val="superscript"/>
        </w:rPr>
        <w:t>3</w:t>
      </w:r>
    </w:p>
    <w:tbl>
      <w:tblPr>
        <w:tblStyle w:val="23"/>
        <w:tblW w:w="87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97"/>
        <w:gridCol w:w="4398"/>
      </w:tblGrid>
      <w:tr w14:paraId="15B2A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97" w:type="dxa"/>
          </w:tcPr>
          <w:p w14:paraId="7EB2CFCA">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项目</w:t>
            </w:r>
          </w:p>
        </w:tc>
        <w:tc>
          <w:tcPr>
            <w:tcW w:w="4398" w:type="dxa"/>
          </w:tcPr>
          <w:p w14:paraId="24015C24">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颗粒物</w:t>
            </w:r>
          </w:p>
        </w:tc>
      </w:tr>
      <w:tr w14:paraId="274C6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97" w:type="dxa"/>
          </w:tcPr>
          <w:p w14:paraId="23497AC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无组织排放监控浓度限值</w:t>
            </w:r>
          </w:p>
        </w:tc>
        <w:tc>
          <w:tcPr>
            <w:tcW w:w="4398" w:type="dxa"/>
          </w:tcPr>
          <w:p w14:paraId="2A1C189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w:t>
            </w:r>
          </w:p>
        </w:tc>
      </w:tr>
    </w:tbl>
    <w:p w14:paraId="30FC9C01">
      <w:pPr>
        <w:snapToGrid w:val="0"/>
        <w:spacing w:before="156" w:beforeLines="50" w:line="360" w:lineRule="auto"/>
        <w:ind w:firstLine="482" w:firstLineChars="200"/>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②运营期</w:t>
      </w:r>
    </w:p>
    <w:p w14:paraId="3E557D67">
      <w:pPr>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项目养殖区及</w:t>
      </w:r>
      <w:r>
        <w:rPr>
          <w:rFonts w:hint="default" w:ascii="Times New Roman" w:hAnsi="Times New Roman" w:cs="Times New Roman"/>
          <w:color w:val="auto"/>
          <w:sz w:val="24"/>
          <w:highlight w:val="none"/>
          <w:lang w:eastAsia="zh-CN" w:bidi="en-US"/>
        </w:rPr>
        <w:t>粪污</w:t>
      </w:r>
      <w:r>
        <w:rPr>
          <w:rFonts w:hint="default" w:ascii="Times New Roman" w:hAnsi="Times New Roman" w:cs="Times New Roman"/>
          <w:color w:val="auto"/>
          <w:kern w:val="0"/>
          <w:sz w:val="24"/>
          <w:highlight w:val="none"/>
        </w:rPr>
        <w:t>处理区无组织排放的H</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S、NH</w:t>
      </w:r>
      <w:r>
        <w:rPr>
          <w:rFonts w:hint="default" w:ascii="Times New Roman" w:hAnsi="Times New Roman" w:cs="Times New Roman"/>
          <w:color w:val="auto"/>
          <w:kern w:val="0"/>
          <w:sz w:val="24"/>
          <w:highlight w:val="none"/>
          <w:vertAlign w:val="subscript"/>
        </w:rPr>
        <w:t>3</w:t>
      </w:r>
      <w:r>
        <w:rPr>
          <w:rFonts w:hint="default" w:ascii="Times New Roman" w:hAnsi="Times New Roman" w:cs="Times New Roman"/>
          <w:color w:val="auto"/>
          <w:kern w:val="0"/>
          <w:sz w:val="24"/>
          <w:highlight w:val="none"/>
        </w:rPr>
        <w:t>执行《恶臭污染物排放标准》（GB14554-93）表1中恶臭污染物厂界二级标准；臭气浓度排放执行《畜禽养殖业污染物排放标准》（GB18596-2001）表7中的要求。标准值见表1.</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8</w:t>
      </w:r>
      <w:r>
        <w:rPr>
          <w:rFonts w:hint="default" w:ascii="Times New Roman" w:hAnsi="Times New Roman" w:cs="Times New Roman"/>
          <w:color w:val="auto"/>
          <w:kern w:val="0"/>
          <w:sz w:val="24"/>
          <w:highlight w:val="none"/>
        </w:rPr>
        <w:t>、表1.</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9</w:t>
      </w:r>
      <w:r>
        <w:rPr>
          <w:rFonts w:hint="default" w:ascii="Times New Roman" w:hAnsi="Times New Roman" w:cs="Times New Roman"/>
          <w:color w:val="auto"/>
          <w:kern w:val="0"/>
          <w:sz w:val="24"/>
          <w:highlight w:val="none"/>
        </w:rPr>
        <w:t>。</w:t>
      </w:r>
    </w:p>
    <w:p w14:paraId="01BE0480">
      <w:pPr>
        <w:snapToGri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表1.</w:t>
      </w:r>
      <w:r>
        <w:rPr>
          <w:rFonts w:hint="default" w:ascii="Times New Roman" w:hAnsi="Times New Roman" w:cs="Times New Roman"/>
          <w:b/>
          <w:color w:val="auto"/>
          <w:kern w:val="0"/>
          <w:szCs w:val="21"/>
          <w:highlight w:val="none"/>
          <w:lang w:val="en-US" w:eastAsia="zh-CN"/>
        </w:rPr>
        <w:t>4</w:t>
      </w:r>
      <w:r>
        <w:rPr>
          <w:rFonts w:hint="default" w:ascii="Times New Roman" w:hAnsi="Times New Roman" w:cs="Times New Roman"/>
          <w:b/>
          <w:color w:val="auto"/>
          <w:kern w:val="0"/>
          <w:szCs w:val="21"/>
          <w:highlight w:val="none"/>
        </w:rPr>
        <w:t>-</w:t>
      </w:r>
      <w:r>
        <w:rPr>
          <w:rFonts w:hint="default" w:ascii="Times New Roman" w:hAnsi="Times New Roman" w:cs="Times New Roman"/>
          <w:b/>
          <w:color w:val="auto"/>
          <w:kern w:val="0"/>
          <w:szCs w:val="21"/>
          <w:highlight w:val="none"/>
          <w:lang w:val="en-US" w:eastAsia="zh-CN"/>
        </w:rPr>
        <w:t>8</w:t>
      </w:r>
      <w:r>
        <w:rPr>
          <w:rFonts w:hint="default" w:ascii="Times New Roman" w:hAnsi="Times New Roman" w:cs="Times New Roman"/>
          <w:b/>
          <w:color w:val="auto"/>
          <w:kern w:val="0"/>
          <w:szCs w:val="21"/>
          <w:highlight w:val="none"/>
        </w:rPr>
        <w:t xml:space="preserve">    恶臭污染物排放标准    单位：mg/m</w:t>
      </w:r>
      <w:r>
        <w:rPr>
          <w:rFonts w:hint="default" w:ascii="Times New Roman" w:hAnsi="Times New Roman" w:cs="Times New Roman"/>
          <w:b/>
          <w:color w:val="auto"/>
          <w:kern w:val="0"/>
          <w:szCs w:val="21"/>
          <w:highlight w:val="none"/>
          <w:vertAlign w:val="superscript"/>
        </w:rPr>
        <w:t>3</w:t>
      </w:r>
    </w:p>
    <w:tbl>
      <w:tblPr>
        <w:tblStyle w:val="23"/>
        <w:tblW w:w="87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30"/>
        <w:gridCol w:w="2932"/>
        <w:gridCol w:w="2933"/>
      </w:tblGrid>
      <w:tr w14:paraId="30F83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30" w:type="dxa"/>
            <w:vAlign w:val="center"/>
          </w:tcPr>
          <w:p w14:paraId="3E33B860">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污染物</w:t>
            </w:r>
          </w:p>
        </w:tc>
        <w:tc>
          <w:tcPr>
            <w:tcW w:w="2932" w:type="dxa"/>
            <w:vAlign w:val="center"/>
          </w:tcPr>
          <w:p w14:paraId="1D6FFA16">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排放方式</w:t>
            </w:r>
          </w:p>
        </w:tc>
        <w:tc>
          <w:tcPr>
            <w:tcW w:w="2933" w:type="dxa"/>
            <w:vAlign w:val="center"/>
          </w:tcPr>
          <w:p w14:paraId="44ACEAB9">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排放浓度限值</w:t>
            </w:r>
          </w:p>
        </w:tc>
      </w:tr>
      <w:tr w14:paraId="0D4B9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30" w:type="dxa"/>
          </w:tcPr>
          <w:p w14:paraId="23E5AA54">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p>
        </w:tc>
        <w:tc>
          <w:tcPr>
            <w:tcW w:w="2932" w:type="dxa"/>
            <w:vMerge w:val="restart"/>
            <w:vAlign w:val="center"/>
          </w:tcPr>
          <w:p w14:paraId="6833F08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无组织</w:t>
            </w:r>
          </w:p>
        </w:tc>
        <w:tc>
          <w:tcPr>
            <w:tcW w:w="2933" w:type="dxa"/>
            <w:vAlign w:val="center"/>
          </w:tcPr>
          <w:p w14:paraId="531A2A5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1.5</w:t>
            </w:r>
          </w:p>
        </w:tc>
      </w:tr>
      <w:tr w14:paraId="2CF79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30" w:type="dxa"/>
          </w:tcPr>
          <w:p w14:paraId="1A951D5E">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S</w:t>
            </w:r>
          </w:p>
        </w:tc>
        <w:tc>
          <w:tcPr>
            <w:tcW w:w="2932" w:type="dxa"/>
            <w:vMerge w:val="continue"/>
            <w:vAlign w:val="center"/>
          </w:tcPr>
          <w:p w14:paraId="46775EB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p>
        </w:tc>
        <w:tc>
          <w:tcPr>
            <w:tcW w:w="2933" w:type="dxa"/>
            <w:vAlign w:val="center"/>
          </w:tcPr>
          <w:p w14:paraId="10D3FC4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0.06</w:t>
            </w:r>
          </w:p>
        </w:tc>
      </w:tr>
    </w:tbl>
    <w:p w14:paraId="2BDE6CC7">
      <w:pPr>
        <w:snapToGrid w:val="0"/>
        <w:jc w:val="center"/>
        <w:rPr>
          <w:rFonts w:hint="default" w:ascii="Times New Roman" w:hAnsi="Times New Roman" w:cs="Times New Roman"/>
          <w:b/>
          <w:color w:val="auto"/>
          <w:kern w:val="0"/>
          <w:szCs w:val="21"/>
          <w:highlight w:val="none"/>
        </w:rPr>
      </w:pPr>
    </w:p>
    <w:p w14:paraId="16ECD719">
      <w:pPr>
        <w:snapToGri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表1.</w:t>
      </w:r>
      <w:r>
        <w:rPr>
          <w:rFonts w:hint="default" w:ascii="Times New Roman" w:hAnsi="Times New Roman" w:cs="Times New Roman"/>
          <w:b/>
          <w:color w:val="auto"/>
          <w:kern w:val="0"/>
          <w:szCs w:val="21"/>
          <w:highlight w:val="none"/>
          <w:lang w:val="en-US" w:eastAsia="zh-CN"/>
        </w:rPr>
        <w:t>4</w:t>
      </w:r>
      <w:r>
        <w:rPr>
          <w:rFonts w:hint="default" w:ascii="Times New Roman" w:hAnsi="Times New Roman" w:cs="Times New Roman"/>
          <w:b/>
          <w:color w:val="auto"/>
          <w:kern w:val="0"/>
          <w:szCs w:val="21"/>
          <w:highlight w:val="none"/>
        </w:rPr>
        <w:t>-</w:t>
      </w:r>
      <w:r>
        <w:rPr>
          <w:rFonts w:hint="default" w:ascii="Times New Roman" w:hAnsi="Times New Roman" w:cs="Times New Roman"/>
          <w:b/>
          <w:color w:val="auto"/>
          <w:kern w:val="0"/>
          <w:szCs w:val="21"/>
          <w:highlight w:val="none"/>
          <w:lang w:val="en-US" w:eastAsia="zh-CN"/>
        </w:rPr>
        <w:t>9</w:t>
      </w:r>
      <w:r>
        <w:rPr>
          <w:rFonts w:hint="default" w:ascii="Times New Roman" w:hAnsi="Times New Roman" w:cs="Times New Roman"/>
          <w:b/>
          <w:color w:val="auto"/>
          <w:kern w:val="0"/>
          <w:szCs w:val="21"/>
          <w:highlight w:val="none"/>
        </w:rPr>
        <w:t xml:space="preserve">    畜禽养殖业污染物排放标准</w:t>
      </w:r>
    </w:p>
    <w:tbl>
      <w:tblPr>
        <w:tblStyle w:val="23"/>
        <w:tblW w:w="87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97"/>
        <w:gridCol w:w="4398"/>
      </w:tblGrid>
      <w:tr w14:paraId="63DA5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397" w:type="dxa"/>
          </w:tcPr>
          <w:p w14:paraId="5C8BC294">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控制项目</w:t>
            </w:r>
          </w:p>
        </w:tc>
        <w:tc>
          <w:tcPr>
            <w:tcW w:w="4398" w:type="dxa"/>
          </w:tcPr>
          <w:p w14:paraId="0AA23330">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标准值</w:t>
            </w:r>
          </w:p>
        </w:tc>
      </w:tr>
      <w:tr w14:paraId="4B538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7" w:type="dxa"/>
          </w:tcPr>
          <w:p w14:paraId="7BF4BE4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臭气浓度（无量纲）</w:t>
            </w:r>
          </w:p>
        </w:tc>
        <w:tc>
          <w:tcPr>
            <w:tcW w:w="4398" w:type="dxa"/>
          </w:tcPr>
          <w:p w14:paraId="16B2497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w:t>
            </w:r>
          </w:p>
        </w:tc>
      </w:tr>
    </w:tbl>
    <w:p w14:paraId="520F89C4">
      <w:pPr>
        <w:snapToGrid w:val="0"/>
        <w:spacing w:before="156" w:beforeLines="5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项目区内设置厨房，厨房内拟设置2个灶头，属“小型”规模，其油烟排放执行《饮食业油烟排放标准（试行）》（GB18483-2001）中“小型”规模标准，饮食业单位的油烟最高允许排放浓度见表1.</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w:t>
      </w:r>
    </w:p>
    <w:p w14:paraId="3B7801AC">
      <w:pPr>
        <w:autoSpaceDE w:val="0"/>
        <w:autoSpaceDN w:val="0"/>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表1.</w:t>
      </w:r>
      <w:r>
        <w:rPr>
          <w:rFonts w:hint="default" w:ascii="Times New Roman" w:hAnsi="Times New Roman" w:cs="Times New Roman"/>
          <w:b/>
          <w:color w:val="auto"/>
          <w:szCs w:val="21"/>
          <w:highlight w:val="none"/>
          <w:lang w:val="en-US" w:eastAsia="zh-CN"/>
        </w:rPr>
        <w:t>4</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val="en-US" w:eastAsia="zh-CN"/>
        </w:rPr>
        <w:t>10</w:t>
      </w:r>
      <w:r>
        <w:rPr>
          <w:rFonts w:hint="default" w:ascii="Times New Roman" w:hAnsi="Times New Roman" w:cs="Times New Roman"/>
          <w:b/>
          <w:color w:val="auto"/>
          <w:szCs w:val="21"/>
          <w:highlight w:val="none"/>
        </w:rPr>
        <w:t xml:space="preserve">      饮食业单位排放标准</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0"/>
        <w:gridCol w:w="4315"/>
      </w:tblGrid>
      <w:tr w14:paraId="4250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480" w:type="dxa"/>
            <w:vAlign w:val="center"/>
          </w:tcPr>
          <w:p w14:paraId="121CC3E7">
            <w:pPr>
              <w:pStyle w:val="20"/>
              <w:keepNext w:val="0"/>
              <w:keepLines w:val="0"/>
              <w:suppressLineNumbers w:val="0"/>
              <w:spacing w:before="0" w:beforeAutospacing="0" w:after="0" w:afterAutospacing="0"/>
              <w:ind w:left="0" w:right="0" w:firstLine="422"/>
              <w:jc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color w:val="auto"/>
                <w:sz w:val="21"/>
                <w:szCs w:val="21"/>
                <w:highlight w:val="none"/>
              </w:rPr>
              <w:t>规模</w:t>
            </w:r>
          </w:p>
        </w:tc>
        <w:tc>
          <w:tcPr>
            <w:tcW w:w="4315" w:type="dxa"/>
            <w:vAlign w:val="center"/>
          </w:tcPr>
          <w:p w14:paraId="37076367">
            <w:pPr>
              <w:pStyle w:val="20"/>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小</w:t>
            </w:r>
            <w:r>
              <w:rPr>
                <w:rFonts w:hint="default" w:ascii="Times New Roman" w:hAnsi="Times New Roman" w:eastAsia="宋体" w:cs="Times New Roman"/>
                <w:b/>
                <w:color w:val="auto"/>
                <w:sz w:val="21"/>
                <w:szCs w:val="21"/>
                <w:highlight w:val="none"/>
              </w:rPr>
              <w:t>型</w:t>
            </w:r>
          </w:p>
        </w:tc>
      </w:tr>
      <w:tr w14:paraId="2BBA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480" w:type="dxa"/>
            <w:vAlign w:val="center"/>
          </w:tcPr>
          <w:p w14:paraId="2054ECEE">
            <w:pPr>
              <w:pStyle w:val="20"/>
              <w:keepNext w:val="0"/>
              <w:keepLines w:val="0"/>
              <w:suppressLineNumbers w:val="0"/>
              <w:spacing w:before="0" w:beforeAutospacing="0" w:after="0" w:afterAutospacing="0"/>
              <w:ind w:left="0" w:right="0" w:firstLine="422"/>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rPr>
              <w:t>最高允许排放浓度</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4315" w:type="dxa"/>
            <w:vAlign w:val="center"/>
          </w:tcPr>
          <w:p w14:paraId="49863044">
            <w:pPr>
              <w:pStyle w:val="20"/>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r>
      <w:tr w14:paraId="6B2B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480" w:type="dxa"/>
            <w:vAlign w:val="center"/>
          </w:tcPr>
          <w:p w14:paraId="69B1A8C8">
            <w:pPr>
              <w:pStyle w:val="20"/>
              <w:keepNext w:val="0"/>
              <w:keepLines w:val="0"/>
              <w:suppressLineNumbers w:val="0"/>
              <w:spacing w:before="0" w:beforeAutospacing="0" w:after="0" w:afterAutospacing="0"/>
              <w:ind w:left="0" w:right="0" w:firstLine="422"/>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rPr>
              <w:t>净化效率最低去除效率</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sz w:val="21"/>
                <w:szCs w:val="21"/>
                <w:highlight w:val="none"/>
              </w:rPr>
              <w:t>）</w:t>
            </w:r>
          </w:p>
        </w:tc>
        <w:tc>
          <w:tcPr>
            <w:tcW w:w="4315" w:type="dxa"/>
            <w:vAlign w:val="center"/>
          </w:tcPr>
          <w:p w14:paraId="1072205C">
            <w:pPr>
              <w:pStyle w:val="20"/>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r>
    </w:tbl>
    <w:p w14:paraId="152E10F6">
      <w:pPr>
        <w:snapToGrid w:val="0"/>
        <w:spacing w:before="156" w:beforeLines="5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项目区烘干棚使用天然气燃烧器对进出车辆进行烘干，天然气燃烧废气</w:t>
      </w:r>
      <w:r>
        <w:rPr>
          <w:rFonts w:hint="default" w:ascii="Times New Roman" w:hAnsi="Times New Roman" w:eastAsia="宋体" w:cs="Times New Roman"/>
          <w:color w:val="auto"/>
          <w:sz w:val="24"/>
          <w:highlight w:val="none"/>
        </w:rPr>
        <w:t>执行《大气污染物综合排放标准》（GB16297-1996）表2中的无组织排放监控限值，具体标准值见表1.4-</w:t>
      </w:r>
      <w:r>
        <w:rPr>
          <w:rFonts w:hint="default"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rPr>
        <w:t>。</w:t>
      </w:r>
    </w:p>
    <w:p w14:paraId="0774A08D">
      <w:pPr>
        <w:snapToGrid w:val="0"/>
        <w:spacing w:before="156" w:beforeLines="50" w:line="360" w:lineRule="auto"/>
        <w:ind w:firstLine="422" w:firstLineChars="20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表1.4-1</w:t>
      </w:r>
      <w:r>
        <w:rPr>
          <w:rFonts w:hint="default" w:ascii="Times New Roman" w:hAnsi="Times New Roman" w:cs="Times New Roman"/>
          <w:b/>
          <w:color w:val="auto"/>
          <w:sz w:val="21"/>
          <w:szCs w:val="21"/>
          <w:highlight w:val="none"/>
          <w:lang w:val="en-US" w:eastAsia="zh-CN"/>
        </w:rPr>
        <w:t>1</w:t>
      </w:r>
      <w:r>
        <w:rPr>
          <w:rFonts w:hint="default" w:ascii="Times New Roman" w:hAnsi="Times New Roman" w:cs="Times New Roman"/>
          <w:b/>
          <w:color w:val="auto"/>
          <w:sz w:val="21"/>
          <w:szCs w:val="21"/>
          <w:highlight w:val="none"/>
        </w:rPr>
        <w:t xml:space="preserve">  大气污染物综合排放标准</w:t>
      </w:r>
    </w:p>
    <w:tbl>
      <w:tblPr>
        <w:tblStyle w:val="23"/>
        <w:tblW w:w="87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9"/>
        <w:gridCol w:w="3828"/>
        <w:gridCol w:w="3588"/>
      </w:tblGrid>
      <w:tr w14:paraId="7737E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9" w:type="dxa"/>
            <w:vAlign w:val="center"/>
          </w:tcPr>
          <w:p w14:paraId="7B921CC4">
            <w:pPr>
              <w:pStyle w:val="20"/>
              <w:keepNext w:val="0"/>
              <w:keepLines w:val="0"/>
              <w:suppressLineNumbers w:val="0"/>
              <w:spacing w:before="0" w:beforeAutospacing="0" w:after="0" w:afterAutospacing="0"/>
              <w:ind w:left="0" w:right="0" w:firstLine="422"/>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污染物</w:t>
            </w:r>
          </w:p>
        </w:tc>
        <w:tc>
          <w:tcPr>
            <w:tcW w:w="3828" w:type="dxa"/>
            <w:vAlign w:val="center"/>
          </w:tcPr>
          <w:p w14:paraId="64FD6C56">
            <w:pPr>
              <w:pStyle w:val="20"/>
              <w:keepNext w:val="0"/>
              <w:keepLines w:val="0"/>
              <w:suppressLineNumbers w:val="0"/>
              <w:spacing w:before="0" w:beforeAutospacing="0" w:after="0" w:afterAutospacing="0"/>
              <w:ind w:left="0" w:right="0" w:firstLine="422"/>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无组织排放浓度限值mg/m</w:t>
            </w:r>
            <w:r>
              <w:rPr>
                <w:rFonts w:hint="default" w:ascii="Times New Roman" w:hAnsi="Times New Roman" w:eastAsia="宋体" w:cs="Times New Roman"/>
                <w:color w:val="auto"/>
                <w:kern w:val="2"/>
                <w:sz w:val="21"/>
                <w:szCs w:val="21"/>
                <w:highlight w:val="none"/>
                <w:vertAlign w:val="superscript"/>
              </w:rPr>
              <w:t>3</w:t>
            </w:r>
          </w:p>
        </w:tc>
        <w:tc>
          <w:tcPr>
            <w:tcW w:w="3588" w:type="dxa"/>
            <w:vAlign w:val="center"/>
          </w:tcPr>
          <w:p w14:paraId="4086FCFC">
            <w:pPr>
              <w:pStyle w:val="20"/>
              <w:keepNext w:val="0"/>
              <w:keepLines w:val="0"/>
              <w:suppressLineNumbers w:val="0"/>
              <w:spacing w:before="0" w:beforeAutospacing="0" w:after="0" w:afterAutospacing="0"/>
              <w:ind w:left="0" w:right="0" w:firstLine="422"/>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监控点</w:t>
            </w:r>
          </w:p>
        </w:tc>
      </w:tr>
      <w:tr w14:paraId="67110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1379" w:type="dxa"/>
            <w:vAlign w:val="top"/>
          </w:tcPr>
          <w:p w14:paraId="049EF2A1">
            <w:pPr>
              <w:pStyle w:val="20"/>
              <w:keepNext w:val="0"/>
              <w:keepLines w:val="0"/>
              <w:suppressLineNumbers w:val="0"/>
              <w:spacing w:before="0" w:beforeAutospacing="0" w:after="0" w:afterAutospacing="0"/>
              <w:ind w:left="0" w:right="0" w:firstLine="422"/>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SO</w:t>
            </w:r>
            <w:r>
              <w:rPr>
                <w:rFonts w:hint="default" w:ascii="Times New Roman" w:hAnsi="Times New Roman" w:eastAsia="宋体" w:cs="Times New Roman"/>
                <w:color w:val="auto"/>
                <w:kern w:val="2"/>
                <w:sz w:val="21"/>
                <w:szCs w:val="21"/>
                <w:highlight w:val="none"/>
                <w:vertAlign w:val="subscript"/>
              </w:rPr>
              <w:t>2</w:t>
            </w:r>
          </w:p>
        </w:tc>
        <w:tc>
          <w:tcPr>
            <w:tcW w:w="3828" w:type="dxa"/>
            <w:vAlign w:val="center"/>
          </w:tcPr>
          <w:p w14:paraId="45EAD0F8">
            <w:pPr>
              <w:pStyle w:val="20"/>
              <w:keepNext w:val="0"/>
              <w:keepLines w:val="0"/>
              <w:suppressLineNumbers w:val="0"/>
              <w:spacing w:before="0" w:beforeAutospacing="0" w:after="0" w:afterAutospacing="0"/>
              <w:ind w:left="0" w:right="0" w:firstLine="422"/>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0.4</w:t>
            </w:r>
          </w:p>
        </w:tc>
        <w:tc>
          <w:tcPr>
            <w:tcW w:w="3588" w:type="dxa"/>
            <w:vMerge w:val="restart"/>
            <w:vAlign w:val="center"/>
          </w:tcPr>
          <w:p w14:paraId="2C2B46F0">
            <w:pPr>
              <w:pStyle w:val="20"/>
              <w:keepNext w:val="0"/>
              <w:keepLines w:val="0"/>
              <w:suppressLineNumbers w:val="0"/>
              <w:spacing w:before="0" w:beforeAutospacing="0" w:after="0" w:afterAutospacing="0"/>
              <w:ind w:left="0" w:right="0" w:firstLine="422"/>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周界外浓度最高点</w:t>
            </w:r>
          </w:p>
        </w:tc>
      </w:tr>
      <w:tr w14:paraId="366EB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9" w:type="dxa"/>
            <w:vAlign w:val="top"/>
          </w:tcPr>
          <w:p w14:paraId="4BE8F1CF">
            <w:pPr>
              <w:pStyle w:val="20"/>
              <w:keepNext w:val="0"/>
              <w:keepLines w:val="0"/>
              <w:suppressLineNumbers w:val="0"/>
              <w:spacing w:before="0" w:beforeAutospacing="0" w:after="0" w:afterAutospacing="0"/>
              <w:ind w:left="0" w:right="0" w:firstLine="422"/>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NOx</w:t>
            </w:r>
          </w:p>
        </w:tc>
        <w:tc>
          <w:tcPr>
            <w:tcW w:w="3828" w:type="dxa"/>
            <w:vAlign w:val="center"/>
          </w:tcPr>
          <w:p w14:paraId="6F3E6A27">
            <w:pPr>
              <w:pStyle w:val="20"/>
              <w:keepNext w:val="0"/>
              <w:keepLines w:val="0"/>
              <w:suppressLineNumbers w:val="0"/>
              <w:spacing w:before="0" w:beforeAutospacing="0" w:after="0" w:afterAutospacing="0"/>
              <w:ind w:left="0" w:right="0" w:firstLine="422"/>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0.12</w:t>
            </w:r>
          </w:p>
        </w:tc>
        <w:tc>
          <w:tcPr>
            <w:tcW w:w="3588" w:type="dxa"/>
            <w:vMerge w:val="continue"/>
            <w:vAlign w:val="top"/>
          </w:tcPr>
          <w:p w14:paraId="6BEF5EC7">
            <w:pPr>
              <w:snapToGrid w:val="0"/>
              <w:spacing w:before="156" w:beforeLines="50" w:line="360" w:lineRule="auto"/>
              <w:ind w:firstLine="361" w:firstLineChars="200"/>
              <w:rPr>
                <w:rFonts w:hint="default" w:ascii="Times New Roman" w:hAnsi="Times New Roman" w:eastAsia="宋体" w:cs="Times New Roman"/>
                <w:b/>
                <w:color w:val="auto"/>
                <w:sz w:val="18"/>
                <w:szCs w:val="18"/>
                <w:highlight w:val="none"/>
              </w:rPr>
            </w:pPr>
          </w:p>
        </w:tc>
      </w:tr>
      <w:tr w14:paraId="3A4B5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9" w:type="dxa"/>
            <w:vAlign w:val="top"/>
          </w:tcPr>
          <w:p w14:paraId="503607E1">
            <w:pPr>
              <w:pStyle w:val="20"/>
              <w:keepNext w:val="0"/>
              <w:keepLines w:val="0"/>
              <w:suppressLineNumbers w:val="0"/>
              <w:spacing w:before="0" w:beforeAutospacing="0" w:after="0" w:afterAutospacing="0"/>
              <w:ind w:left="0" w:right="0" w:firstLine="422"/>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TSP</w:t>
            </w:r>
          </w:p>
        </w:tc>
        <w:tc>
          <w:tcPr>
            <w:tcW w:w="3828" w:type="dxa"/>
            <w:vAlign w:val="center"/>
          </w:tcPr>
          <w:p w14:paraId="7A7513E2">
            <w:pPr>
              <w:pStyle w:val="20"/>
              <w:keepNext w:val="0"/>
              <w:keepLines w:val="0"/>
              <w:suppressLineNumbers w:val="0"/>
              <w:spacing w:before="0" w:beforeAutospacing="0" w:after="0" w:afterAutospacing="0"/>
              <w:ind w:left="0" w:right="0" w:firstLine="422"/>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1.0</w:t>
            </w:r>
          </w:p>
        </w:tc>
        <w:tc>
          <w:tcPr>
            <w:tcW w:w="3588" w:type="dxa"/>
            <w:vMerge w:val="continue"/>
            <w:vAlign w:val="top"/>
          </w:tcPr>
          <w:p w14:paraId="4EEE7BA1">
            <w:pPr>
              <w:snapToGrid w:val="0"/>
              <w:spacing w:before="156" w:beforeLines="50" w:line="360" w:lineRule="auto"/>
              <w:ind w:firstLine="361" w:firstLineChars="200"/>
              <w:rPr>
                <w:rFonts w:hint="default" w:ascii="Times New Roman" w:hAnsi="Times New Roman" w:eastAsia="宋体" w:cs="Times New Roman"/>
                <w:b/>
                <w:color w:val="auto"/>
                <w:sz w:val="18"/>
                <w:szCs w:val="18"/>
                <w:highlight w:val="none"/>
              </w:rPr>
            </w:pPr>
          </w:p>
        </w:tc>
      </w:tr>
    </w:tbl>
    <w:p w14:paraId="4014A4B1">
      <w:pPr>
        <w:snapToGrid w:val="0"/>
        <w:spacing w:before="156" w:beforeLines="50"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（2）废水排放标准</w:t>
      </w:r>
    </w:p>
    <w:p w14:paraId="3F1A9D2D">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kern w:val="0"/>
          <w:sz w:val="24"/>
          <w:highlight w:val="none"/>
        </w:rPr>
        <w:t>①</w:t>
      </w:r>
      <w:r>
        <w:rPr>
          <w:rFonts w:hint="default" w:ascii="Times New Roman" w:hAnsi="Times New Roman" w:cs="Times New Roman"/>
          <w:b/>
          <w:color w:val="auto"/>
          <w:sz w:val="24"/>
          <w:highlight w:val="none"/>
        </w:rPr>
        <w:t>施工期</w:t>
      </w:r>
    </w:p>
    <w:p w14:paraId="29C189C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strike w:val="0"/>
          <w:dstrike w:val="0"/>
          <w:color w:val="auto"/>
          <w:sz w:val="24"/>
          <w:highlight w:val="none"/>
        </w:rPr>
        <w:t>项目施工废水主要为施工废水及施工人员</w:t>
      </w:r>
      <w:r>
        <w:rPr>
          <w:rFonts w:hint="default" w:ascii="Times New Roman" w:hAnsi="Times New Roman" w:cs="Times New Roman"/>
          <w:strike w:val="0"/>
          <w:dstrike w:val="0"/>
          <w:color w:val="auto"/>
          <w:sz w:val="24"/>
          <w:highlight w:val="none"/>
          <w:lang w:val="en-US" w:eastAsia="zh-CN"/>
        </w:rPr>
        <w:t>洗手废水</w:t>
      </w:r>
      <w:r>
        <w:rPr>
          <w:rFonts w:hint="default" w:ascii="Times New Roman" w:hAnsi="Times New Roman" w:cs="Times New Roman"/>
          <w:strike w:val="0"/>
          <w:dstrike w:val="0"/>
          <w:color w:val="auto"/>
          <w:sz w:val="24"/>
          <w:highlight w:val="none"/>
        </w:rPr>
        <w:t>。施工废水经沉淀池沉淀后全部回用</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bCs/>
          <w:color w:val="auto"/>
          <w:sz w:val="24"/>
          <w:highlight w:val="none"/>
        </w:rPr>
        <w:t>施工期无废水</w:t>
      </w:r>
      <w:r>
        <w:rPr>
          <w:rFonts w:hint="default" w:ascii="Times New Roman" w:hAnsi="Times New Roman" w:cs="Times New Roman"/>
          <w:color w:val="auto"/>
          <w:sz w:val="24"/>
          <w:highlight w:val="none"/>
        </w:rPr>
        <w:t>外排，故不设置排放标准。</w:t>
      </w:r>
      <w:r>
        <w:rPr>
          <w:rFonts w:hint="default" w:ascii="Times New Roman" w:hAnsi="Times New Roman" w:cs="Times New Roman"/>
          <w:strike w:val="0"/>
          <w:dstrike w:val="0"/>
          <w:color w:val="auto"/>
          <w:sz w:val="24"/>
          <w:highlight w:val="none"/>
        </w:rPr>
        <w:t>项目施工废水主要为施工废水及施工人员</w:t>
      </w:r>
      <w:r>
        <w:rPr>
          <w:rFonts w:hint="default" w:ascii="Times New Roman" w:hAnsi="Times New Roman" w:cs="Times New Roman"/>
          <w:strike w:val="0"/>
          <w:dstrike w:val="0"/>
          <w:color w:val="auto"/>
          <w:sz w:val="24"/>
          <w:highlight w:val="none"/>
          <w:lang w:val="en-US" w:eastAsia="zh-CN"/>
        </w:rPr>
        <w:t>洗手废水</w:t>
      </w:r>
      <w:r>
        <w:rPr>
          <w:rFonts w:hint="default" w:ascii="Times New Roman" w:hAnsi="Times New Roman" w:cs="Times New Roman"/>
          <w:strike w:val="0"/>
          <w:dstrike w:val="0"/>
          <w:color w:val="auto"/>
          <w:sz w:val="24"/>
          <w:highlight w:val="none"/>
        </w:rPr>
        <w:t>。施工废水经沉淀池沉淀后全部回用</w:t>
      </w:r>
      <w:r>
        <w:rPr>
          <w:rFonts w:hint="default" w:ascii="Times New Roman" w:hAnsi="Times New Roman" w:cs="Times New Roman"/>
          <w:color w:val="auto"/>
          <w:sz w:val="24"/>
          <w:highlight w:val="none"/>
          <w:lang w:val="en-US" w:eastAsia="zh-CN"/>
        </w:rPr>
        <w:t>。</w:t>
      </w:r>
    </w:p>
    <w:p w14:paraId="1722AE8D">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kern w:val="0"/>
          <w:sz w:val="24"/>
          <w:highlight w:val="none"/>
        </w:rPr>
        <w:t>②</w:t>
      </w:r>
      <w:r>
        <w:rPr>
          <w:rFonts w:hint="default" w:ascii="Times New Roman" w:hAnsi="Times New Roman" w:cs="Times New Roman"/>
          <w:b/>
          <w:color w:val="auto"/>
          <w:sz w:val="24"/>
          <w:highlight w:val="none"/>
        </w:rPr>
        <w:t>运营期</w:t>
      </w:r>
    </w:p>
    <w:p w14:paraId="2DC55104">
      <w:pPr>
        <w:pStyle w:val="11"/>
        <w:spacing w:before="37" w:line="345" w:lineRule="auto"/>
        <w:ind w:left="126" w:right="199" w:firstLine="479"/>
        <w:rPr>
          <w:rFonts w:hint="default" w:ascii="Times New Roman" w:hAnsi="Times New Roman" w:eastAsia="宋体" w:cs="Times New Roman"/>
          <w:color w:val="auto"/>
          <w:sz w:val="24"/>
          <w:szCs w:val="24"/>
        </w:rPr>
      </w:pPr>
      <w:r>
        <w:rPr>
          <w:rFonts w:hint="default" w:ascii="Times New Roman" w:hAnsi="Times New Roman" w:cs="Times New Roman"/>
          <w:color w:val="auto"/>
          <w:sz w:val="24"/>
          <w:highlight w:val="none"/>
          <w:lang w:bidi="zh-CN"/>
        </w:rPr>
        <w:t>本项目食堂废水经过隔油池处理后与其他生活污水排入化粪池处理后，再与养殖区废水（猪尿液、</w:t>
      </w:r>
      <w:r>
        <w:rPr>
          <w:rFonts w:hint="default" w:ascii="Times New Roman" w:hAnsi="Times New Roman" w:cs="Times New Roman"/>
          <w:color w:val="auto"/>
          <w:sz w:val="24"/>
          <w:highlight w:val="none"/>
          <w:lang w:val="en-US" w:bidi="zh-CN"/>
        </w:rPr>
        <w:t>堆粪棚</w:t>
      </w:r>
      <w:r>
        <w:rPr>
          <w:rFonts w:hint="default" w:ascii="Times New Roman" w:hAnsi="Times New Roman" w:cs="Times New Roman"/>
          <w:color w:val="auto"/>
          <w:sz w:val="24"/>
          <w:highlight w:val="none"/>
          <w:lang w:bidi="zh-CN"/>
        </w:rPr>
        <w:t>渗滤液、猪舍冲洗废水</w:t>
      </w:r>
      <w:r>
        <w:rPr>
          <w:rFonts w:hint="default" w:ascii="Times New Roman" w:hAnsi="Times New Roman" w:cs="Times New Roman"/>
          <w:bCs/>
          <w:color w:val="auto"/>
          <w:sz w:val="24"/>
          <w:highlight w:val="none"/>
          <w:lang w:bidi="zh-CN"/>
        </w:rPr>
        <w:t>等</w:t>
      </w:r>
      <w:r>
        <w:rPr>
          <w:rFonts w:hint="default" w:ascii="Times New Roman" w:hAnsi="Times New Roman" w:cs="Times New Roman"/>
          <w:color w:val="auto"/>
          <w:sz w:val="24"/>
          <w:highlight w:val="none"/>
          <w:lang w:bidi="zh-CN"/>
        </w:rPr>
        <w:t>）一起</w:t>
      </w:r>
      <w:r>
        <w:rPr>
          <w:rFonts w:hint="default" w:ascii="Times New Roman" w:hAnsi="Times New Roman" w:cs="Times New Roman"/>
          <w:color w:val="auto"/>
          <w:sz w:val="24"/>
          <w:highlight w:val="none"/>
          <w:lang w:val="en-US" w:eastAsia="zh-CN"/>
        </w:rPr>
        <w:t>依托西北侧弥勒温氏畜牧有限公司新哨种猪场建设项目污水处理站处理后用于绿化及周边农作物灌溉。</w:t>
      </w:r>
      <w:r>
        <w:rPr>
          <w:rFonts w:hint="default" w:ascii="Times New Roman" w:hAnsi="Times New Roman" w:eastAsia="宋体" w:cs="Times New Roman"/>
          <w:color w:val="auto"/>
          <w:spacing w:val="-1"/>
          <w:sz w:val="24"/>
          <w:szCs w:val="24"/>
        </w:rPr>
        <w:t>绿化浇水的再生水执行</w:t>
      </w:r>
      <w:r>
        <w:rPr>
          <w:rFonts w:hint="default" w:ascii="Times New Roman" w:hAnsi="Times New Roman" w:eastAsia="宋体" w:cs="Times New Roman"/>
          <w:color w:val="auto"/>
          <w:spacing w:val="-52"/>
          <w:sz w:val="24"/>
          <w:szCs w:val="24"/>
        </w:rPr>
        <w:t xml:space="preserve"> </w:t>
      </w:r>
      <w:r>
        <w:rPr>
          <w:rFonts w:hint="default" w:ascii="Times New Roman" w:hAnsi="Times New Roman" w:cs="Times New Roman"/>
          <w:color w:val="auto"/>
          <w:spacing w:val="-1"/>
          <w:sz w:val="24"/>
          <w:szCs w:val="24"/>
        </w:rPr>
        <w:t>GB/T18920-20</w:t>
      </w:r>
      <w:r>
        <w:rPr>
          <w:rFonts w:hint="default" w:ascii="Times New Roman" w:hAnsi="Times New Roman" w:cs="Times New Roman"/>
          <w:color w:val="auto"/>
          <w:spacing w:val="-1"/>
          <w:sz w:val="24"/>
          <w:szCs w:val="24"/>
          <w:lang w:val="en-US" w:eastAsia="zh-CN"/>
        </w:rPr>
        <w:t>20</w:t>
      </w:r>
      <w:r>
        <w:rPr>
          <w:rFonts w:hint="default" w:ascii="Times New Roman" w:hAnsi="Times New Roman" w:eastAsia="宋体" w:cs="Times New Roman"/>
          <w:color w:val="auto"/>
          <w:spacing w:val="-1"/>
          <w:sz w:val="24"/>
          <w:szCs w:val="24"/>
        </w:rPr>
        <w:t>《城市污水再生利用、城市生活杂</w:t>
      </w:r>
      <w:r>
        <w:rPr>
          <w:rFonts w:hint="default" w:ascii="Times New Roman" w:hAnsi="Times New Roman" w:eastAsia="宋体" w:cs="Times New Roman"/>
          <w:color w:val="auto"/>
          <w:spacing w:val="-3"/>
          <w:sz w:val="24"/>
          <w:szCs w:val="24"/>
        </w:rPr>
        <w:t>用水水质》标准；</w:t>
      </w:r>
      <w:r>
        <w:rPr>
          <w:rFonts w:hint="default" w:ascii="Times New Roman" w:hAnsi="Times New Roman" w:cs="Times New Roman"/>
          <w:color w:val="auto"/>
          <w:sz w:val="24"/>
          <w:highlight w:val="none"/>
          <w:lang w:val="en-US" w:eastAsia="zh-CN"/>
        </w:rPr>
        <w:t>农田灌溉执行《农田灌溉水质标准》（GB5084-2021）中的“旱地作物”标准。</w:t>
      </w:r>
      <w:r>
        <w:rPr>
          <w:rFonts w:hint="default" w:ascii="Times New Roman" w:hAnsi="Times New Roman" w:eastAsia="宋体" w:cs="Times New Roman"/>
          <w:color w:val="auto"/>
          <w:spacing w:val="-3"/>
          <w:sz w:val="24"/>
          <w:szCs w:val="24"/>
        </w:rPr>
        <w:t>标准值见下表。</w:t>
      </w:r>
    </w:p>
    <w:p w14:paraId="4488817F">
      <w:pPr>
        <w:pStyle w:val="11"/>
        <w:keepNext w:val="0"/>
        <w:keepLines w:val="0"/>
        <w:pageBreakBefore w:val="0"/>
        <w:widowControl w:val="0"/>
        <w:kinsoku/>
        <w:wordWrap/>
        <w:overflowPunct/>
        <w:topLinePunct w:val="0"/>
        <w:autoSpaceDE/>
        <w:autoSpaceDN/>
        <w:bidi w:val="0"/>
        <w:adjustRightInd/>
        <w:snapToGrid/>
        <w:spacing w:after="0" w:line="360" w:lineRule="auto"/>
        <w:ind w:left="1650"/>
        <w:textAlignment w:val="auto"/>
        <w:rPr>
          <w:rFonts w:hint="default" w:ascii="Times New Roman" w:hAnsi="Times New Roman" w:cs="Times New Roman"/>
          <w:color w:val="auto"/>
        </w:rPr>
      </w:pPr>
      <w:r>
        <w:rPr>
          <w:rFonts w:hint="default" w:ascii="Times New Roman" w:hAnsi="Times New Roman" w:eastAsia="宋体" w:cs="Times New Roman"/>
          <w:b/>
          <w:bCs/>
          <w:color w:val="auto"/>
          <w:spacing w:val="-1"/>
          <w:sz w:val="21"/>
          <w:szCs w:val="21"/>
        </w:rPr>
        <w:t>表</w:t>
      </w:r>
      <w:r>
        <w:rPr>
          <w:rFonts w:hint="default" w:ascii="Times New Roman" w:hAnsi="Times New Roman" w:eastAsia="宋体" w:cs="Times New Roman"/>
          <w:color w:val="auto"/>
          <w:spacing w:val="-1"/>
          <w:sz w:val="21"/>
          <w:szCs w:val="21"/>
        </w:rPr>
        <w:t xml:space="preserve"> </w:t>
      </w:r>
      <w:r>
        <w:rPr>
          <w:rFonts w:hint="default" w:ascii="Times New Roman" w:hAnsi="Times New Roman" w:cs="Times New Roman"/>
          <w:b/>
          <w:bCs/>
          <w:color w:val="auto"/>
          <w:spacing w:val="-1"/>
          <w:sz w:val="21"/>
          <w:szCs w:val="21"/>
        </w:rPr>
        <w:t>1</w:t>
      </w:r>
      <w:r>
        <w:rPr>
          <w:rFonts w:hint="default" w:ascii="Times New Roman" w:hAnsi="Times New Roman" w:cs="Times New Roman"/>
          <w:b/>
          <w:bCs/>
          <w:color w:val="auto"/>
          <w:spacing w:val="-1"/>
          <w:sz w:val="21"/>
          <w:szCs w:val="21"/>
          <w:lang w:val="en-US" w:eastAsia="zh-CN"/>
        </w:rPr>
        <w:t>.4</w:t>
      </w:r>
      <w:r>
        <w:rPr>
          <w:rFonts w:hint="default" w:ascii="Times New Roman" w:hAnsi="Times New Roman" w:cs="Times New Roman"/>
          <w:b/>
          <w:bCs/>
          <w:color w:val="auto"/>
          <w:spacing w:val="-1"/>
          <w:sz w:val="21"/>
          <w:szCs w:val="21"/>
        </w:rPr>
        <w:t>-1</w:t>
      </w:r>
      <w:r>
        <w:rPr>
          <w:rFonts w:hint="default" w:ascii="Times New Roman" w:hAnsi="Times New Roman" w:cs="Times New Roman"/>
          <w:b/>
          <w:bCs/>
          <w:color w:val="auto"/>
          <w:spacing w:val="-1"/>
          <w:sz w:val="21"/>
          <w:szCs w:val="21"/>
          <w:lang w:val="en-US" w:eastAsia="zh-CN"/>
        </w:rPr>
        <w:t>2</w:t>
      </w:r>
      <w:r>
        <w:rPr>
          <w:rFonts w:hint="default" w:ascii="Times New Roman" w:hAnsi="Times New Roman" w:cs="Times New Roman"/>
          <w:b/>
          <w:bCs/>
          <w:color w:val="auto"/>
          <w:spacing w:val="-1"/>
          <w:sz w:val="21"/>
          <w:szCs w:val="21"/>
        </w:rPr>
        <w:t xml:space="preserve">    </w:t>
      </w:r>
      <w:r>
        <w:rPr>
          <w:rFonts w:hint="default" w:ascii="Times New Roman" w:hAnsi="Times New Roman" w:eastAsia="宋体" w:cs="Times New Roman"/>
          <w:b/>
          <w:bCs/>
          <w:color w:val="auto"/>
          <w:spacing w:val="-1"/>
          <w:sz w:val="21"/>
          <w:szCs w:val="21"/>
        </w:rPr>
        <w:t>城市污水</w:t>
      </w:r>
      <w:r>
        <w:rPr>
          <w:rFonts w:hint="default" w:ascii="Times New Roman" w:hAnsi="Times New Roman" w:eastAsia="宋体" w:cs="Times New Roman"/>
          <w:color w:val="auto"/>
          <w:spacing w:val="-1"/>
          <w:sz w:val="21"/>
          <w:szCs w:val="21"/>
        </w:rPr>
        <w:t xml:space="preserve"> </w:t>
      </w:r>
      <w:r>
        <w:rPr>
          <w:rFonts w:hint="default" w:ascii="Times New Roman" w:hAnsi="Times New Roman" w:eastAsia="宋体" w:cs="Times New Roman"/>
          <w:b/>
          <w:bCs/>
          <w:color w:val="auto"/>
          <w:spacing w:val="-1"/>
          <w:sz w:val="21"/>
          <w:szCs w:val="21"/>
        </w:rPr>
        <w:t>再生利用城市</w:t>
      </w:r>
      <w:r>
        <w:rPr>
          <w:rFonts w:hint="default" w:ascii="Times New Roman" w:hAnsi="Times New Roman" w:eastAsia="宋体" w:cs="Times New Roman"/>
          <w:b/>
          <w:bCs/>
          <w:color w:val="auto"/>
          <w:spacing w:val="-2"/>
          <w:sz w:val="21"/>
          <w:szCs w:val="21"/>
        </w:rPr>
        <w:t>杂用水水质标准</w:t>
      </w:r>
    </w:p>
    <w:tbl>
      <w:tblPr>
        <w:tblStyle w:val="23"/>
        <w:tblW w:w="8791"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134"/>
        <w:gridCol w:w="3260"/>
        <w:gridCol w:w="4397"/>
      </w:tblGrid>
      <w:tr w14:paraId="4E614AE5">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jc w:val="center"/>
        </w:trPr>
        <w:tc>
          <w:tcPr>
            <w:tcW w:w="1134" w:type="dxa"/>
            <w:vMerge w:val="restart"/>
            <w:tcBorders>
              <w:tl2br w:val="nil"/>
              <w:tr2bl w:val="nil"/>
            </w:tcBorders>
            <w:vAlign w:val="center"/>
          </w:tcPr>
          <w:p w14:paraId="124708EA">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序号</w:t>
            </w:r>
          </w:p>
        </w:tc>
        <w:tc>
          <w:tcPr>
            <w:tcW w:w="3260" w:type="dxa"/>
            <w:vMerge w:val="restart"/>
            <w:tcBorders>
              <w:tl2br w:val="nil"/>
              <w:tr2bl w:val="nil"/>
            </w:tcBorders>
            <w:vAlign w:val="center"/>
          </w:tcPr>
          <w:p w14:paraId="53083A32">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污染物项目</w:t>
            </w:r>
          </w:p>
        </w:tc>
        <w:tc>
          <w:tcPr>
            <w:tcW w:w="4397" w:type="dxa"/>
            <w:tcBorders>
              <w:tl2br w:val="nil"/>
              <w:tr2bl w:val="nil"/>
            </w:tcBorders>
            <w:vAlign w:val="center"/>
          </w:tcPr>
          <w:p w14:paraId="0A4552BB">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《城市污水再生利用 城市杂用水水质》(GB/T 18920-2020)</w:t>
            </w:r>
          </w:p>
        </w:tc>
      </w:tr>
      <w:tr w14:paraId="38D2D5E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1134" w:type="dxa"/>
            <w:vMerge w:val="continue"/>
            <w:tcBorders>
              <w:tl2br w:val="nil"/>
              <w:tr2bl w:val="nil"/>
            </w:tcBorders>
            <w:vAlign w:val="center"/>
          </w:tcPr>
          <w:p w14:paraId="6643A557">
            <w:pPr>
              <w:adjustRightInd w:val="0"/>
              <w:snapToGrid w:val="0"/>
              <w:spacing w:line="240" w:lineRule="auto"/>
              <w:jc w:val="center"/>
              <w:rPr>
                <w:rFonts w:hint="default" w:ascii="Times New Roman" w:hAnsi="Times New Roman" w:eastAsia="宋体" w:cs="Times New Roman"/>
                <w:b w:val="0"/>
                <w:bCs w:val="0"/>
                <w:color w:val="auto"/>
                <w:sz w:val="18"/>
                <w:szCs w:val="18"/>
              </w:rPr>
            </w:pPr>
          </w:p>
        </w:tc>
        <w:tc>
          <w:tcPr>
            <w:tcW w:w="3260" w:type="dxa"/>
            <w:vMerge w:val="continue"/>
            <w:tcBorders>
              <w:tl2br w:val="nil"/>
              <w:tr2bl w:val="nil"/>
            </w:tcBorders>
            <w:vAlign w:val="center"/>
          </w:tcPr>
          <w:p w14:paraId="4DC30BDA">
            <w:pPr>
              <w:adjustRightInd w:val="0"/>
              <w:snapToGrid w:val="0"/>
              <w:spacing w:line="240" w:lineRule="auto"/>
              <w:jc w:val="center"/>
              <w:rPr>
                <w:rFonts w:hint="default" w:ascii="Times New Roman" w:hAnsi="Times New Roman" w:eastAsia="宋体" w:cs="Times New Roman"/>
                <w:b w:val="0"/>
                <w:bCs w:val="0"/>
                <w:color w:val="auto"/>
                <w:sz w:val="18"/>
                <w:szCs w:val="18"/>
              </w:rPr>
            </w:pPr>
          </w:p>
        </w:tc>
        <w:tc>
          <w:tcPr>
            <w:tcW w:w="4397" w:type="dxa"/>
            <w:tcBorders>
              <w:tl2br w:val="nil"/>
              <w:tr2bl w:val="nil"/>
            </w:tcBorders>
            <w:vAlign w:val="center"/>
          </w:tcPr>
          <w:p w14:paraId="0B49D217">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城市绿化、道路清扫</w:t>
            </w:r>
          </w:p>
        </w:tc>
      </w:tr>
      <w:tr w14:paraId="4C22FA30">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1134" w:type="dxa"/>
            <w:tcBorders>
              <w:tl2br w:val="nil"/>
              <w:tr2bl w:val="nil"/>
            </w:tcBorders>
            <w:vAlign w:val="center"/>
          </w:tcPr>
          <w:p w14:paraId="25A7073E">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w:t>
            </w:r>
          </w:p>
        </w:tc>
        <w:tc>
          <w:tcPr>
            <w:tcW w:w="3260" w:type="dxa"/>
            <w:tcBorders>
              <w:tl2br w:val="nil"/>
              <w:tr2bl w:val="nil"/>
            </w:tcBorders>
            <w:vAlign w:val="center"/>
          </w:tcPr>
          <w:p w14:paraId="6C0A76A3">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pH</w:t>
            </w:r>
          </w:p>
        </w:tc>
        <w:tc>
          <w:tcPr>
            <w:tcW w:w="4397" w:type="dxa"/>
            <w:tcBorders>
              <w:tl2br w:val="nil"/>
              <w:tr2bl w:val="nil"/>
            </w:tcBorders>
            <w:vAlign w:val="center"/>
          </w:tcPr>
          <w:p w14:paraId="206EC1CA">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6.0～9.0</w:t>
            </w:r>
          </w:p>
        </w:tc>
      </w:tr>
      <w:tr w14:paraId="4926DA52">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1134" w:type="dxa"/>
            <w:tcBorders>
              <w:tl2br w:val="nil"/>
              <w:tr2bl w:val="nil"/>
            </w:tcBorders>
            <w:vAlign w:val="center"/>
          </w:tcPr>
          <w:p w14:paraId="66F80DD9">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w:t>
            </w:r>
          </w:p>
        </w:tc>
        <w:tc>
          <w:tcPr>
            <w:tcW w:w="3260" w:type="dxa"/>
            <w:tcBorders>
              <w:tl2br w:val="nil"/>
              <w:tr2bl w:val="nil"/>
            </w:tcBorders>
            <w:vAlign w:val="center"/>
          </w:tcPr>
          <w:p w14:paraId="1D2131E2">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色度</w:t>
            </w:r>
          </w:p>
        </w:tc>
        <w:tc>
          <w:tcPr>
            <w:tcW w:w="4397" w:type="dxa"/>
            <w:tcBorders>
              <w:tl2br w:val="nil"/>
              <w:tr2bl w:val="nil"/>
            </w:tcBorders>
            <w:vAlign w:val="center"/>
          </w:tcPr>
          <w:p w14:paraId="260B7145">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≤30</w:t>
            </w:r>
          </w:p>
        </w:tc>
      </w:tr>
      <w:tr w14:paraId="2BDA4E7F">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1134" w:type="dxa"/>
            <w:tcBorders>
              <w:tl2br w:val="nil"/>
              <w:tr2bl w:val="nil"/>
            </w:tcBorders>
            <w:vAlign w:val="center"/>
          </w:tcPr>
          <w:p w14:paraId="05952B29">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w:t>
            </w:r>
          </w:p>
        </w:tc>
        <w:tc>
          <w:tcPr>
            <w:tcW w:w="3260" w:type="dxa"/>
            <w:tcBorders>
              <w:tl2br w:val="nil"/>
              <w:tr2bl w:val="nil"/>
            </w:tcBorders>
            <w:vAlign w:val="center"/>
          </w:tcPr>
          <w:p w14:paraId="0A5CE8DD">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嗅</w:t>
            </w:r>
          </w:p>
        </w:tc>
        <w:tc>
          <w:tcPr>
            <w:tcW w:w="4397" w:type="dxa"/>
            <w:tcBorders>
              <w:tl2br w:val="nil"/>
              <w:tr2bl w:val="nil"/>
            </w:tcBorders>
            <w:vAlign w:val="center"/>
          </w:tcPr>
          <w:p w14:paraId="1AC9062F">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无不快感觉</w:t>
            </w:r>
          </w:p>
        </w:tc>
      </w:tr>
      <w:tr w14:paraId="4C80A743">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1134" w:type="dxa"/>
            <w:tcBorders>
              <w:tl2br w:val="nil"/>
              <w:tr2bl w:val="nil"/>
            </w:tcBorders>
            <w:vAlign w:val="center"/>
          </w:tcPr>
          <w:p w14:paraId="2B9C7ED8">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4</w:t>
            </w:r>
          </w:p>
        </w:tc>
        <w:tc>
          <w:tcPr>
            <w:tcW w:w="3260" w:type="dxa"/>
            <w:tcBorders>
              <w:tl2br w:val="nil"/>
              <w:tr2bl w:val="nil"/>
            </w:tcBorders>
            <w:vAlign w:val="center"/>
          </w:tcPr>
          <w:p w14:paraId="56BD6D16">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浊度 /NTU</w:t>
            </w:r>
          </w:p>
        </w:tc>
        <w:tc>
          <w:tcPr>
            <w:tcW w:w="4397" w:type="dxa"/>
            <w:tcBorders>
              <w:tl2br w:val="nil"/>
              <w:tr2bl w:val="nil"/>
            </w:tcBorders>
            <w:vAlign w:val="center"/>
          </w:tcPr>
          <w:p w14:paraId="6B0364C1">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w:t>
            </w:r>
          </w:p>
        </w:tc>
      </w:tr>
      <w:tr w14:paraId="5D72460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1134" w:type="dxa"/>
            <w:tcBorders>
              <w:tl2br w:val="nil"/>
              <w:tr2bl w:val="nil"/>
            </w:tcBorders>
            <w:vAlign w:val="center"/>
          </w:tcPr>
          <w:p w14:paraId="4695D956">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5</w:t>
            </w:r>
          </w:p>
        </w:tc>
        <w:tc>
          <w:tcPr>
            <w:tcW w:w="3260" w:type="dxa"/>
            <w:tcBorders>
              <w:tl2br w:val="nil"/>
              <w:tr2bl w:val="nil"/>
            </w:tcBorders>
            <w:vAlign w:val="center"/>
          </w:tcPr>
          <w:p w14:paraId="77705691">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BOD</w:t>
            </w:r>
            <w:r>
              <w:rPr>
                <w:rFonts w:hint="default" w:ascii="Times New Roman" w:hAnsi="Times New Roman" w:eastAsia="宋体" w:cs="Times New Roman"/>
                <w:b w:val="0"/>
                <w:bCs w:val="0"/>
                <w:color w:val="auto"/>
                <w:sz w:val="18"/>
                <w:szCs w:val="18"/>
                <w:vertAlign w:val="subscript"/>
              </w:rPr>
              <w:t>5</w:t>
            </w:r>
            <w:r>
              <w:rPr>
                <w:rFonts w:hint="default" w:ascii="Times New Roman" w:hAnsi="Times New Roman" w:eastAsia="宋体" w:cs="Times New Roman"/>
                <w:b w:val="0"/>
                <w:bCs w:val="0"/>
                <w:color w:val="auto"/>
                <w:sz w:val="18"/>
                <w:szCs w:val="18"/>
              </w:rPr>
              <w:t xml:space="preserve"> /mg/L</w:t>
            </w:r>
          </w:p>
        </w:tc>
        <w:tc>
          <w:tcPr>
            <w:tcW w:w="4397" w:type="dxa"/>
            <w:tcBorders>
              <w:tl2br w:val="nil"/>
              <w:tr2bl w:val="nil"/>
            </w:tcBorders>
            <w:vAlign w:val="center"/>
          </w:tcPr>
          <w:p w14:paraId="4C10F92A">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w:t>
            </w:r>
          </w:p>
        </w:tc>
      </w:tr>
      <w:tr w14:paraId="1107B868">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1134" w:type="dxa"/>
            <w:tcBorders>
              <w:tl2br w:val="nil"/>
              <w:tr2bl w:val="nil"/>
            </w:tcBorders>
            <w:vAlign w:val="center"/>
          </w:tcPr>
          <w:p w14:paraId="6518E7A3">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6</w:t>
            </w:r>
          </w:p>
        </w:tc>
        <w:tc>
          <w:tcPr>
            <w:tcW w:w="3260" w:type="dxa"/>
            <w:tcBorders>
              <w:tl2br w:val="nil"/>
              <w:tr2bl w:val="nil"/>
            </w:tcBorders>
            <w:vAlign w:val="center"/>
          </w:tcPr>
          <w:p w14:paraId="37C6E83F">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氨氮 /mg/L</w:t>
            </w:r>
          </w:p>
        </w:tc>
        <w:tc>
          <w:tcPr>
            <w:tcW w:w="4397" w:type="dxa"/>
            <w:tcBorders>
              <w:tl2br w:val="nil"/>
              <w:tr2bl w:val="nil"/>
            </w:tcBorders>
            <w:vAlign w:val="center"/>
          </w:tcPr>
          <w:p w14:paraId="35B96E5B">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≤8</w:t>
            </w:r>
          </w:p>
        </w:tc>
      </w:tr>
      <w:tr w14:paraId="686442D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1134" w:type="dxa"/>
            <w:tcBorders>
              <w:tl2br w:val="nil"/>
              <w:tr2bl w:val="nil"/>
            </w:tcBorders>
            <w:vAlign w:val="center"/>
          </w:tcPr>
          <w:p w14:paraId="406D5E0B">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7</w:t>
            </w:r>
          </w:p>
        </w:tc>
        <w:tc>
          <w:tcPr>
            <w:tcW w:w="3260" w:type="dxa"/>
            <w:tcBorders>
              <w:tl2br w:val="nil"/>
              <w:tr2bl w:val="nil"/>
            </w:tcBorders>
            <w:vAlign w:val="center"/>
          </w:tcPr>
          <w:p w14:paraId="601A7997">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阴离子表面活性剂 /mg/L</w:t>
            </w:r>
          </w:p>
        </w:tc>
        <w:tc>
          <w:tcPr>
            <w:tcW w:w="4397" w:type="dxa"/>
            <w:tcBorders>
              <w:tl2br w:val="nil"/>
              <w:tr2bl w:val="nil"/>
            </w:tcBorders>
            <w:vAlign w:val="center"/>
          </w:tcPr>
          <w:p w14:paraId="4C35C226">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≤0.5</w:t>
            </w:r>
          </w:p>
        </w:tc>
      </w:tr>
      <w:tr w14:paraId="07DF743B">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1134" w:type="dxa"/>
            <w:tcBorders>
              <w:tl2br w:val="nil"/>
              <w:tr2bl w:val="nil"/>
            </w:tcBorders>
            <w:vAlign w:val="center"/>
          </w:tcPr>
          <w:p w14:paraId="66871260">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8</w:t>
            </w:r>
          </w:p>
        </w:tc>
        <w:tc>
          <w:tcPr>
            <w:tcW w:w="3260" w:type="dxa"/>
            <w:tcBorders>
              <w:tl2br w:val="nil"/>
              <w:tr2bl w:val="nil"/>
            </w:tcBorders>
            <w:vAlign w:val="center"/>
          </w:tcPr>
          <w:p w14:paraId="08E566B5">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溶解性总固体/mg/L</w:t>
            </w:r>
          </w:p>
        </w:tc>
        <w:tc>
          <w:tcPr>
            <w:tcW w:w="4397" w:type="dxa"/>
            <w:tcBorders>
              <w:tl2br w:val="nil"/>
              <w:tr2bl w:val="nil"/>
            </w:tcBorders>
            <w:vAlign w:val="center"/>
          </w:tcPr>
          <w:p w14:paraId="1C860209">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≤1000(2000)</w:t>
            </w:r>
            <w:r>
              <w:rPr>
                <w:rFonts w:hint="default" w:ascii="Times New Roman" w:hAnsi="Times New Roman" w:eastAsia="宋体" w:cs="Times New Roman"/>
                <w:b w:val="0"/>
                <w:bCs w:val="0"/>
                <w:color w:val="auto"/>
                <w:sz w:val="18"/>
                <w:szCs w:val="18"/>
                <w:vertAlign w:val="superscript"/>
              </w:rPr>
              <w:t>a</w:t>
            </w:r>
          </w:p>
        </w:tc>
      </w:tr>
      <w:tr w14:paraId="49C7E55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1134" w:type="dxa"/>
            <w:tcBorders>
              <w:tl2br w:val="nil"/>
              <w:tr2bl w:val="nil"/>
            </w:tcBorders>
            <w:vAlign w:val="center"/>
          </w:tcPr>
          <w:p w14:paraId="5B5117C7">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9</w:t>
            </w:r>
          </w:p>
        </w:tc>
        <w:tc>
          <w:tcPr>
            <w:tcW w:w="3260" w:type="dxa"/>
            <w:tcBorders>
              <w:tl2br w:val="nil"/>
              <w:tr2bl w:val="nil"/>
            </w:tcBorders>
            <w:vAlign w:val="center"/>
          </w:tcPr>
          <w:p w14:paraId="0CCFA557">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溶解氧 /mg/L</w:t>
            </w:r>
          </w:p>
        </w:tc>
        <w:tc>
          <w:tcPr>
            <w:tcW w:w="4397" w:type="dxa"/>
            <w:tcBorders>
              <w:tl2br w:val="nil"/>
              <w:tr2bl w:val="nil"/>
            </w:tcBorders>
            <w:vAlign w:val="center"/>
          </w:tcPr>
          <w:p w14:paraId="295E753F">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≥2.0</w:t>
            </w:r>
          </w:p>
        </w:tc>
      </w:tr>
      <w:tr w14:paraId="1F74949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1134" w:type="dxa"/>
            <w:tcBorders>
              <w:tl2br w:val="nil"/>
              <w:tr2bl w:val="nil"/>
            </w:tcBorders>
            <w:vAlign w:val="center"/>
          </w:tcPr>
          <w:p w14:paraId="15D80F2B">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w:t>
            </w:r>
          </w:p>
        </w:tc>
        <w:tc>
          <w:tcPr>
            <w:tcW w:w="3260" w:type="dxa"/>
            <w:tcBorders>
              <w:tl2br w:val="nil"/>
              <w:tr2bl w:val="nil"/>
            </w:tcBorders>
            <w:vAlign w:val="center"/>
          </w:tcPr>
          <w:p w14:paraId="08C37E65">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总氯 /mg/L</w:t>
            </w:r>
          </w:p>
        </w:tc>
        <w:tc>
          <w:tcPr>
            <w:tcW w:w="4397" w:type="dxa"/>
            <w:tcBorders>
              <w:tl2br w:val="nil"/>
              <w:tr2bl w:val="nil"/>
            </w:tcBorders>
            <w:vAlign w:val="center"/>
          </w:tcPr>
          <w:p w14:paraId="7F9AFDF8">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≥1.0（出厂），0.2</w:t>
            </w:r>
            <w:r>
              <w:rPr>
                <w:rFonts w:hint="default" w:ascii="Times New Roman" w:hAnsi="Times New Roman" w:eastAsia="宋体" w:cs="Times New Roman"/>
                <w:b w:val="0"/>
                <w:bCs w:val="0"/>
                <w:color w:val="auto"/>
                <w:sz w:val="18"/>
                <w:szCs w:val="18"/>
                <w:vertAlign w:val="superscript"/>
              </w:rPr>
              <w:t>b</w:t>
            </w:r>
            <w:r>
              <w:rPr>
                <w:rFonts w:hint="default" w:ascii="Times New Roman" w:hAnsi="Times New Roman" w:cs="Times New Roman"/>
                <w:b w:val="0"/>
                <w:bCs w:val="0"/>
                <w:color w:val="auto"/>
                <w:sz w:val="18"/>
                <w:szCs w:val="18"/>
                <w:vertAlign w:val="superscript"/>
                <w:lang w:eastAsia="zh-CN"/>
              </w:rPr>
              <w:t>（</w:t>
            </w:r>
            <w:r>
              <w:rPr>
                <w:rFonts w:hint="default" w:ascii="Times New Roman" w:hAnsi="Times New Roman" w:eastAsia="宋体" w:cs="Times New Roman"/>
                <w:b w:val="0"/>
                <w:bCs w:val="0"/>
                <w:color w:val="auto"/>
                <w:sz w:val="18"/>
                <w:szCs w:val="18"/>
              </w:rPr>
              <w:t>管网末端</w:t>
            </w:r>
            <w:r>
              <w:rPr>
                <w:rFonts w:hint="default" w:ascii="Times New Roman" w:hAnsi="Times New Roman" w:cs="Times New Roman"/>
                <w:b w:val="0"/>
                <w:bCs w:val="0"/>
                <w:color w:val="auto"/>
                <w:sz w:val="18"/>
                <w:szCs w:val="18"/>
                <w:lang w:eastAsia="zh-CN"/>
              </w:rPr>
              <w:t>）</w:t>
            </w:r>
          </w:p>
        </w:tc>
      </w:tr>
      <w:tr w14:paraId="4D4C53DC">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1134" w:type="dxa"/>
            <w:tcBorders>
              <w:tl2br w:val="nil"/>
              <w:tr2bl w:val="nil"/>
            </w:tcBorders>
            <w:vAlign w:val="center"/>
          </w:tcPr>
          <w:p w14:paraId="03201ED0">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11</w:t>
            </w:r>
          </w:p>
        </w:tc>
        <w:tc>
          <w:tcPr>
            <w:tcW w:w="3260" w:type="dxa"/>
            <w:tcBorders>
              <w:tl2br w:val="nil"/>
              <w:tr2bl w:val="nil"/>
            </w:tcBorders>
            <w:vAlign w:val="center"/>
          </w:tcPr>
          <w:p w14:paraId="189F0B9C">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大肠埃希氏菌/（MPN/100mL或者CFU/100mL）</w:t>
            </w:r>
          </w:p>
        </w:tc>
        <w:tc>
          <w:tcPr>
            <w:tcW w:w="4397" w:type="dxa"/>
            <w:tcBorders>
              <w:tl2br w:val="nil"/>
              <w:tr2bl w:val="nil"/>
            </w:tcBorders>
            <w:vAlign w:val="center"/>
          </w:tcPr>
          <w:p w14:paraId="2F5A1F71">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无（不应检出）</w:t>
            </w:r>
          </w:p>
        </w:tc>
      </w:tr>
      <w:tr w14:paraId="722F3A7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8791" w:type="dxa"/>
            <w:gridSpan w:val="3"/>
            <w:tcBorders>
              <w:tl2br w:val="nil"/>
              <w:tr2bl w:val="nil"/>
            </w:tcBorders>
            <w:vAlign w:val="center"/>
          </w:tcPr>
          <w:p w14:paraId="18427096">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注：a括号内指标值为沿海及本地水源中溶解性固体含量较高的区域的指标。</w:t>
            </w:r>
          </w:p>
          <w:p w14:paraId="4E487590">
            <w:pPr>
              <w:adjustRightInd w:val="0"/>
              <w:snapToGrid w:val="0"/>
              <w:spacing w:line="240" w:lineRule="auto"/>
              <w:jc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b用于城市绿化时，不应超过2.5mg/L.</w:t>
            </w:r>
          </w:p>
        </w:tc>
      </w:tr>
    </w:tbl>
    <w:p w14:paraId="509E346D">
      <w:pPr>
        <w:snapToGrid w:val="0"/>
        <w:spacing w:line="240" w:lineRule="auto"/>
        <w:jc w:val="center"/>
        <w:rPr>
          <w:rFonts w:hint="default" w:ascii="Times New Roman" w:hAnsi="Times New Roman" w:eastAsia="宋体" w:cs="Times New Roman"/>
          <w:b/>
          <w:bCs/>
          <w:color w:val="auto"/>
          <w:sz w:val="21"/>
          <w:szCs w:val="21"/>
          <w:vertAlign w:val="baseline"/>
          <w:lang w:val="en-US" w:bidi="zh-CN"/>
        </w:rPr>
      </w:pPr>
      <w:r>
        <w:rPr>
          <w:rFonts w:hint="default" w:ascii="Times New Roman" w:hAnsi="Times New Roman" w:eastAsia="宋体" w:cs="Times New Roman"/>
          <w:b/>
          <w:bCs/>
          <w:color w:val="auto"/>
          <w:sz w:val="21"/>
          <w:szCs w:val="21"/>
          <w:vertAlign w:val="baseline"/>
          <w:lang w:val="en-US" w:bidi="zh-CN"/>
        </w:rPr>
        <w:t>表1.4-1</w:t>
      </w:r>
      <w:r>
        <w:rPr>
          <w:rFonts w:hint="default" w:ascii="Times New Roman" w:hAnsi="Times New Roman" w:cs="Times New Roman"/>
          <w:b/>
          <w:bCs/>
          <w:color w:val="auto"/>
          <w:sz w:val="21"/>
          <w:szCs w:val="21"/>
          <w:vertAlign w:val="baseline"/>
          <w:lang w:val="en-US" w:bidi="zh-CN"/>
        </w:rPr>
        <w:t>3</w:t>
      </w:r>
      <w:r>
        <w:rPr>
          <w:rFonts w:hint="default" w:ascii="Times New Roman" w:hAnsi="Times New Roman" w:eastAsia="宋体" w:cs="Times New Roman"/>
          <w:b/>
          <w:bCs/>
          <w:color w:val="auto"/>
          <w:sz w:val="21"/>
          <w:szCs w:val="21"/>
          <w:vertAlign w:val="baseline"/>
          <w:lang w:val="en-US" w:bidi="zh-CN"/>
        </w:rPr>
        <w:t xml:space="preserve">  农田灌溉水质基本控制项目限值</w:t>
      </w:r>
    </w:p>
    <w:tbl>
      <w:tblPr>
        <w:tblStyle w:val="24"/>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4053"/>
        <w:gridCol w:w="4139"/>
      </w:tblGrid>
      <w:tr w14:paraId="22A0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Merge w:val="restart"/>
            <w:vAlign w:val="center"/>
          </w:tcPr>
          <w:p w14:paraId="0DDB31F6">
            <w:pPr>
              <w:snapToGrid w:val="0"/>
              <w:spacing w:line="240" w:lineRule="auto"/>
              <w:jc w:val="center"/>
              <w:rPr>
                <w:rFonts w:hint="default" w:ascii="Times New Roman" w:hAnsi="Times New Roman" w:cs="Times New Roman"/>
                <w:b/>
                <w:bCs/>
                <w:color w:val="auto"/>
                <w:sz w:val="21"/>
                <w:szCs w:val="21"/>
                <w:vertAlign w:val="baseline"/>
                <w:lang w:val="en-US" w:bidi="zh-CN"/>
              </w:rPr>
            </w:pPr>
            <w:r>
              <w:rPr>
                <w:rFonts w:hint="default" w:ascii="Times New Roman" w:hAnsi="Times New Roman" w:cs="Times New Roman"/>
                <w:b/>
                <w:bCs/>
                <w:color w:val="auto"/>
                <w:sz w:val="21"/>
                <w:szCs w:val="21"/>
                <w:vertAlign w:val="baseline"/>
                <w:lang w:val="en-US" w:bidi="zh-CN"/>
              </w:rPr>
              <w:t>序号</w:t>
            </w:r>
          </w:p>
        </w:tc>
        <w:tc>
          <w:tcPr>
            <w:tcW w:w="4053" w:type="dxa"/>
            <w:vMerge w:val="restart"/>
            <w:vAlign w:val="center"/>
          </w:tcPr>
          <w:p w14:paraId="4ABB88C6">
            <w:pPr>
              <w:snapToGrid w:val="0"/>
              <w:spacing w:line="240" w:lineRule="auto"/>
              <w:jc w:val="center"/>
              <w:rPr>
                <w:rFonts w:hint="default" w:ascii="Times New Roman" w:hAnsi="Times New Roman" w:cs="Times New Roman"/>
                <w:b/>
                <w:bCs/>
                <w:color w:val="auto"/>
                <w:sz w:val="21"/>
                <w:szCs w:val="21"/>
                <w:vertAlign w:val="baseline"/>
                <w:lang w:val="en-US" w:bidi="zh-CN"/>
              </w:rPr>
            </w:pPr>
            <w:r>
              <w:rPr>
                <w:rFonts w:hint="default" w:ascii="Times New Roman" w:hAnsi="Times New Roman" w:cs="Times New Roman"/>
                <w:b/>
                <w:bCs/>
                <w:color w:val="auto"/>
                <w:sz w:val="21"/>
                <w:szCs w:val="21"/>
                <w:vertAlign w:val="baseline"/>
                <w:lang w:val="en-US" w:bidi="zh-CN"/>
              </w:rPr>
              <w:t>项目类别</w:t>
            </w:r>
          </w:p>
        </w:tc>
        <w:tc>
          <w:tcPr>
            <w:tcW w:w="4139" w:type="dxa"/>
            <w:vAlign w:val="center"/>
          </w:tcPr>
          <w:p w14:paraId="36E854F3">
            <w:pPr>
              <w:snapToGrid w:val="0"/>
              <w:spacing w:line="240" w:lineRule="auto"/>
              <w:jc w:val="center"/>
              <w:rPr>
                <w:rFonts w:hint="default" w:ascii="Times New Roman" w:hAnsi="Times New Roman" w:cs="Times New Roman"/>
                <w:b/>
                <w:bCs/>
                <w:color w:val="auto"/>
                <w:sz w:val="21"/>
                <w:szCs w:val="21"/>
                <w:vertAlign w:val="baseline"/>
                <w:lang w:val="en-US" w:bidi="zh-CN"/>
              </w:rPr>
            </w:pPr>
            <w:r>
              <w:rPr>
                <w:rFonts w:hint="default" w:ascii="Times New Roman" w:hAnsi="Times New Roman" w:cs="Times New Roman"/>
                <w:b/>
                <w:bCs/>
                <w:color w:val="auto"/>
                <w:sz w:val="21"/>
                <w:szCs w:val="21"/>
                <w:vertAlign w:val="baseline"/>
                <w:lang w:val="en-US" w:bidi="zh-CN"/>
              </w:rPr>
              <w:t>作物种类</w:t>
            </w:r>
          </w:p>
        </w:tc>
      </w:tr>
      <w:tr w14:paraId="350F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598" w:type="dxa"/>
            <w:vMerge w:val="continue"/>
            <w:vAlign w:val="center"/>
          </w:tcPr>
          <w:p w14:paraId="7C107005">
            <w:pPr>
              <w:snapToGrid w:val="0"/>
              <w:spacing w:line="240" w:lineRule="auto"/>
              <w:jc w:val="center"/>
              <w:rPr>
                <w:rFonts w:hint="default" w:ascii="Times New Roman" w:hAnsi="Times New Roman" w:cs="Times New Roman"/>
                <w:color w:val="auto"/>
                <w:sz w:val="21"/>
                <w:szCs w:val="21"/>
                <w:vertAlign w:val="baseline"/>
                <w:lang w:bidi="zh-CN"/>
              </w:rPr>
            </w:pPr>
          </w:p>
        </w:tc>
        <w:tc>
          <w:tcPr>
            <w:tcW w:w="4053" w:type="dxa"/>
            <w:vMerge w:val="continue"/>
            <w:vAlign w:val="center"/>
          </w:tcPr>
          <w:p w14:paraId="0585C411">
            <w:pPr>
              <w:snapToGrid w:val="0"/>
              <w:spacing w:line="240" w:lineRule="auto"/>
              <w:jc w:val="center"/>
              <w:rPr>
                <w:rFonts w:hint="default" w:ascii="Times New Roman" w:hAnsi="Times New Roman" w:cs="Times New Roman"/>
                <w:color w:val="auto"/>
                <w:sz w:val="21"/>
                <w:szCs w:val="21"/>
                <w:vertAlign w:val="baseline"/>
                <w:lang w:bidi="zh-CN"/>
              </w:rPr>
            </w:pPr>
          </w:p>
        </w:tc>
        <w:tc>
          <w:tcPr>
            <w:tcW w:w="4139" w:type="dxa"/>
            <w:vAlign w:val="center"/>
          </w:tcPr>
          <w:p w14:paraId="7B84CAB9">
            <w:pPr>
              <w:snapToGrid w:val="0"/>
              <w:spacing w:line="240" w:lineRule="auto"/>
              <w:jc w:val="center"/>
              <w:rPr>
                <w:rFonts w:hint="default" w:ascii="Times New Roman" w:hAnsi="Times New Roman" w:cs="Times New Roman"/>
                <w:b/>
                <w:bCs/>
                <w:color w:val="auto"/>
                <w:sz w:val="21"/>
                <w:szCs w:val="21"/>
                <w:vertAlign w:val="baseline"/>
                <w:lang w:val="en-US" w:bidi="zh-CN"/>
              </w:rPr>
            </w:pPr>
            <w:r>
              <w:rPr>
                <w:rFonts w:hint="default" w:ascii="Times New Roman" w:hAnsi="Times New Roman" w:cs="Times New Roman"/>
                <w:b/>
                <w:bCs/>
                <w:color w:val="auto"/>
                <w:sz w:val="21"/>
                <w:szCs w:val="21"/>
                <w:vertAlign w:val="baseline"/>
                <w:lang w:val="en-US" w:bidi="zh-CN"/>
              </w:rPr>
              <w:t>旱地作物</w:t>
            </w:r>
          </w:p>
        </w:tc>
      </w:tr>
      <w:tr w14:paraId="6097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2D55A7BB">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1</w:t>
            </w:r>
          </w:p>
        </w:tc>
        <w:tc>
          <w:tcPr>
            <w:tcW w:w="4053" w:type="dxa"/>
            <w:vAlign w:val="center"/>
          </w:tcPr>
          <w:p w14:paraId="22B0CCF8">
            <w:pPr>
              <w:snapToGrid w:val="0"/>
              <w:spacing w:line="240" w:lineRule="auto"/>
              <w:jc w:val="right"/>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pH值                              ≤</w:t>
            </w:r>
          </w:p>
        </w:tc>
        <w:tc>
          <w:tcPr>
            <w:tcW w:w="4139" w:type="dxa"/>
            <w:vAlign w:val="center"/>
          </w:tcPr>
          <w:p w14:paraId="280F96C0">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5.5~8.5</w:t>
            </w:r>
          </w:p>
        </w:tc>
      </w:tr>
      <w:tr w14:paraId="22F2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52ABBE34">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2</w:t>
            </w:r>
          </w:p>
        </w:tc>
        <w:tc>
          <w:tcPr>
            <w:tcW w:w="4053" w:type="dxa"/>
            <w:vAlign w:val="center"/>
          </w:tcPr>
          <w:p w14:paraId="2AA10A5B">
            <w:pPr>
              <w:snapToGrid w:val="0"/>
              <w:spacing w:line="240" w:lineRule="auto"/>
              <w:jc w:val="right"/>
              <w:rPr>
                <w:rFonts w:hint="default" w:ascii="Times New Roman" w:hAnsi="Times New Roman" w:cs="Times New Roman"/>
                <w:color w:val="auto"/>
                <w:sz w:val="21"/>
                <w:szCs w:val="21"/>
                <w:vertAlign w:val="baseline"/>
                <w:lang w:bidi="zh-CN"/>
              </w:rPr>
            </w:pPr>
            <w:r>
              <w:rPr>
                <w:rFonts w:hint="default" w:ascii="Times New Roman" w:hAnsi="Times New Roman" w:cs="Times New Roman"/>
                <w:color w:val="auto"/>
                <w:sz w:val="21"/>
                <w:szCs w:val="21"/>
                <w:vertAlign w:val="baseline"/>
                <w:lang w:val="en-US" w:bidi="zh-CN"/>
              </w:rPr>
              <w:t>水温/℃                            ≤</w:t>
            </w:r>
          </w:p>
        </w:tc>
        <w:tc>
          <w:tcPr>
            <w:tcW w:w="4139" w:type="dxa"/>
            <w:vAlign w:val="center"/>
          </w:tcPr>
          <w:p w14:paraId="53DE5BE5">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35</w:t>
            </w:r>
          </w:p>
        </w:tc>
      </w:tr>
      <w:tr w14:paraId="1C80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07B8342D">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3</w:t>
            </w:r>
          </w:p>
        </w:tc>
        <w:tc>
          <w:tcPr>
            <w:tcW w:w="4053" w:type="dxa"/>
            <w:vAlign w:val="center"/>
          </w:tcPr>
          <w:p w14:paraId="71D566EA">
            <w:pPr>
              <w:snapToGrid w:val="0"/>
              <w:spacing w:line="240" w:lineRule="auto"/>
              <w:jc w:val="left"/>
              <w:rPr>
                <w:rFonts w:hint="default" w:ascii="Times New Roman" w:hAnsi="Times New Roman" w:cs="Times New Roman"/>
                <w:color w:val="auto"/>
                <w:sz w:val="21"/>
                <w:szCs w:val="21"/>
                <w:vertAlign w:val="baseline"/>
                <w:lang w:bidi="zh-CN"/>
              </w:rPr>
            </w:pPr>
            <w:r>
              <w:rPr>
                <w:rFonts w:hint="default" w:ascii="Times New Roman" w:hAnsi="Times New Roman" w:cs="Times New Roman"/>
                <w:color w:val="auto"/>
                <w:sz w:val="21"/>
                <w:szCs w:val="21"/>
                <w:vertAlign w:val="baseline"/>
                <w:lang w:val="en-US" w:bidi="zh-CN"/>
              </w:rPr>
              <w:t>悬浮物</w:t>
            </w:r>
            <w:r>
              <w:rPr>
                <w:rFonts w:hint="default" w:ascii="Times New Roman" w:hAnsi="Times New Roman" w:cs="Times New Roman"/>
                <w:color w:val="auto"/>
                <w:sz w:val="21"/>
                <w:szCs w:val="21"/>
                <w:vertAlign w:val="baseline"/>
                <w:lang w:bidi="zh-CN"/>
              </w:rPr>
              <w:t xml:space="preserve">/（mg/L） </w:t>
            </w:r>
            <w:r>
              <w:rPr>
                <w:rFonts w:hint="default" w:ascii="Times New Roman" w:hAnsi="Times New Roman" w:cs="Times New Roman"/>
                <w:color w:val="auto"/>
                <w:sz w:val="21"/>
                <w:szCs w:val="21"/>
                <w:vertAlign w:val="baseline"/>
                <w:lang w:val="en-US" w:bidi="zh-CN"/>
              </w:rPr>
              <w:t xml:space="preserve">                     ≤</w:t>
            </w:r>
          </w:p>
        </w:tc>
        <w:tc>
          <w:tcPr>
            <w:tcW w:w="4139" w:type="dxa"/>
            <w:vAlign w:val="center"/>
          </w:tcPr>
          <w:p w14:paraId="5871EEFE">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100</w:t>
            </w:r>
          </w:p>
        </w:tc>
      </w:tr>
      <w:tr w14:paraId="35ECF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7248F9EC">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4</w:t>
            </w:r>
          </w:p>
        </w:tc>
        <w:tc>
          <w:tcPr>
            <w:tcW w:w="4053" w:type="dxa"/>
            <w:vAlign w:val="center"/>
          </w:tcPr>
          <w:p w14:paraId="34EB1396">
            <w:pPr>
              <w:snapToGrid w:val="0"/>
              <w:spacing w:line="240" w:lineRule="auto"/>
              <w:jc w:val="left"/>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五日生化需氧量（BOD</w:t>
            </w:r>
            <w:r>
              <w:rPr>
                <w:rFonts w:hint="default" w:ascii="Times New Roman" w:hAnsi="Times New Roman" w:cs="Times New Roman"/>
                <w:color w:val="auto"/>
                <w:sz w:val="21"/>
                <w:szCs w:val="21"/>
                <w:vertAlign w:val="subscript"/>
                <w:lang w:val="en-US" w:bidi="zh-CN"/>
              </w:rPr>
              <w:t>5</w:t>
            </w:r>
            <w:r>
              <w:rPr>
                <w:rFonts w:hint="default" w:ascii="Times New Roman" w:hAnsi="Times New Roman" w:cs="Times New Roman"/>
                <w:color w:val="auto"/>
                <w:sz w:val="21"/>
                <w:szCs w:val="21"/>
                <w:vertAlign w:val="baseline"/>
                <w:lang w:val="en-US" w:bidi="zh-CN"/>
              </w:rPr>
              <w:t>）</w:t>
            </w:r>
            <w:r>
              <w:rPr>
                <w:rFonts w:hint="default" w:ascii="Times New Roman" w:hAnsi="Times New Roman" w:cs="Times New Roman"/>
                <w:color w:val="auto"/>
                <w:sz w:val="21"/>
                <w:szCs w:val="21"/>
                <w:vertAlign w:val="baseline"/>
                <w:lang w:bidi="zh-CN"/>
              </w:rPr>
              <w:t>/（mg/L）</w:t>
            </w:r>
            <w:r>
              <w:rPr>
                <w:rFonts w:hint="default" w:ascii="Times New Roman" w:hAnsi="Times New Roman" w:cs="Times New Roman"/>
                <w:color w:val="auto"/>
                <w:sz w:val="21"/>
                <w:szCs w:val="21"/>
                <w:vertAlign w:val="baseline"/>
                <w:lang w:val="en-US" w:bidi="zh-CN"/>
              </w:rPr>
              <w:t xml:space="preserve">     ≤</w:t>
            </w:r>
          </w:p>
        </w:tc>
        <w:tc>
          <w:tcPr>
            <w:tcW w:w="4139" w:type="dxa"/>
            <w:vAlign w:val="center"/>
          </w:tcPr>
          <w:p w14:paraId="22F8992F">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100</w:t>
            </w:r>
          </w:p>
        </w:tc>
      </w:tr>
      <w:tr w14:paraId="510A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3D94928C">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5</w:t>
            </w:r>
          </w:p>
        </w:tc>
        <w:tc>
          <w:tcPr>
            <w:tcW w:w="4053" w:type="dxa"/>
            <w:vAlign w:val="center"/>
          </w:tcPr>
          <w:p w14:paraId="41C70540">
            <w:pPr>
              <w:snapToGrid w:val="0"/>
              <w:spacing w:line="240" w:lineRule="auto"/>
              <w:jc w:val="left"/>
              <w:rPr>
                <w:rFonts w:hint="default" w:ascii="Times New Roman" w:hAnsi="Times New Roman" w:cs="Times New Roman"/>
                <w:color w:val="auto"/>
                <w:sz w:val="21"/>
                <w:szCs w:val="21"/>
                <w:vertAlign w:val="baseline"/>
                <w:lang w:bidi="zh-CN"/>
              </w:rPr>
            </w:pPr>
            <w:r>
              <w:rPr>
                <w:rFonts w:hint="default" w:ascii="Times New Roman" w:hAnsi="Times New Roman" w:cs="Times New Roman"/>
                <w:color w:val="auto"/>
                <w:sz w:val="21"/>
                <w:szCs w:val="21"/>
                <w:vertAlign w:val="baseline"/>
                <w:lang w:val="en-US" w:bidi="zh-CN"/>
              </w:rPr>
              <w:t>化学需氧量（CODcr）</w:t>
            </w:r>
            <w:r>
              <w:rPr>
                <w:rFonts w:hint="default" w:ascii="Times New Roman" w:hAnsi="Times New Roman" w:cs="Times New Roman"/>
                <w:color w:val="auto"/>
                <w:sz w:val="21"/>
                <w:szCs w:val="21"/>
                <w:vertAlign w:val="baseline"/>
                <w:lang w:bidi="zh-CN"/>
              </w:rPr>
              <w:t xml:space="preserve">/（mg/L） </w:t>
            </w:r>
            <w:r>
              <w:rPr>
                <w:rFonts w:hint="default" w:ascii="Times New Roman" w:hAnsi="Times New Roman" w:cs="Times New Roman"/>
                <w:color w:val="auto"/>
                <w:sz w:val="21"/>
                <w:szCs w:val="21"/>
                <w:vertAlign w:val="baseline"/>
                <w:lang w:val="en-US" w:bidi="zh-CN"/>
              </w:rPr>
              <w:t xml:space="preserve">       ≤</w:t>
            </w:r>
          </w:p>
        </w:tc>
        <w:tc>
          <w:tcPr>
            <w:tcW w:w="4139" w:type="dxa"/>
            <w:vAlign w:val="center"/>
          </w:tcPr>
          <w:p w14:paraId="7DABB7AE">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200</w:t>
            </w:r>
          </w:p>
        </w:tc>
      </w:tr>
      <w:tr w14:paraId="3862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0FA660F9">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6</w:t>
            </w:r>
          </w:p>
        </w:tc>
        <w:tc>
          <w:tcPr>
            <w:tcW w:w="4053" w:type="dxa"/>
            <w:vAlign w:val="center"/>
          </w:tcPr>
          <w:p w14:paraId="7230D2E7">
            <w:pPr>
              <w:snapToGrid w:val="0"/>
              <w:spacing w:line="240" w:lineRule="auto"/>
              <w:jc w:val="left"/>
              <w:rPr>
                <w:rFonts w:hint="default" w:ascii="Times New Roman" w:hAnsi="Times New Roman" w:cs="Times New Roman"/>
                <w:color w:val="auto"/>
                <w:sz w:val="21"/>
                <w:szCs w:val="21"/>
                <w:vertAlign w:val="baseline"/>
                <w:lang w:bidi="zh-CN"/>
              </w:rPr>
            </w:pPr>
            <w:r>
              <w:rPr>
                <w:rFonts w:hint="default" w:ascii="Times New Roman" w:hAnsi="Times New Roman" w:cs="Times New Roman"/>
                <w:color w:val="auto"/>
                <w:sz w:val="21"/>
                <w:szCs w:val="21"/>
                <w:vertAlign w:val="baseline"/>
                <w:lang w:val="en-US" w:bidi="zh-CN"/>
              </w:rPr>
              <w:t>阴离子表面活性剂</w:t>
            </w:r>
            <w:r>
              <w:rPr>
                <w:rFonts w:hint="default" w:ascii="Times New Roman" w:hAnsi="Times New Roman" w:cs="Times New Roman"/>
                <w:color w:val="auto"/>
                <w:sz w:val="21"/>
                <w:szCs w:val="21"/>
                <w:vertAlign w:val="baseline"/>
                <w:lang w:bidi="zh-CN"/>
              </w:rPr>
              <w:t>/（mg/L）</w:t>
            </w:r>
            <w:r>
              <w:rPr>
                <w:rFonts w:hint="default" w:ascii="Times New Roman" w:hAnsi="Times New Roman" w:cs="Times New Roman"/>
                <w:color w:val="auto"/>
                <w:sz w:val="21"/>
                <w:szCs w:val="21"/>
                <w:vertAlign w:val="baseline"/>
                <w:lang w:val="en-US" w:bidi="zh-CN"/>
              </w:rPr>
              <w:t xml:space="preserve">            ≤</w:t>
            </w:r>
          </w:p>
        </w:tc>
        <w:tc>
          <w:tcPr>
            <w:tcW w:w="4139" w:type="dxa"/>
            <w:vAlign w:val="center"/>
          </w:tcPr>
          <w:p w14:paraId="097F1ECB">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8</w:t>
            </w:r>
          </w:p>
        </w:tc>
      </w:tr>
      <w:tr w14:paraId="3887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4CF4C5F3">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7</w:t>
            </w:r>
          </w:p>
        </w:tc>
        <w:tc>
          <w:tcPr>
            <w:tcW w:w="4053" w:type="dxa"/>
            <w:vAlign w:val="center"/>
          </w:tcPr>
          <w:p w14:paraId="09B5DC8E">
            <w:pPr>
              <w:snapToGrid w:val="0"/>
              <w:spacing w:line="240" w:lineRule="auto"/>
              <w:jc w:val="left"/>
              <w:rPr>
                <w:rFonts w:hint="default" w:ascii="Times New Roman" w:hAnsi="Times New Roman" w:cs="Times New Roman"/>
                <w:color w:val="auto"/>
                <w:sz w:val="21"/>
                <w:szCs w:val="21"/>
                <w:vertAlign w:val="baseline"/>
                <w:lang w:bidi="zh-CN"/>
              </w:rPr>
            </w:pPr>
            <w:r>
              <w:rPr>
                <w:rFonts w:hint="default" w:ascii="Times New Roman" w:hAnsi="Times New Roman" w:cs="Times New Roman"/>
                <w:color w:val="auto"/>
                <w:sz w:val="21"/>
                <w:szCs w:val="21"/>
                <w:vertAlign w:val="baseline"/>
                <w:lang w:val="en-US" w:bidi="zh-CN"/>
              </w:rPr>
              <w:t>氯化物（以Cl</w:t>
            </w:r>
            <w:r>
              <w:rPr>
                <w:rFonts w:hint="default" w:ascii="Times New Roman" w:hAnsi="Times New Roman" w:cs="Times New Roman"/>
                <w:color w:val="auto"/>
                <w:sz w:val="21"/>
                <w:szCs w:val="21"/>
                <w:vertAlign w:val="superscript"/>
                <w:lang w:val="en-US" w:bidi="zh-CN"/>
              </w:rPr>
              <w:t>-</w:t>
            </w:r>
            <w:r>
              <w:rPr>
                <w:rFonts w:hint="default" w:ascii="Times New Roman" w:hAnsi="Times New Roman" w:cs="Times New Roman"/>
                <w:color w:val="auto"/>
                <w:sz w:val="21"/>
                <w:szCs w:val="21"/>
                <w:vertAlign w:val="baseline"/>
                <w:lang w:val="en-US" w:bidi="zh-CN"/>
              </w:rPr>
              <w:t>）</w:t>
            </w:r>
            <w:r>
              <w:rPr>
                <w:rFonts w:hint="default" w:ascii="Times New Roman" w:hAnsi="Times New Roman" w:cs="Times New Roman"/>
                <w:color w:val="auto"/>
                <w:sz w:val="21"/>
                <w:szCs w:val="21"/>
                <w:vertAlign w:val="baseline"/>
                <w:lang w:bidi="zh-CN"/>
              </w:rPr>
              <w:t>/（mg/L）</w:t>
            </w:r>
            <w:r>
              <w:rPr>
                <w:rFonts w:hint="default" w:ascii="Times New Roman" w:hAnsi="Times New Roman" w:cs="Times New Roman"/>
                <w:color w:val="auto"/>
                <w:sz w:val="21"/>
                <w:szCs w:val="21"/>
                <w:vertAlign w:val="baseline"/>
                <w:lang w:val="en-US" w:bidi="zh-CN"/>
              </w:rPr>
              <w:t xml:space="preserve">            ≤</w:t>
            </w:r>
          </w:p>
        </w:tc>
        <w:tc>
          <w:tcPr>
            <w:tcW w:w="4139" w:type="dxa"/>
            <w:vAlign w:val="center"/>
          </w:tcPr>
          <w:p w14:paraId="064CC995">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350</w:t>
            </w:r>
          </w:p>
        </w:tc>
      </w:tr>
      <w:tr w14:paraId="7C1F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5CAD6157">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8</w:t>
            </w:r>
          </w:p>
        </w:tc>
        <w:tc>
          <w:tcPr>
            <w:tcW w:w="4053" w:type="dxa"/>
            <w:vAlign w:val="center"/>
          </w:tcPr>
          <w:p w14:paraId="3C40B883">
            <w:pPr>
              <w:snapToGrid w:val="0"/>
              <w:spacing w:line="240" w:lineRule="auto"/>
              <w:jc w:val="left"/>
              <w:rPr>
                <w:rFonts w:hint="default" w:ascii="Times New Roman" w:hAnsi="Times New Roman" w:cs="Times New Roman"/>
                <w:color w:val="auto"/>
                <w:sz w:val="21"/>
                <w:szCs w:val="21"/>
                <w:vertAlign w:val="baseline"/>
                <w:lang w:bidi="zh-CN"/>
              </w:rPr>
            </w:pPr>
            <w:r>
              <w:rPr>
                <w:rFonts w:hint="default" w:ascii="Times New Roman" w:hAnsi="Times New Roman" w:cs="Times New Roman"/>
                <w:color w:val="auto"/>
                <w:sz w:val="21"/>
                <w:szCs w:val="21"/>
                <w:vertAlign w:val="baseline"/>
                <w:lang w:val="en-US" w:bidi="zh-CN"/>
              </w:rPr>
              <w:t>硫化物（以S</w:t>
            </w:r>
            <w:r>
              <w:rPr>
                <w:rFonts w:hint="default" w:ascii="Times New Roman" w:hAnsi="Times New Roman" w:cs="Times New Roman"/>
                <w:color w:val="auto"/>
                <w:sz w:val="21"/>
                <w:szCs w:val="21"/>
                <w:vertAlign w:val="superscript"/>
                <w:lang w:val="en-US" w:bidi="zh-CN"/>
              </w:rPr>
              <w:t>-2</w:t>
            </w:r>
            <w:r>
              <w:rPr>
                <w:rFonts w:hint="default" w:ascii="Times New Roman" w:hAnsi="Times New Roman" w:cs="Times New Roman"/>
                <w:color w:val="auto"/>
                <w:sz w:val="21"/>
                <w:szCs w:val="21"/>
                <w:vertAlign w:val="baseline"/>
                <w:lang w:val="en-US" w:bidi="zh-CN"/>
              </w:rPr>
              <w:t>计）</w:t>
            </w:r>
            <w:r>
              <w:rPr>
                <w:rFonts w:hint="default" w:ascii="Times New Roman" w:hAnsi="Times New Roman" w:cs="Times New Roman"/>
                <w:color w:val="auto"/>
                <w:sz w:val="21"/>
                <w:szCs w:val="21"/>
                <w:vertAlign w:val="baseline"/>
                <w:lang w:bidi="zh-CN"/>
              </w:rPr>
              <w:t>/（mg/L）</w:t>
            </w:r>
            <w:r>
              <w:rPr>
                <w:rFonts w:hint="default" w:ascii="Times New Roman" w:hAnsi="Times New Roman" w:cs="Times New Roman"/>
                <w:color w:val="auto"/>
                <w:sz w:val="21"/>
                <w:szCs w:val="21"/>
                <w:vertAlign w:val="baseline"/>
                <w:lang w:val="en-US" w:bidi="zh-CN"/>
              </w:rPr>
              <w:t xml:space="preserve">            ≤</w:t>
            </w:r>
          </w:p>
        </w:tc>
        <w:tc>
          <w:tcPr>
            <w:tcW w:w="4139" w:type="dxa"/>
            <w:vAlign w:val="center"/>
          </w:tcPr>
          <w:p w14:paraId="0FF41458">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1</w:t>
            </w:r>
          </w:p>
        </w:tc>
      </w:tr>
      <w:tr w14:paraId="64F0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78C5CA4E">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9</w:t>
            </w:r>
          </w:p>
        </w:tc>
        <w:tc>
          <w:tcPr>
            <w:tcW w:w="4053" w:type="dxa"/>
            <w:vAlign w:val="center"/>
          </w:tcPr>
          <w:p w14:paraId="36E9141C">
            <w:pPr>
              <w:snapToGrid w:val="0"/>
              <w:spacing w:line="240" w:lineRule="auto"/>
              <w:jc w:val="left"/>
              <w:rPr>
                <w:rFonts w:hint="default" w:ascii="Times New Roman" w:hAnsi="Times New Roman" w:cs="Times New Roman"/>
                <w:color w:val="auto"/>
                <w:sz w:val="21"/>
                <w:szCs w:val="21"/>
                <w:vertAlign w:val="baseline"/>
                <w:lang w:bidi="zh-CN"/>
              </w:rPr>
            </w:pPr>
            <w:r>
              <w:rPr>
                <w:rFonts w:hint="default" w:ascii="Times New Roman" w:hAnsi="Times New Roman" w:cs="Times New Roman"/>
                <w:color w:val="auto"/>
                <w:sz w:val="21"/>
                <w:szCs w:val="21"/>
                <w:vertAlign w:val="baseline"/>
                <w:lang w:val="en-US" w:bidi="zh-CN"/>
              </w:rPr>
              <w:t>全盐量</w:t>
            </w:r>
            <w:r>
              <w:rPr>
                <w:rFonts w:hint="default" w:ascii="Times New Roman" w:hAnsi="Times New Roman" w:cs="Times New Roman"/>
                <w:color w:val="auto"/>
                <w:sz w:val="21"/>
                <w:szCs w:val="21"/>
                <w:vertAlign w:val="baseline"/>
                <w:lang w:bidi="zh-CN"/>
              </w:rPr>
              <w:t>/（mg/L）</w:t>
            </w:r>
            <w:r>
              <w:rPr>
                <w:rFonts w:hint="default" w:ascii="Times New Roman" w:hAnsi="Times New Roman" w:cs="Times New Roman"/>
                <w:color w:val="auto"/>
                <w:sz w:val="21"/>
                <w:szCs w:val="21"/>
                <w:vertAlign w:val="baseline"/>
                <w:lang w:val="en-US" w:bidi="zh-CN"/>
              </w:rPr>
              <w:t xml:space="preserve">                     ≤</w:t>
            </w:r>
          </w:p>
        </w:tc>
        <w:tc>
          <w:tcPr>
            <w:tcW w:w="4139" w:type="dxa"/>
            <w:vAlign w:val="center"/>
          </w:tcPr>
          <w:p w14:paraId="20B479E1">
            <w:pPr>
              <w:keepNext w:val="0"/>
              <w:keepLines w:val="0"/>
              <w:widowControl/>
              <w:suppressLineNumbers w:val="0"/>
              <w:spacing w:line="240" w:lineRule="auto"/>
              <w:jc w:val="left"/>
              <w:rPr>
                <w:rFonts w:hint="default" w:ascii="Times New Roman" w:hAnsi="Times New Roman" w:cs="Times New Roman"/>
                <w:color w:val="auto"/>
                <w:sz w:val="21"/>
                <w:szCs w:val="21"/>
                <w:vertAlign w:val="baseline"/>
                <w:lang w:val="en-US" w:bidi="zh-CN"/>
              </w:rPr>
            </w:pPr>
            <w:r>
              <w:rPr>
                <w:rFonts w:hint="default" w:ascii="Times New Roman" w:hAnsi="Times New Roman" w:eastAsia="宋体" w:cs="Times New Roman"/>
                <w:color w:val="auto"/>
                <w:sz w:val="21"/>
                <w:szCs w:val="21"/>
                <w:vertAlign w:val="baseline"/>
                <w:lang w:val="en-US" w:eastAsia="zh-CN" w:bidi="zh-CN"/>
              </w:rPr>
              <w:t>1000（非盐碱土地区），2000（盐碱土地区）</w:t>
            </w:r>
          </w:p>
        </w:tc>
      </w:tr>
      <w:tr w14:paraId="52BD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5A183AB6">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10</w:t>
            </w:r>
          </w:p>
        </w:tc>
        <w:tc>
          <w:tcPr>
            <w:tcW w:w="4053" w:type="dxa"/>
            <w:vAlign w:val="center"/>
          </w:tcPr>
          <w:p w14:paraId="08343D5C">
            <w:pPr>
              <w:snapToGrid w:val="0"/>
              <w:spacing w:line="240" w:lineRule="auto"/>
              <w:jc w:val="left"/>
              <w:rPr>
                <w:rFonts w:hint="default" w:ascii="Times New Roman" w:hAnsi="Times New Roman" w:cs="Times New Roman"/>
                <w:color w:val="auto"/>
                <w:sz w:val="21"/>
                <w:szCs w:val="21"/>
                <w:vertAlign w:val="baseline"/>
                <w:lang w:bidi="zh-CN"/>
              </w:rPr>
            </w:pPr>
            <w:r>
              <w:rPr>
                <w:rFonts w:hint="default" w:ascii="Times New Roman" w:hAnsi="Times New Roman" w:cs="Times New Roman"/>
                <w:color w:val="auto"/>
                <w:sz w:val="21"/>
                <w:szCs w:val="21"/>
                <w:vertAlign w:val="baseline"/>
                <w:lang w:val="en-US" w:bidi="zh-CN"/>
              </w:rPr>
              <w:t>总铅</w:t>
            </w:r>
            <w:r>
              <w:rPr>
                <w:rFonts w:hint="default" w:ascii="Times New Roman" w:hAnsi="Times New Roman" w:cs="Times New Roman"/>
                <w:color w:val="auto"/>
                <w:sz w:val="21"/>
                <w:szCs w:val="21"/>
                <w:vertAlign w:val="baseline"/>
                <w:lang w:bidi="zh-CN"/>
              </w:rPr>
              <w:t>/（mg/L）</w:t>
            </w:r>
            <w:r>
              <w:rPr>
                <w:rFonts w:hint="default" w:ascii="Times New Roman" w:hAnsi="Times New Roman" w:cs="Times New Roman"/>
                <w:color w:val="auto"/>
                <w:sz w:val="21"/>
                <w:szCs w:val="21"/>
                <w:vertAlign w:val="baseline"/>
                <w:lang w:val="en-US" w:bidi="zh-CN"/>
              </w:rPr>
              <w:t xml:space="preserve">                       ≤</w:t>
            </w:r>
            <w:r>
              <w:rPr>
                <w:rFonts w:hint="default" w:ascii="Times New Roman" w:hAnsi="Times New Roman" w:cs="Times New Roman"/>
                <w:color w:val="auto"/>
                <w:sz w:val="21"/>
                <w:szCs w:val="21"/>
                <w:vertAlign w:val="baseline"/>
                <w:lang w:bidi="zh-CN"/>
              </w:rPr>
              <w:t xml:space="preserve"> </w:t>
            </w:r>
          </w:p>
        </w:tc>
        <w:tc>
          <w:tcPr>
            <w:tcW w:w="4139" w:type="dxa"/>
            <w:vAlign w:val="center"/>
          </w:tcPr>
          <w:p w14:paraId="436DD4B7">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0.2</w:t>
            </w:r>
          </w:p>
        </w:tc>
      </w:tr>
      <w:tr w14:paraId="7AD8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57379AEE">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11</w:t>
            </w:r>
          </w:p>
        </w:tc>
        <w:tc>
          <w:tcPr>
            <w:tcW w:w="4053" w:type="dxa"/>
            <w:vAlign w:val="center"/>
          </w:tcPr>
          <w:p w14:paraId="14CE228E">
            <w:pPr>
              <w:snapToGrid w:val="0"/>
              <w:spacing w:line="240" w:lineRule="auto"/>
              <w:jc w:val="left"/>
              <w:rPr>
                <w:rFonts w:hint="default" w:ascii="Times New Roman" w:hAnsi="Times New Roman" w:cs="Times New Roman"/>
                <w:color w:val="auto"/>
                <w:sz w:val="21"/>
                <w:szCs w:val="21"/>
                <w:vertAlign w:val="baseline"/>
                <w:lang w:bidi="zh-CN"/>
              </w:rPr>
            </w:pPr>
            <w:r>
              <w:rPr>
                <w:rFonts w:hint="default" w:ascii="Times New Roman" w:hAnsi="Times New Roman" w:cs="Times New Roman"/>
                <w:color w:val="auto"/>
                <w:sz w:val="21"/>
                <w:szCs w:val="21"/>
                <w:vertAlign w:val="baseline"/>
                <w:lang w:val="en-US" w:bidi="zh-CN"/>
              </w:rPr>
              <w:t>总镉</w:t>
            </w:r>
            <w:r>
              <w:rPr>
                <w:rFonts w:hint="default" w:ascii="Times New Roman" w:hAnsi="Times New Roman" w:cs="Times New Roman"/>
                <w:color w:val="auto"/>
                <w:sz w:val="21"/>
                <w:szCs w:val="21"/>
                <w:vertAlign w:val="baseline"/>
                <w:lang w:bidi="zh-CN"/>
              </w:rPr>
              <w:t>/（mg/L）</w:t>
            </w:r>
            <w:r>
              <w:rPr>
                <w:rFonts w:hint="default" w:ascii="Times New Roman" w:hAnsi="Times New Roman" w:cs="Times New Roman"/>
                <w:color w:val="auto"/>
                <w:sz w:val="21"/>
                <w:szCs w:val="21"/>
                <w:vertAlign w:val="baseline"/>
                <w:lang w:val="en-US" w:bidi="zh-CN"/>
              </w:rPr>
              <w:t xml:space="preserve">                       ≤</w:t>
            </w:r>
          </w:p>
        </w:tc>
        <w:tc>
          <w:tcPr>
            <w:tcW w:w="4139" w:type="dxa"/>
            <w:vAlign w:val="center"/>
          </w:tcPr>
          <w:p w14:paraId="48D6EF9B">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0.01</w:t>
            </w:r>
          </w:p>
        </w:tc>
      </w:tr>
      <w:tr w14:paraId="4C6E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20937CB3">
            <w:pPr>
              <w:snapToGrid w:val="0"/>
              <w:spacing w:line="240" w:lineRule="auto"/>
              <w:jc w:val="center"/>
              <w:rPr>
                <w:rFonts w:hint="default" w:ascii="Times New Roman" w:hAnsi="Times New Roman" w:eastAsia="宋体" w:cs="Times New Roman"/>
                <w:color w:val="auto"/>
                <w:sz w:val="21"/>
                <w:szCs w:val="21"/>
                <w:vertAlign w:val="baseline"/>
                <w:lang w:val="en-US" w:bidi="zh-CN"/>
              </w:rPr>
            </w:pPr>
            <w:r>
              <w:rPr>
                <w:rFonts w:hint="default" w:ascii="Times New Roman" w:hAnsi="Times New Roman" w:eastAsia="宋体" w:cs="Times New Roman"/>
                <w:color w:val="auto"/>
                <w:sz w:val="21"/>
                <w:szCs w:val="21"/>
                <w:vertAlign w:val="baseline"/>
                <w:lang w:val="en-US" w:bidi="zh-CN"/>
              </w:rPr>
              <w:t>12</w:t>
            </w:r>
          </w:p>
        </w:tc>
        <w:tc>
          <w:tcPr>
            <w:tcW w:w="4053" w:type="dxa"/>
            <w:vAlign w:val="center"/>
          </w:tcPr>
          <w:p w14:paraId="32167E00">
            <w:pPr>
              <w:snapToGrid w:val="0"/>
              <w:spacing w:line="240" w:lineRule="auto"/>
              <w:jc w:val="left"/>
              <w:rPr>
                <w:rFonts w:hint="default" w:ascii="Times New Roman" w:hAnsi="Times New Roman" w:eastAsia="宋体" w:cs="Times New Roman"/>
                <w:color w:val="auto"/>
                <w:sz w:val="21"/>
                <w:szCs w:val="21"/>
                <w:vertAlign w:val="baseline"/>
                <w:lang w:bidi="zh-CN"/>
              </w:rPr>
            </w:pPr>
            <w:r>
              <w:rPr>
                <w:rFonts w:hint="default" w:ascii="Times New Roman" w:hAnsi="Times New Roman" w:eastAsia="宋体" w:cs="Times New Roman"/>
                <w:color w:val="auto"/>
                <w:sz w:val="21"/>
                <w:szCs w:val="21"/>
                <w:vertAlign w:val="baseline"/>
                <w:lang w:val="en-US" w:eastAsia="zh-CN" w:bidi="zh-CN"/>
              </w:rPr>
              <w:t>铬（六价）</w:t>
            </w:r>
            <w:r>
              <w:rPr>
                <w:rFonts w:hint="default" w:ascii="Times New Roman" w:hAnsi="Times New Roman" w:eastAsia="宋体" w:cs="Times New Roman"/>
                <w:color w:val="auto"/>
                <w:sz w:val="21"/>
                <w:szCs w:val="21"/>
                <w:vertAlign w:val="baseline"/>
                <w:lang w:bidi="zh-CN"/>
              </w:rPr>
              <w:t>/（mg/L）</w:t>
            </w:r>
            <w:r>
              <w:rPr>
                <w:rFonts w:hint="default" w:ascii="Times New Roman" w:hAnsi="Times New Roman" w:eastAsia="宋体" w:cs="Times New Roman"/>
                <w:color w:val="auto"/>
                <w:sz w:val="21"/>
                <w:szCs w:val="21"/>
                <w:vertAlign w:val="baseline"/>
                <w:lang w:val="en-US" w:bidi="zh-CN"/>
              </w:rPr>
              <w:t xml:space="preserve">                   ≤</w:t>
            </w:r>
          </w:p>
        </w:tc>
        <w:tc>
          <w:tcPr>
            <w:tcW w:w="4139" w:type="dxa"/>
            <w:vAlign w:val="center"/>
          </w:tcPr>
          <w:p w14:paraId="757573BF">
            <w:pPr>
              <w:snapToGrid w:val="0"/>
              <w:spacing w:line="240" w:lineRule="auto"/>
              <w:jc w:val="center"/>
              <w:rPr>
                <w:rFonts w:hint="default" w:ascii="Times New Roman" w:hAnsi="Times New Roman" w:eastAsia="宋体" w:cs="Times New Roman"/>
                <w:color w:val="auto"/>
                <w:sz w:val="21"/>
                <w:szCs w:val="21"/>
                <w:vertAlign w:val="baseline"/>
                <w:lang w:val="en-US" w:bidi="zh-CN"/>
              </w:rPr>
            </w:pPr>
            <w:r>
              <w:rPr>
                <w:rFonts w:hint="default" w:ascii="Times New Roman" w:hAnsi="Times New Roman" w:eastAsia="宋体" w:cs="Times New Roman"/>
                <w:color w:val="auto"/>
                <w:sz w:val="21"/>
                <w:szCs w:val="21"/>
                <w:vertAlign w:val="baseline"/>
                <w:lang w:val="en-US" w:bidi="zh-CN"/>
              </w:rPr>
              <w:t>0.1</w:t>
            </w:r>
          </w:p>
        </w:tc>
      </w:tr>
      <w:tr w14:paraId="7FBE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12829833">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13</w:t>
            </w:r>
          </w:p>
        </w:tc>
        <w:tc>
          <w:tcPr>
            <w:tcW w:w="4053" w:type="dxa"/>
            <w:vAlign w:val="center"/>
          </w:tcPr>
          <w:p w14:paraId="68CD6FE3">
            <w:pPr>
              <w:snapToGrid w:val="0"/>
              <w:spacing w:line="240" w:lineRule="auto"/>
              <w:jc w:val="left"/>
              <w:rPr>
                <w:rFonts w:hint="default" w:ascii="Times New Roman" w:hAnsi="Times New Roman" w:cs="Times New Roman"/>
                <w:color w:val="auto"/>
                <w:sz w:val="21"/>
                <w:szCs w:val="21"/>
                <w:vertAlign w:val="baseline"/>
                <w:lang w:bidi="zh-CN"/>
              </w:rPr>
            </w:pPr>
            <w:r>
              <w:rPr>
                <w:rFonts w:hint="default" w:ascii="Times New Roman" w:hAnsi="Times New Roman" w:cs="Times New Roman"/>
                <w:color w:val="auto"/>
                <w:sz w:val="21"/>
                <w:szCs w:val="21"/>
                <w:vertAlign w:val="baseline"/>
                <w:lang w:val="en-US" w:bidi="zh-CN"/>
              </w:rPr>
              <w:t>总汞</w:t>
            </w:r>
            <w:r>
              <w:rPr>
                <w:rFonts w:hint="default" w:ascii="Times New Roman" w:hAnsi="Times New Roman" w:cs="Times New Roman"/>
                <w:color w:val="auto"/>
                <w:sz w:val="21"/>
                <w:szCs w:val="21"/>
                <w:vertAlign w:val="baseline"/>
                <w:lang w:bidi="zh-CN"/>
              </w:rPr>
              <w:t>/（mg/L）</w:t>
            </w:r>
            <w:r>
              <w:rPr>
                <w:rFonts w:hint="default" w:ascii="Times New Roman" w:hAnsi="Times New Roman" w:cs="Times New Roman"/>
                <w:color w:val="auto"/>
                <w:sz w:val="21"/>
                <w:szCs w:val="21"/>
                <w:vertAlign w:val="baseline"/>
                <w:lang w:val="en-US" w:bidi="zh-CN"/>
              </w:rPr>
              <w:t xml:space="preserve">                       ≤</w:t>
            </w:r>
            <w:r>
              <w:rPr>
                <w:rFonts w:hint="default" w:ascii="Times New Roman" w:hAnsi="Times New Roman" w:cs="Times New Roman"/>
                <w:color w:val="auto"/>
                <w:sz w:val="21"/>
                <w:szCs w:val="21"/>
                <w:vertAlign w:val="baseline"/>
                <w:lang w:bidi="zh-CN"/>
              </w:rPr>
              <w:t xml:space="preserve"> </w:t>
            </w:r>
          </w:p>
        </w:tc>
        <w:tc>
          <w:tcPr>
            <w:tcW w:w="4139" w:type="dxa"/>
            <w:vAlign w:val="center"/>
          </w:tcPr>
          <w:p w14:paraId="69CC7A9A">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0.001</w:t>
            </w:r>
          </w:p>
        </w:tc>
      </w:tr>
      <w:tr w14:paraId="41D3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601F1940">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14</w:t>
            </w:r>
          </w:p>
        </w:tc>
        <w:tc>
          <w:tcPr>
            <w:tcW w:w="4053" w:type="dxa"/>
            <w:vAlign w:val="center"/>
          </w:tcPr>
          <w:p w14:paraId="59C2C2CF">
            <w:pPr>
              <w:snapToGrid w:val="0"/>
              <w:spacing w:line="240" w:lineRule="auto"/>
              <w:jc w:val="left"/>
              <w:rPr>
                <w:rFonts w:hint="default" w:ascii="Times New Roman" w:hAnsi="Times New Roman" w:cs="Times New Roman"/>
                <w:color w:val="auto"/>
                <w:sz w:val="21"/>
                <w:szCs w:val="21"/>
                <w:vertAlign w:val="baseline"/>
                <w:lang w:bidi="zh-CN"/>
              </w:rPr>
            </w:pPr>
            <w:r>
              <w:rPr>
                <w:rFonts w:hint="default" w:ascii="Times New Roman" w:hAnsi="Times New Roman" w:cs="Times New Roman"/>
                <w:color w:val="auto"/>
                <w:sz w:val="21"/>
                <w:szCs w:val="21"/>
                <w:vertAlign w:val="baseline"/>
                <w:lang w:val="en-US" w:bidi="zh-CN"/>
              </w:rPr>
              <w:t>总砷</w:t>
            </w:r>
            <w:r>
              <w:rPr>
                <w:rFonts w:hint="default" w:ascii="Times New Roman" w:hAnsi="Times New Roman" w:cs="Times New Roman"/>
                <w:color w:val="auto"/>
                <w:sz w:val="21"/>
                <w:szCs w:val="21"/>
                <w:vertAlign w:val="baseline"/>
                <w:lang w:bidi="zh-CN"/>
              </w:rPr>
              <w:t>/（mg/L）</w:t>
            </w:r>
            <w:r>
              <w:rPr>
                <w:rFonts w:hint="default" w:ascii="Times New Roman" w:hAnsi="Times New Roman" w:cs="Times New Roman"/>
                <w:color w:val="auto"/>
                <w:sz w:val="21"/>
                <w:szCs w:val="21"/>
                <w:vertAlign w:val="baseline"/>
                <w:lang w:val="en-US" w:bidi="zh-CN"/>
              </w:rPr>
              <w:t xml:space="preserve">                       ≤</w:t>
            </w:r>
            <w:r>
              <w:rPr>
                <w:rFonts w:hint="default" w:ascii="Times New Roman" w:hAnsi="Times New Roman" w:cs="Times New Roman"/>
                <w:color w:val="auto"/>
                <w:sz w:val="21"/>
                <w:szCs w:val="21"/>
                <w:vertAlign w:val="baseline"/>
                <w:lang w:bidi="zh-CN"/>
              </w:rPr>
              <w:t xml:space="preserve"> </w:t>
            </w:r>
          </w:p>
        </w:tc>
        <w:tc>
          <w:tcPr>
            <w:tcW w:w="4139" w:type="dxa"/>
            <w:vAlign w:val="center"/>
          </w:tcPr>
          <w:p w14:paraId="67E5C954">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0.1</w:t>
            </w:r>
          </w:p>
        </w:tc>
      </w:tr>
      <w:tr w14:paraId="7689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6D3A10F5">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15</w:t>
            </w:r>
          </w:p>
        </w:tc>
        <w:tc>
          <w:tcPr>
            <w:tcW w:w="4053" w:type="dxa"/>
            <w:vAlign w:val="center"/>
          </w:tcPr>
          <w:p w14:paraId="4BBAC00E">
            <w:pPr>
              <w:snapToGrid w:val="0"/>
              <w:spacing w:line="240" w:lineRule="auto"/>
              <w:jc w:val="left"/>
              <w:rPr>
                <w:rFonts w:hint="default" w:ascii="Times New Roman" w:hAnsi="Times New Roman" w:cs="Times New Roman"/>
                <w:color w:val="auto"/>
                <w:sz w:val="21"/>
                <w:szCs w:val="21"/>
                <w:vertAlign w:val="baseline"/>
                <w:lang w:bidi="zh-CN"/>
              </w:rPr>
            </w:pPr>
            <w:r>
              <w:rPr>
                <w:rFonts w:hint="default" w:ascii="Times New Roman" w:hAnsi="Times New Roman" w:cs="Times New Roman"/>
                <w:color w:val="auto"/>
                <w:sz w:val="21"/>
                <w:szCs w:val="21"/>
                <w:vertAlign w:val="baseline"/>
                <w:lang w:val="en-US" w:bidi="zh-CN"/>
              </w:rPr>
              <w:t>粪大肠菌群数</w:t>
            </w:r>
            <w:r>
              <w:rPr>
                <w:rFonts w:hint="default" w:ascii="Times New Roman" w:hAnsi="Times New Roman" w:cs="Times New Roman"/>
                <w:color w:val="auto"/>
                <w:sz w:val="21"/>
                <w:szCs w:val="21"/>
                <w:vertAlign w:val="baseline"/>
                <w:lang w:bidi="zh-CN"/>
              </w:rPr>
              <w:t>/（</w:t>
            </w:r>
            <w:r>
              <w:rPr>
                <w:rFonts w:hint="default" w:ascii="Times New Roman" w:hAnsi="Times New Roman" w:cs="Times New Roman"/>
                <w:color w:val="auto"/>
                <w:sz w:val="21"/>
                <w:szCs w:val="21"/>
                <w:vertAlign w:val="baseline"/>
                <w:lang w:val="en-US" w:bidi="zh-CN"/>
              </w:rPr>
              <w:t>MPN</w:t>
            </w:r>
            <w:r>
              <w:rPr>
                <w:rFonts w:hint="default" w:ascii="Times New Roman" w:hAnsi="Times New Roman" w:cs="Times New Roman"/>
                <w:color w:val="auto"/>
                <w:sz w:val="21"/>
                <w:szCs w:val="21"/>
                <w:vertAlign w:val="baseline"/>
                <w:lang w:bidi="zh-CN"/>
              </w:rPr>
              <w:t>/L）</w:t>
            </w:r>
            <w:r>
              <w:rPr>
                <w:rFonts w:hint="default" w:ascii="Times New Roman" w:hAnsi="Times New Roman" w:cs="Times New Roman"/>
                <w:color w:val="auto"/>
                <w:sz w:val="21"/>
                <w:szCs w:val="21"/>
                <w:vertAlign w:val="baseline"/>
                <w:lang w:val="en-US" w:bidi="zh-CN"/>
              </w:rPr>
              <w:t xml:space="preserve">              ≤</w:t>
            </w:r>
          </w:p>
        </w:tc>
        <w:tc>
          <w:tcPr>
            <w:tcW w:w="4139" w:type="dxa"/>
            <w:vAlign w:val="center"/>
          </w:tcPr>
          <w:p w14:paraId="4AD6EBB6">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40000</w:t>
            </w:r>
          </w:p>
        </w:tc>
      </w:tr>
      <w:tr w14:paraId="0EB0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Align w:val="center"/>
          </w:tcPr>
          <w:p w14:paraId="1D74E8EC">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16</w:t>
            </w:r>
          </w:p>
        </w:tc>
        <w:tc>
          <w:tcPr>
            <w:tcW w:w="4053" w:type="dxa"/>
            <w:vAlign w:val="center"/>
          </w:tcPr>
          <w:p w14:paraId="747619CF">
            <w:pPr>
              <w:snapToGrid w:val="0"/>
              <w:spacing w:line="240" w:lineRule="auto"/>
              <w:jc w:val="left"/>
              <w:rPr>
                <w:rFonts w:hint="default" w:ascii="Times New Roman" w:hAnsi="Times New Roman" w:cs="Times New Roman"/>
                <w:color w:val="auto"/>
                <w:sz w:val="21"/>
                <w:szCs w:val="21"/>
                <w:vertAlign w:val="baseline"/>
                <w:lang w:bidi="zh-CN"/>
              </w:rPr>
            </w:pPr>
            <w:r>
              <w:rPr>
                <w:rFonts w:hint="default" w:ascii="Times New Roman" w:hAnsi="Times New Roman" w:cs="Times New Roman"/>
                <w:color w:val="auto"/>
                <w:sz w:val="21"/>
                <w:szCs w:val="21"/>
                <w:vertAlign w:val="baseline"/>
                <w:lang w:val="en-US" w:bidi="zh-CN"/>
              </w:rPr>
              <w:t>蛔虫卵数</w:t>
            </w:r>
            <w:r>
              <w:rPr>
                <w:rFonts w:hint="default" w:ascii="Times New Roman" w:hAnsi="Times New Roman" w:cs="Times New Roman"/>
                <w:color w:val="auto"/>
                <w:sz w:val="21"/>
                <w:szCs w:val="21"/>
                <w:vertAlign w:val="baseline"/>
                <w:lang w:bidi="zh-CN"/>
              </w:rPr>
              <w:t>/（</w:t>
            </w:r>
            <w:r>
              <w:rPr>
                <w:rFonts w:hint="default" w:ascii="Times New Roman" w:hAnsi="Times New Roman" w:cs="Times New Roman"/>
                <w:color w:val="auto"/>
                <w:sz w:val="21"/>
                <w:szCs w:val="21"/>
                <w:vertAlign w:val="baseline"/>
                <w:lang w:val="en-US" w:bidi="zh-CN"/>
              </w:rPr>
              <w:t>个</w:t>
            </w:r>
            <w:r>
              <w:rPr>
                <w:rFonts w:hint="default" w:ascii="Times New Roman" w:hAnsi="Times New Roman" w:cs="Times New Roman"/>
                <w:color w:val="auto"/>
                <w:sz w:val="21"/>
                <w:szCs w:val="21"/>
                <w:vertAlign w:val="baseline"/>
                <w:lang w:bidi="zh-CN"/>
              </w:rPr>
              <w:t>/</w:t>
            </w:r>
            <w:r>
              <w:rPr>
                <w:rFonts w:hint="default" w:ascii="Times New Roman" w:hAnsi="Times New Roman" w:cs="Times New Roman"/>
                <w:color w:val="auto"/>
                <w:sz w:val="21"/>
                <w:szCs w:val="21"/>
                <w:vertAlign w:val="baseline"/>
                <w:lang w:val="en-US" w:bidi="zh-CN"/>
              </w:rPr>
              <w:t>10</w:t>
            </w:r>
            <w:r>
              <w:rPr>
                <w:rFonts w:hint="default" w:ascii="Times New Roman" w:hAnsi="Times New Roman" w:cs="Times New Roman"/>
                <w:color w:val="auto"/>
                <w:sz w:val="21"/>
                <w:szCs w:val="21"/>
                <w:vertAlign w:val="baseline"/>
                <w:lang w:bidi="zh-CN"/>
              </w:rPr>
              <w:t>L）</w:t>
            </w:r>
            <w:r>
              <w:rPr>
                <w:rFonts w:hint="default" w:ascii="Times New Roman" w:hAnsi="Times New Roman" w:cs="Times New Roman"/>
                <w:color w:val="auto"/>
                <w:sz w:val="21"/>
                <w:szCs w:val="21"/>
                <w:vertAlign w:val="baseline"/>
                <w:lang w:val="en-US" w:bidi="zh-CN"/>
              </w:rPr>
              <w:t xml:space="preserve">                  ≤</w:t>
            </w:r>
          </w:p>
        </w:tc>
        <w:tc>
          <w:tcPr>
            <w:tcW w:w="4139" w:type="dxa"/>
            <w:vAlign w:val="center"/>
          </w:tcPr>
          <w:p w14:paraId="6958BDDE">
            <w:pPr>
              <w:snapToGrid w:val="0"/>
              <w:spacing w:line="240" w:lineRule="auto"/>
              <w:jc w:val="center"/>
              <w:rPr>
                <w:rFonts w:hint="default" w:ascii="Times New Roman" w:hAnsi="Times New Roman" w:cs="Times New Roman"/>
                <w:color w:val="auto"/>
                <w:sz w:val="21"/>
                <w:szCs w:val="21"/>
                <w:vertAlign w:val="baseline"/>
                <w:lang w:val="en-US" w:bidi="zh-CN"/>
              </w:rPr>
            </w:pPr>
            <w:r>
              <w:rPr>
                <w:rFonts w:hint="default" w:ascii="Times New Roman" w:hAnsi="Times New Roman" w:cs="Times New Roman"/>
                <w:color w:val="auto"/>
                <w:sz w:val="21"/>
                <w:szCs w:val="21"/>
                <w:vertAlign w:val="baseline"/>
                <w:lang w:val="en-US" w:bidi="zh-CN"/>
              </w:rPr>
              <w:t>20</w:t>
            </w:r>
          </w:p>
        </w:tc>
      </w:tr>
    </w:tbl>
    <w:p w14:paraId="26AC0044">
      <w:pPr>
        <w:snapToGrid w:val="0"/>
        <w:spacing w:before="156" w:beforeLines="50"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（3）噪声排放标准</w:t>
      </w:r>
    </w:p>
    <w:p w14:paraId="56822FDC">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kern w:val="0"/>
          <w:sz w:val="24"/>
          <w:highlight w:val="none"/>
        </w:rPr>
        <w:t>①</w:t>
      </w:r>
      <w:r>
        <w:rPr>
          <w:rFonts w:hint="default" w:ascii="Times New Roman" w:hAnsi="Times New Roman" w:cs="Times New Roman"/>
          <w:b/>
          <w:color w:val="auto"/>
          <w:sz w:val="24"/>
          <w:highlight w:val="none"/>
        </w:rPr>
        <w:t>施工期</w:t>
      </w:r>
    </w:p>
    <w:p w14:paraId="1ABBA55C">
      <w:pPr>
        <w:snapToGrid w:val="0"/>
        <w:spacing w:line="360" w:lineRule="auto"/>
        <w:ind w:firstLine="480" w:firstLineChars="200"/>
        <w:rPr>
          <w:rFonts w:hint="default" w:ascii="Times New Roman" w:hAnsi="Times New Roman" w:cs="Times New Roman"/>
          <w:b/>
          <w:color w:val="auto"/>
          <w:highlight w:val="none"/>
        </w:rPr>
      </w:pPr>
      <w:r>
        <w:rPr>
          <w:rFonts w:hint="default" w:ascii="Times New Roman" w:hAnsi="Times New Roman" w:cs="Times New Roman"/>
          <w:color w:val="auto"/>
          <w:sz w:val="24"/>
          <w:highlight w:val="none"/>
        </w:rPr>
        <w:t>项目施工期噪声执行《</w:t>
      </w:r>
      <w:r>
        <w:rPr>
          <w:rFonts w:hint="default" w:ascii="Times New Roman" w:hAnsi="Times New Roman" w:cs="Times New Roman"/>
          <w:bCs/>
          <w:color w:val="auto"/>
          <w:spacing w:val="8"/>
          <w:sz w:val="24"/>
          <w:highlight w:val="none"/>
        </w:rPr>
        <w:t>建筑施工场界环境噪声排放标准</w:t>
      </w:r>
      <w:r>
        <w:rPr>
          <w:rFonts w:hint="default" w:ascii="Times New Roman" w:hAnsi="Times New Roman" w:cs="Times New Roman"/>
          <w:color w:val="auto"/>
          <w:sz w:val="24"/>
          <w:highlight w:val="none"/>
        </w:rPr>
        <w:t>》（GB12523-2011），标准值如表1.</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p>
    <w:p w14:paraId="48A061DF">
      <w:pPr>
        <w:pStyle w:val="15"/>
        <w:adjustRightInd w:val="0"/>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w:t>
      </w:r>
      <w:r>
        <w:rPr>
          <w:rFonts w:hint="default" w:ascii="Times New Roman" w:hAnsi="Times New Roman"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-1</w:t>
      </w:r>
      <w:r>
        <w:rPr>
          <w:rFonts w:hint="default" w:ascii="Times New Roman" w:hAnsi="Times New Roman" w:cs="Times New Roman"/>
          <w:b/>
          <w:bCs/>
          <w:color w:val="auto"/>
          <w:sz w:val="21"/>
          <w:szCs w:val="21"/>
          <w:highlight w:val="none"/>
          <w:lang w:val="en-US" w:eastAsia="zh-CN"/>
        </w:rPr>
        <w:t xml:space="preserve">4 </w:t>
      </w:r>
      <w:r>
        <w:rPr>
          <w:rFonts w:hint="default" w:ascii="Times New Roman" w:hAnsi="Times New Roman" w:cs="Times New Roman"/>
          <w:b/>
          <w:bCs/>
          <w:color w:val="auto"/>
          <w:sz w:val="21"/>
          <w:szCs w:val="21"/>
          <w:highlight w:val="none"/>
        </w:rPr>
        <w:t xml:space="preserve">  建筑施工场界环境噪声排放限值   单位：dB（A）</w:t>
      </w:r>
    </w:p>
    <w:tbl>
      <w:tblPr>
        <w:tblStyle w:val="23"/>
        <w:tblW w:w="879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269"/>
        <w:gridCol w:w="4526"/>
      </w:tblGrid>
      <w:tr w14:paraId="38C349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 w:hRule="atLeast"/>
          <w:jc w:val="center"/>
        </w:trPr>
        <w:tc>
          <w:tcPr>
            <w:tcW w:w="4269" w:type="dxa"/>
            <w:vAlign w:val="center"/>
          </w:tcPr>
          <w:p w14:paraId="7BBACFBF">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昼间</w:t>
            </w:r>
          </w:p>
        </w:tc>
        <w:tc>
          <w:tcPr>
            <w:tcW w:w="4526" w:type="dxa"/>
            <w:vAlign w:val="center"/>
          </w:tcPr>
          <w:p w14:paraId="48CA6ED4">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夜间</w:t>
            </w:r>
          </w:p>
        </w:tc>
      </w:tr>
      <w:tr w14:paraId="05EF6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8" w:hRule="atLeast"/>
          <w:jc w:val="center"/>
        </w:trPr>
        <w:tc>
          <w:tcPr>
            <w:tcW w:w="4269" w:type="dxa"/>
            <w:vAlign w:val="center"/>
          </w:tcPr>
          <w:p w14:paraId="1C31CBC5">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c>
          <w:tcPr>
            <w:tcW w:w="4526" w:type="dxa"/>
            <w:vAlign w:val="center"/>
          </w:tcPr>
          <w:p w14:paraId="12D7A925">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p>
        </w:tc>
      </w:tr>
    </w:tbl>
    <w:p w14:paraId="5AB01466">
      <w:pPr>
        <w:snapToGrid w:val="0"/>
        <w:spacing w:before="156" w:beforeLines="50"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kern w:val="0"/>
          <w:sz w:val="24"/>
          <w:highlight w:val="none"/>
        </w:rPr>
        <w:t>②</w:t>
      </w:r>
      <w:r>
        <w:rPr>
          <w:rFonts w:hint="default" w:ascii="Times New Roman" w:hAnsi="Times New Roman" w:cs="Times New Roman"/>
          <w:b/>
          <w:color w:val="auto"/>
          <w:sz w:val="24"/>
          <w:highlight w:val="none"/>
        </w:rPr>
        <w:t>运营期</w:t>
      </w:r>
    </w:p>
    <w:p w14:paraId="04FBF11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项目运营期噪声执行《</w:t>
      </w:r>
      <w:r>
        <w:rPr>
          <w:rFonts w:hint="default" w:ascii="Times New Roman" w:hAnsi="Times New Roman" w:cs="Times New Roman"/>
          <w:color w:val="auto"/>
          <w:kern w:val="0"/>
          <w:sz w:val="24"/>
          <w:highlight w:val="none"/>
        </w:rPr>
        <w:t>工业企业厂界环境噪声排放标准</w:t>
      </w:r>
      <w:r>
        <w:rPr>
          <w:rFonts w:hint="default" w:ascii="Times New Roman" w:hAnsi="Times New Roman" w:cs="Times New Roman"/>
          <w:color w:val="auto"/>
          <w:sz w:val="24"/>
          <w:highlight w:val="none"/>
        </w:rPr>
        <w:t>》（GB12348-2008）2类标准。标准值见表1.</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15</w:t>
      </w:r>
      <w:r>
        <w:rPr>
          <w:rFonts w:hint="default" w:ascii="Times New Roman" w:hAnsi="Times New Roman" w:cs="Times New Roman"/>
          <w:color w:val="auto"/>
          <w:sz w:val="24"/>
          <w:highlight w:val="none"/>
        </w:rPr>
        <w:t>。</w:t>
      </w:r>
    </w:p>
    <w:p w14:paraId="329394CC">
      <w:pPr>
        <w:pStyle w:val="15"/>
        <w:adjustRightInd w:val="0"/>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w:t>
      </w:r>
      <w:r>
        <w:rPr>
          <w:rFonts w:hint="default" w:ascii="Times New Roman" w:hAnsi="Times New Roman"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-1</w:t>
      </w:r>
      <w:r>
        <w:rPr>
          <w:rFonts w:hint="default"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工业企业厂界环境噪声排放标准   单位：dB（A）</w:t>
      </w:r>
    </w:p>
    <w:tbl>
      <w:tblPr>
        <w:tblStyle w:val="23"/>
        <w:tblW w:w="879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92"/>
        <w:gridCol w:w="3077"/>
        <w:gridCol w:w="3026"/>
      </w:tblGrid>
      <w:tr w14:paraId="6A66E9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2692" w:type="dxa"/>
            <w:tcBorders>
              <w:top w:val="single" w:color="auto" w:sz="4" w:space="0"/>
              <w:left w:val="single" w:color="auto" w:sz="4" w:space="0"/>
              <w:bottom w:val="single" w:color="auto" w:sz="4" w:space="0"/>
              <w:right w:val="single" w:color="auto" w:sz="4" w:space="0"/>
            </w:tcBorders>
            <w:vAlign w:val="center"/>
          </w:tcPr>
          <w:p w14:paraId="433F68D5">
            <w:pPr>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类别</w:t>
            </w:r>
          </w:p>
        </w:tc>
        <w:tc>
          <w:tcPr>
            <w:tcW w:w="3077" w:type="dxa"/>
            <w:tcBorders>
              <w:top w:val="single" w:color="auto" w:sz="4" w:space="0"/>
              <w:left w:val="single" w:color="auto" w:sz="4" w:space="0"/>
              <w:bottom w:val="single" w:color="auto" w:sz="4" w:space="0"/>
              <w:right w:val="single" w:color="auto" w:sz="4" w:space="0"/>
            </w:tcBorders>
            <w:vAlign w:val="center"/>
          </w:tcPr>
          <w:p w14:paraId="731CDEB6">
            <w:pPr>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昼间</w:t>
            </w:r>
          </w:p>
        </w:tc>
        <w:tc>
          <w:tcPr>
            <w:tcW w:w="3026" w:type="dxa"/>
            <w:tcBorders>
              <w:top w:val="single" w:color="auto" w:sz="4" w:space="0"/>
              <w:left w:val="single" w:color="auto" w:sz="4" w:space="0"/>
              <w:bottom w:val="single" w:color="auto" w:sz="4" w:space="0"/>
              <w:right w:val="single" w:color="auto" w:sz="4" w:space="0"/>
            </w:tcBorders>
            <w:vAlign w:val="center"/>
          </w:tcPr>
          <w:p w14:paraId="5F05B9C7">
            <w:pPr>
              <w:keepNext w:val="0"/>
              <w:keepLines w:val="0"/>
              <w:suppressLineNumbers w:val="0"/>
              <w:spacing w:before="0" w:beforeAutospacing="0" w:after="0" w:afterAutospacing="0"/>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夜间</w:t>
            </w:r>
          </w:p>
        </w:tc>
      </w:tr>
      <w:tr w14:paraId="0225BE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 w:hRule="atLeast"/>
          <w:jc w:val="center"/>
        </w:trPr>
        <w:tc>
          <w:tcPr>
            <w:tcW w:w="2692" w:type="dxa"/>
            <w:tcBorders>
              <w:top w:val="single" w:color="auto" w:sz="4" w:space="0"/>
              <w:left w:val="single" w:color="auto" w:sz="4" w:space="0"/>
              <w:bottom w:val="single" w:color="auto" w:sz="4" w:space="0"/>
              <w:right w:val="single" w:color="auto" w:sz="4" w:space="0"/>
            </w:tcBorders>
            <w:vAlign w:val="center"/>
          </w:tcPr>
          <w:p w14:paraId="2DB4A2CD">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2类</w:t>
            </w:r>
          </w:p>
        </w:tc>
        <w:tc>
          <w:tcPr>
            <w:tcW w:w="3077" w:type="dxa"/>
            <w:tcBorders>
              <w:top w:val="single" w:color="auto" w:sz="4" w:space="0"/>
              <w:left w:val="single" w:color="auto" w:sz="4" w:space="0"/>
              <w:bottom w:val="single" w:color="auto" w:sz="4" w:space="0"/>
              <w:right w:val="single" w:color="auto" w:sz="4" w:space="0"/>
            </w:tcBorders>
            <w:vAlign w:val="center"/>
          </w:tcPr>
          <w:p w14:paraId="2273336E">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60</w:t>
            </w:r>
          </w:p>
        </w:tc>
        <w:tc>
          <w:tcPr>
            <w:tcW w:w="3026" w:type="dxa"/>
            <w:tcBorders>
              <w:top w:val="single" w:color="auto" w:sz="4" w:space="0"/>
              <w:left w:val="single" w:color="auto" w:sz="4" w:space="0"/>
              <w:bottom w:val="single" w:color="auto" w:sz="4" w:space="0"/>
              <w:right w:val="single" w:color="auto" w:sz="4" w:space="0"/>
            </w:tcBorders>
            <w:vAlign w:val="center"/>
          </w:tcPr>
          <w:p w14:paraId="5C1ADEAC">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r>
    </w:tbl>
    <w:p w14:paraId="11DEA9DB">
      <w:pPr>
        <w:snapToGrid w:val="0"/>
        <w:spacing w:before="156" w:beforeLines="50" w:line="360" w:lineRule="auto"/>
        <w:ind w:firstLine="482" w:firstLineChars="200"/>
        <w:rPr>
          <w:rFonts w:hint="default" w:ascii="Times New Roman" w:hAnsi="Times New Roman" w:cs="Times New Roman"/>
          <w:b/>
          <w:color w:val="auto"/>
          <w:highlight w:val="none"/>
        </w:rPr>
      </w:pPr>
      <w:r>
        <w:rPr>
          <w:rFonts w:hint="default" w:ascii="Times New Roman" w:hAnsi="Times New Roman" w:cs="Times New Roman"/>
          <w:b/>
          <w:color w:val="auto"/>
          <w:sz w:val="24"/>
          <w:highlight w:val="none"/>
        </w:rPr>
        <w:t>4、固体废物处置标准</w:t>
      </w:r>
    </w:p>
    <w:p w14:paraId="6897A61C">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w:t>
      </w:r>
      <w:r>
        <w:rPr>
          <w:rFonts w:hint="default" w:ascii="Times New Roman" w:hAnsi="Times New Roman" w:cs="Times New Roman"/>
          <w:color w:val="auto"/>
          <w:sz w:val="24"/>
          <w:highlight w:val="none"/>
          <w:lang w:bidi="zh-CN"/>
        </w:rPr>
        <w:t>病死猪</w:t>
      </w:r>
      <w:r>
        <w:rPr>
          <w:rFonts w:hint="default" w:ascii="Times New Roman" w:hAnsi="Times New Roman" w:cs="Times New Roman"/>
          <w:color w:val="auto"/>
          <w:sz w:val="24"/>
          <w:highlight w:val="none"/>
        </w:rPr>
        <w:t>按照《畜禽养殖业污染防治技术规范》（HJ/T81-2001）及《病死及病害动物无害化处理技术规范》（农医发</w:t>
      </w:r>
      <w:r>
        <w:rPr>
          <w:rFonts w:hint="eastAsia" w:ascii="Times New Roman" w:hAnsi="Times New Roman" w:cs="Times New Roman"/>
          <w:color w:val="auto"/>
          <w:sz w:val="24"/>
          <w:highlight w:val="none"/>
          <w:lang w:eastAsia="zh-CN"/>
        </w:rPr>
        <w:t>〔2017〕</w:t>
      </w:r>
      <w:r>
        <w:rPr>
          <w:rFonts w:hint="default" w:ascii="Times New Roman" w:hAnsi="Times New Roman" w:cs="Times New Roman"/>
          <w:color w:val="auto"/>
          <w:sz w:val="24"/>
          <w:highlight w:val="none"/>
        </w:rPr>
        <w:t>25 号）的要求处置。</w:t>
      </w:r>
    </w:p>
    <w:p w14:paraId="7B2BF5E0">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项目产生的一般工业固废执行《一般工业固体废物贮存和填埋污染控制标准》（GB18599-2020）。</w:t>
      </w:r>
    </w:p>
    <w:p w14:paraId="673C6C9D">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项目运营过程中产生的</w:t>
      </w:r>
      <w:r>
        <w:rPr>
          <w:rFonts w:hint="default" w:ascii="Times New Roman" w:hAnsi="Times New Roman" w:eastAsia="宋体" w:cs="Times New Roman"/>
          <w:color w:val="auto"/>
          <w:sz w:val="24"/>
          <w:highlight w:val="none"/>
          <w:lang w:val="en-US" w:eastAsia="zh-CN"/>
        </w:rPr>
        <w:t>废机油、含油抹布</w:t>
      </w:r>
      <w:r>
        <w:rPr>
          <w:rFonts w:hint="default" w:ascii="Times New Roman" w:hAnsi="Times New Roman" w:eastAsia="宋体" w:cs="Times New Roman"/>
          <w:color w:val="auto"/>
          <w:sz w:val="24"/>
          <w:highlight w:val="none"/>
        </w:rPr>
        <w:t>属于危险废物，按照危废暂存、管理和处置，执行《危险废物贮存污染控制标准》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GB18597-20</w:t>
      </w:r>
      <w:r>
        <w:rPr>
          <w:rFonts w:hint="default" w:ascii="Times New Roman" w:hAnsi="Times New Roman" w:eastAsia="宋体" w:cs="Times New Roman"/>
          <w:color w:val="auto"/>
          <w:sz w:val="24"/>
          <w:highlight w:val="none"/>
          <w:lang w:val="en-US" w:eastAsia="zh-CN"/>
        </w:rPr>
        <w:t>23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相关要求。</w:t>
      </w:r>
    </w:p>
    <w:p w14:paraId="31D9C86A">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粪便堆肥发酵后，回用于农田施肥。无害化处置还田过程还需满足《畜禽粪便无害化处理技术规范》（GB/T 36195-2018）、《畜禽粪便还田技术规范》（GB/T25246-2010）、《畜禽养殖业污染物排放标准》（GB18596-2001）中相关要求，具体见表1.</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18</w:t>
      </w:r>
      <w:r>
        <w:rPr>
          <w:rFonts w:hint="default" w:ascii="Times New Roman" w:hAnsi="Times New Roman" w:cs="Times New Roman"/>
          <w:color w:val="auto"/>
          <w:sz w:val="24"/>
          <w:highlight w:val="none"/>
        </w:rPr>
        <w:t>。</w:t>
      </w:r>
    </w:p>
    <w:p w14:paraId="2DB971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val="en-US" w:eastAsia="zh-CN"/>
        </w:rPr>
        <w:t>表1.</w:t>
      </w:r>
      <w:r>
        <w:rPr>
          <w:rFonts w:hint="default" w:ascii="Times New Roman" w:hAnsi="Times New Roman"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lang w:val="en-US" w:eastAsia="zh-CN"/>
        </w:rPr>
        <w:t>-1</w:t>
      </w:r>
      <w:r>
        <w:rPr>
          <w:rFonts w:hint="default" w:ascii="Times New Roman" w:hAnsi="Times New Roman"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畜禽粪便无害化处理技术规范</w:t>
      </w:r>
      <w:r>
        <w:rPr>
          <w:rFonts w:hint="default" w:ascii="Times New Roman" w:hAnsi="Times New Roman" w:eastAsia="宋体" w:cs="Times New Roman"/>
          <w:b/>
          <w:color w:val="auto"/>
          <w:sz w:val="21"/>
          <w:szCs w:val="21"/>
          <w:highlight w:val="none"/>
          <w:lang w:val="en-US" w:eastAsia="zh-CN"/>
        </w:rPr>
        <w:t>》</w:t>
      </w:r>
      <w:r>
        <w:rPr>
          <w:rFonts w:hint="default" w:ascii="Times New Roman" w:hAnsi="Times New Roman" w:eastAsia="宋体" w:cs="Times New Roman"/>
          <w:b/>
          <w:color w:val="auto"/>
          <w:sz w:val="21"/>
          <w:szCs w:val="21"/>
          <w:highlight w:val="none"/>
          <w:lang w:eastAsia="zh-CN"/>
        </w:rPr>
        <w:t>相关要求</w:t>
      </w:r>
    </w:p>
    <w:tbl>
      <w:tblPr>
        <w:tblStyle w:val="23"/>
        <w:tblW w:w="87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63"/>
        <w:gridCol w:w="1374"/>
        <w:gridCol w:w="5953"/>
      </w:tblGrid>
      <w:tr w14:paraId="75A94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63" w:type="dxa"/>
            <w:tcBorders>
              <w:top w:val="single" w:color="000000" w:sz="4" w:space="0"/>
              <w:left w:val="single" w:color="000000" w:sz="4" w:space="0"/>
              <w:bottom w:val="single" w:color="000000" w:sz="4" w:space="0"/>
              <w:right w:val="single" w:color="000000" w:sz="4" w:space="0"/>
              <w:tl2br w:val="nil"/>
              <w:tr2bl w:val="nil"/>
            </w:tcBorders>
            <w:vAlign w:val="center"/>
          </w:tcPr>
          <w:p w14:paraId="5403D00F">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类别</w:t>
            </w:r>
          </w:p>
        </w:tc>
        <w:tc>
          <w:tcPr>
            <w:tcW w:w="1374" w:type="dxa"/>
            <w:tcBorders>
              <w:top w:val="single" w:color="000000" w:sz="4" w:space="0"/>
              <w:left w:val="single" w:color="000000" w:sz="4" w:space="0"/>
              <w:bottom w:val="single" w:color="000000" w:sz="4" w:space="0"/>
              <w:right w:val="single" w:color="000000" w:sz="4" w:space="0"/>
              <w:tl2br w:val="nil"/>
              <w:tr2bl w:val="nil"/>
            </w:tcBorders>
            <w:vAlign w:val="center"/>
          </w:tcPr>
          <w:p w14:paraId="2985C6E6">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控制项目</w:t>
            </w:r>
          </w:p>
        </w:tc>
        <w:tc>
          <w:tcPr>
            <w:tcW w:w="5953" w:type="dxa"/>
            <w:tcBorders>
              <w:top w:val="single" w:color="000000" w:sz="4" w:space="0"/>
              <w:left w:val="single" w:color="000000" w:sz="4" w:space="0"/>
              <w:bottom w:val="single" w:color="000000" w:sz="4" w:space="0"/>
              <w:right w:val="single" w:color="000000" w:sz="4" w:space="0"/>
              <w:tl2br w:val="nil"/>
              <w:tr2bl w:val="nil"/>
            </w:tcBorders>
            <w:vAlign w:val="center"/>
          </w:tcPr>
          <w:p w14:paraId="15068381">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指标</w:t>
            </w:r>
          </w:p>
        </w:tc>
      </w:tr>
      <w:tr w14:paraId="7EB4E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63" w:type="dxa"/>
            <w:vMerge w:val="restart"/>
            <w:tcBorders>
              <w:top w:val="single" w:color="000000" w:sz="4" w:space="0"/>
              <w:left w:val="single" w:color="000000" w:sz="4" w:space="0"/>
              <w:right w:val="single" w:color="000000" w:sz="4" w:space="0"/>
              <w:tl2br w:val="nil"/>
              <w:tr2bl w:val="nil"/>
            </w:tcBorders>
            <w:vAlign w:val="center"/>
          </w:tcPr>
          <w:p w14:paraId="6CDC8DF5">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固体</w:t>
            </w:r>
            <w:r>
              <w:rPr>
                <w:rFonts w:hint="default" w:ascii="Times New Roman" w:hAnsi="Times New Roman" w:eastAsia="宋体" w:cs="Times New Roman"/>
                <w:color w:val="auto"/>
                <w:sz w:val="21"/>
                <w:szCs w:val="21"/>
                <w:highlight w:val="none"/>
              </w:rPr>
              <w:t>畜禽粪便厌氧处理卫生学要求</w:t>
            </w:r>
          </w:p>
        </w:tc>
        <w:tc>
          <w:tcPr>
            <w:tcW w:w="1374" w:type="dxa"/>
            <w:tcBorders>
              <w:top w:val="single" w:color="000000" w:sz="4" w:space="0"/>
              <w:left w:val="single" w:color="000000" w:sz="4" w:space="0"/>
              <w:bottom w:val="single" w:color="000000" w:sz="4" w:space="0"/>
              <w:right w:val="single" w:color="000000" w:sz="4" w:space="0"/>
              <w:tl2br w:val="nil"/>
              <w:tr2bl w:val="nil"/>
            </w:tcBorders>
            <w:vAlign w:val="center"/>
          </w:tcPr>
          <w:p w14:paraId="705ADD02">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蛔虫卵</w:t>
            </w:r>
          </w:p>
        </w:tc>
        <w:tc>
          <w:tcPr>
            <w:tcW w:w="5953" w:type="dxa"/>
            <w:tcBorders>
              <w:top w:val="single" w:color="000000" w:sz="4" w:space="0"/>
              <w:left w:val="single" w:color="000000" w:sz="4" w:space="0"/>
              <w:bottom w:val="single" w:color="000000" w:sz="4" w:space="0"/>
              <w:right w:val="single" w:color="000000" w:sz="4" w:space="0"/>
              <w:tl2br w:val="nil"/>
              <w:tr2bl w:val="nil"/>
            </w:tcBorders>
            <w:vAlign w:val="center"/>
          </w:tcPr>
          <w:p w14:paraId="19885CD2">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死亡率≥95%</w:t>
            </w:r>
          </w:p>
        </w:tc>
      </w:tr>
      <w:tr w14:paraId="04D32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63" w:type="dxa"/>
            <w:vMerge w:val="continue"/>
            <w:tcBorders>
              <w:left w:val="single" w:color="000000" w:sz="4" w:space="0"/>
              <w:right w:val="single" w:color="000000" w:sz="4" w:space="0"/>
              <w:tl2br w:val="nil"/>
              <w:tr2bl w:val="nil"/>
            </w:tcBorders>
            <w:vAlign w:val="center"/>
          </w:tcPr>
          <w:p w14:paraId="1F7198C5">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lang w:eastAsia="zh-CN"/>
              </w:rPr>
            </w:pPr>
          </w:p>
        </w:tc>
        <w:tc>
          <w:tcPr>
            <w:tcW w:w="1374" w:type="dxa"/>
            <w:tcBorders>
              <w:top w:val="single" w:color="000000" w:sz="4" w:space="0"/>
              <w:left w:val="single" w:color="000000" w:sz="4" w:space="0"/>
              <w:bottom w:val="single" w:color="000000" w:sz="4" w:space="0"/>
              <w:right w:val="single" w:color="000000" w:sz="4" w:space="0"/>
              <w:tl2br w:val="nil"/>
              <w:tr2bl w:val="nil"/>
            </w:tcBorders>
            <w:vAlign w:val="center"/>
          </w:tcPr>
          <w:p w14:paraId="12BDAABD">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粪大肠菌群</w:t>
            </w:r>
            <w:r>
              <w:rPr>
                <w:rFonts w:hint="default" w:ascii="Times New Roman" w:hAnsi="Times New Roman" w:eastAsia="宋体" w:cs="Times New Roman"/>
                <w:color w:val="auto"/>
                <w:sz w:val="21"/>
                <w:szCs w:val="21"/>
                <w:highlight w:val="none"/>
                <w:lang w:eastAsia="zh-CN"/>
              </w:rPr>
              <w:t>数</w:t>
            </w:r>
          </w:p>
        </w:tc>
        <w:tc>
          <w:tcPr>
            <w:tcW w:w="5953" w:type="dxa"/>
            <w:tcBorders>
              <w:top w:val="single" w:color="000000" w:sz="4" w:space="0"/>
              <w:left w:val="single" w:color="000000" w:sz="4" w:space="0"/>
              <w:bottom w:val="single" w:color="000000" w:sz="4" w:space="0"/>
              <w:right w:val="single" w:color="000000" w:sz="4" w:space="0"/>
              <w:tl2br w:val="nil"/>
              <w:tr2bl w:val="nil"/>
            </w:tcBorders>
            <w:vAlign w:val="center"/>
          </w:tcPr>
          <w:p w14:paraId="41640EB3">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position w:val="7"/>
                <w:sz w:val="21"/>
                <w:szCs w:val="21"/>
                <w:highlight w:val="none"/>
              </w:rPr>
              <w:t>5</w:t>
            </w:r>
            <w:r>
              <w:rPr>
                <w:rFonts w:hint="default" w:ascii="Times New Roman" w:hAnsi="Times New Roman" w:eastAsia="宋体" w:cs="Times New Roman"/>
                <w:color w:val="auto"/>
                <w:sz w:val="21"/>
                <w:szCs w:val="21"/>
                <w:highlight w:val="none"/>
              </w:rPr>
              <w:t>个/</w:t>
            </w:r>
            <w:r>
              <w:rPr>
                <w:rFonts w:hint="default" w:ascii="Times New Roman" w:hAnsi="Times New Roman" w:eastAsia="宋体" w:cs="Times New Roman"/>
                <w:color w:val="auto"/>
                <w:sz w:val="21"/>
                <w:szCs w:val="21"/>
                <w:highlight w:val="none"/>
                <w:lang w:val="en-US" w:eastAsia="zh-CN"/>
              </w:rPr>
              <w:t>kg</w:t>
            </w:r>
          </w:p>
        </w:tc>
      </w:tr>
      <w:tr w14:paraId="4C3E3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63" w:type="dxa"/>
            <w:vMerge w:val="continue"/>
            <w:tcBorders>
              <w:left w:val="single" w:color="000000" w:sz="4" w:space="0"/>
              <w:bottom w:val="single" w:color="000000" w:sz="4" w:space="0"/>
              <w:right w:val="single" w:color="000000" w:sz="4" w:space="0"/>
              <w:tl2br w:val="nil"/>
              <w:tr2bl w:val="nil"/>
            </w:tcBorders>
            <w:vAlign w:val="center"/>
          </w:tcPr>
          <w:p w14:paraId="49EAFBB2">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lang w:eastAsia="zh-CN"/>
              </w:rPr>
            </w:pPr>
          </w:p>
        </w:tc>
        <w:tc>
          <w:tcPr>
            <w:tcW w:w="1374" w:type="dxa"/>
            <w:tcBorders>
              <w:top w:val="single" w:color="000000" w:sz="4" w:space="0"/>
              <w:left w:val="single" w:color="000000" w:sz="4" w:space="0"/>
              <w:bottom w:val="single" w:color="000000" w:sz="4" w:space="0"/>
              <w:right w:val="single" w:color="000000" w:sz="4" w:space="0"/>
              <w:tl2br w:val="nil"/>
              <w:tr2bl w:val="nil"/>
            </w:tcBorders>
            <w:vAlign w:val="center"/>
          </w:tcPr>
          <w:p w14:paraId="66087B26">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苍蝇</w:t>
            </w:r>
          </w:p>
        </w:tc>
        <w:tc>
          <w:tcPr>
            <w:tcW w:w="5953" w:type="dxa"/>
            <w:tcBorders>
              <w:top w:val="single" w:color="000000" w:sz="4" w:space="0"/>
              <w:left w:val="single" w:color="000000" w:sz="4" w:space="0"/>
              <w:bottom w:val="single" w:color="000000" w:sz="4" w:space="0"/>
              <w:right w:val="single" w:color="000000" w:sz="4" w:space="0"/>
              <w:tl2br w:val="nil"/>
              <w:tr2bl w:val="nil"/>
            </w:tcBorders>
            <w:vAlign w:val="center"/>
          </w:tcPr>
          <w:p w14:paraId="15173A41">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lang w:eastAsia="zh-CN"/>
              </w:rPr>
              <w:t>堆体</w:t>
            </w:r>
            <w:r>
              <w:rPr>
                <w:rFonts w:hint="default" w:ascii="Times New Roman" w:hAnsi="Times New Roman" w:eastAsia="宋体" w:cs="Times New Roman"/>
                <w:color w:val="auto"/>
                <w:sz w:val="21"/>
                <w:szCs w:val="21"/>
                <w:highlight w:val="none"/>
              </w:rPr>
              <w:t>周围不应有活的蛆、蛹或新羽化的成蝇</w:t>
            </w:r>
          </w:p>
        </w:tc>
      </w:tr>
    </w:tbl>
    <w:p w14:paraId="33BB5502">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eastAsia="zh-CN"/>
        </w:rPr>
        <w:t xml:space="preserve">   《畜禽粪便还田技术规范》相关要求</w:t>
      </w:r>
    </w:p>
    <w:tbl>
      <w:tblPr>
        <w:tblStyle w:val="23"/>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036"/>
        <w:gridCol w:w="1305"/>
        <w:gridCol w:w="4916"/>
      </w:tblGrid>
      <w:tr w14:paraId="0206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3" w:type="dxa"/>
            <w:vAlign w:val="center"/>
          </w:tcPr>
          <w:p w14:paraId="2945D55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类别</w:t>
            </w:r>
          </w:p>
        </w:tc>
        <w:tc>
          <w:tcPr>
            <w:tcW w:w="2341" w:type="dxa"/>
            <w:gridSpan w:val="2"/>
            <w:vAlign w:val="center"/>
          </w:tcPr>
          <w:p w14:paraId="2C75C46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4916" w:type="dxa"/>
            <w:vAlign w:val="center"/>
          </w:tcPr>
          <w:p w14:paraId="0EEAA7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要求</w:t>
            </w:r>
          </w:p>
        </w:tc>
      </w:tr>
      <w:tr w14:paraId="7A9C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vMerge w:val="restart"/>
            <w:vAlign w:val="center"/>
          </w:tcPr>
          <w:p w14:paraId="4CE1570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bCs/>
                <w:color w:val="auto"/>
                <w:sz w:val="21"/>
                <w:szCs w:val="21"/>
                <w:highlight w:val="none"/>
                <w:lang w:eastAsia="zh-CN"/>
              </w:rPr>
              <w:t>堆肥的卫生学要求</w:t>
            </w:r>
          </w:p>
        </w:tc>
        <w:tc>
          <w:tcPr>
            <w:tcW w:w="2341" w:type="dxa"/>
            <w:gridSpan w:val="2"/>
            <w:vAlign w:val="center"/>
          </w:tcPr>
          <w:p w14:paraId="1EE4C2D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蛔虫卵</w:t>
            </w:r>
            <w:r>
              <w:rPr>
                <w:rFonts w:hint="default" w:ascii="Times New Roman" w:hAnsi="Times New Roman" w:eastAsia="宋体" w:cs="Times New Roman"/>
                <w:bCs/>
                <w:color w:val="auto"/>
                <w:sz w:val="21"/>
                <w:szCs w:val="21"/>
                <w:highlight w:val="none"/>
                <w:lang w:eastAsia="zh-CN"/>
              </w:rPr>
              <w:t>死亡率</w:t>
            </w:r>
          </w:p>
        </w:tc>
        <w:tc>
          <w:tcPr>
            <w:tcW w:w="4916" w:type="dxa"/>
            <w:vAlign w:val="center"/>
          </w:tcPr>
          <w:p w14:paraId="63B35B7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95%</w:t>
            </w:r>
            <w:r>
              <w:rPr>
                <w:rFonts w:hint="default" w:ascii="Times New Roman" w:hAnsi="Times New Roman" w:eastAsia="宋体" w:cs="Times New Roman"/>
                <w:bCs/>
                <w:color w:val="auto"/>
                <w:sz w:val="21"/>
                <w:szCs w:val="21"/>
                <w:highlight w:val="none"/>
                <w:lang w:val="en-US" w:eastAsia="zh-CN"/>
              </w:rPr>
              <w:t>~100%</w:t>
            </w:r>
          </w:p>
        </w:tc>
      </w:tr>
      <w:tr w14:paraId="5258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vMerge w:val="continue"/>
            <w:vAlign w:val="center"/>
          </w:tcPr>
          <w:p w14:paraId="7CCB3B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rPr>
            </w:pPr>
          </w:p>
        </w:tc>
        <w:tc>
          <w:tcPr>
            <w:tcW w:w="2341" w:type="dxa"/>
            <w:gridSpan w:val="2"/>
            <w:vAlign w:val="center"/>
          </w:tcPr>
          <w:p w14:paraId="2D9C571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粪大肠菌群</w:t>
            </w:r>
            <w:r>
              <w:rPr>
                <w:rFonts w:hint="default" w:ascii="Times New Roman" w:hAnsi="Times New Roman" w:eastAsia="宋体" w:cs="Times New Roman"/>
                <w:bCs/>
                <w:color w:val="auto"/>
                <w:sz w:val="21"/>
                <w:szCs w:val="21"/>
                <w:highlight w:val="none"/>
                <w:lang w:eastAsia="zh-CN"/>
              </w:rPr>
              <w:t>值</w:t>
            </w:r>
          </w:p>
        </w:tc>
        <w:tc>
          <w:tcPr>
            <w:tcW w:w="4916" w:type="dxa"/>
            <w:vAlign w:val="center"/>
          </w:tcPr>
          <w:p w14:paraId="095F79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4"/>
                <w:highlight w:val="none"/>
              </w:rPr>
              <w:t>10</w:t>
            </w:r>
            <w:r>
              <w:rPr>
                <w:rFonts w:hint="default" w:ascii="Times New Roman" w:hAnsi="Times New Roman" w:eastAsia="宋体" w:cs="Times New Roman"/>
                <w:color w:val="auto"/>
                <w:sz w:val="21"/>
                <w:szCs w:val="24"/>
                <w:highlight w:val="none"/>
                <w:vertAlign w:val="superscript"/>
                <w:lang w:val="en-US" w:eastAsia="zh-CN"/>
              </w:rPr>
              <w:t>-1</w:t>
            </w:r>
            <w:r>
              <w:rPr>
                <w:rFonts w:hint="default" w:ascii="Times New Roman" w:hAnsi="Times New Roman" w:eastAsia="宋体" w:cs="Times New Roman"/>
                <w:color w:val="auto"/>
                <w:sz w:val="21"/>
                <w:szCs w:val="24"/>
                <w:highlight w:val="none"/>
                <w:vertAlign w:val="baseline"/>
                <w:lang w:val="en-US" w:eastAsia="zh-CN"/>
              </w:rPr>
              <w:t>~</w:t>
            </w:r>
            <w:r>
              <w:rPr>
                <w:rFonts w:hint="default" w:ascii="Times New Roman" w:hAnsi="Times New Roman" w:eastAsia="宋体" w:cs="Times New Roman"/>
                <w:color w:val="auto"/>
                <w:sz w:val="21"/>
                <w:szCs w:val="24"/>
                <w:highlight w:val="none"/>
              </w:rPr>
              <w:t>10</w:t>
            </w:r>
            <w:r>
              <w:rPr>
                <w:rFonts w:hint="default" w:ascii="Times New Roman" w:hAnsi="Times New Roman" w:eastAsia="宋体" w:cs="Times New Roman"/>
                <w:color w:val="auto"/>
                <w:sz w:val="21"/>
                <w:szCs w:val="24"/>
                <w:highlight w:val="none"/>
                <w:vertAlign w:val="superscript"/>
                <w:lang w:val="en-US" w:eastAsia="zh-CN"/>
              </w:rPr>
              <w:t>-2</w:t>
            </w:r>
          </w:p>
        </w:tc>
      </w:tr>
      <w:tr w14:paraId="2909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vMerge w:val="continue"/>
            <w:vAlign w:val="center"/>
          </w:tcPr>
          <w:p w14:paraId="474A99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highlight w:val="none"/>
              </w:rPr>
            </w:pPr>
          </w:p>
        </w:tc>
        <w:tc>
          <w:tcPr>
            <w:tcW w:w="2341" w:type="dxa"/>
            <w:gridSpan w:val="2"/>
            <w:vAlign w:val="center"/>
          </w:tcPr>
          <w:p w14:paraId="53877E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苍蝇</w:t>
            </w:r>
          </w:p>
        </w:tc>
        <w:tc>
          <w:tcPr>
            <w:tcW w:w="4916" w:type="dxa"/>
            <w:vAlign w:val="center"/>
          </w:tcPr>
          <w:p w14:paraId="05EA524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堆肥中及堆肥</w:t>
            </w:r>
            <w:r>
              <w:rPr>
                <w:rFonts w:hint="default" w:ascii="Times New Roman" w:hAnsi="Times New Roman" w:eastAsia="宋体" w:cs="Times New Roman"/>
                <w:bCs/>
                <w:color w:val="auto"/>
                <w:sz w:val="21"/>
                <w:szCs w:val="21"/>
                <w:highlight w:val="none"/>
              </w:rPr>
              <w:t>周围不应有活的蛆、蛹或新羽化的成蝇</w:t>
            </w:r>
          </w:p>
        </w:tc>
      </w:tr>
      <w:tr w14:paraId="23FB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vMerge w:val="continue"/>
            <w:vAlign w:val="center"/>
          </w:tcPr>
          <w:p w14:paraId="69B273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p>
        </w:tc>
        <w:tc>
          <w:tcPr>
            <w:tcW w:w="1036" w:type="dxa"/>
            <w:vMerge w:val="restart"/>
            <w:vAlign w:val="center"/>
          </w:tcPr>
          <w:p w14:paraId="46D8B39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锌</w:t>
            </w:r>
          </w:p>
        </w:tc>
        <w:tc>
          <w:tcPr>
            <w:tcW w:w="1305" w:type="dxa"/>
            <w:vAlign w:val="center"/>
          </w:tcPr>
          <w:p w14:paraId="346A67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eastAsia="zh-CN"/>
              </w:rPr>
              <w:t>旱田作物</w:t>
            </w:r>
          </w:p>
        </w:tc>
        <w:tc>
          <w:tcPr>
            <w:tcW w:w="4916" w:type="dxa"/>
            <w:vAlign w:val="center"/>
          </w:tcPr>
          <w:p w14:paraId="6CA856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2700</w:t>
            </w:r>
          </w:p>
        </w:tc>
      </w:tr>
      <w:tr w14:paraId="55B1A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vMerge w:val="continue"/>
            <w:vAlign w:val="center"/>
          </w:tcPr>
          <w:p w14:paraId="6752F4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p>
        </w:tc>
        <w:tc>
          <w:tcPr>
            <w:tcW w:w="1036" w:type="dxa"/>
            <w:vMerge w:val="continue"/>
            <w:vAlign w:val="center"/>
          </w:tcPr>
          <w:p w14:paraId="73860B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p>
        </w:tc>
        <w:tc>
          <w:tcPr>
            <w:tcW w:w="1305" w:type="dxa"/>
            <w:vAlign w:val="center"/>
          </w:tcPr>
          <w:p w14:paraId="62C7B0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eastAsia="zh-CN"/>
              </w:rPr>
              <w:t>水稻</w:t>
            </w:r>
          </w:p>
        </w:tc>
        <w:tc>
          <w:tcPr>
            <w:tcW w:w="4916" w:type="dxa"/>
            <w:vAlign w:val="center"/>
          </w:tcPr>
          <w:p w14:paraId="6F6DF8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1200</w:t>
            </w:r>
          </w:p>
        </w:tc>
      </w:tr>
      <w:tr w14:paraId="0541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vMerge w:val="continue"/>
            <w:vAlign w:val="center"/>
          </w:tcPr>
          <w:p w14:paraId="6074F8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p>
        </w:tc>
        <w:tc>
          <w:tcPr>
            <w:tcW w:w="1036" w:type="dxa"/>
            <w:vMerge w:val="continue"/>
            <w:vAlign w:val="center"/>
          </w:tcPr>
          <w:p w14:paraId="4F38D0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p>
        </w:tc>
        <w:tc>
          <w:tcPr>
            <w:tcW w:w="1305" w:type="dxa"/>
            <w:vAlign w:val="center"/>
          </w:tcPr>
          <w:p w14:paraId="7720FCA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eastAsia="zh-CN"/>
              </w:rPr>
              <w:t>果树</w:t>
            </w:r>
          </w:p>
        </w:tc>
        <w:tc>
          <w:tcPr>
            <w:tcW w:w="4916" w:type="dxa"/>
            <w:vAlign w:val="center"/>
          </w:tcPr>
          <w:p w14:paraId="01BFC2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1700</w:t>
            </w:r>
          </w:p>
        </w:tc>
      </w:tr>
      <w:tr w14:paraId="22ED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vMerge w:val="continue"/>
            <w:vAlign w:val="center"/>
          </w:tcPr>
          <w:p w14:paraId="0F098C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p>
        </w:tc>
        <w:tc>
          <w:tcPr>
            <w:tcW w:w="1036" w:type="dxa"/>
            <w:vMerge w:val="continue"/>
            <w:vAlign w:val="center"/>
          </w:tcPr>
          <w:p w14:paraId="5A96CA4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p>
        </w:tc>
        <w:tc>
          <w:tcPr>
            <w:tcW w:w="1305" w:type="dxa"/>
            <w:vAlign w:val="center"/>
          </w:tcPr>
          <w:p w14:paraId="672DA3B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eastAsia="zh-CN"/>
              </w:rPr>
              <w:t>蔬菜</w:t>
            </w:r>
          </w:p>
        </w:tc>
        <w:tc>
          <w:tcPr>
            <w:tcW w:w="4916" w:type="dxa"/>
            <w:vAlign w:val="center"/>
          </w:tcPr>
          <w:p w14:paraId="6249AD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700</w:t>
            </w:r>
          </w:p>
        </w:tc>
      </w:tr>
    </w:tbl>
    <w:p w14:paraId="21916451">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18</w:t>
      </w:r>
      <w:r>
        <w:rPr>
          <w:rFonts w:hint="default" w:ascii="Times New Roman" w:hAnsi="Times New Roman" w:eastAsia="宋体" w:cs="Times New Roman"/>
          <w:b/>
          <w:bCs/>
          <w:color w:val="auto"/>
          <w:sz w:val="21"/>
          <w:szCs w:val="21"/>
          <w:highlight w:val="none"/>
          <w:lang w:eastAsia="zh-CN"/>
        </w:rPr>
        <w:t xml:space="preserve">  《畜禽养殖业污染物排放标准》要求</w:t>
      </w:r>
    </w:p>
    <w:tbl>
      <w:tblPr>
        <w:tblStyle w:val="23"/>
        <w:tblW w:w="87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26"/>
        <w:gridCol w:w="2929"/>
        <w:gridCol w:w="2936"/>
      </w:tblGrid>
      <w:tr w14:paraId="554FE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26" w:type="dxa"/>
            <w:vAlign w:val="center"/>
          </w:tcPr>
          <w:p w14:paraId="6CA94220">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类别</w:t>
            </w:r>
          </w:p>
        </w:tc>
        <w:tc>
          <w:tcPr>
            <w:tcW w:w="2929" w:type="dxa"/>
            <w:vAlign w:val="center"/>
          </w:tcPr>
          <w:p w14:paraId="795B2A65">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控制项目</w:t>
            </w:r>
          </w:p>
        </w:tc>
        <w:tc>
          <w:tcPr>
            <w:tcW w:w="2936" w:type="dxa"/>
            <w:vAlign w:val="center"/>
          </w:tcPr>
          <w:p w14:paraId="29E8050F">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指标</w:t>
            </w:r>
          </w:p>
        </w:tc>
      </w:tr>
      <w:tr w14:paraId="58634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26" w:type="dxa"/>
            <w:vMerge w:val="restart"/>
            <w:vAlign w:val="center"/>
          </w:tcPr>
          <w:p w14:paraId="67E232B8">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bCs/>
                <w:color w:val="auto"/>
                <w:sz w:val="21"/>
                <w:szCs w:val="21"/>
                <w:highlight w:val="none"/>
                <w:lang w:eastAsia="zh-CN"/>
              </w:rPr>
              <w:t>畜禽养殖业废渣无害化环境标准</w:t>
            </w:r>
          </w:p>
        </w:tc>
        <w:tc>
          <w:tcPr>
            <w:tcW w:w="2929" w:type="dxa"/>
            <w:vAlign w:val="center"/>
          </w:tcPr>
          <w:p w14:paraId="6C47E090">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蛔虫卵</w:t>
            </w:r>
          </w:p>
        </w:tc>
        <w:tc>
          <w:tcPr>
            <w:tcW w:w="2936" w:type="dxa"/>
            <w:vAlign w:val="center"/>
          </w:tcPr>
          <w:p w14:paraId="2494FA98">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死亡率≥95%</w:t>
            </w:r>
          </w:p>
        </w:tc>
      </w:tr>
      <w:tr w14:paraId="30678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26" w:type="dxa"/>
            <w:vMerge w:val="continue"/>
            <w:vAlign w:val="center"/>
          </w:tcPr>
          <w:p w14:paraId="5DE8BA1B">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p>
        </w:tc>
        <w:tc>
          <w:tcPr>
            <w:tcW w:w="2929" w:type="dxa"/>
            <w:vAlign w:val="center"/>
          </w:tcPr>
          <w:p w14:paraId="364933CE">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粪大肠杆菌群</w:t>
            </w:r>
            <w:r>
              <w:rPr>
                <w:rFonts w:hint="default" w:ascii="Times New Roman" w:hAnsi="Times New Roman" w:eastAsia="宋体" w:cs="Times New Roman"/>
                <w:bCs/>
                <w:color w:val="auto"/>
                <w:sz w:val="21"/>
                <w:szCs w:val="21"/>
                <w:highlight w:val="none"/>
                <w:lang w:eastAsia="zh-CN"/>
              </w:rPr>
              <w:t>数</w:t>
            </w:r>
          </w:p>
        </w:tc>
        <w:tc>
          <w:tcPr>
            <w:tcW w:w="2936" w:type="dxa"/>
            <w:vAlign w:val="center"/>
          </w:tcPr>
          <w:p w14:paraId="4AEB3541">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w:t>
            </w:r>
            <w:r>
              <w:rPr>
                <w:rFonts w:hint="default" w:ascii="Times New Roman" w:hAnsi="Times New Roman" w:eastAsia="宋体" w:cs="Times New Roman"/>
                <w:bCs/>
                <w:color w:val="auto"/>
                <w:sz w:val="21"/>
                <w:szCs w:val="21"/>
                <w:highlight w:val="none"/>
                <w:vertAlign w:val="superscript"/>
              </w:rPr>
              <w:t>5</w:t>
            </w:r>
            <w:r>
              <w:rPr>
                <w:rFonts w:hint="default" w:ascii="Times New Roman" w:hAnsi="Times New Roman" w:eastAsia="宋体" w:cs="Times New Roman"/>
                <w:bCs/>
                <w:color w:val="auto"/>
                <w:sz w:val="21"/>
                <w:szCs w:val="21"/>
                <w:highlight w:val="none"/>
              </w:rPr>
              <w:t>个/kg</w:t>
            </w:r>
          </w:p>
        </w:tc>
      </w:tr>
    </w:tbl>
    <w:p w14:paraId="70E31A3B">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Times New Roman" w:hAnsi="Times New Roman" w:eastAsia="宋体" w:cs="Times New Roman"/>
          <w:color w:val="auto"/>
          <w:lang w:eastAsia="zh-CN"/>
        </w:rPr>
      </w:pPr>
      <w:bookmarkStart w:id="104" w:name="_Toc3"/>
      <w:bookmarkStart w:id="105" w:name="_Toc3346"/>
      <w:bookmarkStart w:id="106" w:name="_Toc28407"/>
      <w:r>
        <w:rPr>
          <w:rStyle w:val="34"/>
          <w:rFonts w:hint="default" w:ascii="Times New Roman" w:hAnsi="Times New Roman" w:cs="Times New Roman"/>
          <w:b w:val="0"/>
          <w:bCs w:val="0"/>
          <w:color w:val="auto"/>
          <w:sz w:val="24"/>
          <w:highlight w:val="none"/>
        </w:rPr>
        <w:t>1.</w:t>
      </w:r>
      <w:r>
        <w:rPr>
          <w:rStyle w:val="34"/>
          <w:rFonts w:hint="default" w:ascii="Times New Roman" w:hAnsi="Times New Roman" w:cs="Times New Roman"/>
          <w:b w:val="0"/>
          <w:bCs w:val="0"/>
          <w:color w:val="auto"/>
          <w:sz w:val="24"/>
          <w:highlight w:val="none"/>
          <w:lang w:val="en-US"/>
        </w:rPr>
        <w:t>5</w:t>
      </w:r>
      <w:r>
        <w:rPr>
          <w:rStyle w:val="34"/>
          <w:rFonts w:hint="default" w:ascii="Times New Roman" w:hAnsi="Times New Roman" w:cs="Times New Roman"/>
          <w:b w:val="0"/>
          <w:bCs w:val="0"/>
          <w:color w:val="auto"/>
          <w:sz w:val="24"/>
          <w:highlight w:val="none"/>
        </w:rPr>
        <w:t>评价等级及评价范围</w:t>
      </w:r>
      <w:bookmarkEnd w:id="79"/>
      <w:bookmarkEnd w:id="80"/>
      <w:bookmarkEnd w:id="81"/>
      <w:bookmarkEnd w:id="82"/>
      <w:bookmarkEnd w:id="83"/>
      <w:bookmarkEnd w:id="104"/>
      <w:bookmarkEnd w:id="105"/>
      <w:bookmarkEnd w:id="106"/>
    </w:p>
    <w:p w14:paraId="4A67F130">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eastAsia="zh-CN"/>
        </w:rPr>
      </w:pPr>
      <w:bookmarkStart w:id="107" w:name="_Toc10124"/>
      <w:bookmarkStart w:id="108" w:name="_Toc316388626"/>
      <w:bookmarkStart w:id="109" w:name="_Toc323657565"/>
      <w:bookmarkStart w:id="110" w:name="_Toc7517"/>
      <w:bookmarkStart w:id="111" w:name="_Toc316388623"/>
      <w:bookmarkStart w:id="112" w:name="_Toc2221"/>
      <w:bookmarkStart w:id="113" w:name="_Toc323657562"/>
      <w:r>
        <w:rPr>
          <w:rFonts w:hint="default" w:ascii="Times New Roman" w:hAnsi="Times New Roman" w:eastAsia="宋体" w:cs="Times New Roman"/>
          <w:color w:val="auto"/>
          <w:lang w:eastAsia="zh-CN"/>
        </w:rPr>
        <w:t>1.</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大气环境评价等级与评价范围</w:t>
      </w:r>
      <w:bookmarkEnd w:id="107"/>
      <w:bookmarkEnd w:id="108"/>
      <w:bookmarkEnd w:id="109"/>
      <w:bookmarkEnd w:id="110"/>
    </w:p>
    <w:p w14:paraId="39715383">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（1）大气环境评价等级</w:t>
      </w:r>
    </w:p>
    <w:p w14:paraId="79DB7DA5">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项目运营期废气主要为</w:t>
      </w:r>
      <w:r>
        <w:rPr>
          <w:rFonts w:hint="default" w:ascii="Times New Roman" w:hAnsi="Times New Roman" w:cs="Times New Roman"/>
          <w:bCs/>
          <w:color w:val="auto"/>
          <w:sz w:val="24"/>
          <w:highlight w:val="none"/>
        </w:rPr>
        <w:t>猪舍恶臭、</w:t>
      </w:r>
      <w:r>
        <w:rPr>
          <w:rFonts w:hint="default" w:ascii="Times New Roman" w:hAnsi="Times New Roman" w:cs="Times New Roman"/>
          <w:bCs/>
          <w:color w:val="auto"/>
          <w:sz w:val="24"/>
          <w:highlight w:val="none"/>
          <w:lang w:val="en-US" w:eastAsia="zh-CN"/>
        </w:rPr>
        <w:t>废水收集池</w:t>
      </w:r>
      <w:r>
        <w:rPr>
          <w:rFonts w:hint="default" w:ascii="Times New Roman" w:hAnsi="Times New Roman" w:cs="Times New Roman"/>
          <w:bCs/>
          <w:color w:val="auto"/>
          <w:sz w:val="24"/>
          <w:highlight w:val="none"/>
        </w:rPr>
        <w:t>恶臭、堆肥</w:t>
      </w:r>
      <w:r>
        <w:rPr>
          <w:rFonts w:hint="default" w:ascii="Times New Roman" w:hAnsi="Times New Roman" w:cs="Times New Roman"/>
          <w:bCs/>
          <w:color w:val="auto"/>
          <w:sz w:val="24"/>
          <w:highlight w:val="none"/>
          <w:lang w:val="en-US" w:eastAsia="zh-CN"/>
        </w:rPr>
        <w:t>棚</w:t>
      </w:r>
      <w:r>
        <w:rPr>
          <w:rFonts w:hint="default" w:ascii="Times New Roman" w:hAnsi="Times New Roman" w:cs="Times New Roman"/>
          <w:bCs/>
          <w:color w:val="auto"/>
          <w:sz w:val="24"/>
          <w:highlight w:val="none"/>
        </w:rPr>
        <w:t>恶臭及</w:t>
      </w:r>
      <w:r>
        <w:rPr>
          <w:rFonts w:hint="default" w:ascii="Times New Roman" w:hAnsi="Times New Roman" w:cs="Times New Roman"/>
          <w:bCs/>
          <w:color w:val="auto"/>
          <w:sz w:val="24"/>
          <w:highlight w:val="none"/>
          <w:lang w:val="en-US" w:eastAsia="zh-CN"/>
        </w:rPr>
        <w:t>烘干棚天然气燃烧废气</w:t>
      </w:r>
      <w:r>
        <w:rPr>
          <w:rFonts w:hint="default" w:ascii="Times New Roman" w:hAnsi="Times New Roman" w:cs="Times New Roman"/>
          <w:bCs/>
          <w:color w:val="auto"/>
          <w:sz w:val="24"/>
          <w:highlight w:val="none"/>
        </w:rPr>
        <w:t>。</w:t>
      </w:r>
    </w:p>
    <w:p w14:paraId="1523A62D">
      <w:pPr>
        <w:snapToGrid w:val="0"/>
        <w:spacing w:line="360" w:lineRule="auto"/>
        <w:ind w:firstLine="480" w:firstLineChars="200"/>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根据HJ2.2-2018《环境影响评价技术导则 大气环境》推荐模式清单中的估算模式(ARESCREEN)进行计算，估算模型参数表见表1.</w:t>
      </w:r>
      <w:r>
        <w:rPr>
          <w:rFonts w:hint="default" w:ascii="Times New Roman" w:hAnsi="Times New Roman" w:cs="Times New Roman"/>
          <w:iCs/>
          <w:color w:val="auto"/>
          <w:sz w:val="24"/>
          <w:highlight w:val="none"/>
          <w:lang w:val="en-US" w:eastAsia="zh-CN"/>
        </w:rPr>
        <w:t>5</w:t>
      </w:r>
      <w:r>
        <w:rPr>
          <w:rFonts w:hint="default" w:ascii="Times New Roman" w:hAnsi="Times New Roman" w:cs="Times New Roman"/>
          <w:iCs/>
          <w:color w:val="auto"/>
          <w:sz w:val="24"/>
          <w:highlight w:val="none"/>
        </w:rPr>
        <w:t>-</w:t>
      </w:r>
      <w:r>
        <w:rPr>
          <w:rFonts w:hint="default" w:ascii="Times New Roman" w:hAnsi="Times New Roman" w:cs="Times New Roman"/>
          <w:iCs/>
          <w:color w:val="auto"/>
          <w:sz w:val="24"/>
          <w:highlight w:val="none"/>
          <w:lang w:val="en-US" w:eastAsia="zh-CN"/>
        </w:rPr>
        <w:t>1</w:t>
      </w:r>
      <w:r>
        <w:rPr>
          <w:rFonts w:hint="default" w:ascii="Times New Roman" w:hAnsi="Times New Roman" w:cs="Times New Roman"/>
          <w:iCs/>
          <w:color w:val="auto"/>
          <w:sz w:val="24"/>
          <w:highlight w:val="none"/>
        </w:rPr>
        <w:t>。</w:t>
      </w:r>
    </w:p>
    <w:p w14:paraId="07F5D760">
      <w:pPr>
        <w:autoSpaceDE w:val="0"/>
        <w:autoSpaceDN w:val="0"/>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表1.</w:t>
      </w:r>
      <w:r>
        <w:rPr>
          <w:rFonts w:hint="default" w:ascii="Times New Roman" w:hAnsi="Times New Roman" w:cs="Times New Roman"/>
          <w:b/>
          <w:color w:val="auto"/>
          <w:highlight w:val="none"/>
          <w:lang w:val="en-US" w:eastAsia="zh-CN"/>
        </w:rPr>
        <w:t>5</w:t>
      </w:r>
      <w:r>
        <w:rPr>
          <w:rFonts w:hint="default" w:ascii="Times New Roman" w:hAnsi="Times New Roman" w:cs="Times New Roman"/>
          <w:b/>
          <w:color w:val="auto"/>
          <w:highlight w:val="none"/>
        </w:rPr>
        <w:t>-</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 xml:space="preserve">    估算模型参数表</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5"/>
        <w:gridCol w:w="2737"/>
        <w:gridCol w:w="3683"/>
      </w:tblGrid>
      <w:tr w14:paraId="486C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12" w:type="dxa"/>
            <w:gridSpan w:val="2"/>
            <w:vAlign w:val="center"/>
          </w:tcPr>
          <w:p w14:paraId="0FFB03FA">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参数</w:t>
            </w:r>
          </w:p>
        </w:tc>
        <w:tc>
          <w:tcPr>
            <w:tcW w:w="3683" w:type="dxa"/>
            <w:vAlign w:val="center"/>
          </w:tcPr>
          <w:p w14:paraId="10D29123">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取值</w:t>
            </w:r>
          </w:p>
        </w:tc>
      </w:tr>
      <w:tr w14:paraId="3333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2375" w:type="dxa"/>
            <w:vMerge w:val="restart"/>
            <w:vAlign w:val="center"/>
          </w:tcPr>
          <w:p w14:paraId="1F513A8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城市农村/选项</w:t>
            </w:r>
          </w:p>
        </w:tc>
        <w:tc>
          <w:tcPr>
            <w:tcW w:w="2737" w:type="dxa"/>
            <w:vAlign w:val="center"/>
          </w:tcPr>
          <w:p w14:paraId="564DEE4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城市/农村</w:t>
            </w:r>
          </w:p>
        </w:tc>
        <w:tc>
          <w:tcPr>
            <w:tcW w:w="3683" w:type="dxa"/>
            <w:vAlign w:val="center"/>
          </w:tcPr>
          <w:p w14:paraId="7EB3939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农村</w:t>
            </w:r>
          </w:p>
        </w:tc>
      </w:tr>
      <w:tr w14:paraId="4BA4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2375" w:type="dxa"/>
            <w:vMerge w:val="continue"/>
            <w:vAlign w:val="center"/>
          </w:tcPr>
          <w:p w14:paraId="1E6E06A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737" w:type="dxa"/>
            <w:vAlign w:val="center"/>
          </w:tcPr>
          <w:p w14:paraId="49DDBEE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人口数(城市人口数)</w:t>
            </w:r>
          </w:p>
        </w:tc>
        <w:tc>
          <w:tcPr>
            <w:tcW w:w="3683" w:type="dxa"/>
            <w:vAlign w:val="center"/>
          </w:tcPr>
          <w:p w14:paraId="24E75C7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785C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112" w:type="dxa"/>
            <w:gridSpan w:val="2"/>
            <w:vAlign w:val="center"/>
          </w:tcPr>
          <w:p w14:paraId="0BB0142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最高环境温度</w:t>
            </w:r>
          </w:p>
        </w:tc>
        <w:tc>
          <w:tcPr>
            <w:tcW w:w="3683" w:type="dxa"/>
            <w:vAlign w:val="center"/>
          </w:tcPr>
          <w:p w14:paraId="4032253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36.4°C</w:t>
            </w:r>
          </w:p>
        </w:tc>
      </w:tr>
      <w:tr w14:paraId="4CCF5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112" w:type="dxa"/>
            <w:gridSpan w:val="2"/>
            <w:vAlign w:val="center"/>
          </w:tcPr>
          <w:p w14:paraId="54F4D1E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最低环境温度</w:t>
            </w:r>
          </w:p>
        </w:tc>
        <w:tc>
          <w:tcPr>
            <w:tcW w:w="3683" w:type="dxa"/>
            <w:vAlign w:val="center"/>
          </w:tcPr>
          <w:p w14:paraId="46EB214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-2.8°C</w:t>
            </w:r>
          </w:p>
        </w:tc>
      </w:tr>
      <w:tr w14:paraId="4928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112" w:type="dxa"/>
            <w:gridSpan w:val="2"/>
            <w:vAlign w:val="center"/>
          </w:tcPr>
          <w:p w14:paraId="388A4AF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土地利用类型</w:t>
            </w:r>
          </w:p>
        </w:tc>
        <w:tc>
          <w:tcPr>
            <w:tcW w:w="3683" w:type="dxa"/>
            <w:vAlign w:val="center"/>
          </w:tcPr>
          <w:p w14:paraId="3FC8009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农作地</w:t>
            </w:r>
          </w:p>
        </w:tc>
      </w:tr>
      <w:tr w14:paraId="70A8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112" w:type="dxa"/>
            <w:gridSpan w:val="2"/>
            <w:vAlign w:val="center"/>
          </w:tcPr>
          <w:p w14:paraId="69DB903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区域湿度条件</w:t>
            </w:r>
          </w:p>
        </w:tc>
        <w:tc>
          <w:tcPr>
            <w:tcW w:w="3683" w:type="dxa"/>
            <w:vAlign w:val="center"/>
          </w:tcPr>
          <w:p w14:paraId="6ADE6DC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潮湿</w:t>
            </w:r>
          </w:p>
        </w:tc>
      </w:tr>
      <w:tr w14:paraId="7471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375" w:type="dxa"/>
            <w:vMerge w:val="restart"/>
            <w:vAlign w:val="center"/>
          </w:tcPr>
          <w:p w14:paraId="631DA22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是否考虑地形</w:t>
            </w:r>
          </w:p>
        </w:tc>
        <w:tc>
          <w:tcPr>
            <w:tcW w:w="2737" w:type="dxa"/>
            <w:vAlign w:val="center"/>
          </w:tcPr>
          <w:p w14:paraId="64F1E6B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考虑地形</w:t>
            </w:r>
          </w:p>
        </w:tc>
        <w:tc>
          <w:tcPr>
            <w:tcW w:w="3683" w:type="dxa"/>
            <w:vAlign w:val="center"/>
          </w:tcPr>
          <w:p w14:paraId="76EF9B5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w:t>
            </w:r>
          </w:p>
        </w:tc>
      </w:tr>
      <w:tr w14:paraId="7707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375" w:type="dxa"/>
            <w:vMerge w:val="continue"/>
            <w:vAlign w:val="center"/>
          </w:tcPr>
          <w:p w14:paraId="3BAA0CA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737" w:type="dxa"/>
            <w:vAlign w:val="center"/>
          </w:tcPr>
          <w:p w14:paraId="37AF59C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地形数据分辨率(m)</w:t>
            </w:r>
          </w:p>
        </w:tc>
        <w:tc>
          <w:tcPr>
            <w:tcW w:w="3683" w:type="dxa"/>
            <w:vAlign w:val="center"/>
          </w:tcPr>
          <w:p w14:paraId="7E731D5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w:t>
            </w:r>
          </w:p>
        </w:tc>
      </w:tr>
      <w:tr w14:paraId="62B7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375" w:type="dxa"/>
            <w:vMerge w:val="restart"/>
            <w:vAlign w:val="center"/>
          </w:tcPr>
          <w:p w14:paraId="0FB25FE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是否考虑岸线熏烟</w:t>
            </w:r>
          </w:p>
        </w:tc>
        <w:tc>
          <w:tcPr>
            <w:tcW w:w="2737" w:type="dxa"/>
            <w:vAlign w:val="center"/>
          </w:tcPr>
          <w:p w14:paraId="332BFFE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考虑岸线熏烟</w:t>
            </w:r>
          </w:p>
        </w:tc>
        <w:tc>
          <w:tcPr>
            <w:tcW w:w="3683" w:type="dxa"/>
            <w:vAlign w:val="center"/>
          </w:tcPr>
          <w:p w14:paraId="3DDF414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否</w:t>
            </w:r>
          </w:p>
        </w:tc>
      </w:tr>
      <w:tr w14:paraId="04B0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375" w:type="dxa"/>
            <w:vMerge w:val="continue"/>
            <w:vAlign w:val="center"/>
          </w:tcPr>
          <w:p w14:paraId="0A35A36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737" w:type="dxa"/>
            <w:vAlign w:val="center"/>
          </w:tcPr>
          <w:p w14:paraId="7AFF0B3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岸线距离/km</w:t>
            </w:r>
          </w:p>
        </w:tc>
        <w:tc>
          <w:tcPr>
            <w:tcW w:w="3683" w:type="dxa"/>
            <w:vAlign w:val="center"/>
          </w:tcPr>
          <w:p w14:paraId="646457A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0CA9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375" w:type="dxa"/>
            <w:vMerge w:val="continue"/>
            <w:vAlign w:val="center"/>
          </w:tcPr>
          <w:p w14:paraId="7F410FD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737" w:type="dxa"/>
            <w:vAlign w:val="center"/>
          </w:tcPr>
          <w:p w14:paraId="64AF451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岸线方向/</w:t>
            </w:r>
            <w:r>
              <w:rPr>
                <w:rFonts w:hint="default" w:ascii="Times New Roman" w:hAnsi="Times New Roman" w:cs="Times New Roman"/>
                <w:color w:val="auto"/>
                <w:szCs w:val="21"/>
                <w:highlight w:val="none"/>
                <w:vertAlign w:val="superscript"/>
              </w:rPr>
              <w:t>o</w:t>
            </w:r>
          </w:p>
        </w:tc>
        <w:tc>
          <w:tcPr>
            <w:tcW w:w="3683" w:type="dxa"/>
            <w:vAlign w:val="center"/>
          </w:tcPr>
          <w:p w14:paraId="49AC1FA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14:paraId="172EE55B">
      <w:pPr>
        <w:snapToGrid w:val="0"/>
        <w:spacing w:before="156" w:beforeLines="50" w:line="360" w:lineRule="auto"/>
        <w:ind w:firstLine="480" w:firstLineChars="200"/>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根据HJ2.2-2018《环境影响评价技术导则 大气环境》推荐模式中的估算模式分别计算各个污染物下风向轴线浓度，并计算相应浓度的占标率，计算模式如下：</w:t>
      </w:r>
    </w:p>
    <w:p w14:paraId="749903BE">
      <w:pPr>
        <w:snapToGrid w:val="0"/>
        <w:spacing w:line="360" w:lineRule="auto"/>
        <w:jc w:val="center"/>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drawing>
          <wp:inline distT="0" distB="0" distL="0" distR="0">
            <wp:extent cx="1028700" cy="447675"/>
            <wp:effectExtent l="0" t="0" r="0" b="825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28700" cy="447675"/>
                    </a:xfrm>
                    <a:prstGeom prst="rect">
                      <a:avLst/>
                    </a:prstGeom>
                    <a:noFill/>
                    <a:ln>
                      <a:noFill/>
                    </a:ln>
                  </pic:spPr>
                </pic:pic>
              </a:graphicData>
            </a:graphic>
          </wp:inline>
        </w:drawing>
      </w:r>
    </w:p>
    <w:p w14:paraId="53DF1EEC">
      <w:pPr>
        <w:snapToGrid w:val="0"/>
        <w:spacing w:line="360" w:lineRule="auto"/>
        <w:ind w:firstLine="480" w:firstLineChars="200"/>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式中：</w:t>
      </w:r>
    </w:p>
    <w:p w14:paraId="73BCFB05">
      <w:pPr>
        <w:snapToGrid w:val="0"/>
        <w:spacing w:line="360" w:lineRule="auto"/>
        <w:ind w:firstLine="1200" w:firstLineChars="500"/>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P</w:t>
      </w:r>
      <w:r>
        <w:rPr>
          <w:rFonts w:hint="default" w:ascii="Times New Roman" w:hAnsi="Times New Roman" w:cs="Times New Roman"/>
          <w:iCs/>
          <w:color w:val="auto"/>
          <w:sz w:val="24"/>
          <w:highlight w:val="none"/>
          <w:vertAlign w:val="subscript"/>
        </w:rPr>
        <w:t>i</w:t>
      </w:r>
      <w:r>
        <w:rPr>
          <w:rFonts w:hint="default" w:ascii="Times New Roman" w:hAnsi="Times New Roman" w:cs="Times New Roman"/>
          <w:iCs/>
          <w:color w:val="auto"/>
          <w:sz w:val="24"/>
          <w:highlight w:val="none"/>
        </w:rPr>
        <w:t>—第i个污染物的最大地面浓度占标率，%；</w:t>
      </w:r>
    </w:p>
    <w:p w14:paraId="3D792C86">
      <w:pPr>
        <w:snapToGrid w:val="0"/>
        <w:spacing w:line="360" w:lineRule="auto"/>
        <w:ind w:firstLine="1200" w:firstLineChars="500"/>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C</w:t>
      </w:r>
      <w:r>
        <w:rPr>
          <w:rFonts w:hint="default" w:ascii="Times New Roman" w:hAnsi="Times New Roman" w:cs="Times New Roman"/>
          <w:iCs/>
          <w:color w:val="auto"/>
          <w:sz w:val="24"/>
          <w:highlight w:val="none"/>
          <w:vertAlign w:val="subscript"/>
        </w:rPr>
        <w:t>i</w:t>
      </w:r>
      <w:r>
        <w:rPr>
          <w:rFonts w:hint="default" w:ascii="Times New Roman" w:hAnsi="Times New Roman" w:cs="Times New Roman"/>
          <w:iCs/>
          <w:color w:val="auto"/>
          <w:sz w:val="24"/>
          <w:highlight w:val="none"/>
        </w:rPr>
        <w:t>—采用估算模式计算出的第i个污染物的最大地面浓度，mg/m</w:t>
      </w:r>
      <w:r>
        <w:rPr>
          <w:rFonts w:hint="default" w:ascii="Times New Roman" w:hAnsi="Times New Roman" w:cs="Times New Roman"/>
          <w:iCs/>
          <w:color w:val="auto"/>
          <w:sz w:val="24"/>
          <w:highlight w:val="none"/>
          <w:vertAlign w:val="superscript"/>
        </w:rPr>
        <w:t>3</w:t>
      </w:r>
      <w:r>
        <w:rPr>
          <w:rFonts w:hint="default" w:ascii="Times New Roman" w:hAnsi="Times New Roman" w:cs="Times New Roman"/>
          <w:iCs/>
          <w:color w:val="auto"/>
          <w:sz w:val="24"/>
          <w:highlight w:val="none"/>
        </w:rPr>
        <w:t>；</w:t>
      </w:r>
    </w:p>
    <w:p w14:paraId="36F54AA4">
      <w:pPr>
        <w:snapToGrid w:val="0"/>
        <w:spacing w:line="360" w:lineRule="auto"/>
        <w:ind w:firstLine="1200" w:firstLineChars="500"/>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C</w:t>
      </w:r>
      <w:r>
        <w:rPr>
          <w:rFonts w:hint="default" w:ascii="Times New Roman" w:hAnsi="Times New Roman" w:cs="Times New Roman"/>
          <w:iCs/>
          <w:color w:val="auto"/>
          <w:sz w:val="24"/>
          <w:highlight w:val="none"/>
          <w:vertAlign w:val="subscript"/>
        </w:rPr>
        <w:t>0i</w:t>
      </w:r>
      <w:r>
        <w:rPr>
          <w:rFonts w:hint="default" w:ascii="Times New Roman" w:hAnsi="Times New Roman" w:cs="Times New Roman"/>
          <w:iCs/>
          <w:color w:val="auto"/>
          <w:sz w:val="24"/>
          <w:highlight w:val="none"/>
        </w:rPr>
        <w:t>—第i个污染物环境空气质量标准，mg/m</w:t>
      </w:r>
      <w:r>
        <w:rPr>
          <w:rFonts w:hint="default" w:ascii="Times New Roman" w:hAnsi="Times New Roman" w:cs="Times New Roman"/>
          <w:iCs/>
          <w:color w:val="auto"/>
          <w:sz w:val="24"/>
          <w:highlight w:val="none"/>
          <w:vertAlign w:val="superscript"/>
        </w:rPr>
        <w:t>3</w:t>
      </w:r>
      <w:r>
        <w:rPr>
          <w:rFonts w:hint="default" w:ascii="Times New Roman" w:hAnsi="Times New Roman" w:cs="Times New Roman"/>
          <w:iCs/>
          <w:color w:val="auto"/>
          <w:sz w:val="24"/>
          <w:highlight w:val="none"/>
        </w:rPr>
        <w:t>。</w:t>
      </w:r>
    </w:p>
    <w:p w14:paraId="5FA07974">
      <w:pPr>
        <w:snapToGrid w:val="0"/>
        <w:spacing w:line="360" w:lineRule="auto"/>
        <w:ind w:firstLine="1200" w:firstLineChars="500"/>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评价工作等级的判定依据见表1.</w:t>
      </w:r>
      <w:r>
        <w:rPr>
          <w:rFonts w:hint="default" w:ascii="Times New Roman" w:hAnsi="Times New Roman" w:cs="Times New Roman"/>
          <w:iCs/>
          <w:color w:val="auto"/>
          <w:sz w:val="24"/>
          <w:highlight w:val="none"/>
          <w:lang w:val="en-US" w:eastAsia="zh-CN"/>
        </w:rPr>
        <w:t>5</w:t>
      </w:r>
      <w:r>
        <w:rPr>
          <w:rFonts w:hint="default" w:ascii="Times New Roman" w:hAnsi="Times New Roman" w:cs="Times New Roman"/>
          <w:iCs/>
          <w:color w:val="auto"/>
          <w:sz w:val="24"/>
          <w:highlight w:val="none"/>
        </w:rPr>
        <w:t>-</w:t>
      </w:r>
      <w:r>
        <w:rPr>
          <w:rFonts w:hint="default" w:ascii="Times New Roman" w:hAnsi="Times New Roman" w:cs="Times New Roman"/>
          <w:iCs/>
          <w:color w:val="auto"/>
          <w:sz w:val="24"/>
          <w:highlight w:val="none"/>
          <w:lang w:val="en-US" w:eastAsia="zh-CN"/>
        </w:rPr>
        <w:t>2</w:t>
      </w:r>
      <w:r>
        <w:rPr>
          <w:rFonts w:hint="default" w:ascii="Times New Roman" w:hAnsi="Times New Roman" w:cs="Times New Roman"/>
          <w:iCs/>
          <w:color w:val="auto"/>
          <w:sz w:val="24"/>
          <w:highlight w:val="none"/>
        </w:rPr>
        <w:t>。</w:t>
      </w:r>
    </w:p>
    <w:p w14:paraId="2A7BEA11">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表1.</w:t>
      </w:r>
      <w:r>
        <w:rPr>
          <w:rFonts w:hint="default" w:ascii="Times New Roman" w:hAnsi="Times New Roman" w:cs="Times New Roman"/>
          <w:b/>
          <w:color w:val="auto"/>
          <w:szCs w:val="21"/>
          <w:highlight w:val="none"/>
          <w:lang w:val="en-US" w:eastAsia="zh-CN"/>
        </w:rPr>
        <w:t>5</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val="en-US" w:eastAsia="zh-CN"/>
        </w:rPr>
        <w:t>2</w:t>
      </w:r>
      <w:r>
        <w:rPr>
          <w:rFonts w:hint="default" w:ascii="Times New Roman" w:hAnsi="Times New Roman" w:cs="Times New Roman"/>
          <w:b/>
          <w:color w:val="auto"/>
          <w:szCs w:val="21"/>
          <w:highlight w:val="none"/>
        </w:rPr>
        <w:t xml:space="preserve">    大气评价工作等级判定依据</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7"/>
        <w:gridCol w:w="4398"/>
      </w:tblGrid>
      <w:tr w14:paraId="3493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7" w:type="dxa"/>
          </w:tcPr>
          <w:p w14:paraId="11C5844B">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空气环境影响评价工作等级</w:t>
            </w:r>
          </w:p>
        </w:tc>
        <w:tc>
          <w:tcPr>
            <w:tcW w:w="4398" w:type="dxa"/>
          </w:tcPr>
          <w:p w14:paraId="52E9A06F">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评价工作等级判据</w:t>
            </w:r>
          </w:p>
        </w:tc>
      </w:tr>
      <w:tr w14:paraId="5249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7" w:type="dxa"/>
          </w:tcPr>
          <w:p w14:paraId="550DE0B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4398" w:type="dxa"/>
          </w:tcPr>
          <w:p w14:paraId="25E098D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max</w:t>
            </w:r>
            <w:r>
              <w:rPr>
                <w:rFonts w:hint="default" w:ascii="Times New Roman" w:hAnsi="Times New Roman" w:cs="Times New Roman"/>
                <w:color w:val="auto"/>
                <w:szCs w:val="21"/>
                <w:highlight w:val="none"/>
              </w:rPr>
              <w:t>≥10%</w:t>
            </w:r>
          </w:p>
        </w:tc>
      </w:tr>
      <w:tr w14:paraId="6082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7" w:type="dxa"/>
          </w:tcPr>
          <w:p w14:paraId="01D537D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4398" w:type="dxa"/>
          </w:tcPr>
          <w:p w14:paraId="21595FA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1%≤P</w:t>
            </w:r>
            <w:r>
              <w:rPr>
                <w:rFonts w:hint="default" w:ascii="Times New Roman" w:hAnsi="Times New Roman" w:cs="Times New Roman"/>
                <w:color w:val="auto"/>
                <w:szCs w:val="21"/>
                <w:highlight w:val="none"/>
                <w:vertAlign w:val="subscript"/>
              </w:rPr>
              <w:t>max</w:t>
            </w:r>
            <w:r>
              <w:rPr>
                <w:rFonts w:hint="default" w:ascii="Times New Roman" w:hAnsi="Times New Roman" w:cs="Times New Roman"/>
                <w:color w:val="auto"/>
                <w:szCs w:val="21"/>
                <w:highlight w:val="none"/>
              </w:rPr>
              <w:t>&lt;10%</w:t>
            </w:r>
          </w:p>
        </w:tc>
      </w:tr>
      <w:tr w14:paraId="4F50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7" w:type="dxa"/>
          </w:tcPr>
          <w:p w14:paraId="301CEE6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w:t>
            </w:r>
          </w:p>
        </w:tc>
        <w:tc>
          <w:tcPr>
            <w:tcW w:w="4398" w:type="dxa"/>
          </w:tcPr>
          <w:p w14:paraId="335F218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max</w:t>
            </w:r>
            <w:r>
              <w:rPr>
                <w:rFonts w:hint="default" w:ascii="Times New Roman" w:hAnsi="Times New Roman" w:cs="Times New Roman"/>
                <w:color w:val="auto"/>
                <w:szCs w:val="21"/>
                <w:highlight w:val="none"/>
              </w:rPr>
              <w:t>&lt;1%</w:t>
            </w:r>
          </w:p>
        </w:tc>
      </w:tr>
    </w:tbl>
    <w:p w14:paraId="477A8197">
      <w:pPr>
        <w:snapToGrid w:val="0"/>
        <w:spacing w:line="360" w:lineRule="auto"/>
        <w:ind w:firstLine="482"/>
        <w:rPr>
          <w:rFonts w:hint="default" w:ascii="Times New Roman" w:hAnsi="Times New Roman" w:cs="Times New Roman"/>
          <w:bCs/>
          <w:iCs/>
          <w:color w:val="auto"/>
          <w:sz w:val="24"/>
          <w:highlight w:val="none"/>
        </w:rPr>
      </w:pPr>
      <w:r>
        <w:rPr>
          <w:rFonts w:hint="default" w:ascii="Times New Roman" w:hAnsi="Times New Roman" w:cs="Times New Roman"/>
          <w:iCs/>
          <w:color w:val="auto"/>
          <w:sz w:val="24"/>
          <w:highlight w:val="none"/>
          <w:lang w:eastAsia="zh-CN"/>
        </w:rPr>
        <w:t>估算模式源强：选取正常排放的污染源进行估算。</w:t>
      </w:r>
      <w:r>
        <w:rPr>
          <w:rFonts w:hint="default" w:ascii="Times New Roman" w:hAnsi="Times New Roman" w:cs="Times New Roman"/>
          <w:iCs/>
          <w:color w:val="auto"/>
          <w:sz w:val="24"/>
          <w:highlight w:val="none"/>
        </w:rPr>
        <w:t>项目</w:t>
      </w:r>
      <w:r>
        <w:rPr>
          <w:rFonts w:hint="default" w:ascii="Times New Roman" w:hAnsi="Times New Roman" w:cs="Times New Roman"/>
          <w:iCs/>
          <w:color w:val="auto"/>
          <w:sz w:val="24"/>
          <w:highlight w:val="none"/>
          <w:lang w:val="en-US" w:eastAsia="zh-CN"/>
        </w:rPr>
        <w:t>猪舍、堆粪棚、废水收集池等区域相邻布设，</w:t>
      </w:r>
      <w:r>
        <w:rPr>
          <w:rFonts w:hint="default" w:ascii="Times New Roman" w:hAnsi="Times New Roman" w:cs="Times New Roman"/>
          <w:iCs/>
          <w:color w:val="auto"/>
          <w:sz w:val="24"/>
          <w:highlight w:val="none"/>
        </w:rPr>
        <w:t>故本次环评将其作为一个面源</w:t>
      </w:r>
      <w:r>
        <w:rPr>
          <w:rFonts w:hint="default" w:ascii="Times New Roman" w:hAnsi="Times New Roman" w:cs="Times New Roman"/>
          <w:iCs/>
          <w:color w:val="auto"/>
          <w:sz w:val="24"/>
          <w:highlight w:val="none"/>
          <w:lang w:eastAsia="zh-CN"/>
        </w:rPr>
        <w:t>；</w:t>
      </w:r>
      <w:r>
        <w:rPr>
          <w:rFonts w:hint="default" w:ascii="Times New Roman" w:hAnsi="Times New Roman" w:cs="Times New Roman"/>
          <w:iCs/>
          <w:color w:val="auto"/>
          <w:sz w:val="24"/>
          <w:highlight w:val="none"/>
          <w:lang w:val="en-US" w:eastAsia="zh-CN"/>
        </w:rPr>
        <w:t>烘干棚天然气燃烧器燃烧区域</w:t>
      </w:r>
      <w:r>
        <w:rPr>
          <w:rFonts w:hint="default" w:ascii="Times New Roman" w:hAnsi="Times New Roman" w:cs="Times New Roman"/>
          <w:iCs/>
          <w:color w:val="auto"/>
          <w:sz w:val="24"/>
          <w:highlight w:val="none"/>
          <w:lang w:eastAsia="zh-CN"/>
        </w:rPr>
        <w:t>作为一个面源进行预测，</w:t>
      </w:r>
      <w:r>
        <w:rPr>
          <w:rFonts w:hint="default" w:ascii="Times New Roman" w:hAnsi="Times New Roman" w:cs="Times New Roman"/>
          <w:iCs/>
          <w:color w:val="auto"/>
          <w:sz w:val="24"/>
          <w:highlight w:val="none"/>
        </w:rPr>
        <w:t>根据《环境影响评价技术导则 大气环境》（HJ2.2-2018），报告书需叠加地形参数，因此</w:t>
      </w:r>
      <w:r>
        <w:rPr>
          <w:rFonts w:hint="default" w:ascii="Times New Roman" w:hAnsi="Times New Roman" w:cs="Times New Roman"/>
          <w:iCs/>
          <w:color w:val="auto"/>
          <w:sz w:val="24"/>
          <w:highlight w:val="none"/>
          <w:lang w:eastAsia="zh-CN"/>
        </w:rPr>
        <w:t>各区域</w:t>
      </w:r>
      <w:r>
        <w:rPr>
          <w:rFonts w:hint="default" w:ascii="Times New Roman" w:hAnsi="Times New Roman" w:cs="Times New Roman"/>
          <w:iCs/>
          <w:color w:val="auto"/>
          <w:sz w:val="24"/>
          <w:highlight w:val="none"/>
        </w:rPr>
        <w:t>面源等效为圆形面源进行估算，</w:t>
      </w:r>
      <w:r>
        <w:rPr>
          <w:rFonts w:hint="default" w:ascii="Times New Roman" w:hAnsi="Times New Roman" w:cs="Times New Roman"/>
          <w:bCs/>
          <w:iCs/>
          <w:color w:val="auto"/>
          <w:sz w:val="24"/>
          <w:highlight w:val="none"/>
        </w:rPr>
        <w:t>本项目无组织污染物源强参数见表</w:t>
      </w:r>
      <w:r>
        <w:rPr>
          <w:rFonts w:hint="default" w:ascii="Times New Roman" w:hAnsi="Times New Roman" w:cs="Times New Roman"/>
          <w:bCs/>
          <w:iCs/>
          <w:color w:val="auto"/>
          <w:sz w:val="24"/>
          <w:highlight w:val="none"/>
          <w:lang w:val="en-US" w:eastAsia="zh-CN"/>
        </w:rPr>
        <w:t>1.5-3</w:t>
      </w:r>
      <w:r>
        <w:rPr>
          <w:rFonts w:hint="default" w:ascii="Times New Roman" w:hAnsi="Times New Roman" w:cs="Times New Roman"/>
          <w:bCs/>
          <w:iCs/>
          <w:color w:val="auto"/>
          <w:sz w:val="24"/>
          <w:highlight w:val="none"/>
        </w:rPr>
        <w:t>。</w:t>
      </w:r>
    </w:p>
    <w:p w14:paraId="4C894617">
      <w:pPr>
        <w:autoSpaceDE w:val="0"/>
        <w:autoSpaceDN w:val="0"/>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default" w:ascii="Times New Roman" w:hAnsi="Times New Roman" w:cs="Times New Roman"/>
          <w:b/>
          <w:color w:val="auto"/>
          <w:highlight w:val="none"/>
          <w:lang w:val="en-US" w:eastAsia="zh-CN"/>
        </w:rPr>
        <w:t>1.5-3</w:t>
      </w:r>
      <w:r>
        <w:rPr>
          <w:rFonts w:hint="default" w:ascii="Times New Roman" w:hAnsi="Times New Roman" w:cs="Times New Roman"/>
          <w:b/>
          <w:color w:val="auto"/>
          <w:highlight w:val="none"/>
        </w:rPr>
        <w:t xml:space="preserve">    无组织废气污染源参数一览表（近圆形面源）</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396"/>
        <w:gridCol w:w="1260"/>
        <w:gridCol w:w="636"/>
        <w:gridCol w:w="688"/>
        <w:gridCol w:w="630"/>
        <w:gridCol w:w="688"/>
        <w:gridCol w:w="688"/>
        <w:gridCol w:w="805"/>
        <w:gridCol w:w="1208"/>
      </w:tblGrid>
      <w:tr w14:paraId="6703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96" w:type="dxa"/>
            <w:vMerge w:val="restart"/>
            <w:vAlign w:val="center"/>
          </w:tcPr>
          <w:p w14:paraId="3FA40FA6">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污染源名称</w:t>
            </w:r>
          </w:p>
        </w:tc>
        <w:tc>
          <w:tcPr>
            <w:tcW w:w="2656" w:type="dxa"/>
            <w:gridSpan w:val="2"/>
            <w:vAlign w:val="center"/>
          </w:tcPr>
          <w:p w14:paraId="4BB91D57">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面源中心点坐标/°</w:t>
            </w:r>
          </w:p>
        </w:tc>
        <w:tc>
          <w:tcPr>
            <w:tcW w:w="636" w:type="dxa"/>
            <w:vMerge w:val="restart"/>
            <w:vAlign w:val="center"/>
          </w:tcPr>
          <w:p w14:paraId="40D29F00">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面源海拔高度/m</w:t>
            </w:r>
          </w:p>
        </w:tc>
        <w:tc>
          <w:tcPr>
            <w:tcW w:w="688" w:type="dxa"/>
            <w:vMerge w:val="restart"/>
            <w:vAlign w:val="center"/>
          </w:tcPr>
          <w:p w14:paraId="50359542">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面源半径/m</w:t>
            </w:r>
          </w:p>
        </w:tc>
        <w:tc>
          <w:tcPr>
            <w:tcW w:w="630" w:type="dxa"/>
            <w:vMerge w:val="restart"/>
            <w:vAlign w:val="center"/>
          </w:tcPr>
          <w:p w14:paraId="66F49010">
            <w:pPr>
              <w:keepNext w:val="0"/>
              <w:keepLines w:val="0"/>
              <w:suppressLineNumbers w:val="0"/>
              <w:snapToGrid w:val="0"/>
              <w:spacing w:before="0" w:beforeAutospacing="0" w:after="0" w:afterAutospacing="0"/>
              <w:ind w:left="0" w:right="0"/>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有效排放高度/m</w:t>
            </w:r>
          </w:p>
        </w:tc>
        <w:tc>
          <w:tcPr>
            <w:tcW w:w="688" w:type="dxa"/>
            <w:vMerge w:val="restart"/>
            <w:vAlign w:val="center"/>
          </w:tcPr>
          <w:p w14:paraId="71CF2C92">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排放工况</w:t>
            </w:r>
          </w:p>
        </w:tc>
        <w:tc>
          <w:tcPr>
            <w:tcW w:w="688" w:type="dxa"/>
            <w:vMerge w:val="restart"/>
            <w:vAlign w:val="center"/>
          </w:tcPr>
          <w:p w14:paraId="7209BA13">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年排放小时数</w:t>
            </w:r>
          </w:p>
        </w:tc>
        <w:tc>
          <w:tcPr>
            <w:tcW w:w="805" w:type="dxa"/>
            <w:vMerge w:val="restart"/>
            <w:vAlign w:val="center"/>
          </w:tcPr>
          <w:p w14:paraId="00167E14">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污染物</w:t>
            </w:r>
          </w:p>
        </w:tc>
        <w:tc>
          <w:tcPr>
            <w:tcW w:w="1208" w:type="dxa"/>
            <w:vMerge w:val="restart"/>
            <w:vAlign w:val="center"/>
          </w:tcPr>
          <w:p w14:paraId="14954FE3">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排放速率</w:t>
            </w:r>
          </w:p>
          <w:p w14:paraId="7D38D6C1">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（kg/h）</w:t>
            </w:r>
          </w:p>
        </w:tc>
      </w:tr>
      <w:tr w14:paraId="0893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96" w:type="dxa"/>
            <w:vMerge w:val="continue"/>
            <w:vAlign w:val="center"/>
          </w:tcPr>
          <w:p w14:paraId="4D7EC670">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396" w:type="dxa"/>
            <w:vAlign w:val="center"/>
          </w:tcPr>
          <w:p w14:paraId="7FEB047D">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X</w:t>
            </w:r>
          </w:p>
        </w:tc>
        <w:tc>
          <w:tcPr>
            <w:tcW w:w="1260" w:type="dxa"/>
            <w:vAlign w:val="center"/>
          </w:tcPr>
          <w:p w14:paraId="30E11231">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Y</w:t>
            </w:r>
          </w:p>
        </w:tc>
        <w:tc>
          <w:tcPr>
            <w:tcW w:w="636" w:type="dxa"/>
            <w:vMerge w:val="continue"/>
            <w:vAlign w:val="center"/>
          </w:tcPr>
          <w:p w14:paraId="0A5907B6">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p>
        </w:tc>
        <w:tc>
          <w:tcPr>
            <w:tcW w:w="688" w:type="dxa"/>
            <w:vMerge w:val="continue"/>
            <w:vAlign w:val="center"/>
          </w:tcPr>
          <w:p w14:paraId="46D8B5B8">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p>
        </w:tc>
        <w:tc>
          <w:tcPr>
            <w:tcW w:w="630" w:type="dxa"/>
            <w:vMerge w:val="continue"/>
            <w:vAlign w:val="center"/>
          </w:tcPr>
          <w:p w14:paraId="2ADDF780">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p>
        </w:tc>
        <w:tc>
          <w:tcPr>
            <w:tcW w:w="688" w:type="dxa"/>
            <w:vMerge w:val="continue"/>
            <w:vAlign w:val="center"/>
          </w:tcPr>
          <w:p w14:paraId="78A1083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688" w:type="dxa"/>
            <w:vMerge w:val="continue"/>
            <w:vAlign w:val="center"/>
          </w:tcPr>
          <w:p w14:paraId="4C2B0B1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805" w:type="dxa"/>
            <w:vMerge w:val="continue"/>
            <w:vAlign w:val="center"/>
          </w:tcPr>
          <w:p w14:paraId="0B7E41BD">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08" w:type="dxa"/>
            <w:vMerge w:val="continue"/>
            <w:vAlign w:val="center"/>
          </w:tcPr>
          <w:p w14:paraId="1F23D667">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0920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96" w:type="dxa"/>
            <w:vMerge w:val="restart"/>
            <w:tcBorders>
              <w:bottom w:val="single" w:color="auto" w:sz="4" w:space="0"/>
            </w:tcBorders>
            <w:vAlign w:val="center"/>
          </w:tcPr>
          <w:p w14:paraId="6D466A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iCs/>
                <w:color w:val="auto"/>
                <w:sz w:val="18"/>
                <w:szCs w:val="18"/>
                <w:highlight w:val="none"/>
              </w:rPr>
              <w:t>猪舍</w:t>
            </w:r>
            <w:r>
              <w:rPr>
                <w:rFonts w:hint="default" w:ascii="Times New Roman" w:hAnsi="Times New Roman" w:cs="Times New Roman"/>
                <w:iCs/>
                <w:color w:val="auto"/>
                <w:sz w:val="18"/>
                <w:szCs w:val="18"/>
                <w:highlight w:val="none"/>
                <w:lang w:eastAsia="zh-CN"/>
              </w:rPr>
              <w:t>、</w:t>
            </w:r>
            <w:r>
              <w:rPr>
                <w:rFonts w:hint="default" w:ascii="Times New Roman" w:hAnsi="Times New Roman" w:cs="Times New Roman"/>
                <w:iCs/>
                <w:color w:val="auto"/>
                <w:sz w:val="18"/>
                <w:szCs w:val="18"/>
                <w:highlight w:val="none"/>
                <w:lang w:val="en-US" w:eastAsia="zh-CN"/>
              </w:rPr>
              <w:t>堆粪棚、废水收集池</w:t>
            </w:r>
          </w:p>
        </w:tc>
        <w:tc>
          <w:tcPr>
            <w:tcW w:w="1396" w:type="dxa"/>
            <w:vMerge w:val="restart"/>
            <w:tcBorders>
              <w:bottom w:val="single" w:color="auto" w:sz="4" w:space="0"/>
            </w:tcBorders>
            <w:vAlign w:val="center"/>
          </w:tcPr>
          <w:p w14:paraId="5F24549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103.493045E</w:t>
            </w:r>
          </w:p>
        </w:tc>
        <w:tc>
          <w:tcPr>
            <w:tcW w:w="1260" w:type="dxa"/>
            <w:vMerge w:val="restart"/>
            <w:tcBorders>
              <w:bottom w:val="single" w:color="auto" w:sz="4" w:space="0"/>
            </w:tcBorders>
            <w:vAlign w:val="center"/>
          </w:tcPr>
          <w:p w14:paraId="40AEF1C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24.283213N</w:t>
            </w:r>
          </w:p>
        </w:tc>
        <w:tc>
          <w:tcPr>
            <w:tcW w:w="636" w:type="dxa"/>
            <w:vMerge w:val="restart"/>
            <w:tcBorders>
              <w:bottom w:val="single" w:color="auto" w:sz="4" w:space="0"/>
            </w:tcBorders>
            <w:vAlign w:val="center"/>
          </w:tcPr>
          <w:p w14:paraId="086D9D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1484</w:t>
            </w:r>
          </w:p>
        </w:tc>
        <w:tc>
          <w:tcPr>
            <w:tcW w:w="688" w:type="dxa"/>
            <w:vMerge w:val="restart"/>
            <w:tcBorders>
              <w:bottom w:val="single" w:color="auto" w:sz="4" w:space="0"/>
            </w:tcBorders>
            <w:vAlign w:val="center"/>
          </w:tcPr>
          <w:p w14:paraId="38C5A3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45.49</w:t>
            </w:r>
          </w:p>
        </w:tc>
        <w:tc>
          <w:tcPr>
            <w:tcW w:w="630" w:type="dxa"/>
            <w:vMerge w:val="restart"/>
            <w:tcBorders>
              <w:bottom w:val="single" w:color="auto" w:sz="4" w:space="0"/>
            </w:tcBorders>
            <w:vAlign w:val="center"/>
          </w:tcPr>
          <w:p w14:paraId="4EAA6C1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w:t>
            </w:r>
          </w:p>
        </w:tc>
        <w:tc>
          <w:tcPr>
            <w:tcW w:w="688" w:type="dxa"/>
            <w:vMerge w:val="restart"/>
            <w:tcBorders>
              <w:bottom w:val="single" w:color="auto" w:sz="4" w:space="0"/>
            </w:tcBorders>
            <w:vAlign w:val="center"/>
          </w:tcPr>
          <w:p w14:paraId="7AC81E5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正常排放</w:t>
            </w:r>
          </w:p>
        </w:tc>
        <w:tc>
          <w:tcPr>
            <w:tcW w:w="688" w:type="dxa"/>
            <w:tcBorders>
              <w:bottom w:val="single" w:color="auto" w:sz="4" w:space="0"/>
            </w:tcBorders>
            <w:vAlign w:val="center"/>
          </w:tcPr>
          <w:p w14:paraId="693BD5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7680</w:t>
            </w:r>
          </w:p>
        </w:tc>
        <w:tc>
          <w:tcPr>
            <w:tcW w:w="805" w:type="dxa"/>
            <w:tcBorders>
              <w:bottom w:val="single" w:color="auto" w:sz="4" w:space="0"/>
            </w:tcBorders>
            <w:vAlign w:val="center"/>
          </w:tcPr>
          <w:p w14:paraId="60446A9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p>
        </w:tc>
        <w:tc>
          <w:tcPr>
            <w:tcW w:w="1208" w:type="dxa"/>
            <w:tcBorders>
              <w:bottom w:val="single" w:color="auto" w:sz="4" w:space="0"/>
            </w:tcBorders>
            <w:shd w:val="clear" w:color="auto" w:fill="auto"/>
            <w:vAlign w:val="center"/>
          </w:tcPr>
          <w:p w14:paraId="6B801CDB">
            <w:pPr>
              <w:keepNext w:val="0"/>
              <w:keepLines w:val="0"/>
              <w:widowControl/>
              <w:suppressLineNumbers w:val="0"/>
              <w:jc w:val="right"/>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0.006037</w:t>
            </w:r>
          </w:p>
        </w:tc>
      </w:tr>
      <w:tr w14:paraId="6C08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96" w:type="dxa"/>
            <w:vMerge w:val="continue"/>
            <w:vAlign w:val="center"/>
          </w:tcPr>
          <w:p w14:paraId="032DAE3D">
            <w:pPr>
              <w:keepNext w:val="0"/>
              <w:keepLines w:val="0"/>
              <w:suppressLineNumbers w:val="0"/>
              <w:spacing w:before="0" w:beforeAutospacing="0" w:after="0" w:afterAutospacing="0"/>
              <w:ind w:left="0" w:right="0"/>
              <w:jc w:val="center"/>
              <w:rPr>
                <w:rFonts w:hint="default" w:ascii="Times New Roman" w:hAnsi="Times New Roman" w:cs="Times New Roman"/>
                <w:iCs/>
                <w:color w:val="auto"/>
                <w:sz w:val="18"/>
                <w:szCs w:val="18"/>
                <w:highlight w:val="none"/>
              </w:rPr>
            </w:pPr>
          </w:p>
        </w:tc>
        <w:tc>
          <w:tcPr>
            <w:tcW w:w="1396" w:type="dxa"/>
            <w:vMerge w:val="continue"/>
            <w:vAlign w:val="center"/>
          </w:tcPr>
          <w:p w14:paraId="05612E4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60" w:type="dxa"/>
            <w:vMerge w:val="continue"/>
            <w:vAlign w:val="center"/>
          </w:tcPr>
          <w:p w14:paraId="09562CB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636" w:type="dxa"/>
            <w:vMerge w:val="continue"/>
            <w:vAlign w:val="center"/>
          </w:tcPr>
          <w:p w14:paraId="148B0CF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688" w:type="dxa"/>
            <w:vMerge w:val="continue"/>
            <w:vAlign w:val="center"/>
          </w:tcPr>
          <w:p w14:paraId="2A1CDFF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630" w:type="dxa"/>
            <w:vMerge w:val="continue"/>
            <w:vAlign w:val="center"/>
          </w:tcPr>
          <w:p w14:paraId="29595D7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688" w:type="dxa"/>
            <w:vMerge w:val="continue"/>
            <w:vAlign w:val="center"/>
          </w:tcPr>
          <w:p w14:paraId="7695546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688" w:type="dxa"/>
            <w:vAlign w:val="center"/>
          </w:tcPr>
          <w:p w14:paraId="4DB008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7680</w:t>
            </w:r>
          </w:p>
        </w:tc>
        <w:tc>
          <w:tcPr>
            <w:tcW w:w="805" w:type="dxa"/>
            <w:vAlign w:val="center"/>
          </w:tcPr>
          <w:p w14:paraId="4389993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H</w:t>
            </w:r>
            <w:r>
              <w:rPr>
                <w:rFonts w:hint="default" w:ascii="Times New Roman" w:hAnsi="Times New Roman" w:cs="Times New Roman"/>
                <w:bCs/>
                <w:color w:val="auto"/>
                <w:sz w:val="18"/>
                <w:szCs w:val="18"/>
                <w:highlight w:val="none"/>
                <w:vertAlign w:val="subscript"/>
              </w:rPr>
              <w:t>2</w:t>
            </w:r>
            <w:r>
              <w:rPr>
                <w:rFonts w:hint="default" w:ascii="Times New Roman" w:hAnsi="Times New Roman" w:cs="Times New Roman"/>
                <w:bCs/>
                <w:color w:val="auto"/>
                <w:sz w:val="18"/>
                <w:szCs w:val="18"/>
                <w:highlight w:val="none"/>
              </w:rPr>
              <w:t>S</w:t>
            </w:r>
          </w:p>
        </w:tc>
        <w:tc>
          <w:tcPr>
            <w:tcW w:w="1208" w:type="dxa"/>
            <w:shd w:val="clear" w:color="auto" w:fill="auto"/>
            <w:vAlign w:val="center"/>
          </w:tcPr>
          <w:p w14:paraId="36A943B0">
            <w:pPr>
              <w:keepNext w:val="0"/>
              <w:keepLines w:val="0"/>
              <w:widowControl/>
              <w:suppressLineNumbers w:val="0"/>
              <w:jc w:val="right"/>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0.0012755</w:t>
            </w:r>
          </w:p>
        </w:tc>
      </w:tr>
      <w:tr w14:paraId="3325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96" w:type="dxa"/>
            <w:vMerge w:val="restart"/>
            <w:vAlign w:val="center"/>
          </w:tcPr>
          <w:p w14:paraId="43A208D2">
            <w:pPr>
              <w:keepNext w:val="0"/>
              <w:keepLines w:val="0"/>
              <w:suppressLineNumbers w:val="0"/>
              <w:spacing w:before="0" w:beforeAutospacing="0" w:after="0" w:afterAutospacing="0"/>
              <w:ind w:left="0" w:right="0"/>
              <w:jc w:val="center"/>
              <w:rPr>
                <w:rFonts w:hint="default" w:ascii="Times New Roman" w:hAnsi="Times New Roman" w:eastAsia="宋体" w:cs="Times New Roman"/>
                <w:iCs/>
                <w:color w:val="auto"/>
                <w:sz w:val="18"/>
                <w:szCs w:val="18"/>
                <w:highlight w:val="none"/>
                <w:lang w:val="en-US" w:eastAsia="zh-CN"/>
              </w:rPr>
            </w:pPr>
            <w:r>
              <w:rPr>
                <w:rFonts w:hint="default" w:ascii="Times New Roman" w:hAnsi="Times New Roman" w:cs="Times New Roman"/>
                <w:iCs/>
                <w:color w:val="auto"/>
                <w:sz w:val="18"/>
                <w:szCs w:val="18"/>
                <w:highlight w:val="none"/>
                <w:lang w:val="en-US" w:eastAsia="zh-CN"/>
              </w:rPr>
              <w:t>烘干棚</w:t>
            </w:r>
          </w:p>
        </w:tc>
        <w:tc>
          <w:tcPr>
            <w:tcW w:w="1396" w:type="dxa"/>
            <w:vMerge w:val="restart"/>
            <w:vAlign w:val="center"/>
          </w:tcPr>
          <w:p w14:paraId="7A45A9B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103.491795E</w:t>
            </w:r>
          </w:p>
        </w:tc>
        <w:tc>
          <w:tcPr>
            <w:tcW w:w="1260" w:type="dxa"/>
            <w:vMerge w:val="restart"/>
            <w:vAlign w:val="center"/>
          </w:tcPr>
          <w:p w14:paraId="11AFCC3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24.282387N</w:t>
            </w:r>
          </w:p>
        </w:tc>
        <w:tc>
          <w:tcPr>
            <w:tcW w:w="636" w:type="dxa"/>
            <w:vMerge w:val="restart"/>
            <w:vAlign w:val="center"/>
          </w:tcPr>
          <w:p w14:paraId="7428603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1484</w:t>
            </w:r>
          </w:p>
        </w:tc>
        <w:tc>
          <w:tcPr>
            <w:tcW w:w="688" w:type="dxa"/>
            <w:vMerge w:val="restart"/>
            <w:vAlign w:val="center"/>
          </w:tcPr>
          <w:p w14:paraId="16FE9D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7.98</w:t>
            </w:r>
          </w:p>
        </w:tc>
        <w:tc>
          <w:tcPr>
            <w:tcW w:w="630" w:type="dxa"/>
            <w:vMerge w:val="restart"/>
            <w:vAlign w:val="center"/>
          </w:tcPr>
          <w:p w14:paraId="469B0B5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w:t>
            </w:r>
          </w:p>
        </w:tc>
        <w:tc>
          <w:tcPr>
            <w:tcW w:w="688" w:type="dxa"/>
            <w:vMerge w:val="restart"/>
            <w:vAlign w:val="center"/>
          </w:tcPr>
          <w:p w14:paraId="1287AFA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正常排放</w:t>
            </w:r>
          </w:p>
        </w:tc>
        <w:tc>
          <w:tcPr>
            <w:tcW w:w="688" w:type="dxa"/>
            <w:vMerge w:val="restart"/>
            <w:vAlign w:val="center"/>
          </w:tcPr>
          <w:p w14:paraId="39D0C2C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960</w:t>
            </w:r>
          </w:p>
        </w:tc>
        <w:tc>
          <w:tcPr>
            <w:tcW w:w="805" w:type="dxa"/>
            <w:tcBorders>
              <w:bottom w:val="single" w:color="auto" w:sz="4" w:space="0"/>
            </w:tcBorders>
            <w:vAlign w:val="center"/>
          </w:tcPr>
          <w:p w14:paraId="6EE928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 w:val="0"/>
                <w:bCs w:val="0"/>
                <w:color w:val="auto"/>
                <w:sz w:val="18"/>
                <w:szCs w:val="18"/>
                <w:vertAlign w:val="baseline"/>
                <w:lang w:val="en-US" w:eastAsia="zh-CN"/>
              </w:rPr>
              <w:t>颗粒物</w:t>
            </w:r>
          </w:p>
        </w:tc>
        <w:tc>
          <w:tcPr>
            <w:tcW w:w="1208" w:type="dxa"/>
            <w:tcBorders>
              <w:bottom w:val="single" w:color="auto" w:sz="4" w:space="0"/>
            </w:tcBorders>
            <w:vAlign w:val="center"/>
          </w:tcPr>
          <w:p w14:paraId="622679CE">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0.00011</w:t>
            </w:r>
          </w:p>
        </w:tc>
      </w:tr>
      <w:tr w14:paraId="3DA5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96" w:type="dxa"/>
            <w:vMerge w:val="continue"/>
            <w:vAlign w:val="center"/>
          </w:tcPr>
          <w:p w14:paraId="23C9FCF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rPr>
            </w:pPr>
          </w:p>
        </w:tc>
        <w:tc>
          <w:tcPr>
            <w:tcW w:w="1396" w:type="dxa"/>
            <w:vMerge w:val="continue"/>
            <w:vAlign w:val="center"/>
          </w:tcPr>
          <w:p w14:paraId="14133F5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rPr>
            </w:pPr>
          </w:p>
        </w:tc>
        <w:tc>
          <w:tcPr>
            <w:tcW w:w="1260" w:type="dxa"/>
            <w:vMerge w:val="continue"/>
            <w:vAlign w:val="center"/>
          </w:tcPr>
          <w:p w14:paraId="14213AE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rPr>
            </w:pPr>
          </w:p>
        </w:tc>
        <w:tc>
          <w:tcPr>
            <w:tcW w:w="636" w:type="dxa"/>
            <w:vMerge w:val="continue"/>
            <w:vAlign w:val="center"/>
          </w:tcPr>
          <w:p w14:paraId="25DF707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rPr>
            </w:pPr>
          </w:p>
        </w:tc>
        <w:tc>
          <w:tcPr>
            <w:tcW w:w="688" w:type="dxa"/>
            <w:vMerge w:val="continue"/>
            <w:vAlign w:val="center"/>
          </w:tcPr>
          <w:p w14:paraId="19CDF89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rPr>
            </w:pPr>
          </w:p>
        </w:tc>
        <w:tc>
          <w:tcPr>
            <w:tcW w:w="630" w:type="dxa"/>
            <w:vMerge w:val="continue"/>
            <w:vAlign w:val="center"/>
          </w:tcPr>
          <w:p w14:paraId="2959192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rPr>
            </w:pPr>
          </w:p>
        </w:tc>
        <w:tc>
          <w:tcPr>
            <w:tcW w:w="688" w:type="dxa"/>
            <w:vMerge w:val="continue"/>
            <w:vAlign w:val="center"/>
          </w:tcPr>
          <w:p w14:paraId="6D5D3C2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rPr>
            </w:pPr>
          </w:p>
        </w:tc>
        <w:tc>
          <w:tcPr>
            <w:tcW w:w="688" w:type="dxa"/>
            <w:vMerge w:val="continue"/>
            <w:vAlign w:val="center"/>
          </w:tcPr>
          <w:p w14:paraId="69BD813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rPr>
            </w:pPr>
          </w:p>
        </w:tc>
        <w:tc>
          <w:tcPr>
            <w:tcW w:w="805" w:type="dxa"/>
            <w:tcBorders>
              <w:bottom w:val="single" w:color="auto" w:sz="4" w:space="0"/>
            </w:tcBorders>
            <w:vAlign w:val="center"/>
          </w:tcPr>
          <w:p w14:paraId="07D089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 w:val="0"/>
                <w:bCs w:val="0"/>
                <w:color w:val="auto"/>
                <w:sz w:val="18"/>
                <w:szCs w:val="18"/>
                <w:vertAlign w:val="baseline"/>
                <w:lang w:val="en-US" w:eastAsia="zh-CN"/>
              </w:rPr>
              <w:t>二氧化硫</w:t>
            </w:r>
          </w:p>
        </w:tc>
        <w:tc>
          <w:tcPr>
            <w:tcW w:w="1208" w:type="dxa"/>
            <w:tcBorders>
              <w:bottom w:val="single" w:color="auto" w:sz="4" w:space="0"/>
            </w:tcBorders>
            <w:vAlign w:val="center"/>
          </w:tcPr>
          <w:p w14:paraId="042136C4">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00318</w:t>
            </w:r>
          </w:p>
        </w:tc>
      </w:tr>
      <w:tr w14:paraId="248A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96" w:type="dxa"/>
            <w:vMerge w:val="continue"/>
            <w:tcBorders>
              <w:bottom w:val="single" w:color="auto" w:sz="4" w:space="0"/>
            </w:tcBorders>
            <w:vAlign w:val="center"/>
          </w:tcPr>
          <w:p w14:paraId="38BA1C9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p>
        </w:tc>
        <w:tc>
          <w:tcPr>
            <w:tcW w:w="1396" w:type="dxa"/>
            <w:vMerge w:val="continue"/>
            <w:tcBorders>
              <w:bottom w:val="single" w:color="auto" w:sz="4" w:space="0"/>
            </w:tcBorders>
            <w:vAlign w:val="center"/>
          </w:tcPr>
          <w:p w14:paraId="70F61E5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p>
        </w:tc>
        <w:tc>
          <w:tcPr>
            <w:tcW w:w="1260" w:type="dxa"/>
            <w:vMerge w:val="continue"/>
            <w:tcBorders>
              <w:bottom w:val="single" w:color="auto" w:sz="4" w:space="0"/>
            </w:tcBorders>
            <w:vAlign w:val="center"/>
          </w:tcPr>
          <w:p w14:paraId="254E509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p>
        </w:tc>
        <w:tc>
          <w:tcPr>
            <w:tcW w:w="636" w:type="dxa"/>
            <w:vMerge w:val="continue"/>
            <w:tcBorders>
              <w:bottom w:val="single" w:color="auto" w:sz="4" w:space="0"/>
            </w:tcBorders>
            <w:vAlign w:val="center"/>
          </w:tcPr>
          <w:p w14:paraId="0B5DCB7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p>
        </w:tc>
        <w:tc>
          <w:tcPr>
            <w:tcW w:w="688" w:type="dxa"/>
            <w:vMerge w:val="continue"/>
            <w:tcBorders>
              <w:bottom w:val="single" w:color="auto" w:sz="4" w:space="0"/>
            </w:tcBorders>
            <w:vAlign w:val="center"/>
          </w:tcPr>
          <w:p w14:paraId="41A2ADE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p>
        </w:tc>
        <w:tc>
          <w:tcPr>
            <w:tcW w:w="630" w:type="dxa"/>
            <w:vMerge w:val="continue"/>
            <w:tcBorders>
              <w:bottom w:val="single" w:color="auto" w:sz="4" w:space="0"/>
            </w:tcBorders>
            <w:vAlign w:val="center"/>
          </w:tcPr>
          <w:p w14:paraId="697197C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p>
        </w:tc>
        <w:tc>
          <w:tcPr>
            <w:tcW w:w="688" w:type="dxa"/>
            <w:vMerge w:val="continue"/>
            <w:tcBorders>
              <w:bottom w:val="single" w:color="auto" w:sz="4" w:space="0"/>
            </w:tcBorders>
            <w:vAlign w:val="center"/>
          </w:tcPr>
          <w:p w14:paraId="7C8ECC2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p>
        </w:tc>
        <w:tc>
          <w:tcPr>
            <w:tcW w:w="688" w:type="dxa"/>
            <w:vMerge w:val="continue"/>
            <w:tcBorders>
              <w:bottom w:val="single" w:color="auto" w:sz="4" w:space="0"/>
            </w:tcBorders>
            <w:vAlign w:val="center"/>
          </w:tcPr>
          <w:p w14:paraId="56D8DD1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p>
        </w:tc>
        <w:tc>
          <w:tcPr>
            <w:tcW w:w="805" w:type="dxa"/>
            <w:tcBorders>
              <w:bottom w:val="single" w:color="auto" w:sz="4" w:space="0"/>
            </w:tcBorders>
            <w:vAlign w:val="center"/>
          </w:tcPr>
          <w:p w14:paraId="7B850A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Cs/>
                <w:color w:val="auto"/>
                <w:sz w:val="18"/>
                <w:szCs w:val="18"/>
                <w:highlight w:val="none"/>
                <w:lang w:val="en-US"/>
              </w:rPr>
            </w:pPr>
            <w:r>
              <w:rPr>
                <w:rFonts w:hint="default" w:ascii="Times New Roman" w:hAnsi="Times New Roman" w:cs="Times New Roman"/>
                <w:b w:val="0"/>
                <w:bCs w:val="0"/>
                <w:color w:val="auto"/>
                <w:sz w:val="18"/>
                <w:szCs w:val="18"/>
                <w:vertAlign w:val="baseline"/>
                <w:lang w:val="en-US" w:eastAsia="zh-CN"/>
              </w:rPr>
              <w:t>NO</w:t>
            </w:r>
            <w:r>
              <w:rPr>
                <w:rFonts w:hint="default" w:ascii="Times New Roman" w:hAnsi="Times New Roman" w:cs="Times New Roman"/>
                <w:b w:val="0"/>
                <w:bCs w:val="0"/>
                <w:color w:val="auto"/>
                <w:sz w:val="18"/>
                <w:szCs w:val="18"/>
                <w:vertAlign w:val="subscript"/>
                <w:lang w:val="en-US" w:eastAsia="zh-CN"/>
              </w:rPr>
              <w:t>2</w:t>
            </w:r>
          </w:p>
        </w:tc>
        <w:tc>
          <w:tcPr>
            <w:tcW w:w="1208" w:type="dxa"/>
            <w:tcBorders>
              <w:bottom w:val="single" w:color="auto" w:sz="4" w:space="0"/>
            </w:tcBorders>
            <w:vAlign w:val="center"/>
          </w:tcPr>
          <w:p w14:paraId="183F739F">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18"/>
                <w:szCs w:val="18"/>
                <w:highlight w:val="none"/>
                <w:lang w:val="en-US"/>
              </w:rPr>
            </w:pPr>
            <w:r>
              <w:rPr>
                <w:rFonts w:hint="default" w:ascii="Times New Roman" w:hAnsi="Times New Roman" w:cs="Times New Roman"/>
                <w:color w:val="auto"/>
                <w:sz w:val="18"/>
                <w:szCs w:val="18"/>
                <w:highlight w:val="none"/>
                <w:lang w:val="en-US" w:eastAsia="zh-CN"/>
              </w:rPr>
              <w:t>0.000216</w:t>
            </w:r>
          </w:p>
        </w:tc>
      </w:tr>
    </w:tbl>
    <w:p w14:paraId="6BA9E414">
      <w:pPr>
        <w:snapToGrid w:val="0"/>
        <w:spacing w:line="360" w:lineRule="auto"/>
        <w:ind w:firstLine="482"/>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根据估算模式，项目运营过程中大气污染物最大地面浓度及占标率见表1.</w:t>
      </w:r>
      <w:r>
        <w:rPr>
          <w:rFonts w:hint="default" w:ascii="Times New Roman" w:hAnsi="Times New Roman" w:cs="Times New Roman"/>
          <w:iCs/>
          <w:color w:val="auto"/>
          <w:sz w:val="24"/>
          <w:highlight w:val="none"/>
          <w:lang w:val="en-US" w:eastAsia="zh-CN"/>
        </w:rPr>
        <w:t>5</w:t>
      </w:r>
      <w:r>
        <w:rPr>
          <w:rFonts w:hint="default" w:ascii="Times New Roman" w:hAnsi="Times New Roman" w:cs="Times New Roman"/>
          <w:iCs/>
          <w:color w:val="auto"/>
          <w:sz w:val="24"/>
          <w:highlight w:val="none"/>
        </w:rPr>
        <w:t>-</w:t>
      </w:r>
      <w:r>
        <w:rPr>
          <w:rFonts w:hint="default" w:ascii="Times New Roman" w:hAnsi="Times New Roman" w:cs="Times New Roman"/>
          <w:iCs/>
          <w:color w:val="auto"/>
          <w:sz w:val="24"/>
          <w:highlight w:val="none"/>
          <w:lang w:val="en-US" w:eastAsia="zh-CN"/>
        </w:rPr>
        <w:t>4</w:t>
      </w:r>
      <w:r>
        <w:rPr>
          <w:rFonts w:hint="default" w:ascii="Times New Roman" w:hAnsi="Times New Roman" w:cs="Times New Roman"/>
          <w:iCs/>
          <w:color w:val="auto"/>
          <w:sz w:val="24"/>
          <w:highlight w:val="none"/>
        </w:rPr>
        <w:t>。</w:t>
      </w:r>
    </w:p>
    <w:p w14:paraId="6417EFE8">
      <w:pPr>
        <w:snapToGrid w:val="0"/>
        <w:ind w:firstLine="422" w:firstLineChars="20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表1.</w:t>
      </w:r>
      <w:r>
        <w:rPr>
          <w:rFonts w:hint="default" w:ascii="Times New Roman" w:hAnsi="Times New Roman" w:cs="Times New Roman"/>
          <w:b/>
          <w:bCs/>
          <w:color w:val="auto"/>
          <w:szCs w:val="21"/>
          <w:highlight w:val="none"/>
          <w:lang w:val="en-US" w:eastAsia="zh-CN"/>
        </w:rPr>
        <w:t>5</w:t>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highlight w:val="none"/>
          <w:lang w:val="en-US" w:eastAsia="zh-CN"/>
        </w:rPr>
        <w:t>4</w:t>
      </w:r>
      <w:r>
        <w:rPr>
          <w:rFonts w:hint="default" w:ascii="Times New Roman" w:hAnsi="Times New Roman" w:cs="Times New Roman"/>
          <w:b/>
          <w:bCs/>
          <w:color w:val="auto"/>
          <w:szCs w:val="21"/>
          <w:highlight w:val="none"/>
        </w:rPr>
        <w:t xml:space="preserve">    环境空气估算模式计算结果统计一览表</w:t>
      </w:r>
    </w:p>
    <w:tbl>
      <w:tblPr>
        <w:tblStyle w:val="23"/>
        <w:tblW w:w="879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01"/>
        <w:gridCol w:w="1248"/>
        <w:gridCol w:w="845"/>
        <w:gridCol w:w="1836"/>
        <w:gridCol w:w="1155"/>
        <w:gridCol w:w="1351"/>
        <w:gridCol w:w="1059"/>
      </w:tblGrid>
      <w:tr w14:paraId="039792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2" w:hRule="atLeast"/>
          <w:jc w:val="center"/>
        </w:trPr>
        <w:tc>
          <w:tcPr>
            <w:tcW w:w="1301" w:type="dxa"/>
            <w:vAlign w:val="center"/>
          </w:tcPr>
          <w:p w14:paraId="1487D088">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污染源</w:t>
            </w:r>
          </w:p>
        </w:tc>
        <w:tc>
          <w:tcPr>
            <w:tcW w:w="1248" w:type="dxa"/>
            <w:vAlign w:val="center"/>
          </w:tcPr>
          <w:p w14:paraId="20D11018">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排放方式</w:t>
            </w:r>
          </w:p>
        </w:tc>
        <w:tc>
          <w:tcPr>
            <w:tcW w:w="845" w:type="dxa"/>
            <w:vAlign w:val="center"/>
          </w:tcPr>
          <w:p w14:paraId="587AD988">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污染因子</w:t>
            </w:r>
          </w:p>
        </w:tc>
        <w:tc>
          <w:tcPr>
            <w:tcW w:w="1836" w:type="dxa"/>
            <w:vAlign w:val="center"/>
          </w:tcPr>
          <w:p w14:paraId="69EC3066">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最大落地浓度（</w:t>
            </w:r>
            <w:r>
              <w:rPr>
                <w:rFonts w:hint="eastAsia" w:ascii="Times New Roman" w:hAnsi="Times New Roman" w:cs="Times New Roman"/>
                <w:b/>
                <w:bCs/>
                <w:color w:val="auto"/>
                <w:sz w:val="18"/>
                <w:szCs w:val="18"/>
                <w:highlight w:val="none"/>
                <w:lang w:eastAsia="zh-CN"/>
              </w:rPr>
              <w:t>μg/m3</w:t>
            </w:r>
            <w:r>
              <w:rPr>
                <w:rFonts w:hint="default" w:ascii="Times New Roman" w:hAnsi="Times New Roman" w:cs="Times New Roman"/>
                <w:b/>
                <w:bCs/>
                <w:color w:val="auto"/>
                <w:sz w:val="18"/>
                <w:szCs w:val="18"/>
                <w:highlight w:val="none"/>
              </w:rPr>
              <w:t>）</w:t>
            </w:r>
          </w:p>
        </w:tc>
        <w:tc>
          <w:tcPr>
            <w:tcW w:w="1155" w:type="dxa"/>
            <w:vAlign w:val="center"/>
          </w:tcPr>
          <w:p w14:paraId="463EBF8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占标率（%）</w:t>
            </w:r>
          </w:p>
        </w:tc>
        <w:tc>
          <w:tcPr>
            <w:tcW w:w="1351" w:type="dxa"/>
          </w:tcPr>
          <w:p w14:paraId="56D341D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D10%距离（m）</w:t>
            </w:r>
          </w:p>
        </w:tc>
        <w:tc>
          <w:tcPr>
            <w:tcW w:w="1059" w:type="dxa"/>
            <w:vAlign w:val="center"/>
          </w:tcPr>
          <w:p w14:paraId="084E0AC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评价工作等级</w:t>
            </w:r>
          </w:p>
        </w:tc>
      </w:tr>
      <w:tr w14:paraId="5E0331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1301" w:type="dxa"/>
            <w:vMerge w:val="restart"/>
            <w:vAlign w:val="center"/>
          </w:tcPr>
          <w:p w14:paraId="3C0AB62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iCs/>
                <w:color w:val="auto"/>
                <w:sz w:val="18"/>
                <w:szCs w:val="18"/>
                <w:highlight w:val="none"/>
              </w:rPr>
              <w:t>猪舍</w:t>
            </w:r>
            <w:r>
              <w:rPr>
                <w:rFonts w:hint="default" w:ascii="Times New Roman" w:hAnsi="Times New Roman" w:cs="Times New Roman"/>
                <w:iCs/>
                <w:color w:val="auto"/>
                <w:sz w:val="18"/>
                <w:szCs w:val="18"/>
                <w:highlight w:val="none"/>
                <w:lang w:eastAsia="zh-CN"/>
              </w:rPr>
              <w:t>、</w:t>
            </w:r>
            <w:r>
              <w:rPr>
                <w:rFonts w:hint="default" w:ascii="Times New Roman" w:hAnsi="Times New Roman" w:cs="Times New Roman"/>
                <w:iCs/>
                <w:color w:val="auto"/>
                <w:sz w:val="18"/>
                <w:szCs w:val="18"/>
                <w:highlight w:val="none"/>
                <w:lang w:val="en-US" w:eastAsia="zh-CN"/>
              </w:rPr>
              <w:t>堆粪棚、废水收集池</w:t>
            </w:r>
          </w:p>
        </w:tc>
        <w:tc>
          <w:tcPr>
            <w:tcW w:w="1248" w:type="dxa"/>
            <w:vMerge w:val="restart"/>
            <w:vAlign w:val="center"/>
          </w:tcPr>
          <w:p w14:paraId="17C26999">
            <w:pPr>
              <w:keepNext w:val="0"/>
              <w:keepLines w:val="0"/>
              <w:suppressLineNumbers w:val="0"/>
              <w:spacing w:before="0" w:beforeAutospacing="0" w:after="0" w:afterAutospacing="0"/>
              <w:ind w:left="0" w:right="0"/>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无组织</w:t>
            </w:r>
          </w:p>
        </w:tc>
        <w:tc>
          <w:tcPr>
            <w:tcW w:w="845" w:type="dxa"/>
            <w:vAlign w:val="center"/>
          </w:tcPr>
          <w:p w14:paraId="67220FB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iCs/>
                <w:color w:val="auto"/>
                <w:sz w:val="18"/>
                <w:szCs w:val="18"/>
                <w:highlight w:val="none"/>
              </w:rPr>
              <w:t>NH</w:t>
            </w:r>
            <w:r>
              <w:rPr>
                <w:rFonts w:hint="default" w:ascii="Times New Roman" w:hAnsi="Times New Roman" w:cs="Times New Roman"/>
                <w:iCs/>
                <w:color w:val="auto"/>
                <w:sz w:val="18"/>
                <w:szCs w:val="18"/>
                <w:highlight w:val="none"/>
                <w:vertAlign w:val="subscript"/>
              </w:rPr>
              <w:t>3</w:t>
            </w:r>
          </w:p>
        </w:tc>
        <w:tc>
          <w:tcPr>
            <w:tcW w:w="1836" w:type="dxa"/>
            <w:vAlign w:val="center"/>
          </w:tcPr>
          <w:p w14:paraId="4C5AE5E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2.84</w:t>
            </w:r>
          </w:p>
        </w:tc>
        <w:tc>
          <w:tcPr>
            <w:tcW w:w="1155" w:type="dxa"/>
            <w:vAlign w:val="center"/>
          </w:tcPr>
          <w:p w14:paraId="7662D4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1.42</w:t>
            </w:r>
          </w:p>
        </w:tc>
        <w:tc>
          <w:tcPr>
            <w:tcW w:w="1351" w:type="dxa"/>
          </w:tcPr>
          <w:p w14:paraId="308E2B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1059" w:type="dxa"/>
            <w:vAlign w:val="center"/>
          </w:tcPr>
          <w:p w14:paraId="6109B2C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二级</w:t>
            </w:r>
          </w:p>
        </w:tc>
      </w:tr>
      <w:tr w14:paraId="6A40A5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1301" w:type="dxa"/>
            <w:vMerge w:val="continue"/>
            <w:vAlign w:val="center"/>
          </w:tcPr>
          <w:p w14:paraId="2AB3F97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48" w:type="dxa"/>
            <w:vMerge w:val="continue"/>
            <w:vAlign w:val="center"/>
          </w:tcPr>
          <w:p w14:paraId="4C6C895C">
            <w:pPr>
              <w:keepNext w:val="0"/>
              <w:keepLines w:val="0"/>
              <w:suppressLineNumbers w:val="0"/>
              <w:spacing w:before="0" w:beforeAutospacing="0" w:after="0" w:afterAutospacing="0"/>
              <w:ind w:left="0" w:right="0"/>
              <w:jc w:val="center"/>
              <w:rPr>
                <w:rFonts w:hint="default" w:ascii="Times New Roman" w:hAnsi="Times New Roman" w:cs="Times New Roman"/>
                <w:iCs/>
                <w:color w:val="auto"/>
                <w:sz w:val="18"/>
                <w:szCs w:val="18"/>
                <w:highlight w:val="none"/>
              </w:rPr>
            </w:pPr>
          </w:p>
        </w:tc>
        <w:tc>
          <w:tcPr>
            <w:tcW w:w="845" w:type="dxa"/>
            <w:vAlign w:val="center"/>
          </w:tcPr>
          <w:p w14:paraId="64E8A9D0">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18"/>
                <w:szCs w:val="18"/>
                <w:highlight w:val="none"/>
              </w:rPr>
            </w:pPr>
            <w:r>
              <w:rPr>
                <w:rFonts w:hint="default" w:ascii="Times New Roman" w:hAnsi="Times New Roman" w:cs="Times New Roman"/>
                <w:b/>
                <w:bCs w:val="0"/>
                <w:iCs/>
                <w:color w:val="auto"/>
                <w:sz w:val="18"/>
                <w:szCs w:val="18"/>
                <w:highlight w:val="none"/>
              </w:rPr>
              <w:t>H</w:t>
            </w:r>
            <w:r>
              <w:rPr>
                <w:rFonts w:hint="default" w:ascii="Times New Roman" w:hAnsi="Times New Roman" w:cs="Times New Roman"/>
                <w:b/>
                <w:bCs w:val="0"/>
                <w:iCs/>
                <w:color w:val="auto"/>
                <w:sz w:val="18"/>
                <w:szCs w:val="18"/>
                <w:highlight w:val="none"/>
                <w:vertAlign w:val="subscript"/>
              </w:rPr>
              <w:t>2</w:t>
            </w:r>
            <w:r>
              <w:rPr>
                <w:rFonts w:hint="default" w:ascii="Times New Roman" w:hAnsi="Times New Roman" w:cs="Times New Roman"/>
                <w:b/>
                <w:bCs w:val="0"/>
                <w:iCs/>
                <w:color w:val="auto"/>
                <w:sz w:val="18"/>
                <w:szCs w:val="18"/>
                <w:highlight w:val="none"/>
              </w:rPr>
              <w:t>S</w:t>
            </w:r>
          </w:p>
        </w:tc>
        <w:tc>
          <w:tcPr>
            <w:tcW w:w="1836" w:type="dxa"/>
            <w:vAlign w:val="center"/>
          </w:tcPr>
          <w:p w14:paraId="5235F5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18"/>
                <w:szCs w:val="18"/>
                <w:highlight w:val="none"/>
                <w:lang w:val="en-US" w:eastAsia="zh-CN" w:bidi="ar-SA"/>
              </w:rPr>
            </w:pPr>
            <w:r>
              <w:rPr>
                <w:rFonts w:hint="default" w:ascii="Times New Roman" w:hAnsi="Times New Roman" w:cs="Times New Roman"/>
                <w:i w:val="0"/>
                <w:iCs w:val="0"/>
                <w:color w:val="auto"/>
                <w:kern w:val="0"/>
                <w:sz w:val="18"/>
                <w:szCs w:val="18"/>
                <w:u w:val="none"/>
                <w:lang w:val="en-US" w:eastAsia="zh-CN" w:bidi="ar"/>
              </w:rPr>
              <w:t>0.601</w:t>
            </w:r>
          </w:p>
        </w:tc>
        <w:tc>
          <w:tcPr>
            <w:tcW w:w="1155" w:type="dxa"/>
            <w:vAlign w:val="center"/>
          </w:tcPr>
          <w:p w14:paraId="6D02CCE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6.01</w:t>
            </w:r>
          </w:p>
        </w:tc>
        <w:tc>
          <w:tcPr>
            <w:tcW w:w="1351" w:type="dxa"/>
          </w:tcPr>
          <w:p w14:paraId="41232EC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1059" w:type="dxa"/>
            <w:vAlign w:val="center"/>
          </w:tcPr>
          <w:p w14:paraId="2817E4AE">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18"/>
                <w:szCs w:val="18"/>
                <w:highlight w:val="none"/>
              </w:rPr>
            </w:pPr>
            <w:r>
              <w:rPr>
                <w:rFonts w:hint="default" w:ascii="Times New Roman" w:hAnsi="Times New Roman" w:cs="Times New Roman"/>
                <w:color w:val="auto"/>
                <w:sz w:val="18"/>
                <w:szCs w:val="18"/>
                <w:highlight w:val="none"/>
              </w:rPr>
              <w:t>二级</w:t>
            </w:r>
          </w:p>
        </w:tc>
      </w:tr>
      <w:tr w14:paraId="06BED2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1301" w:type="dxa"/>
            <w:vMerge w:val="restart"/>
            <w:vAlign w:val="center"/>
          </w:tcPr>
          <w:p w14:paraId="4A25EE4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iCs/>
                <w:color w:val="auto"/>
                <w:sz w:val="18"/>
                <w:szCs w:val="18"/>
                <w:highlight w:val="none"/>
                <w:lang w:val="en-US" w:eastAsia="zh-CN"/>
              </w:rPr>
              <w:t>烘干棚</w:t>
            </w:r>
          </w:p>
        </w:tc>
        <w:tc>
          <w:tcPr>
            <w:tcW w:w="1248" w:type="dxa"/>
            <w:vMerge w:val="restart"/>
            <w:vAlign w:val="center"/>
          </w:tcPr>
          <w:p w14:paraId="5D4E8740">
            <w:pPr>
              <w:keepNext w:val="0"/>
              <w:keepLines w:val="0"/>
              <w:suppressLineNumbers w:val="0"/>
              <w:spacing w:before="0" w:beforeAutospacing="0" w:after="0" w:afterAutospacing="0"/>
              <w:ind w:left="0" w:right="0"/>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无组织</w:t>
            </w:r>
          </w:p>
        </w:tc>
        <w:tc>
          <w:tcPr>
            <w:tcW w:w="845" w:type="dxa"/>
            <w:vAlign w:val="center"/>
          </w:tcPr>
          <w:p w14:paraId="25BB23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iCs/>
                <w:color w:val="auto"/>
                <w:sz w:val="18"/>
                <w:szCs w:val="18"/>
                <w:highlight w:val="none"/>
              </w:rPr>
            </w:pPr>
            <w:r>
              <w:rPr>
                <w:rFonts w:hint="default" w:ascii="Times New Roman" w:hAnsi="Times New Roman" w:cs="Times New Roman"/>
                <w:b w:val="0"/>
                <w:bCs w:val="0"/>
                <w:color w:val="auto"/>
                <w:sz w:val="18"/>
                <w:szCs w:val="18"/>
                <w:vertAlign w:val="baseline"/>
                <w:lang w:val="en-US" w:eastAsia="zh-CN"/>
              </w:rPr>
              <w:t>颗粒物</w:t>
            </w:r>
          </w:p>
        </w:tc>
        <w:tc>
          <w:tcPr>
            <w:tcW w:w="1836" w:type="dxa"/>
            <w:vAlign w:val="center"/>
          </w:tcPr>
          <w:p w14:paraId="6FF1E0B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0.173</w:t>
            </w:r>
          </w:p>
        </w:tc>
        <w:tc>
          <w:tcPr>
            <w:tcW w:w="1155" w:type="dxa"/>
            <w:vAlign w:val="center"/>
          </w:tcPr>
          <w:p w14:paraId="679886D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0.02</w:t>
            </w:r>
          </w:p>
        </w:tc>
        <w:tc>
          <w:tcPr>
            <w:tcW w:w="1351" w:type="dxa"/>
          </w:tcPr>
          <w:p w14:paraId="0EBA949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1059" w:type="dxa"/>
            <w:vAlign w:val="center"/>
          </w:tcPr>
          <w:p w14:paraId="7C8915B7">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18"/>
                <w:szCs w:val="18"/>
                <w:highlight w:val="none"/>
              </w:rPr>
            </w:pPr>
            <w:r>
              <w:rPr>
                <w:rFonts w:hint="default" w:ascii="Times New Roman" w:hAnsi="Times New Roman" w:cs="Times New Roman"/>
                <w:color w:val="auto"/>
                <w:sz w:val="18"/>
                <w:szCs w:val="18"/>
                <w:highlight w:val="none"/>
                <w:lang w:val="en-US" w:eastAsia="zh-CN"/>
              </w:rPr>
              <w:t>三</w:t>
            </w:r>
            <w:r>
              <w:rPr>
                <w:rFonts w:hint="default" w:ascii="Times New Roman" w:hAnsi="Times New Roman" w:cs="Times New Roman"/>
                <w:color w:val="auto"/>
                <w:sz w:val="18"/>
                <w:szCs w:val="18"/>
                <w:highlight w:val="none"/>
              </w:rPr>
              <w:t>级</w:t>
            </w:r>
          </w:p>
        </w:tc>
      </w:tr>
      <w:tr w14:paraId="03F5E8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1301" w:type="dxa"/>
            <w:vMerge w:val="continue"/>
            <w:vAlign w:val="center"/>
          </w:tcPr>
          <w:p w14:paraId="7C05091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48" w:type="dxa"/>
            <w:vMerge w:val="continue"/>
            <w:vAlign w:val="center"/>
          </w:tcPr>
          <w:p w14:paraId="092480A2">
            <w:pPr>
              <w:keepNext w:val="0"/>
              <w:keepLines w:val="0"/>
              <w:suppressLineNumbers w:val="0"/>
              <w:spacing w:before="0" w:beforeAutospacing="0" w:after="0" w:afterAutospacing="0"/>
              <w:ind w:left="0" w:right="0"/>
              <w:jc w:val="center"/>
              <w:rPr>
                <w:rFonts w:hint="default" w:ascii="Times New Roman" w:hAnsi="Times New Roman" w:cs="Times New Roman"/>
                <w:iCs/>
                <w:color w:val="auto"/>
                <w:sz w:val="18"/>
                <w:szCs w:val="18"/>
                <w:highlight w:val="none"/>
              </w:rPr>
            </w:pPr>
          </w:p>
        </w:tc>
        <w:tc>
          <w:tcPr>
            <w:tcW w:w="845" w:type="dxa"/>
            <w:vAlign w:val="center"/>
          </w:tcPr>
          <w:p w14:paraId="666E22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iCs/>
                <w:color w:val="auto"/>
                <w:sz w:val="18"/>
                <w:szCs w:val="18"/>
                <w:highlight w:val="none"/>
              </w:rPr>
            </w:pPr>
            <w:r>
              <w:rPr>
                <w:rFonts w:hint="default" w:ascii="Times New Roman" w:hAnsi="Times New Roman" w:cs="Times New Roman"/>
                <w:b w:val="0"/>
                <w:bCs w:val="0"/>
                <w:color w:val="auto"/>
                <w:sz w:val="18"/>
                <w:szCs w:val="18"/>
                <w:vertAlign w:val="baseline"/>
                <w:lang w:val="en-US" w:eastAsia="zh-CN"/>
              </w:rPr>
              <w:t>二氧化硫</w:t>
            </w:r>
          </w:p>
        </w:tc>
        <w:tc>
          <w:tcPr>
            <w:tcW w:w="1836" w:type="dxa"/>
            <w:vAlign w:val="center"/>
          </w:tcPr>
          <w:p w14:paraId="28FA440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0.05</w:t>
            </w:r>
          </w:p>
        </w:tc>
        <w:tc>
          <w:tcPr>
            <w:tcW w:w="1155" w:type="dxa"/>
            <w:vAlign w:val="center"/>
          </w:tcPr>
          <w:p w14:paraId="3D1E35A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0.01</w:t>
            </w:r>
          </w:p>
        </w:tc>
        <w:tc>
          <w:tcPr>
            <w:tcW w:w="1351" w:type="dxa"/>
          </w:tcPr>
          <w:p w14:paraId="21D8D62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1059" w:type="dxa"/>
            <w:vAlign w:val="center"/>
          </w:tcPr>
          <w:p w14:paraId="0F2C30FE">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18"/>
                <w:szCs w:val="18"/>
                <w:highlight w:val="none"/>
              </w:rPr>
            </w:pPr>
            <w:r>
              <w:rPr>
                <w:rFonts w:hint="default" w:ascii="Times New Roman" w:hAnsi="Times New Roman" w:cs="Times New Roman"/>
                <w:color w:val="auto"/>
                <w:sz w:val="18"/>
                <w:szCs w:val="18"/>
                <w:highlight w:val="none"/>
                <w:lang w:val="en-US" w:eastAsia="zh-CN"/>
              </w:rPr>
              <w:t>三</w:t>
            </w:r>
            <w:r>
              <w:rPr>
                <w:rFonts w:hint="default" w:ascii="Times New Roman" w:hAnsi="Times New Roman" w:cs="Times New Roman"/>
                <w:color w:val="auto"/>
                <w:sz w:val="18"/>
                <w:szCs w:val="18"/>
                <w:highlight w:val="none"/>
              </w:rPr>
              <w:t>级</w:t>
            </w:r>
          </w:p>
        </w:tc>
      </w:tr>
      <w:tr w14:paraId="731DD0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1301" w:type="dxa"/>
            <w:vMerge w:val="continue"/>
            <w:vAlign w:val="center"/>
          </w:tcPr>
          <w:p w14:paraId="613D7BE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48" w:type="dxa"/>
            <w:vMerge w:val="continue"/>
            <w:vAlign w:val="center"/>
          </w:tcPr>
          <w:p w14:paraId="65E8C329">
            <w:pPr>
              <w:keepNext w:val="0"/>
              <w:keepLines w:val="0"/>
              <w:suppressLineNumbers w:val="0"/>
              <w:spacing w:before="0" w:beforeAutospacing="0" w:after="0" w:afterAutospacing="0"/>
              <w:ind w:left="0" w:right="0"/>
              <w:jc w:val="center"/>
              <w:rPr>
                <w:rFonts w:hint="default" w:ascii="Times New Roman" w:hAnsi="Times New Roman" w:cs="Times New Roman"/>
                <w:iCs/>
                <w:color w:val="auto"/>
                <w:sz w:val="18"/>
                <w:szCs w:val="18"/>
                <w:highlight w:val="none"/>
              </w:rPr>
            </w:pPr>
          </w:p>
        </w:tc>
        <w:tc>
          <w:tcPr>
            <w:tcW w:w="845" w:type="dxa"/>
            <w:vAlign w:val="center"/>
          </w:tcPr>
          <w:p w14:paraId="3A8687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iCs/>
                <w:color w:val="auto"/>
                <w:sz w:val="18"/>
                <w:szCs w:val="18"/>
                <w:highlight w:val="none"/>
              </w:rPr>
            </w:pPr>
            <w:r>
              <w:rPr>
                <w:rFonts w:hint="default" w:ascii="Times New Roman" w:hAnsi="Times New Roman" w:cs="Times New Roman"/>
                <w:b w:val="0"/>
                <w:bCs w:val="0"/>
                <w:color w:val="auto"/>
                <w:sz w:val="18"/>
                <w:szCs w:val="18"/>
                <w:vertAlign w:val="baseline"/>
                <w:lang w:val="en-US" w:eastAsia="zh-CN"/>
              </w:rPr>
              <w:t>氮氧化物</w:t>
            </w:r>
          </w:p>
        </w:tc>
        <w:tc>
          <w:tcPr>
            <w:tcW w:w="1836" w:type="dxa"/>
            <w:vAlign w:val="center"/>
          </w:tcPr>
          <w:p w14:paraId="13FE5778">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0.34</w:t>
            </w:r>
          </w:p>
        </w:tc>
        <w:tc>
          <w:tcPr>
            <w:tcW w:w="1155" w:type="dxa"/>
            <w:vAlign w:val="center"/>
          </w:tcPr>
          <w:p w14:paraId="42681CF5">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0.17</w:t>
            </w:r>
          </w:p>
        </w:tc>
        <w:tc>
          <w:tcPr>
            <w:tcW w:w="1351" w:type="dxa"/>
          </w:tcPr>
          <w:p w14:paraId="0EF1F909">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1059" w:type="dxa"/>
            <w:vAlign w:val="center"/>
          </w:tcPr>
          <w:p w14:paraId="5A4568B5">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18"/>
                <w:szCs w:val="18"/>
                <w:highlight w:val="none"/>
              </w:rPr>
            </w:pPr>
            <w:r>
              <w:rPr>
                <w:rFonts w:hint="default" w:ascii="Times New Roman" w:hAnsi="Times New Roman" w:cs="Times New Roman"/>
                <w:color w:val="auto"/>
                <w:sz w:val="18"/>
                <w:szCs w:val="18"/>
                <w:highlight w:val="none"/>
                <w:lang w:val="en-US" w:eastAsia="zh-CN"/>
              </w:rPr>
              <w:t>三</w:t>
            </w:r>
            <w:r>
              <w:rPr>
                <w:rFonts w:hint="default" w:ascii="Times New Roman" w:hAnsi="Times New Roman" w:cs="Times New Roman"/>
                <w:color w:val="auto"/>
                <w:sz w:val="18"/>
                <w:szCs w:val="18"/>
                <w:highlight w:val="none"/>
              </w:rPr>
              <w:t>级</w:t>
            </w:r>
          </w:p>
        </w:tc>
      </w:tr>
    </w:tbl>
    <w:p w14:paraId="44C40090">
      <w:pPr>
        <w:snapToGrid w:val="0"/>
        <w:spacing w:before="156" w:beforeLines="5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从上表可以看出，项目Pmax最大值为</w:t>
      </w:r>
      <w:r>
        <w:rPr>
          <w:rFonts w:hint="default" w:ascii="Times New Roman" w:hAnsi="Times New Roman" w:cs="Times New Roman"/>
          <w:color w:val="auto"/>
          <w:sz w:val="24"/>
          <w:highlight w:val="none"/>
          <w:lang w:val="en-US" w:eastAsia="zh-CN"/>
        </w:rPr>
        <w:t>6.01</w:t>
      </w:r>
      <w:r>
        <w:rPr>
          <w:rFonts w:hint="default" w:ascii="Times New Roman" w:hAnsi="Times New Roman" w:cs="Times New Roman"/>
          <w:color w:val="auto"/>
          <w:sz w:val="24"/>
          <w:highlight w:val="none"/>
        </w:rPr>
        <w:t>%，根据</w:t>
      </w:r>
      <w:r>
        <w:rPr>
          <w:rFonts w:hint="default" w:ascii="Times New Roman" w:hAnsi="Times New Roman" w:cs="Times New Roman"/>
          <w:iCs/>
          <w:color w:val="auto"/>
          <w:sz w:val="24"/>
          <w:highlight w:val="none"/>
        </w:rPr>
        <w:t>《环境影响评价技术导则 大气环境》（HJ2.2-2018）中</w:t>
      </w:r>
      <w:r>
        <w:rPr>
          <w:rFonts w:hint="default" w:ascii="Times New Roman" w:hAnsi="Times New Roman" w:cs="Times New Roman"/>
          <w:color w:val="auto"/>
          <w:sz w:val="24"/>
          <w:highlight w:val="none"/>
        </w:rPr>
        <w:t>评价等级判定标准，确定该项目大气环境影响评价等级为</w:t>
      </w:r>
      <w:r>
        <w:rPr>
          <w:rFonts w:hint="default" w:ascii="Times New Roman" w:hAnsi="Times New Roman" w:cs="Times New Roman"/>
          <w:color w:val="auto"/>
          <w:sz w:val="24"/>
          <w:highlight w:val="none"/>
          <w:lang w:val="en-US" w:eastAsia="zh-CN"/>
        </w:rPr>
        <w:t>二</w:t>
      </w:r>
      <w:r>
        <w:rPr>
          <w:rFonts w:hint="default" w:ascii="Times New Roman" w:hAnsi="Times New Roman" w:cs="Times New Roman"/>
          <w:color w:val="auto"/>
          <w:sz w:val="24"/>
          <w:highlight w:val="none"/>
        </w:rPr>
        <w:t>级。</w:t>
      </w:r>
    </w:p>
    <w:p w14:paraId="54100FB5">
      <w:pPr>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（2）大气环境评价范围</w:t>
      </w:r>
    </w:p>
    <w:p w14:paraId="5132FDAB">
      <w:pPr>
        <w:spacing w:line="360" w:lineRule="auto"/>
        <w:ind w:firstLine="480" w:firstLineChars="200"/>
        <w:rPr>
          <w:rFonts w:hint="default" w:ascii="Times New Roman" w:hAnsi="Times New Roman" w:eastAsia="宋体" w:cs="Times New Roman"/>
          <w:b w:val="0"/>
          <w:bCs w:val="0"/>
          <w:color w:val="auto"/>
          <w:sz w:val="24"/>
          <w:szCs w:val="24"/>
        </w:rPr>
      </w:pPr>
      <w:bookmarkStart w:id="114" w:name="_Toc5119"/>
      <w:bookmarkStart w:id="115" w:name="_Toc316388624"/>
      <w:bookmarkStart w:id="116" w:name="_Toc585"/>
      <w:bookmarkStart w:id="117" w:name="_Toc323657563"/>
      <w:r>
        <w:rPr>
          <w:rFonts w:hint="default" w:ascii="Times New Roman" w:hAnsi="Times New Roman" w:eastAsia="宋体" w:cs="Times New Roman"/>
          <w:b w:val="0"/>
          <w:bCs w:val="0"/>
          <w:color w:val="auto"/>
          <w:sz w:val="24"/>
          <w:szCs w:val="24"/>
        </w:rPr>
        <w:t>依据《环境影响评价技术导则大气环境》(HJ2.2- 2018)，二级评价项目大气环境影响评价范围以养殖场</w:t>
      </w:r>
      <w:r>
        <w:rPr>
          <w:rFonts w:hint="default" w:ascii="Times New Roman" w:hAnsi="Times New Roman" w:eastAsia="宋体" w:cs="Times New Roman"/>
          <w:b w:val="0"/>
          <w:bCs w:val="0"/>
          <w:color w:val="auto"/>
          <w:sz w:val="24"/>
          <w:szCs w:val="24"/>
          <w:lang w:val="en-US" w:eastAsia="zh-CN"/>
        </w:rPr>
        <w:t>场区</w:t>
      </w:r>
      <w:r>
        <w:rPr>
          <w:rFonts w:hint="default" w:ascii="Times New Roman" w:hAnsi="Times New Roman" w:eastAsia="宋体" w:cs="Times New Roman"/>
          <w:b w:val="0"/>
          <w:bCs w:val="0"/>
          <w:color w:val="auto"/>
          <w:sz w:val="24"/>
          <w:szCs w:val="24"/>
        </w:rPr>
        <w:t>为中心，边长取5km的矩形区域。</w:t>
      </w:r>
    </w:p>
    <w:p w14:paraId="40BE67A0">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ind w:firstLine="0" w:firstLineChars="0"/>
        <w:textAlignment w:val="auto"/>
        <w:rPr>
          <w:rStyle w:val="35"/>
          <w:rFonts w:hint="default" w:ascii="Times New Roman" w:hAnsi="Times New Roman" w:eastAsia="宋体" w:cs="Times New Roman"/>
          <w:color w:val="auto"/>
          <w:sz w:val="24"/>
          <w:szCs w:val="24"/>
          <w:highlight w:val="none"/>
        </w:rPr>
      </w:pPr>
      <w:r>
        <w:rPr>
          <w:rStyle w:val="35"/>
          <w:rFonts w:hint="default" w:ascii="Times New Roman" w:hAnsi="Times New Roman" w:eastAsia="宋体" w:cs="Times New Roman"/>
          <w:color w:val="auto"/>
          <w:sz w:val="24"/>
          <w:szCs w:val="24"/>
          <w:highlight w:val="none"/>
        </w:rPr>
        <w:t>1.</w:t>
      </w:r>
      <w:r>
        <w:rPr>
          <w:rStyle w:val="35"/>
          <w:rFonts w:hint="default" w:ascii="Times New Roman" w:hAnsi="Times New Roman" w:eastAsia="宋体" w:cs="Times New Roman"/>
          <w:color w:val="auto"/>
          <w:sz w:val="24"/>
          <w:szCs w:val="24"/>
          <w:highlight w:val="none"/>
          <w:lang w:val="en-US" w:eastAsia="zh-CN"/>
        </w:rPr>
        <w:t>5</w:t>
      </w:r>
      <w:r>
        <w:rPr>
          <w:rStyle w:val="35"/>
          <w:rFonts w:hint="default" w:ascii="Times New Roman" w:hAnsi="Times New Roman" w:eastAsia="宋体" w:cs="Times New Roman"/>
          <w:color w:val="auto"/>
          <w:sz w:val="24"/>
          <w:szCs w:val="24"/>
          <w:highlight w:val="none"/>
        </w:rPr>
        <w:t>.2地表水环境评价等级与评价范围</w:t>
      </w:r>
      <w:bookmarkEnd w:id="114"/>
      <w:bookmarkEnd w:id="115"/>
      <w:bookmarkEnd w:id="116"/>
      <w:bookmarkEnd w:id="117"/>
    </w:p>
    <w:p w14:paraId="3A7ADB4C">
      <w:pPr>
        <w:snapToGrid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（1）地表水环境评价等级</w:t>
      </w:r>
    </w:p>
    <w:p w14:paraId="77D3DCE5">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w:t>
      </w:r>
      <w:r>
        <w:rPr>
          <w:rFonts w:hint="default" w:ascii="Times New Roman" w:hAnsi="Times New Roman" w:cs="Times New Roman"/>
          <w:color w:val="auto"/>
          <w:sz w:val="24"/>
          <w:szCs w:val="28"/>
          <w:highlight w:val="none"/>
        </w:rPr>
        <w:t>《环境影响评价技术导则 地表水环境》（HJ2.3-2018），本项目属于水污染影响型项目，地表水</w:t>
      </w:r>
      <w:r>
        <w:rPr>
          <w:rFonts w:hint="default" w:ascii="Times New Roman" w:hAnsi="Times New Roman" w:cs="Times New Roman"/>
          <w:color w:val="auto"/>
          <w:sz w:val="24"/>
          <w:highlight w:val="none"/>
        </w:rPr>
        <w:t>环境评价工作分级见表1.</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w:t>
      </w:r>
    </w:p>
    <w:p w14:paraId="266DB684">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表1.</w:t>
      </w:r>
      <w:r>
        <w:rPr>
          <w:rFonts w:hint="default" w:ascii="Times New Roman" w:hAnsi="Times New Roman" w:cs="Times New Roman"/>
          <w:b/>
          <w:color w:val="auto"/>
          <w:szCs w:val="21"/>
          <w:highlight w:val="none"/>
          <w:lang w:val="en-US" w:eastAsia="zh-CN"/>
        </w:rPr>
        <w:t>5</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val="en-US" w:eastAsia="zh-CN"/>
        </w:rPr>
        <w:t>5</w:t>
      </w:r>
      <w:r>
        <w:rPr>
          <w:rFonts w:hint="default" w:ascii="Times New Roman" w:hAnsi="Times New Roman" w:cs="Times New Roman"/>
          <w:b/>
          <w:color w:val="auto"/>
          <w:szCs w:val="21"/>
          <w:highlight w:val="none"/>
        </w:rPr>
        <w:t xml:space="preserve">   地表水环境影响评价工作等级划分表</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2"/>
        <w:gridCol w:w="1509"/>
        <w:gridCol w:w="5144"/>
      </w:tblGrid>
      <w:tr w14:paraId="7FCA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vMerge w:val="restart"/>
            <w:vAlign w:val="center"/>
          </w:tcPr>
          <w:p w14:paraId="35154CE7">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评价等级</w:t>
            </w:r>
          </w:p>
        </w:tc>
        <w:tc>
          <w:tcPr>
            <w:tcW w:w="6653" w:type="dxa"/>
            <w:gridSpan w:val="2"/>
          </w:tcPr>
          <w:p w14:paraId="53823280">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判定依据</w:t>
            </w:r>
          </w:p>
        </w:tc>
      </w:tr>
      <w:tr w14:paraId="4F73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vMerge w:val="continue"/>
          </w:tcPr>
          <w:p w14:paraId="5BB650BC">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p>
        </w:tc>
        <w:tc>
          <w:tcPr>
            <w:tcW w:w="1509" w:type="dxa"/>
          </w:tcPr>
          <w:p w14:paraId="0F8ACFCC">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排放方式</w:t>
            </w:r>
          </w:p>
        </w:tc>
        <w:tc>
          <w:tcPr>
            <w:tcW w:w="5144" w:type="dxa"/>
          </w:tcPr>
          <w:p w14:paraId="0A5EF575">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废水排放量</w:t>
            </w:r>
            <w:r>
              <w:rPr>
                <w:rFonts w:hint="default" w:ascii="Times New Roman" w:hAnsi="Times New Roman" w:cs="Times New Roman"/>
                <w:b/>
                <w:i/>
                <w:color w:val="auto"/>
                <w:szCs w:val="21"/>
                <w:highlight w:val="none"/>
              </w:rPr>
              <w:t>Q</w:t>
            </w:r>
            <w:r>
              <w:rPr>
                <w:rFonts w:hint="default" w:ascii="Times New Roman" w:hAnsi="Times New Roman" w:cs="Times New Roman"/>
                <w:b/>
                <w:color w:val="auto"/>
                <w:szCs w:val="21"/>
                <w:highlight w:val="none"/>
              </w:rPr>
              <w:t>/（m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/d）；水污染物当量数</w:t>
            </w:r>
            <w:r>
              <w:rPr>
                <w:rFonts w:hint="default" w:ascii="Times New Roman" w:hAnsi="Times New Roman" w:cs="Times New Roman"/>
                <w:b/>
                <w:i/>
                <w:color w:val="auto"/>
                <w:szCs w:val="21"/>
                <w:highlight w:val="none"/>
              </w:rPr>
              <w:t>W</w:t>
            </w:r>
            <w:r>
              <w:rPr>
                <w:rFonts w:hint="default" w:ascii="Times New Roman" w:hAnsi="Times New Roman" w:cs="Times New Roman"/>
                <w:b/>
                <w:color w:val="auto"/>
                <w:szCs w:val="21"/>
                <w:highlight w:val="none"/>
              </w:rPr>
              <w:t>/（无量纲）</w:t>
            </w:r>
          </w:p>
        </w:tc>
      </w:tr>
      <w:tr w14:paraId="78E1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tcPr>
          <w:p w14:paraId="26AB7EE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1509" w:type="dxa"/>
          </w:tcPr>
          <w:p w14:paraId="05069F6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直接排放</w:t>
            </w:r>
          </w:p>
        </w:tc>
        <w:tc>
          <w:tcPr>
            <w:tcW w:w="5144" w:type="dxa"/>
          </w:tcPr>
          <w:p w14:paraId="08C88012">
            <w:pPr>
              <w:keepNext w:val="0"/>
              <w:keepLines w:val="0"/>
              <w:suppressLineNumbers w:val="0"/>
              <w:spacing w:before="0" w:beforeAutospacing="0" w:after="0" w:afterAutospacing="0"/>
              <w:ind w:left="0" w:right="0"/>
              <w:jc w:val="center"/>
              <w:rPr>
                <w:rFonts w:hint="default" w:ascii="Times New Roman" w:hAnsi="Times New Roman" w:cs="Times New Roman"/>
                <w:i/>
                <w:color w:val="auto"/>
                <w:szCs w:val="21"/>
                <w:highlight w:val="none"/>
              </w:rPr>
            </w:pPr>
            <w:r>
              <w:rPr>
                <w:rFonts w:hint="default" w:ascii="Times New Roman" w:hAnsi="Times New Roman" w:cs="Times New Roman"/>
                <w:i/>
                <w:color w:val="auto"/>
                <w:szCs w:val="21"/>
                <w:highlight w:val="none"/>
              </w:rPr>
              <w:t>Q</w:t>
            </w:r>
            <w:r>
              <w:rPr>
                <w:rFonts w:hint="default" w:ascii="Times New Roman" w:hAnsi="Times New Roman" w:cs="Times New Roman"/>
                <w:color w:val="auto"/>
                <w:szCs w:val="21"/>
                <w:highlight w:val="none"/>
              </w:rPr>
              <w:t>≥20000或W≥600000</w:t>
            </w:r>
          </w:p>
        </w:tc>
      </w:tr>
      <w:tr w14:paraId="4A6F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tcPr>
          <w:p w14:paraId="5C3443F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1509" w:type="dxa"/>
          </w:tcPr>
          <w:p w14:paraId="4D49AF4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直接排放</w:t>
            </w:r>
          </w:p>
        </w:tc>
        <w:tc>
          <w:tcPr>
            <w:tcW w:w="5144" w:type="dxa"/>
          </w:tcPr>
          <w:p w14:paraId="71E58AF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w:t>
            </w:r>
          </w:p>
        </w:tc>
      </w:tr>
      <w:tr w14:paraId="5812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tcPr>
          <w:p w14:paraId="6C3CA44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三级A</w:t>
            </w:r>
          </w:p>
        </w:tc>
        <w:tc>
          <w:tcPr>
            <w:tcW w:w="1509" w:type="dxa"/>
          </w:tcPr>
          <w:p w14:paraId="382C598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直接排放</w:t>
            </w:r>
          </w:p>
        </w:tc>
        <w:tc>
          <w:tcPr>
            <w:tcW w:w="5144" w:type="dxa"/>
          </w:tcPr>
          <w:p w14:paraId="7C69C25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i/>
                <w:color w:val="auto"/>
                <w:szCs w:val="21"/>
                <w:highlight w:val="none"/>
              </w:rPr>
              <w:t>Q</w:t>
            </w:r>
            <w:r>
              <w:rPr>
                <w:rFonts w:hint="default" w:ascii="Times New Roman" w:hAnsi="Times New Roman" w:eastAsia="MS PGothic" w:cs="Times New Roman"/>
                <w:color w:val="auto"/>
                <w:szCs w:val="21"/>
                <w:highlight w:val="none"/>
              </w:rPr>
              <w:t>&lt;</w:t>
            </w:r>
            <w:r>
              <w:rPr>
                <w:rFonts w:hint="default" w:ascii="Times New Roman" w:hAnsi="Times New Roman" w:cs="Times New Roman"/>
                <w:color w:val="auto"/>
                <w:szCs w:val="21"/>
                <w:highlight w:val="none"/>
              </w:rPr>
              <w:t>200且或W&lt;6000</w:t>
            </w:r>
          </w:p>
        </w:tc>
      </w:tr>
      <w:tr w14:paraId="4CA4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2" w:type="dxa"/>
          </w:tcPr>
          <w:p w14:paraId="1B87B02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三级B</w:t>
            </w:r>
          </w:p>
        </w:tc>
        <w:tc>
          <w:tcPr>
            <w:tcW w:w="1509" w:type="dxa"/>
          </w:tcPr>
          <w:p w14:paraId="6EA73D6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间接排放</w:t>
            </w:r>
          </w:p>
        </w:tc>
        <w:tc>
          <w:tcPr>
            <w:tcW w:w="5144" w:type="dxa"/>
          </w:tcPr>
          <w:p w14:paraId="30341C5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670E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5" w:type="dxa"/>
            <w:gridSpan w:val="3"/>
          </w:tcPr>
          <w:p w14:paraId="305C71D0">
            <w:pPr>
              <w:keepNext w:val="0"/>
              <w:keepLines w:val="0"/>
              <w:suppressLineNumbers w:val="0"/>
              <w:spacing w:before="0" w:beforeAutospacing="0" w:after="0" w:afterAutospacing="0"/>
              <w:ind w:left="0" w:right="0"/>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注：建设项目生产工艺中有废水产生，但作为回水利用，不排放到外环境的，按三级B评价。</w:t>
            </w:r>
          </w:p>
        </w:tc>
      </w:tr>
    </w:tbl>
    <w:p w14:paraId="183FBB63">
      <w:pPr>
        <w:snapToGrid w:val="0"/>
        <w:spacing w:before="156" w:beforeLines="5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rPr>
        <w:t>本项目养殖废水、生活污水均</w:t>
      </w:r>
      <w:r>
        <w:rPr>
          <w:rFonts w:hint="default" w:ascii="Times New Roman" w:hAnsi="Times New Roman" w:cs="Times New Roman"/>
          <w:color w:val="auto"/>
          <w:sz w:val="24"/>
          <w:lang w:val="en-US" w:eastAsia="zh-CN"/>
        </w:rPr>
        <w:t>依托弥勒温氏畜牧有限公司新哨种猪场建设项目</w:t>
      </w:r>
      <w:r>
        <w:rPr>
          <w:rFonts w:hint="default" w:ascii="Times New Roman" w:hAnsi="Times New Roman" w:cs="Times New Roman"/>
          <w:color w:val="auto"/>
          <w:sz w:val="24"/>
        </w:rPr>
        <w:t>污水处理站处理后，</w:t>
      </w:r>
      <w:r>
        <w:rPr>
          <w:rFonts w:hint="default" w:ascii="Times New Roman" w:hAnsi="Times New Roman" w:cs="Times New Roman"/>
          <w:color w:val="auto"/>
          <w:sz w:val="24"/>
          <w:lang w:val="en-US" w:eastAsia="zh-CN"/>
        </w:rPr>
        <w:t>用于绿化及农田浇灌</w:t>
      </w:r>
      <w:r>
        <w:rPr>
          <w:rFonts w:hint="default" w:ascii="Times New Roman" w:hAnsi="Times New Roman" w:cs="Times New Roman"/>
          <w:color w:val="auto"/>
          <w:sz w:val="24"/>
        </w:rPr>
        <w:t>，无废水外排。</w:t>
      </w:r>
    </w:p>
    <w:p w14:paraId="45EF8179">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地表水环境》（HJ2.3-2018），本项目地表水环境影响评价等级为三级B。</w:t>
      </w:r>
    </w:p>
    <w:p w14:paraId="59FBF26B">
      <w:pPr>
        <w:snapToGrid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（2）地表水环境评价范围</w:t>
      </w:r>
    </w:p>
    <w:p w14:paraId="6F87DCE8">
      <w:pPr>
        <w:snapToGrid w:val="0"/>
        <w:spacing w:line="360" w:lineRule="auto"/>
        <w:ind w:firstLine="420"/>
        <w:rPr>
          <w:rFonts w:hint="default" w:ascii="Times New Roman" w:hAnsi="Times New Roman" w:eastAsia="宋体" w:cs="Times New Roman"/>
          <w:color w:val="auto"/>
          <w:spacing w:val="-2"/>
          <w:sz w:val="24"/>
          <w:szCs w:val="24"/>
        </w:rPr>
      </w:pPr>
      <w:r>
        <w:rPr>
          <w:rFonts w:hint="default" w:ascii="Times New Roman" w:hAnsi="Times New Roman" w:cs="Times New Roman"/>
          <w:color w:val="auto"/>
          <w:sz w:val="24"/>
          <w:highlight w:val="none"/>
        </w:rPr>
        <w:t>根据《环境影响评价技术导则 地表水环境》（HJ2.3-2018）规定，</w:t>
      </w:r>
      <w:r>
        <w:rPr>
          <w:rFonts w:hint="default" w:ascii="Times New Roman" w:hAnsi="Times New Roman" w:cs="Times New Roman"/>
          <w:color w:val="auto"/>
          <w:sz w:val="24"/>
          <w:highlight w:val="none"/>
          <w:lang w:val="en-US" w:eastAsia="zh-CN"/>
        </w:rPr>
        <w:t>项目废水</w:t>
      </w:r>
      <w:r>
        <w:rPr>
          <w:rFonts w:hint="default" w:ascii="Times New Roman" w:hAnsi="Times New Roman" w:cs="Times New Roman"/>
          <w:color w:val="auto"/>
          <w:sz w:val="24"/>
          <w:lang w:val="en-US" w:eastAsia="zh-CN"/>
        </w:rPr>
        <w:t>依托弥勒温氏畜牧有限公司新哨种猪场建设项目</w:t>
      </w:r>
      <w:r>
        <w:rPr>
          <w:rFonts w:hint="default" w:ascii="Times New Roman" w:hAnsi="Times New Roman" w:cs="Times New Roman"/>
          <w:color w:val="auto"/>
          <w:sz w:val="24"/>
        </w:rPr>
        <w:t>污水处理站处理后，回用于</w:t>
      </w:r>
      <w:r>
        <w:rPr>
          <w:rFonts w:hint="eastAsia" w:cs="Times New Roman"/>
          <w:color w:val="auto"/>
          <w:sz w:val="24"/>
          <w:lang w:val="en-US" w:eastAsia="zh-CN"/>
        </w:rPr>
        <w:t>农田灌溉及</w:t>
      </w:r>
      <w:r>
        <w:rPr>
          <w:rFonts w:hint="default" w:ascii="Times New Roman" w:hAnsi="Times New Roman" w:cs="Times New Roman"/>
          <w:color w:val="auto"/>
          <w:sz w:val="24"/>
        </w:rPr>
        <w:t>绿化浇洒</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本次评价主要对</w:t>
      </w:r>
      <w:r>
        <w:rPr>
          <w:rFonts w:hint="default" w:ascii="Times New Roman" w:hAnsi="Times New Roman" w:cs="Times New Roman"/>
          <w:color w:val="auto"/>
          <w:sz w:val="24"/>
          <w:highlight w:val="none"/>
        </w:rPr>
        <w:t>项目废水</w:t>
      </w:r>
      <w:r>
        <w:rPr>
          <w:rFonts w:hint="default" w:ascii="Times New Roman" w:hAnsi="Times New Roman" w:cs="Times New Roman"/>
          <w:color w:val="auto"/>
          <w:sz w:val="24"/>
          <w:highlight w:val="none"/>
          <w:lang w:val="en-US" w:eastAsia="zh-CN"/>
        </w:rPr>
        <w:t>依托</w:t>
      </w:r>
      <w:r>
        <w:rPr>
          <w:rFonts w:hint="default" w:ascii="Times New Roman" w:hAnsi="Times New Roman" w:cs="Times New Roman"/>
          <w:color w:val="auto"/>
          <w:sz w:val="24"/>
          <w:highlight w:val="none"/>
        </w:rPr>
        <w:t>可行性及可靠性进行分析</w:t>
      </w:r>
      <w:r>
        <w:rPr>
          <w:rFonts w:hint="default" w:ascii="Times New Roman" w:hAnsi="Times New Roman" w:eastAsia="宋体" w:cs="Times New Roman"/>
          <w:color w:val="auto"/>
          <w:spacing w:val="-2"/>
          <w:sz w:val="24"/>
          <w:szCs w:val="24"/>
        </w:rPr>
        <w:t>。项目地表水风险主要考虑废水事故排放的影响，评价范围为：事故状态下，废液进入甸溪河，排放点上游500m，下游2500m的区域，长度3km。</w:t>
      </w:r>
    </w:p>
    <w:p w14:paraId="0BB645A8">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118" w:name="_Toc316388625"/>
      <w:bookmarkStart w:id="119" w:name="_Toc323657564"/>
      <w:bookmarkStart w:id="120" w:name="_Toc7552"/>
      <w:bookmarkStart w:id="121" w:name="_Toc3431"/>
      <w:r>
        <w:rPr>
          <w:rStyle w:val="35"/>
          <w:rFonts w:hint="default" w:ascii="Times New Roman" w:hAnsi="Times New Roman" w:eastAsia="宋体" w:cs="Times New Roman"/>
          <w:color w:val="auto"/>
          <w:sz w:val="24"/>
          <w:szCs w:val="24"/>
          <w:highlight w:val="none"/>
        </w:rPr>
        <w:t>1.</w:t>
      </w:r>
      <w:r>
        <w:rPr>
          <w:rStyle w:val="35"/>
          <w:rFonts w:hint="default" w:ascii="Times New Roman" w:hAnsi="Times New Roman" w:eastAsia="宋体" w:cs="Times New Roman"/>
          <w:color w:val="auto"/>
          <w:sz w:val="24"/>
          <w:szCs w:val="24"/>
          <w:highlight w:val="none"/>
          <w:lang w:val="en-US" w:eastAsia="zh-CN"/>
        </w:rPr>
        <w:t>5</w:t>
      </w:r>
      <w:r>
        <w:rPr>
          <w:rStyle w:val="35"/>
          <w:rFonts w:hint="default" w:ascii="Times New Roman" w:hAnsi="Times New Roman" w:eastAsia="宋体" w:cs="Times New Roman"/>
          <w:color w:val="auto"/>
          <w:sz w:val="24"/>
          <w:szCs w:val="24"/>
          <w:highlight w:val="none"/>
        </w:rPr>
        <w:t>.3地下水环境评价等级与评价范围</w:t>
      </w:r>
      <w:bookmarkEnd w:id="118"/>
      <w:bookmarkEnd w:id="119"/>
      <w:bookmarkEnd w:id="120"/>
      <w:bookmarkEnd w:id="121"/>
    </w:p>
    <w:p w14:paraId="3AF56979">
      <w:pPr>
        <w:snapToGrid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（1）地下水环境评价等级</w:t>
      </w:r>
    </w:p>
    <w:p w14:paraId="763F0750">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地下水环境》（HJ610-2016）评价等级划分依据，本项目养殖区属于“附录A-地下水环境影响评价行业分类表”中“B-农、林、牧、渔、海洋，14畜禽养殖场、养殖小区”，编制环境影响报告书的项目评价类别为</w:t>
      </w:r>
      <w:r>
        <w:rPr>
          <w:rFonts w:hint="eastAsia" w:ascii="Times New Roman" w:hAnsi="Times New Roman" w:cs="Times New Roman"/>
          <w:color w:val="auto"/>
          <w:sz w:val="24"/>
          <w:highlight w:val="none"/>
          <w:lang w:eastAsia="zh-CN"/>
        </w:rPr>
        <w:t>Ⅲ类</w:t>
      </w:r>
      <w:r>
        <w:rPr>
          <w:rFonts w:hint="default" w:ascii="Times New Roman" w:hAnsi="Times New Roman" w:cs="Times New Roman"/>
          <w:color w:val="auto"/>
          <w:sz w:val="24"/>
          <w:highlight w:val="none"/>
        </w:rPr>
        <w:t>。</w:t>
      </w:r>
    </w:p>
    <w:p w14:paraId="75E583E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地下水环境》（HJ610-2016）判定依据，本项目周边地下水环境敏感程度及评价工作判定依据详见表1.</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、表1.</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w:t>
      </w:r>
    </w:p>
    <w:p w14:paraId="2F253362">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表1.</w:t>
      </w:r>
      <w:r>
        <w:rPr>
          <w:rFonts w:hint="default" w:ascii="Times New Roman" w:hAnsi="Times New Roman" w:cs="Times New Roman"/>
          <w:b/>
          <w:color w:val="auto"/>
          <w:szCs w:val="21"/>
          <w:highlight w:val="none"/>
          <w:lang w:val="en-US" w:eastAsia="zh-CN"/>
        </w:rPr>
        <w:t>5</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val="en-US" w:eastAsia="zh-CN"/>
        </w:rPr>
        <w:t>6</w:t>
      </w:r>
      <w:r>
        <w:rPr>
          <w:rFonts w:hint="default" w:ascii="Times New Roman" w:hAnsi="Times New Roman" w:cs="Times New Roman"/>
          <w:b/>
          <w:color w:val="auto"/>
          <w:szCs w:val="21"/>
          <w:highlight w:val="none"/>
        </w:rPr>
        <w:t xml:space="preserve">   地下水环境敏感程度分级表</w:t>
      </w:r>
    </w:p>
    <w:tbl>
      <w:tblPr>
        <w:tblStyle w:val="23"/>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411"/>
      </w:tblGrid>
      <w:tr w14:paraId="2EE9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220B146B">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敏感程度</w:t>
            </w:r>
          </w:p>
        </w:tc>
        <w:tc>
          <w:tcPr>
            <w:tcW w:w="7411" w:type="dxa"/>
            <w:vAlign w:val="center"/>
          </w:tcPr>
          <w:p w14:paraId="59FAB770">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地下水环境敏感特征</w:t>
            </w:r>
          </w:p>
        </w:tc>
      </w:tr>
      <w:tr w14:paraId="0D7E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7F3ACF7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敏感</w:t>
            </w:r>
          </w:p>
        </w:tc>
        <w:tc>
          <w:tcPr>
            <w:tcW w:w="7411" w:type="dxa"/>
            <w:vAlign w:val="center"/>
          </w:tcPr>
          <w:p w14:paraId="4319BBA3">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1CD9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1986312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较敏感</w:t>
            </w:r>
          </w:p>
        </w:tc>
        <w:tc>
          <w:tcPr>
            <w:tcW w:w="7411" w:type="dxa"/>
            <w:vAlign w:val="center"/>
          </w:tcPr>
          <w:p w14:paraId="4F324C7C">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集中式饮用水水源（包括已建成的在用、备用、应急水源，在建和规划的饮用水水源）准保护区以外的补给径流区；未划定准保护区的</w:t>
            </w:r>
            <w:r>
              <w:rPr>
                <w:rFonts w:hint="eastAsia" w:cs="Times New Roman"/>
                <w:color w:val="auto"/>
                <w:kern w:val="0"/>
                <w:szCs w:val="21"/>
                <w:highlight w:val="none"/>
                <w:lang w:eastAsia="zh-CN"/>
              </w:rPr>
              <w:t>集中</w:t>
            </w:r>
            <w:r>
              <w:rPr>
                <w:rFonts w:hint="default" w:ascii="Times New Roman" w:hAnsi="Times New Roman" w:cs="Times New Roman"/>
                <w:color w:val="auto"/>
                <w:kern w:val="0"/>
                <w:szCs w:val="21"/>
                <w:highlight w:val="none"/>
              </w:rPr>
              <w:t>式饮用水水源，其保护区以外的补给径流区；分散式饮用水水源地；特殊地下水资源（如矿泉水、温泉等）保护区以外的分布区等其他未列入上述敏感分级的环境敏感区</w:t>
            </w:r>
            <w:r>
              <w:rPr>
                <w:rFonts w:hint="default" w:ascii="Times New Roman" w:hAnsi="Times New Roman" w:eastAsia="TimesNewRomanPSMT" w:cs="Times New Roman"/>
                <w:color w:val="auto"/>
                <w:kern w:val="0"/>
                <w:szCs w:val="21"/>
                <w:highlight w:val="none"/>
                <w:vertAlign w:val="superscript"/>
              </w:rPr>
              <w:t>a</w:t>
            </w:r>
            <w:r>
              <w:rPr>
                <w:rFonts w:hint="default" w:ascii="Times New Roman" w:hAnsi="Times New Roman" w:cs="Times New Roman"/>
                <w:color w:val="auto"/>
                <w:kern w:val="0"/>
                <w:szCs w:val="21"/>
                <w:highlight w:val="none"/>
              </w:rPr>
              <w:t>。</w:t>
            </w:r>
          </w:p>
        </w:tc>
      </w:tr>
      <w:tr w14:paraId="4020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37D46C6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不敏感</w:t>
            </w:r>
          </w:p>
        </w:tc>
        <w:tc>
          <w:tcPr>
            <w:tcW w:w="7411" w:type="dxa"/>
            <w:vAlign w:val="center"/>
          </w:tcPr>
          <w:p w14:paraId="3BC1AF5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上述地区之外的其它地区。</w:t>
            </w:r>
          </w:p>
        </w:tc>
      </w:tr>
      <w:tr w14:paraId="624D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5" w:type="dxa"/>
            <w:gridSpan w:val="2"/>
            <w:vAlign w:val="center"/>
          </w:tcPr>
          <w:p w14:paraId="6853680D">
            <w:pPr>
              <w:keepNext w:val="0"/>
              <w:keepLines w:val="0"/>
              <w:suppressLineNumbers w:val="0"/>
              <w:autoSpaceDE w:val="0"/>
              <w:autoSpaceDN w:val="0"/>
              <w:adjustRightInd w:val="0"/>
              <w:spacing w:before="0" w:beforeAutospacing="0" w:after="0" w:afterAutospacing="0"/>
              <w:ind w:left="0" w:right="0"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w:t>
            </w:r>
            <w:r>
              <w:rPr>
                <w:rFonts w:hint="default" w:ascii="Times New Roman" w:hAnsi="Times New Roman" w:eastAsia="TimesNewRomanPSMT" w:cs="Times New Roman"/>
                <w:color w:val="auto"/>
                <w:kern w:val="0"/>
                <w:szCs w:val="21"/>
                <w:highlight w:val="none"/>
              </w:rPr>
              <w:t>a</w:t>
            </w:r>
            <w:r>
              <w:rPr>
                <w:rFonts w:hint="default" w:ascii="Times New Roman" w:hAnsi="Times New Roman" w:cs="Times New Roman"/>
                <w:color w:val="auto"/>
                <w:kern w:val="0"/>
                <w:szCs w:val="21"/>
                <w:highlight w:val="none"/>
              </w:rPr>
              <w:t>“环境敏感区”是指《建设项目环境影响评价分类管理名录》中所界定的涉及地下水的环境敏感区。</w:t>
            </w:r>
          </w:p>
        </w:tc>
      </w:tr>
    </w:tbl>
    <w:p w14:paraId="43B2A6DC">
      <w:pPr>
        <w:snapToGrid w:val="0"/>
        <w:jc w:val="center"/>
        <w:rPr>
          <w:rFonts w:hint="default" w:ascii="Times New Roman" w:hAnsi="Times New Roman" w:cs="Times New Roman"/>
          <w:b/>
          <w:color w:val="auto"/>
          <w:szCs w:val="21"/>
          <w:highlight w:val="none"/>
        </w:rPr>
      </w:pPr>
    </w:p>
    <w:p w14:paraId="5B59C157">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表1.</w:t>
      </w:r>
      <w:r>
        <w:rPr>
          <w:rFonts w:hint="default" w:ascii="Times New Roman" w:hAnsi="Times New Roman" w:cs="Times New Roman"/>
          <w:b/>
          <w:color w:val="auto"/>
          <w:szCs w:val="21"/>
          <w:highlight w:val="none"/>
          <w:lang w:val="en-US" w:eastAsia="zh-CN"/>
        </w:rPr>
        <w:t>5</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val="en-US" w:eastAsia="zh-CN"/>
        </w:rPr>
        <w:t>7</w:t>
      </w:r>
      <w:r>
        <w:rPr>
          <w:rFonts w:hint="default" w:ascii="Times New Roman" w:hAnsi="Times New Roman" w:cs="Times New Roman"/>
          <w:b/>
          <w:color w:val="auto"/>
          <w:szCs w:val="21"/>
          <w:highlight w:val="none"/>
        </w:rPr>
        <w:t xml:space="preserve">   地下水环境影响评价工作等级分级表</w:t>
      </w:r>
    </w:p>
    <w:tbl>
      <w:tblPr>
        <w:tblStyle w:val="23"/>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7"/>
        <w:gridCol w:w="2198"/>
        <w:gridCol w:w="2198"/>
        <w:gridCol w:w="2202"/>
      </w:tblGrid>
      <w:tr w14:paraId="0C837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Borders>
              <w:top w:val="single" w:color="auto" w:sz="4" w:space="0"/>
              <w:left w:val="single" w:color="auto" w:sz="4" w:space="0"/>
              <w:bottom w:val="single" w:color="auto" w:sz="4" w:space="0"/>
              <w:right w:val="single" w:color="auto" w:sz="4" w:space="0"/>
            </w:tcBorders>
          </w:tcPr>
          <w:p w14:paraId="74592F33">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highlight w:val="none"/>
              </w:rPr>
              <w:t xml:space="preserve">          项目类别</w:t>
            </w:r>
          </w:p>
          <w:p w14:paraId="59F997BD">
            <w:pPr>
              <w:keepNext w:val="0"/>
              <w:keepLines w:val="0"/>
              <w:suppressLineNumbers w:val="0"/>
              <w:spacing w:before="0" w:beforeAutospacing="0" w:after="0" w:afterAutospacing="0"/>
              <w:ind w:left="0" w:right="0"/>
              <w:rPr>
                <w:rFonts w:hint="default" w:ascii="Times New Roman" w:hAnsi="Times New Roman" w:cs="Times New Roman"/>
                <w:b/>
                <w:color w:val="auto"/>
                <w:szCs w:val="21"/>
                <w:highlight w:val="none"/>
              </w:rPr>
            </w:pPr>
            <w:r>
              <w:rPr>
                <w:rFonts w:hint="default" w:ascii="Times New Roman" w:hAnsi="Times New Roman" w:cs="Times New Roman"/>
                <w:b/>
                <w:color w:val="auto"/>
                <w:highlight w:val="none"/>
              </w:rPr>
              <w:t>环境敏感程度</w:t>
            </w:r>
          </w:p>
        </w:tc>
        <w:tc>
          <w:tcPr>
            <w:tcW w:w="2198" w:type="dxa"/>
            <w:tcBorders>
              <w:top w:val="single" w:color="auto" w:sz="4" w:space="0"/>
              <w:left w:val="single" w:color="auto" w:sz="4" w:space="0"/>
              <w:bottom w:val="single" w:color="auto" w:sz="4" w:space="0"/>
              <w:right w:val="single" w:color="auto" w:sz="4" w:space="0"/>
            </w:tcBorders>
            <w:vAlign w:val="center"/>
          </w:tcPr>
          <w:p w14:paraId="215D2C40">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highlight w:val="none"/>
              </w:rPr>
              <w:t>I类项目</w:t>
            </w:r>
          </w:p>
        </w:tc>
        <w:tc>
          <w:tcPr>
            <w:tcW w:w="2198" w:type="dxa"/>
            <w:tcBorders>
              <w:top w:val="single" w:color="auto" w:sz="4" w:space="0"/>
              <w:left w:val="single" w:color="auto" w:sz="4" w:space="0"/>
              <w:bottom w:val="single" w:color="auto" w:sz="4" w:space="0"/>
              <w:right w:val="single" w:color="auto" w:sz="4" w:space="0"/>
            </w:tcBorders>
            <w:vAlign w:val="center"/>
          </w:tcPr>
          <w:p w14:paraId="653A2968">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eastAsia" w:ascii="Times New Roman" w:hAnsi="Times New Roman" w:cs="Times New Roman"/>
                <w:b/>
                <w:color w:val="auto"/>
                <w:highlight w:val="none"/>
                <w:lang w:eastAsia="zh-CN"/>
              </w:rPr>
              <w:t>Ⅱ类</w:t>
            </w:r>
            <w:r>
              <w:rPr>
                <w:rFonts w:hint="default" w:ascii="Times New Roman" w:hAnsi="Times New Roman" w:cs="Times New Roman"/>
                <w:b/>
                <w:color w:val="auto"/>
                <w:highlight w:val="none"/>
              </w:rPr>
              <w:t>项目</w:t>
            </w:r>
          </w:p>
        </w:tc>
        <w:tc>
          <w:tcPr>
            <w:tcW w:w="2202" w:type="dxa"/>
            <w:tcBorders>
              <w:top w:val="single" w:color="auto" w:sz="4" w:space="0"/>
              <w:left w:val="single" w:color="auto" w:sz="4" w:space="0"/>
              <w:bottom w:val="single" w:color="auto" w:sz="4" w:space="0"/>
              <w:right w:val="single" w:color="auto" w:sz="4" w:space="0"/>
            </w:tcBorders>
            <w:vAlign w:val="center"/>
          </w:tcPr>
          <w:p w14:paraId="3312D76B">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eastAsia" w:ascii="Times New Roman" w:hAnsi="Times New Roman" w:cs="Times New Roman"/>
                <w:b/>
                <w:color w:val="auto"/>
                <w:highlight w:val="none"/>
                <w:lang w:eastAsia="zh-CN"/>
              </w:rPr>
              <w:t>Ⅲ</w:t>
            </w:r>
            <w:r>
              <w:rPr>
                <w:rFonts w:hint="default" w:ascii="Times New Roman" w:hAnsi="Times New Roman" w:cs="Times New Roman"/>
                <w:b/>
                <w:color w:val="auto"/>
                <w:highlight w:val="none"/>
              </w:rPr>
              <w:t>类项目</w:t>
            </w:r>
          </w:p>
        </w:tc>
      </w:tr>
      <w:tr w14:paraId="54D2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Borders>
              <w:top w:val="single" w:color="auto" w:sz="4" w:space="0"/>
              <w:left w:val="single" w:color="auto" w:sz="4" w:space="0"/>
              <w:bottom w:val="single" w:color="auto" w:sz="4" w:space="0"/>
              <w:right w:val="single" w:color="auto" w:sz="4" w:space="0"/>
            </w:tcBorders>
          </w:tcPr>
          <w:p w14:paraId="0FC79F3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敏感</w:t>
            </w:r>
          </w:p>
        </w:tc>
        <w:tc>
          <w:tcPr>
            <w:tcW w:w="2198" w:type="dxa"/>
            <w:tcBorders>
              <w:top w:val="single" w:color="auto" w:sz="4" w:space="0"/>
              <w:left w:val="single" w:color="auto" w:sz="4" w:space="0"/>
              <w:bottom w:val="single" w:color="auto" w:sz="4" w:space="0"/>
              <w:right w:val="single" w:color="auto" w:sz="4" w:space="0"/>
            </w:tcBorders>
          </w:tcPr>
          <w:p w14:paraId="16E88E6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一</w:t>
            </w:r>
          </w:p>
        </w:tc>
        <w:tc>
          <w:tcPr>
            <w:tcW w:w="2198" w:type="dxa"/>
            <w:tcBorders>
              <w:top w:val="single" w:color="auto" w:sz="4" w:space="0"/>
              <w:left w:val="single" w:color="auto" w:sz="4" w:space="0"/>
              <w:bottom w:val="single" w:color="auto" w:sz="4" w:space="0"/>
              <w:right w:val="single" w:color="auto" w:sz="4" w:space="0"/>
            </w:tcBorders>
          </w:tcPr>
          <w:p w14:paraId="337B470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一</w:t>
            </w:r>
          </w:p>
        </w:tc>
        <w:tc>
          <w:tcPr>
            <w:tcW w:w="2202" w:type="dxa"/>
            <w:tcBorders>
              <w:top w:val="single" w:color="auto" w:sz="4" w:space="0"/>
              <w:left w:val="single" w:color="auto" w:sz="4" w:space="0"/>
              <w:bottom w:val="single" w:color="auto" w:sz="4" w:space="0"/>
              <w:right w:val="single" w:color="auto" w:sz="4" w:space="0"/>
            </w:tcBorders>
          </w:tcPr>
          <w:p w14:paraId="38844AD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二</w:t>
            </w:r>
          </w:p>
        </w:tc>
      </w:tr>
      <w:tr w14:paraId="7B35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Borders>
              <w:top w:val="single" w:color="auto" w:sz="4" w:space="0"/>
              <w:left w:val="single" w:color="auto" w:sz="4" w:space="0"/>
              <w:bottom w:val="single" w:color="auto" w:sz="4" w:space="0"/>
              <w:right w:val="single" w:color="auto" w:sz="4" w:space="0"/>
            </w:tcBorders>
          </w:tcPr>
          <w:p w14:paraId="344363F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较敏感</w:t>
            </w:r>
          </w:p>
        </w:tc>
        <w:tc>
          <w:tcPr>
            <w:tcW w:w="2198" w:type="dxa"/>
            <w:tcBorders>
              <w:top w:val="single" w:color="auto" w:sz="4" w:space="0"/>
              <w:left w:val="single" w:color="auto" w:sz="4" w:space="0"/>
              <w:bottom w:val="single" w:color="auto" w:sz="4" w:space="0"/>
              <w:right w:val="single" w:color="auto" w:sz="4" w:space="0"/>
            </w:tcBorders>
          </w:tcPr>
          <w:p w14:paraId="6E6F4E7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一</w:t>
            </w:r>
          </w:p>
        </w:tc>
        <w:tc>
          <w:tcPr>
            <w:tcW w:w="2198" w:type="dxa"/>
            <w:tcBorders>
              <w:top w:val="single" w:color="auto" w:sz="4" w:space="0"/>
              <w:left w:val="single" w:color="auto" w:sz="4" w:space="0"/>
              <w:bottom w:val="single" w:color="auto" w:sz="4" w:space="0"/>
              <w:right w:val="single" w:color="auto" w:sz="4" w:space="0"/>
            </w:tcBorders>
          </w:tcPr>
          <w:p w14:paraId="00069B3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二</w:t>
            </w:r>
          </w:p>
        </w:tc>
        <w:tc>
          <w:tcPr>
            <w:tcW w:w="2202" w:type="dxa"/>
            <w:tcBorders>
              <w:top w:val="single" w:color="auto" w:sz="4" w:space="0"/>
              <w:left w:val="single" w:color="auto" w:sz="4" w:space="0"/>
              <w:bottom w:val="single" w:color="auto" w:sz="4" w:space="0"/>
              <w:right w:val="single" w:color="auto" w:sz="4" w:space="0"/>
            </w:tcBorders>
          </w:tcPr>
          <w:p w14:paraId="3E2005B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三</w:t>
            </w:r>
          </w:p>
        </w:tc>
      </w:tr>
      <w:tr w14:paraId="3FDE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Borders>
              <w:top w:val="single" w:color="auto" w:sz="4" w:space="0"/>
              <w:left w:val="single" w:color="auto" w:sz="4" w:space="0"/>
              <w:bottom w:val="single" w:color="auto" w:sz="4" w:space="0"/>
              <w:right w:val="single" w:color="auto" w:sz="4" w:space="0"/>
            </w:tcBorders>
          </w:tcPr>
          <w:p w14:paraId="7EB0B1F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不敏感</w:t>
            </w:r>
          </w:p>
        </w:tc>
        <w:tc>
          <w:tcPr>
            <w:tcW w:w="2198" w:type="dxa"/>
            <w:tcBorders>
              <w:top w:val="single" w:color="auto" w:sz="4" w:space="0"/>
              <w:left w:val="single" w:color="auto" w:sz="4" w:space="0"/>
              <w:bottom w:val="single" w:color="auto" w:sz="4" w:space="0"/>
              <w:right w:val="single" w:color="auto" w:sz="4" w:space="0"/>
            </w:tcBorders>
          </w:tcPr>
          <w:p w14:paraId="3552E78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二</w:t>
            </w:r>
          </w:p>
        </w:tc>
        <w:tc>
          <w:tcPr>
            <w:tcW w:w="2198" w:type="dxa"/>
            <w:tcBorders>
              <w:top w:val="single" w:color="auto" w:sz="4" w:space="0"/>
              <w:left w:val="single" w:color="auto" w:sz="4" w:space="0"/>
              <w:bottom w:val="single" w:color="auto" w:sz="4" w:space="0"/>
              <w:right w:val="single" w:color="auto" w:sz="4" w:space="0"/>
            </w:tcBorders>
          </w:tcPr>
          <w:p w14:paraId="7B7C564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三</w:t>
            </w:r>
          </w:p>
        </w:tc>
        <w:tc>
          <w:tcPr>
            <w:tcW w:w="2202" w:type="dxa"/>
            <w:tcBorders>
              <w:top w:val="single" w:color="auto" w:sz="4" w:space="0"/>
              <w:left w:val="single" w:color="auto" w:sz="4" w:space="0"/>
              <w:bottom w:val="single" w:color="auto" w:sz="4" w:space="0"/>
              <w:right w:val="single" w:color="auto" w:sz="4" w:space="0"/>
            </w:tcBorders>
            <w:shd w:val="clear" w:color="auto" w:fill="7F7F7F"/>
          </w:tcPr>
          <w:p w14:paraId="3968519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三</w:t>
            </w:r>
          </w:p>
        </w:tc>
      </w:tr>
    </w:tbl>
    <w:p w14:paraId="16725FD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lang w:val="en-US" w:eastAsia="zh-CN"/>
        </w:rPr>
        <w:t>根据查询</w:t>
      </w:r>
      <w:r>
        <w:rPr>
          <w:rFonts w:hint="default" w:ascii="Times New Roman" w:hAnsi="Times New Roman" w:eastAsia="宋体" w:cs="Times New Roman"/>
          <w:color w:val="auto"/>
          <w:sz w:val="24"/>
          <w:szCs w:val="24"/>
          <w:highlight w:val="none"/>
          <w:lang w:val="en-US" w:eastAsia="zh-CN"/>
        </w:rPr>
        <w:t>《云南省水利厅关于公布县级以上城市重要集中式饮用水水源地名录（2021年修订）的通知》（云水资源〔2021〕40号）中弥勒市饮用水水源地名录及其他相关文件</w:t>
      </w:r>
      <w:r>
        <w:rPr>
          <w:rFonts w:hint="default" w:ascii="Times New Roman" w:hAnsi="Times New Roman" w:eastAsia="宋体" w:cs="Times New Roman"/>
          <w:color w:val="auto"/>
          <w:sz w:val="24"/>
          <w:szCs w:val="24"/>
          <w:lang w:val="en-US" w:eastAsia="zh-CN"/>
        </w:rPr>
        <w:t>，本项目不涉及国家或地方政府设定的地下水环境相关的其它保护区，如热水、矿泉水、温泉等特殊地下水资源保护区以及补给径流区，不涉及</w:t>
      </w:r>
      <w:r>
        <w:rPr>
          <w:rFonts w:hint="default" w:ascii="Times New Roman" w:hAnsi="Times New Roman" w:cs="Times New Roman"/>
          <w:color w:val="auto"/>
          <w:sz w:val="24"/>
          <w:szCs w:val="24"/>
        </w:rPr>
        <w:t>分散式饮用水水源地；特殊地下水资源（如矿泉水、温泉等）</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val="en-US" w:eastAsia="zh-CN"/>
        </w:rPr>
        <w:t>项目所在区域不涉及表1.5-6中的“敏感”和“较敏感”区域，为上述地区之外的其它地区，项目所在区域地下水敏感特征为“不敏感”。</w:t>
      </w:r>
    </w:p>
    <w:p w14:paraId="14C5CBE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综上</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判定</w:t>
      </w:r>
      <w:r>
        <w:rPr>
          <w:rFonts w:hint="default" w:ascii="Times New Roman" w:hAnsi="Times New Roman" w:cs="Times New Roman"/>
          <w:color w:val="auto"/>
          <w:sz w:val="24"/>
          <w:highlight w:val="none"/>
        </w:rPr>
        <w:t>项目</w:t>
      </w:r>
      <w:r>
        <w:rPr>
          <w:rFonts w:hint="default" w:ascii="Times New Roman" w:hAnsi="Times New Roman" w:cs="Times New Roman"/>
          <w:color w:val="auto"/>
          <w:sz w:val="24"/>
          <w:highlight w:val="none"/>
          <w:lang w:eastAsia="zh-CN"/>
        </w:rPr>
        <w:t>区</w:t>
      </w:r>
      <w:r>
        <w:rPr>
          <w:rFonts w:hint="default" w:ascii="Times New Roman" w:hAnsi="Times New Roman" w:cs="Times New Roman"/>
          <w:color w:val="auto"/>
          <w:sz w:val="24"/>
          <w:highlight w:val="none"/>
        </w:rPr>
        <w:t>地下水环境敏感程度为“不敏感”，本项目地下水评价等级为三级。</w:t>
      </w:r>
    </w:p>
    <w:p w14:paraId="28FADE74">
      <w:pPr>
        <w:snapToGrid w:val="0"/>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（2）地下水环境评价范围</w:t>
      </w:r>
    </w:p>
    <w:p w14:paraId="4134848C">
      <w:pPr>
        <w:snapToGrid w:val="0"/>
        <w:spacing w:line="360" w:lineRule="auto"/>
        <w:ind w:firstLine="480" w:firstLineChars="200"/>
        <w:rPr>
          <w:rFonts w:hint="default" w:ascii="Times New Roman" w:hAnsi="Times New Roman" w:cs="Times New Roman"/>
          <w:color w:val="auto"/>
          <w:sz w:val="24"/>
          <w:highlight w:val="none"/>
          <w:lang w:bidi="ar"/>
        </w:rPr>
      </w:pPr>
      <w:r>
        <w:rPr>
          <w:rFonts w:hint="default" w:ascii="Times New Roman" w:hAnsi="Times New Roman" w:cs="Times New Roman"/>
          <w:color w:val="auto"/>
          <w:sz w:val="24"/>
          <w:highlight w:val="none"/>
          <w:lang w:bidi="ar"/>
        </w:rPr>
        <w:t>根据《环境影响评价技术导则 地下水环境》（HJ610-2016）要求，本评价采用自定义法确定评价范围，结合项目所在区域水文地质条件，地下水评价范围西北以地质界线为边界划定，东北侧</w:t>
      </w:r>
      <w:r>
        <w:rPr>
          <w:rFonts w:hint="default" w:ascii="Times New Roman" w:hAnsi="Times New Roman" w:cs="Times New Roman"/>
          <w:color w:val="auto"/>
          <w:sz w:val="24"/>
          <w:highlight w:val="none"/>
          <w:lang w:val="en-US" w:eastAsia="zh-CN" w:bidi="ar"/>
        </w:rPr>
        <w:t>-</w:t>
      </w:r>
      <w:r>
        <w:rPr>
          <w:rFonts w:hint="default" w:ascii="Times New Roman" w:hAnsi="Times New Roman" w:cs="Times New Roman"/>
          <w:color w:val="auto"/>
          <w:sz w:val="24"/>
          <w:highlight w:val="none"/>
          <w:lang w:bidi="ar"/>
        </w:rPr>
        <w:t>东侧-</w:t>
      </w:r>
      <w:r>
        <w:rPr>
          <w:rFonts w:hint="default" w:ascii="Times New Roman" w:hAnsi="Times New Roman" w:cs="Times New Roman"/>
          <w:color w:val="auto"/>
          <w:sz w:val="24"/>
          <w:highlight w:val="none"/>
          <w:lang w:val="en-US" w:eastAsia="zh-CN" w:bidi="ar"/>
        </w:rPr>
        <w:t>东</w:t>
      </w:r>
      <w:r>
        <w:rPr>
          <w:rFonts w:hint="default" w:ascii="Times New Roman" w:hAnsi="Times New Roman" w:cs="Times New Roman"/>
          <w:color w:val="auto"/>
          <w:sz w:val="24"/>
          <w:highlight w:val="none"/>
          <w:lang w:bidi="ar"/>
        </w:rPr>
        <w:t>南侧以</w:t>
      </w:r>
      <w:r>
        <w:rPr>
          <w:rFonts w:hint="default" w:ascii="Times New Roman" w:hAnsi="Times New Roman" w:cs="Times New Roman"/>
          <w:color w:val="auto"/>
          <w:sz w:val="24"/>
          <w:highlight w:val="none"/>
          <w:lang w:val="en-US" w:eastAsia="zh-CN" w:bidi="ar"/>
        </w:rPr>
        <w:t>山脊</w:t>
      </w:r>
      <w:r>
        <w:rPr>
          <w:rFonts w:hint="default" w:ascii="Times New Roman" w:hAnsi="Times New Roman" w:cs="Times New Roman"/>
          <w:color w:val="auto"/>
          <w:sz w:val="24"/>
          <w:highlight w:val="none"/>
          <w:lang w:bidi="ar"/>
        </w:rPr>
        <w:t>为边界划定，西侧以</w:t>
      </w:r>
      <w:r>
        <w:rPr>
          <w:rFonts w:hint="default" w:ascii="Times New Roman" w:hAnsi="Times New Roman" w:cs="Times New Roman"/>
          <w:color w:val="auto"/>
          <w:sz w:val="24"/>
          <w:highlight w:val="none"/>
          <w:lang w:val="en-US" w:eastAsia="zh-CN"/>
        </w:rPr>
        <w:t>甸溪河</w:t>
      </w:r>
      <w:r>
        <w:rPr>
          <w:rFonts w:hint="default" w:ascii="Times New Roman" w:hAnsi="Times New Roman" w:cs="Times New Roman"/>
          <w:color w:val="auto"/>
          <w:sz w:val="24"/>
          <w:highlight w:val="none"/>
          <w:lang w:eastAsia="zh-CN" w:bidi="ar"/>
        </w:rPr>
        <w:t>作为排泄基准面</w:t>
      </w:r>
      <w:r>
        <w:rPr>
          <w:rFonts w:hint="default" w:ascii="Times New Roman" w:hAnsi="Times New Roman" w:cs="Times New Roman"/>
          <w:color w:val="auto"/>
          <w:sz w:val="24"/>
          <w:highlight w:val="none"/>
          <w:lang w:bidi="ar"/>
        </w:rPr>
        <w:t>，确定本次地下水评价范围约21.24km</w:t>
      </w:r>
      <w:r>
        <w:rPr>
          <w:rFonts w:hint="default" w:ascii="Times New Roman" w:hAnsi="Times New Roman" w:cs="Times New Roman"/>
          <w:color w:val="auto"/>
          <w:sz w:val="24"/>
          <w:highlight w:val="none"/>
          <w:vertAlign w:val="superscript"/>
          <w:lang w:bidi="ar"/>
        </w:rPr>
        <w:t>2</w:t>
      </w:r>
      <w:r>
        <w:rPr>
          <w:rFonts w:hint="default" w:ascii="Times New Roman" w:hAnsi="Times New Roman" w:cs="Times New Roman"/>
          <w:color w:val="auto"/>
          <w:sz w:val="24"/>
          <w:highlight w:val="none"/>
          <w:lang w:bidi="ar"/>
        </w:rPr>
        <w:t>的区域。</w:t>
      </w:r>
    </w:p>
    <w:p w14:paraId="54DA2F3E">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122" w:name="_Toc18009"/>
      <w:r>
        <w:rPr>
          <w:rStyle w:val="35"/>
          <w:rFonts w:hint="default" w:ascii="Times New Roman" w:hAnsi="Times New Roman" w:eastAsia="宋体" w:cs="Times New Roman"/>
          <w:color w:val="auto"/>
          <w:sz w:val="24"/>
          <w:szCs w:val="24"/>
          <w:highlight w:val="none"/>
        </w:rPr>
        <w:t>1.</w:t>
      </w:r>
      <w:r>
        <w:rPr>
          <w:rStyle w:val="35"/>
          <w:rFonts w:hint="default" w:ascii="Times New Roman" w:hAnsi="Times New Roman" w:eastAsia="宋体" w:cs="Times New Roman"/>
          <w:color w:val="auto"/>
          <w:sz w:val="24"/>
          <w:szCs w:val="24"/>
          <w:highlight w:val="none"/>
          <w:lang w:val="en-US" w:eastAsia="zh-CN"/>
        </w:rPr>
        <w:t>5</w:t>
      </w:r>
      <w:r>
        <w:rPr>
          <w:rStyle w:val="35"/>
          <w:rFonts w:hint="default" w:ascii="Times New Roman" w:hAnsi="Times New Roman" w:eastAsia="宋体" w:cs="Times New Roman"/>
          <w:color w:val="auto"/>
          <w:sz w:val="24"/>
          <w:szCs w:val="24"/>
          <w:highlight w:val="none"/>
        </w:rPr>
        <w:t>.</w:t>
      </w:r>
      <w:r>
        <w:rPr>
          <w:rStyle w:val="35"/>
          <w:rFonts w:hint="default" w:ascii="Times New Roman" w:hAnsi="Times New Roman" w:eastAsia="宋体" w:cs="Times New Roman"/>
          <w:color w:val="auto"/>
          <w:sz w:val="24"/>
          <w:szCs w:val="24"/>
          <w:highlight w:val="none"/>
          <w:lang w:val="en-US" w:eastAsia="zh-CN"/>
        </w:rPr>
        <w:t>4</w:t>
      </w:r>
      <w:r>
        <w:rPr>
          <w:rStyle w:val="35"/>
          <w:rFonts w:hint="default" w:ascii="Times New Roman" w:hAnsi="Times New Roman" w:eastAsia="宋体" w:cs="Times New Roman"/>
          <w:color w:val="auto"/>
          <w:sz w:val="24"/>
          <w:szCs w:val="24"/>
          <w:highlight w:val="none"/>
        </w:rPr>
        <w:t>土壤环境评价等级与评价范围</w:t>
      </w:r>
      <w:bookmarkEnd w:id="122"/>
    </w:p>
    <w:p w14:paraId="56C507D4">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（1）评价工作等级</w:t>
      </w:r>
    </w:p>
    <w:p w14:paraId="67C0104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本项目年最大存栏生猪规模为</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000头，</w:t>
      </w:r>
      <w:r>
        <w:rPr>
          <w:rFonts w:hint="default" w:ascii="Times New Roman" w:hAnsi="Times New Roman" w:cs="Times New Roman"/>
          <w:color w:val="auto"/>
          <w:sz w:val="24"/>
          <w:highlight w:val="none"/>
          <w:lang w:val="en-US" w:eastAsia="zh-CN"/>
        </w:rPr>
        <w:t>年出栏8000头，</w:t>
      </w:r>
      <w:r>
        <w:rPr>
          <w:rFonts w:hint="default" w:ascii="Times New Roman" w:hAnsi="Times New Roman" w:cs="Times New Roman"/>
          <w:color w:val="auto"/>
          <w:sz w:val="24"/>
          <w:highlight w:val="none"/>
        </w:rPr>
        <w:t>根据《环境影响评价技术导则 土壤环境（试行）》（HJ964-2018）附录A“土壤环境影响评价项目类别表”，本项目养殖区属“农林牧渔”类中“年出栏生猪5000头及以上的畜禽养殖场或养殖小区”，属于</w:t>
      </w:r>
      <w:r>
        <w:rPr>
          <w:rFonts w:hint="eastAsia" w:ascii="Times New Roman" w:hAnsi="Times New Roman" w:cs="Times New Roman"/>
          <w:color w:val="auto"/>
          <w:sz w:val="24"/>
          <w:highlight w:val="none"/>
          <w:lang w:eastAsia="zh-CN"/>
        </w:rPr>
        <w:t>Ⅲ类</w:t>
      </w:r>
      <w:r>
        <w:rPr>
          <w:rFonts w:hint="default" w:ascii="Times New Roman" w:hAnsi="Times New Roman" w:cs="Times New Roman"/>
          <w:color w:val="auto"/>
          <w:sz w:val="24"/>
          <w:highlight w:val="none"/>
        </w:rPr>
        <w:t>建设项目。根据项目特点及项目运营期过程中可能对土壤环境造成的影响途径，本项目土壤环境评价类型属于生态影响型和污染影响型两者兼备的建设项目。</w:t>
      </w:r>
    </w:p>
    <w:p w14:paraId="3A87325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①生态影响型评价工作等级</w:t>
      </w:r>
    </w:p>
    <w:p w14:paraId="77E45D66">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土壤环境（试行）》（HJ964-2018），生态影响型土壤环境评价等级判断依据见表1.</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-8、表1.</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-9。</w:t>
      </w:r>
    </w:p>
    <w:p w14:paraId="7F6050E3">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表1.</w:t>
      </w:r>
      <w:r>
        <w:rPr>
          <w:rFonts w:hint="default" w:ascii="Times New Roman" w:hAnsi="Times New Roman" w:cs="Times New Roman"/>
          <w:b/>
          <w:color w:val="auto"/>
          <w:szCs w:val="21"/>
          <w:highlight w:val="none"/>
          <w:lang w:val="en-US" w:eastAsia="zh-CN"/>
        </w:rPr>
        <w:t>5</w:t>
      </w:r>
      <w:r>
        <w:rPr>
          <w:rFonts w:hint="default" w:ascii="Times New Roman" w:hAnsi="Times New Roman" w:cs="Times New Roman"/>
          <w:b/>
          <w:color w:val="auto"/>
          <w:szCs w:val="21"/>
          <w:highlight w:val="none"/>
        </w:rPr>
        <w:t>-8   生态影响型污染程度分级表</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5335"/>
        <w:gridCol w:w="1235"/>
        <w:gridCol w:w="1377"/>
      </w:tblGrid>
      <w:tr w14:paraId="39E2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48" w:type="dxa"/>
            <w:vMerge w:val="restart"/>
            <w:tcBorders>
              <w:top w:val="single" w:color="auto" w:sz="4" w:space="0"/>
              <w:left w:val="single" w:color="auto" w:sz="4" w:space="0"/>
              <w:bottom w:val="single" w:color="auto" w:sz="4" w:space="0"/>
              <w:right w:val="single" w:color="auto" w:sz="4" w:space="0"/>
            </w:tcBorders>
            <w:vAlign w:val="center"/>
          </w:tcPr>
          <w:p w14:paraId="4A20C842">
            <w:pPr>
              <w:keepNext w:val="0"/>
              <w:keepLines w:val="0"/>
              <w:widowControl/>
              <w:suppressLineNumbers w:val="0"/>
              <w:adjustRightInd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敏感程度</w:t>
            </w:r>
          </w:p>
        </w:tc>
        <w:tc>
          <w:tcPr>
            <w:tcW w:w="7947" w:type="dxa"/>
            <w:gridSpan w:val="3"/>
            <w:tcBorders>
              <w:top w:val="single" w:color="auto" w:sz="4" w:space="0"/>
              <w:left w:val="single" w:color="auto" w:sz="4" w:space="0"/>
              <w:bottom w:val="single" w:color="auto" w:sz="4" w:space="0"/>
              <w:right w:val="single" w:color="auto" w:sz="4" w:space="0"/>
            </w:tcBorders>
            <w:vAlign w:val="center"/>
          </w:tcPr>
          <w:p w14:paraId="577FCEEE">
            <w:pPr>
              <w:keepNext w:val="0"/>
              <w:keepLines w:val="0"/>
              <w:widowControl/>
              <w:suppressLineNumbers w:val="0"/>
              <w:adjustRightInd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判别依据</w:t>
            </w:r>
          </w:p>
        </w:tc>
      </w:tr>
      <w:tr w14:paraId="42BE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48" w:type="dxa"/>
            <w:vMerge w:val="continue"/>
            <w:tcBorders>
              <w:top w:val="single" w:color="auto" w:sz="4" w:space="0"/>
              <w:left w:val="single" w:color="auto" w:sz="4" w:space="0"/>
              <w:bottom w:val="single" w:color="auto" w:sz="4" w:space="0"/>
              <w:right w:val="single" w:color="auto" w:sz="4" w:space="0"/>
            </w:tcBorders>
            <w:vAlign w:val="center"/>
          </w:tcPr>
          <w:p w14:paraId="07407D1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335" w:type="dxa"/>
            <w:tcBorders>
              <w:top w:val="single" w:color="auto" w:sz="4" w:space="0"/>
              <w:left w:val="single" w:color="auto" w:sz="4" w:space="0"/>
              <w:bottom w:val="single" w:color="auto" w:sz="4" w:space="0"/>
              <w:right w:val="single" w:color="auto" w:sz="4" w:space="0"/>
            </w:tcBorders>
            <w:vAlign w:val="center"/>
          </w:tcPr>
          <w:p w14:paraId="3FB7DCBA">
            <w:pPr>
              <w:keepNext w:val="0"/>
              <w:keepLines w:val="0"/>
              <w:widowControl/>
              <w:suppressLineNumbers w:val="0"/>
              <w:adjustRightIn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lang w:bidi="ar"/>
              </w:rPr>
              <w:t>盐化</w:t>
            </w:r>
          </w:p>
        </w:tc>
        <w:tc>
          <w:tcPr>
            <w:tcW w:w="1235" w:type="dxa"/>
            <w:tcBorders>
              <w:top w:val="single" w:color="auto" w:sz="4" w:space="0"/>
              <w:left w:val="single" w:color="auto" w:sz="4" w:space="0"/>
              <w:bottom w:val="single" w:color="auto" w:sz="4" w:space="0"/>
              <w:right w:val="single" w:color="auto" w:sz="4" w:space="0"/>
            </w:tcBorders>
            <w:vAlign w:val="center"/>
          </w:tcPr>
          <w:p w14:paraId="4B5E6E5C">
            <w:pPr>
              <w:keepNext w:val="0"/>
              <w:keepLines w:val="0"/>
              <w:widowControl/>
              <w:suppressLineNumbers w:val="0"/>
              <w:adjustRightIn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lang w:bidi="ar"/>
              </w:rPr>
              <w:t>酸化</w:t>
            </w:r>
          </w:p>
        </w:tc>
        <w:tc>
          <w:tcPr>
            <w:tcW w:w="1377" w:type="dxa"/>
            <w:tcBorders>
              <w:top w:val="single" w:color="auto" w:sz="4" w:space="0"/>
              <w:left w:val="single" w:color="auto" w:sz="4" w:space="0"/>
              <w:bottom w:val="single" w:color="auto" w:sz="4" w:space="0"/>
              <w:right w:val="single" w:color="auto" w:sz="4" w:space="0"/>
            </w:tcBorders>
            <w:vAlign w:val="center"/>
          </w:tcPr>
          <w:p w14:paraId="7BA9F80F">
            <w:pPr>
              <w:keepNext w:val="0"/>
              <w:keepLines w:val="0"/>
              <w:widowControl/>
              <w:suppressLineNumbers w:val="0"/>
              <w:adjustRightIn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lang w:bidi="ar"/>
              </w:rPr>
              <w:t>碱化</w:t>
            </w:r>
          </w:p>
        </w:tc>
      </w:tr>
      <w:tr w14:paraId="1E9B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48" w:type="dxa"/>
            <w:tcBorders>
              <w:top w:val="single" w:color="auto" w:sz="4" w:space="0"/>
              <w:left w:val="single" w:color="auto" w:sz="4" w:space="0"/>
              <w:bottom w:val="single" w:color="auto" w:sz="4" w:space="0"/>
              <w:right w:val="single" w:color="auto" w:sz="4" w:space="0"/>
            </w:tcBorders>
            <w:vAlign w:val="center"/>
          </w:tcPr>
          <w:p w14:paraId="774D983B">
            <w:pPr>
              <w:keepNext w:val="0"/>
              <w:keepLines w:val="0"/>
              <w:widowControl/>
              <w:suppressLineNumbers w:val="0"/>
              <w:adjustRightIn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敏感</w:t>
            </w:r>
          </w:p>
        </w:tc>
        <w:tc>
          <w:tcPr>
            <w:tcW w:w="5335" w:type="dxa"/>
            <w:tcBorders>
              <w:top w:val="single" w:color="auto" w:sz="4" w:space="0"/>
              <w:left w:val="single" w:color="auto" w:sz="4" w:space="0"/>
              <w:bottom w:val="single" w:color="auto" w:sz="4" w:space="0"/>
              <w:right w:val="single" w:color="auto" w:sz="4" w:space="0"/>
            </w:tcBorders>
            <w:vAlign w:val="center"/>
          </w:tcPr>
          <w:p w14:paraId="141509E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bidi="ar"/>
              </w:rPr>
              <w:t>建设项目所在地干燥度&gt;2.5且常年地下水位平均埋深&lt;1.5m的地势平坦区域；或土壤含盐量&gt;4g/kg的区域</w:t>
            </w:r>
          </w:p>
        </w:tc>
        <w:tc>
          <w:tcPr>
            <w:tcW w:w="1235" w:type="dxa"/>
            <w:tcBorders>
              <w:top w:val="single" w:color="auto" w:sz="4" w:space="0"/>
              <w:left w:val="single" w:color="auto" w:sz="4" w:space="0"/>
              <w:bottom w:val="single" w:color="auto" w:sz="4" w:space="0"/>
              <w:right w:val="single" w:color="auto" w:sz="4" w:space="0"/>
            </w:tcBorders>
            <w:vAlign w:val="center"/>
          </w:tcPr>
          <w:p w14:paraId="47DA393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bidi="ar"/>
              </w:rPr>
              <w:t>pH≤4.5</w:t>
            </w:r>
          </w:p>
        </w:tc>
        <w:tc>
          <w:tcPr>
            <w:tcW w:w="1377" w:type="dxa"/>
            <w:tcBorders>
              <w:top w:val="single" w:color="auto" w:sz="4" w:space="0"/>
              <w:left w:val="single" w:color="auto" w:sz="4" w:space="0"/>
              <w:bottom w:val="single" w:color="auto" w:sz="4" w:space="0"/>
              <w:right w:val="single" w:color="auto" w:sz="4" w:space="0"/>
            </w:tcBorders>
            <w:vAlign w:val="center"/>
          </w:tcPr>
          <w:p w14:paraId="476EDA02">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lang w:bidi="ar"/>
              </w:rPr>
              <w:t>pH≥9.0</w:t>
            </w:r>
          </w:p>
        </w:tc>
      </w:tr>
      <w:tr w14:paraId="2ADF5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48" w:type="dxa"/>
            <w:tcBorders>
              <w:top w:val="single" w:color="auto" w:sz="4" w:space="0"/>
              <w:left w:val="single" w:color="auto" w:sz="4" w:space="0"/>
              <w:bottom w:val="single" w:color="auto" w:sz="4" w:space="0"/>
              <w:right w:val="single" w:color="auto" w:sz="4" w:space="0"/>
            </w:tcBorders>
            <w:vAlign w:val="center"/>
          </w:tcPr>
          <w:p w14:paraId="551701BC">
            <w:pPr>
              <w:keepNext w:val="0"/>
              <w:keepLines w:val="0"/>
              <w:widowControl/>
              <w:suppressLineNumbers w:val="0"/>
              <w:adjustRightIn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较敏感</w:t>
            </w:r>
          </w:p>
        </w:tc>
        <w:tc>
          <w:tcPr>
            <w:tcW w:w="5335" w:type="dxa"/>
            <w:tcBorders>
              <w:top w:val="single" w:color="auto" w:sz="4" w:space="0"/>
              <w:left w:val="single" w:color="auto" w:sz="4" w:space="0"/>
              <w:bottom w:val="single" w:color="auto" w:sz="4" w:space="0"/>
              <w:right w:val="single" w:color="auto" w:sz="4" w:space="0"/>
            </w:tcBorders>
            <w:vAlign w:val="center"/>
          </w:tcPr>
          <w:p w14:paraId="19ECC1D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bidi="ar"/>
              </w:rPr>
              <w:t>建设项目所在地干燥度&gt;2.5且常年地下水位平均埋深≥1.5m的，或1.8&lt;干燥度≤2.5且常年地下水位平均埋深&lt;1.8m的地势平坦区域；建设项目所在地干燥度&gt;2.5或常年地下水位平均埋深&lt;1.5m的平原区；或2g/kg&lt;土壤含盐量≤4g/kg的区域</w:t>
            </w:r>
          </w:p>
        </w:tc>
        <w:tc>
          <w:tcPr>
            <w:tcW w:w="1235" w:type="dxa"/>
            <w:tcBorders>
              <w:top w:val="single" w:color="auto" w:sz="4" w:space="0"/>
              <w:left w:val="single" w:color="auto" w:sz="4" w:space="0"/>
              <w:bottom w:val="single" w:color="auto" w:sz="4" w:space="0"/>
              <w:right w:val="single" w:color="auto" w:sz="4" w:space="0"/>
            </w:tcBorders>
            <w:vAlign w:val="center"/>
          </w:tcPr>
          <w:p w14:paraId="77B5928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bidi="ar"/>
              </w:rPr>
              <w:t>4.5&lt;pH≤5.5</w:t>
            </w:r>
          </w:p>
        </w:tc>
        <w:tc>
          <w:tcPr>
            <w:tcW w:w="1377" w:type="dxa"/>
            <w:tcBorders>
              <w:top w:val="single" w:color="auto" w:sz="4" w:space="0"/>
              <w:left w:val="single" w:color="auto" w:sz="4" w:space="0"/>
              <w:bottom w:val="single" w:color="auto" w:sz="4" w:space="0"/>
              <w:right w:val="single" w:color="auto" w:sz="4" w:space="0"/>
            </w:tcBorders>
            <w:vAlign w:val="center"/>
          </w:tcPr>
          <w:p w14:paraId="1E1515D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bidi="ar"/>
              </w:rPr>
              <w:t>8.5≤pH&lt;9.0</w:t>
            </w:r>
          </w:p>
        </w:tc>
      </w:tr>
      <w:tr w14:paraId="14BE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8" w:type="dxa"/>
            <w:tcBorders>
              <w:top w:val="single" w:color="auto" w:sz="4" w:space="0"/>
              <w:left w:val="single" w:color="auto" w:sz="4" w:space="0"/>
              <w:bottom w:val="single" w:color="auto" w:sz="4" w:space="0"/>
              <w:right w:val="single" w:color="auto" w:sz="4" w:space="0"/>
            </w:tcBorders>
            <w:vAlign w:val="center"/>
          </w:tcPr>
          <w:p w14:paraId="60B4BB73">
            <w:pPr>
              <w:keepNext w:val="0"/>
              <w:keepLines w:val="0"/>
              <w:widowControl/>
              <w:suppressLineNumbers w:val="0"/>
              <w:adjustRightIn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不敏感</w:t>
            </w:r>
          </w:p>
        </w:tc>
        <w:tc>
          <w:tcPr>
            <w:tcW w:w="5335" w:type="dxa"/>
            <w:tcBorders>
              <w:top w:val="single" w:color="auto" w:sz="4" w:space="0"/>
              <w:left w:val="single" w:color="auto" w:sz="4" w:space="0"/>
              <w:bottom w:val="single" w:color="auto" w:sz="4" w:space="0"/>
              <w:right w:val="single" w:color="auto" w:sz="4" w:space="0"/>
            </w:tcBorders>
            <w:vAlign w:val="center"/>
          </w:tcPr>
          <w:p w14:paraId="25AF904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bidi="ar"/>
              </w:rPr>
              <w:t>其他</w:t>
            </w:r>
          </w:p>
        </w:tc>
        <w:tc>
          <w:tcPr>
            <w:tcW w:w="2612" w:type="dxa"/>
            <w:gridSpan w:val="2"/>
            <w:tcBorders>
              <w:top w:val="single" w:color="auto" w:sz="4" w:space="0"/>
              <w:left w:val="single" w:color="auto" w:sz="4" w:space="0"/>
              <w:bottom w:val="single" w:color="auto" w:sz="4" w:space="0"/>
              <w:right w:val="single" w:color="auto" w:sz="4" w:space="0"/>
            </w:tcBorders>
            <w:vAlign w:val="center"/>
          </w:tcPr>
          <w:p w14:paraId="75F0768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bidi="ar"/>
              </w:rPr>
              <w:t>5.5&lt;pH&lt;8.5</w:t>
            </w:r>
          </w:p>
        </w:tc>
      </w:tr>
      <w:tr w14:paraId="6A0F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795" w:type="dxa"/>
            <w:gridSpan w:val="4"/>
            <w:tcBorders>
              <w:top w:val="single" w:color="auto" w:sz="4" w:space="0"/>
              <w:left w:val="single" w:color="auto" w:sz="4" w:space="0"/>
              <w:bottom w:val="single" w:color="auto" w:sz="4" w:space="0"/>
              <w:right w:val="single" w:color="auto" w:sz="4" w:space="0"/>
            </w:tcBorders>
            <w:vAlign w:val="center"/>
          </w:tcPr>
          <w:p w14:paraId="13E8F001">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shd w:val="clear" w:color="auto" w:fill="FFFFFF"/>
                <w:lang w:bidi="ar"/>
              </w:rPr>
            </w:pPr>
            <w:r>
              <w:rPr>
                <w:rFonts w:hint="default" w:ascii="Times New Roman" w:hAnsi="Times New Roman" w:cs="Times New Roman"/>
                <w:color w:val="auto"/>
                <w:kern w:val="0"/>
                <w:szCs w:val="21"/>
                <w:highlight w:val="none"/>
                <w:lang w:bidi="ar"/>
              </w:rPr>
              <w:t>干燥度是指采用 E601 观测的多年平均水面蒸发量与降水量的比值，即蒸降比值。</w:t>
            </w:r>
          </w:p>
        </w:tc>
      </w:tr>
    </w:tbl>
    <w:p w14:paraId="266EC23D">
      <w:pPr>
        <w:snapToGrid w:val="0"/>
        <w:jc w:val="center"/>
        <w:rPr>
          <w:rFonts w:hint="default" w:ascii="Times New Roman" w:hAnsi="Times New Roman" w:cs="Times New Roman"/>
          <w:b/>
          <w:color w:val="auto"/>
          <w:szCs w:val="21"/>
          <w:highlight w:val="none"/>
        </w:rPr>
      </w:pPr>
    </w:p>
    <w:p w14:paraId="47539FCA">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表1.</w:t>
      </w:r>
      <w:r>
        <w:rPr>
          <w:rFonts w:hint="default" w:ascii="Times New Roman" w:hAnsi="Times New Roman" w:cs="Times New Roman"/>
          <w:b/>
          <w:color w:val="auto"/>
          <w:szCs w:val="21"/>
          <w:highlight w:val="none"/>
          <w:lang w:val="en-US" w:eastAsia="zh-CN"/>
        </w:rPr>
        <w:t>5</w:t>
      </w:r>
      <w:r>
        <w:rPr>
          <w:rFonts w:hint="default" w:ascii="Times New Roman" w:hAnsi="Times New Roman" w:cs="Times New Roman"/>
          <w:b/>
          <w:color w:val="auto"/>
          <w:szCs w:val="21"/>
          <w:highlight w:val="none"/>
        </w:rPr>
        <w:t>-9   生态影响型评价工作等级划分表</w:t>
      </w:r>
    </w:p>
    <w:tbl>
      <w:tblPr>
        <w:tblStyle w:val="23"/>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1903"/>
        <w:gridCol w:w="1903"/>
        <w:gridCol w:w="1904"/>
      </w:tblGrid>
      <w:tr w14:paraId="24C4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76082AE1">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412750</wp:posOffset>
                      </wp:positionH>
                      <wp:positionV relativeFrom="paragraph">
                        <wp:posOffset>5715</wp:posOffset>
                      </wp:positionV>
                      <wp:extent cx="1468120" cy="996315"/>
                      <wp:effectExtent l="2540" t="3810" r="15240" b="9525"/>
                      <wp:wrapNone/>
                      <wp:docPr id="30" name="自选图形 4"/>
                      <wp:cNvGraphicFramePr/>
                      <a:graphic xmlns:a="http://schemas.openxmlformats.org/drawingml/2006/main">
                        <a:graphicData uri="http://schemas.microsoft.com/office/word/2010/wordprocessingShape">
                          <wps:wsp>
                            <wps:cNvCnPr>
                              <a:cxnSpLocks noChangeShapeType="1"/>
                            </wps:cNvCnPr>
                            <wps:spPr bwMode="auto">
                              <a:xfrm>
                                <a:off x="0" y="0"/>
                                <a:ext cx="1468120" cy="996315"/>
                              </a:xfrm>
                              <a:prstGeom prst="straightConnector1">
                                <a:avLst/>
                              </a:prstGeom>
                              <a:noFill/>
                              <a:ln w="9525">
                                <a:solidFill>
                                  <a:srgbClr val="000000"/>
                                </a:solidFill>
                                <a:round/>
                              </a:ln>
                            </wps:spPr>
                            <wps:bodyPr/>
                          </wps:wsp>
                        </a:graphicData>
                      </a:graphic>
                    </wp:anchor>
                  </w:drawing>
                </mc:Choice>
                <mc:Fallback>
                  <w:pict>
                    <v:shape id="自选图形 4" o:spid="_x0000_s1026" o:spt="32" type="#_x0000_t32" style="position:absolute;left:0pt;margin-left:32.5pt;margin-top:0.45pt;height:78.45pt;width:115.6pt;z-index:251663360;mso-width-relative:page;mso-height-relative:page;" filled="f" stroked="t" coordsize="21600,21600" o:gfxdata="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6w6PHWAAAABwEAAA8AAAAAAAAAAQAgAAAAIgAAAGRycy9kb3ducmV2LnhtbFBLAQIUABQA&#10;AAAIAIdO4kDq0kG78gEAALsDAAAOAAAAAAAAAAEAIAAAACUBAABkcnMvZTJvRG9jLnhtbFBLBQYA&#10;AAAABgAGAFkBAACJBQAAAAA=&#10;">
                      <v:fill on="f" focussize="0,0"/>
                      <v:stroke color="#000000" joinstyle="round"/>
                      <v:imagedata o:title=""/>
                      <o:lock v:ext="edit" aspectratio="f"/>
                    </v:shape>
                  </w:pict>
                </mc:Fallback>
              </mc:AlternateContent>
            </w:r>
            <w:r>
              <w:rPr>
                <w:rFonts w:hint="default" w:ascii="Times New Roman" w:hAnsi="Times New Roman" w:cs="Times New Roman"/>
                <w:b/>
                <w:color w:val="auto"/>
                <w:szCs w:val="21"/>
                <w:highlight w:val="none"/>
              </w:rPr>
              <w:t xml:space="preserve">            项目类别</w:t>
            </w:r>
          </w:p>
          <w:p w14:paraId="52184FDC">
            <w:pPr>
              <w:keepNext w:val="0"/>
              <w:keepLines w:val="0"/>
              <w:suppressLineNumbers w:val="0"/>
              <w:snapToGrid w:val="0"/>
              <w:spacing w:before="156" w:beforeLines="50" w:beforeAutospacing="0" w:after="0" w:afterAutospacing="0" w:line="360" w:lineRule="auto"/>
              <w:ind w:left="0" w:right="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-60960</wp:posOffset>
                      </wp:positionH>
                      <wp:positionV relativeFrom="paragraph">
                        <wp:posOffset>337185</wp:posOffset>
                      </wp:positionV>
                      <wp:extent cx="1898015" cy="515620"/>
                      <wp:effectExtent l="1270" t="4445" r="5715" b="13335"/>
                      <wp:wrapNone/>
                      <wp:docPr id="8" name="自选图形 5"/>
                      <wp:cNvGraphicFramePr/>
                      <a:graphic xmlns:a="http://schemas.openxmlformats.org/drawingml/2006/main">
                        <a:graphicData uri="http://schemas.microsoft.com/office/word/2010/wordprocessingShape">
                          <wps:wsp>
                            <wps:cNvCnPr>
                              <a:cxnSpLocks noChangeShapeType="1"/>
                            </wps:cNvCnPr>
                            <wps:spPr bwMode="auto">
                              <a:xfrm>
                                <a:off x="0" y="0"/>
                                <a:ext cx="1898015" cy="515620"/>
                              </a:xfrm>
                              <a:prstGeom prst="straightConnector1">
                                <a:avLst/>
                              </a:prstGeom>
                              <a:noFill/>
                              <a:ln w="9525">
                                <a:solidFill>
                                  <a:srgbClr val="000000"/>
                                </a:solidFill>
                                <a:round/>
                              </a:ln>
                            </wps:spPr>
                            <wps:bodyPr/>
                          </wps:wsp>
                        </a:graphicData>
                      </a:graphic>
                    </wp:anchor>
                  </w:drawing>
                </mc:Choice>
                <mc:Fallback>
                  <w:pict>
                    <v:shape id="自选图形 5" o:spid="_x0000_s1026" o:spt="32" type="#_x0000_t32" style="position:absolute;left:0pt;margin-left:-4.8pt;margin-top:26.55pt;height:40.6pt;width:149.45pt;z-index:251664384;mso-width-relative:page;mso-height-relative:page;" filled="f" stroked="t" coordsize="21600,21600" o:gfxdata="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mpwdtgAAAAJAQAADwAAAAAAAAABACAAAAAiAAAAZHJzL2Rvd25yZXYueG1sUEsBAhQA&#10;FAAAAAgAh07iQK946gryAQAAugMAAA4AAAAAAAAAAQAgAAAAJwEAAGRycy9lMm9Eb2MueG1sUEsF&#10;BgAAAAAGAAYAWQEAAIsFAAAAAA==&#10;">
                      <v:fill on="f" focussize="0,0"/>
                      <v:stroke color="#000000" joinstyle="round"/>
                      <v:imagedata o:title=""/>
                      <o:lock v:ext="edit" aspectratio="f"/>
                    </v:shape>
                  </w:pict>
                </mc:Fallback>
              </mc:AlternateContent>
            </w:r>
            <w:r>
              <w:rPr>
                <w:rFonts w:hint="default" w:ascii="Times New Roman" w:hAnsi="Times New Roman" w:cs="Times New Roman"/>
                <w:b/>
                <w:color w:val="auto"/>
                <w:szCs w:val="21"/>
                <w:highlight w:val="none"/>
              </w:rPr>
              <w:t>评价工作等级</w:t>
            </w:r>
          </w:p>
          <w:p w14:paraId="4E5EE742">
            <w:pPr>
              <w:keepNext w:val="0"/>
              <w:keepLines w:val="0"/>
              <w:suppressLineNumbers w:val="0"/>
              <w:snapToGrid w:val="0"/>
              <w:spacing w:before="156" w:beforeLines="50" w:beforeAutospacing="0" w:after="0" w:afterAutospacing="0" w:line="360" w:lineRule="auto"/>
              <w:ind w:left="0" w:right="0"/>
              <w:rPr>
                <w:rFonts w:hint="default" w:ascii="Times New Roman" w:hAnsi="Times New Roman" w:cs="Times New Roman"/>
                <w:b/>
                <w:color w:val="auto"/>
                <w:szCs w:val="21"/>
                <w:highlight w:val="none"/>
              </w:rPr>
            </w:pPr>
          </w:p>
          <w:p w14:paraId="6BC7ABBC">
            <w:pPr>
              <w:keepNext w:val="0"/>
              <w:keepLines w:val="0"/>
              <w:suppressLineNumbers w:val="0"/>
              <w:snapToGrid w:val="0"/>
              <w:spacing w:before="0" w:beforeAutospacing="0" w:after="0" w:afterAutospacing="0"/>
              <w:ind w:left="0" w:right="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敏感程度</w:t>
            </w:r>
          </w:p>
        </w:tc>
        <w:tc>
          <w:tcPr>
            <w:tcW w:w="1903" w:type="dxa"/>
            <w:vAlign w:val="center"/>
          </w:tcPr>
          <w:p w14:paraId="46E3198A">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I类</w:t>
            </w:r>
          </w:p>
        </w:tc>
        <w:tc>
          <w:tcPr>
            <w:tcW w:w="1903" w:type="dxa"/>
            <w:vAlign w:val="center"/>
          </w:tcPr>
          <w:p w14:paraId="69A55526">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eastAsia" w:ascii="Times New Roman" w:hAnsi="Times New Roman" w:cs="Times New Roman"/>
                <w:b/>
                <w:color w:val="auto"/>
                <w:szCs w:val="21"/>
                <w:highlight w:val="none"/>
                <w:lang w:eastAsia="zh-CN"/>
              </w:rPr>
              <w:t>Ⅱ类</w:t>
            </w:r>
          </w:p>
        </w:tc>
        <w:tc>
          <w:tcPr>
            <w:tcW w:w="1904" w:type="dxa"/>
            <w:vAlign w:val="center"/>
          </w:tcPr>
          <w:p w14:paraId="540A5149">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eastAsia" w:ascii="Times New Roman" w:hAnsi="Times New Roman" w:cs="Times New Roman"/>
                <w:b/>
                <w:color w:val="auto"/>
                <w:szCs w:val="21"/>
                <w:highlight w:val="none"/>
                <w:lang w:eastAsia="zh-CN"/>
              </w:rPr>
              <w:t>Ⅲ</w:t>
            </w:r>
            <w:r>
              <w:rPr>
                <w:rFonts w:hint="default" w:ascii="Times New Roman" w:hAnsi="Times New Roman" w:cs="Times New Roman"/>
                <w:b/>
                <w:color w:val="auto"/>
                <w:szCs w:val="21"/>
                <w:highlight w:val="none"/>
              </w:rPr>
              <w:t>类</w:t>
            </w:r>
          </w:p>
        </w:tc>
      </w:tr>
      <w:tr w14:paraId="4209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19DD934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敏感</w:t>
            </w:r>
          </w:p>
        </w:tc>
        <w:tc>
          <w:tcPr>
            <w:tcW w:w="1903" w:type="dxa"/>
            <w:vAlign w:val="center"/>
          </w:tcPr>
          <w:p w14:paraId="54537AF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1903" w:type="dxa"/>
            <w:vAlign w:val="center"/>
          </w:tcPr>
          <w:p w14:paraId="6B3FB52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1904" w:type="dxa"/>
            <w:vAlign w:val="center"/>
          </w:tcPr>
          <w:p w14:paraId="3536ECA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w:t>
            </w:r>
          </w:p>
        </w:tc>
      </w:tr>
      <w:tr w14:paraId="5988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11A4A12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较敏感</w:t>
            </w:r>
          </w:p>
        </w:tc>
        <w:tc>
          <w:tcPr>
            <w:tcW w:w="1903" w:type="dxa"/>
            <w:vAlign w:val="center"/>
          </w:tcPr>
          <w:p w14:paraId="06FF2EF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1903" w:type="dxa"/>
            <w:vAlign w:val="center"/>
          </w:tcPr>
          <w:p w14:paraId="417D8DB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1904" w:type="dxa"/>
            <w:vAlign w:val="center"/>
          </w:tcPr>
          <w:p w14:paraId="7E3BA87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w:t>
            </w:r>
          </w:p>
        </w:tc>
      </w:tr>
      <w:tr w14:paraId="0383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728B854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不敏感</w:t>
            </w:r>
          </w:p>
        </w:tc>
        <w:tc>
          <w:tcPr>
            <w:tcW w:w="1903" w:type="dxa"/>
            <w:vAlign w:val="center"/>
          </w:tcPr>
          <w:p w14:paraId="0FBDD66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1903" w:type="dxa"/>
            <w:vAlign w:val="center"/>
          </w:tcPr>
          <w:p w14:paraId="57FE615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w:t>
            </w:r>
          </w:p>
        </w:tc>
        <w:tc>
          <w:tcPr>
            <w:tcW w:w="1904" w:type="dxa"/>
            <w:vAlign w:val="center"/>
          </w:tcPr>
          <w:p w14:paraId="16874F0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7B4E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5" w:type="dxa"/>
            <w:gridSpan w:val="4"/>
          </w:tcPr>
          <w:p w14:paraId="0C783F9E">
            <w:pPr>
              <w:keepNext w:val="0"/>
              <w:keepLines w:val="0"/>
              <w:suppressLineNumbers w:val="0"/>
              <w:spacing w:before="0" w:beforeAutospacing="0" w:after="0" w:afterAutospacing="0"/>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注：“-”表示可不开展土壤环境影响评价工作。</w:t>
            </w:r>
          </w:p>
        </w:tc>
      </w:tr>
    </w:tbl>
    <w:p w14:paraId="27AF75BB">
      <w:pPr>
        <w:snapToGrid w:val="0"/>
        <w:spacing w:before="156" w:beforeLines="5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本次评价从“盐化”敏感程度及土壤“酸化、碱化”两种情况进行分析，具体如下：</w:t>
      </w:r>
    </w:p>
    <w:p w14:paraId="25EBE545">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◆盐化敏感程度</w:t>
      </w:r>
    </w:p>
    <w:p w14:paraId="5FB5851C">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根据弥勒市气象资料数据，弥勒市多年平均降水量约</w:t>
      </w:r>
      <w:r>
        <w:rPr>
          <w:rFonts w:hint="default" w:ascii="Times New Roman" w:hAnsi="Times New Roman" w:cs="Times New Roman"/>
          <w:color w:val="auto"/>
          <w:sz w:val="24"/>
          <w:highlight w:val="none"/>
          <w:lang w:val="en-US" w:eastAsia="zh-CN"/>
        </w:rPr>
        <w:t>800.3</w:t>
      </w:r>
      <w:r>
        <w:rPr>
          <w:rFonts w:hint="default" w:ascii="Times New Roman" w:hAnsi="Times New Roman" w:cs="Times New Roman"/>
          <w:color w:val="auto"/>
          <w:sz w:val="24"/>
          <w:highlight w:val="none"/>
        </w:rPr>
        <w:t>mm，多年平均蒸发量1368.9mm，故该区域干燥度为</w:t>
      </w:r>
      <w:r>
        <w:rPr>
          <w:rFonts w:hint="default" w:ascii="Times New Roman" w:hAnsi="Times New Roman" w:cs="Times New Roman"/>
          <w:color w:val="auto"/>
          <w:sz w:val="24"/>
          <w:highlight w:val="none"/>
          <w:lang w:val="en-US" w:eastAsia="zh-CN"/>
        </w:rPr>
        <w:t>1.71</w:t>
      </w:r>
      <w:r>
        <w:rPr>
          <w:rFonts w:hint="default" w:ascii="Times New Roman" w:hAnsi="Times New Roman" w:cs="Times New Roman"/>
          <w:color w:val="auto"/>
          <w:sz w:val="24"/>
          <w:highlight w:val="none"/>
        </w:rPr>
        <w:t>，干燥度＜2.5；根据项目水文地质资料，项目所在场地区域地下水埋深大于1.8m；此外，结合本次对项目评价范围内土壤监测点“含盐量”的检测结果</w:t>
      </w:r>
      <w:r>
        <w:rPr>
          <w:rFonts w:hint="default" w:ascii="Times New Roman" w:hAnsi="Times New Roman" w:cs="Times New Roman"/>
          <w:color w:val="auto"/>
          <w:sz w:val="24"/>
          <w:highlight w:val="none"/>
          <w:lang w:val="en-US" w:eastAsia="zh-CN"/>
        </w:rPr>
        <w:t>为0.648</w:t>
      </w:r>
      <w:r>
        <w:rPr>
          <w:rFonts w:hint="default" w:ascii="Times New Roman" w:hAnsi="Times New Roman" w:cs="Times New Roman"/>
          <w:color w:val="auto"/>
          <w:sz w:val="24"/>
          <w:highlight w:val="none"/>
        </w:rPr>
        <w:t>mg/kg，土壤“未盐化”。因此，根据表1.4-8可知，项目所在区域土壤环境盐化属“不敏感”。</w:t>
      </w:r>
    </w:p>
    <w:p w14:paraId="7FF31E51">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◆土壤酸化、碱化</w:t>
      </w:r>
    </w:p>
    <w:p w14:paraId="009986B8">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根据本次对项目区内土壤监测点pH的检测结果，项目区土壤监测点pH为</w:t>
      </w:r>
      <w:r>
        <w:rPr>
          <w:rFonts w:hint="default" w:ascii="Times New Roman" w:hAnsi="Times New Roman" w:cs="Times New Roman"/>
          <w:color w:val="auto"/>
          <w:sz w:val="24"/>
          <w:highlight w:val="none"/>
          <w:lang w:val="en-US" w:eastAsia="zh-CN"/>
        </w:rPr>
        <w:t>6.6</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7.0</w:t>
      </w: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，土壤未出现“酸化”及“碱化”，为“不敏感”土壤。</w:t>
      </w:r>
    </w:p>
    <w:p w14:paraId="3A50B590">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综上，本项目土壤“未盐化”，也未出现“酸化”及“碱化”，为“不敏感”土壤。结合表1.4-9可知，本项目生态影响型土壤环境评价不设评价等级及评价范围。</w:t>
      </w:r>
    </w:p>
    <w:p w14:paraId="3B1BFF3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②污染影响型评价工作等级</w:t>
      </w:r>
    </w:p>
    <w:p w14:paraId="72A1516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土壤环境》（HJ964－2018），污染影响型敏感程度分级详见表1.</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-10。</w:t>
      </w:r>
    </w:p>
    <w:p w14:paraId="6CFDFF21">
      <w:pPr>
        <w:pStyle w:val="38"/>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表1.</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-10污染影响型敏感程度分级表</w:t>
      </w:r>
    </w:p>
    <w:tbl>
      <w:tblPr>
        <w:tblStyle w:val="23"/>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7073"/>
      </w:tblGrid>
      <w:tr w14:paraId="1946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2" w:type="dxa"/>
            <w:vAlign w:val="center"/>
          </w:tcPr>
          <w:p w14:paraId="2D711634">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敏感程度</w:t>
            </w:r>
          </w:p>
        </w:tc>
        <w:tc>
          <w:tcPr>
            <w:tcW w:w="7073" w:type="dxa"/>
            <w:vAlign w:val="center"/>
          </w:tcPr>
          <w:p w14:paraId="21D8909C">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判别依据</w:t>
            </w:r>
          </w:p>
        </w:tc>
      </w:tr>
      <w:tr w14:paraId="55BF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2" w:type="dxa"/>
            <w:vAlign w:val="center"/>
          </w:tcPr>
          <w:p w14:paraId="758725E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敏感</w:t>
            </w:r>
          </w:p>
        </w:tc>
        <w:tc>
          <w:tcPr>
            <w:tcW w:w="7073" w:type="dxa"/>
            <w:vAlign w:val="center"/>
          </w:tcPr>
          <w:p w14:paraId="7B98861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建设项目周边存在耕地、园地、牧草地、饮用水水源地或居民区、学校、医院、疗养院、养老院等土壤环境敏感目标的</w:t>
            </w:r>
          </w:p>
        </w:tc>
      </w:tr>
      <w:tr w14:paraId="35F1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2" w:type="dxa"/>
            <w:vAlign w:val="center"/>
          </w:tcPr>
          <w:p w14:paraId="5848044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较敏感</w:t>
            </w:r>
          </w:p>
        </w:tc>
        <w:tc>
          <w:tcPr>
            <w:tcW w:w="7073" w:type="dxa"/>
            <w:vAlign w:val="center"/>
          </w:tcPr>
          <w:p w14:paraId="788BDAA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建设项目周边存在其他土壤环境敏感目标的</w:t>
            </w:r>
          </w:p>
        </w:tc>
      </w:tr>
      <w:tr w14:paraId="5625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2" w:type="dxa"/>
            <w:vAlign w:val="center"/>
          </w:tcPr>
          <w:p w14:paraId="09DFD82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不敏感</w:t>
            </w:r>
          </w:p>
        </w:tc>
        <w:tc>
          <w:tcPr>
            <w:tcW w:w="7073" w:type="dxa"/>
            <w:vAlign w:val="center"/>
          </w:tcPr>
          <w:p w14:paraId="1B0DC05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其他情况</w:t>
            </w:r>
          </w:p>
        </w:tc>
      </w:tr>
    </w:tbl>
    <w:p w14:paraId="1032C6E9">
      <w:pPr>
        <w:pStyle w:val="14"/>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项目周边存在耕地，故判断本项目土壤敏感程度为“敏感”。</w:t>
      </w:r>
      <w:r>
        <w:rPr>
          <w:rFonts w:hint="default" w:ascii="Times New Roman" w:hAnsi="Times New Roman" w:eastAsia="宋体" w:cs="Times New Roman"/>
          <w:b w:val="0"/>
          <w:bCs w:val="0"/>
          <w:color w:val="auto"/>
          <w:sz w:val="24"/>
          <w:szCs w:val="24"/>
        </w:rPr>
        <w:t>根据《环境影响评价技术导则 土壤环境（试行）》（HJ964-2018），将污染影响型建设项目占地规模分为大型（≥50hm</w:t>
      </w:r>
      <w:r>
        <w:rPr>
          <w:rFonts w:hint="default" w:ascii="Times New Roman" w:hAnsi="Times New Roman" w:eastAsia="宋体" w:cs="Times New Roman"/>
          <w:b w:val="0"/>
          <w:bCs w:val="0"/>
          <w:color w:val="auto"/>
          <w:sz w:val="24"/>
          <w:szCs w:val="24"/>
          <w:vertAlign w:val="superscript"/>
        </w:rPr>
        <w:t>2</w:t>
      </w:r>
      <w:r>
        <w:rPr>
          <w:rFonts w:hint="default" w:ascii="Times New Roman" w:hAnsi="Times New Roman" w:eastAsia="宋体" w:cs="Times New Roman"/>
          <w:b w:val="0"/>
          <w:bCs w:val="0"/>
          <w:color w:val="auto"/>
          <w:sz w:val="24"/>
          <w:szCs w:val="24"/>
        </w:rPr>
        <w:t>）、中型（5～50hm</w:t>
      </w:r>
      <w:r>
        <w:rPr>
          <w:rFonts w:hint="default" w:ascii="Times New Roman" w:hAnsi="Times New Roman" w:eastAsia="宋体" w:cs="Times New Roman"/>
          <w:b w:val="0"/>
          <w:bCs w:val="0"/>
          <w:color w:val="auto"/>
          <w:sz w:val="24"/>
          <w:szCs w:val="24"/>
          <w:vertAlign w:val="superscript"/>
        </w:rPr>
        <w:t>2</w:t>
      </w:r>
      <w:r>
        <w:rPr>
          <w:rFonts w:hint="default" w:ascii="Times New Roman" w:hAnsi="Times New Roman" w:eastAsia="宋体" w:cs="Times New Roman"/>
          <w:b w:val="0"/>
          <w:bCs w:val="0"/>
          <w:color w:val="auto"/>
          <w:sz w:val="24"/>
          <w:szCs w:val="24"/>
        </w:rPr>
        <w:t>）、小型（≤5hm</w:t>
      </w:r>
      <w:r>
        <w:rPr>
          <w:rFonts w:hint="default" w:ascii="Times New Roman" w:hAnsi="Times New Roman" w:eastAsia="宋体" w:cs="Times New Roman"/>
          <w:b w:val="0"/>
          <w:bCs w:val="0"/>
          <w:color w:val="auto"/>
          <w:sz w:val="24"/>
          <w:szCs w:val="24"/>
          <w:vertAlign w:val="superscript"/>
        </w:rPr>
        <w:t>2</w:t>
      </w:r>
      <w:r>
        <w:rPr>
          <w:rFonts w:hint="default" w:ascii="Times New Roman" w:hAnsi="Times New Roman" w:eastAsia="宋体" w:cs="Times New Roman"/>
          <w:b w:val="0"/>
          <w:bCs w:val="0"/>
          <w:color w:val="auto"/>
          <w:sz w:val="24"/>
          <w:szCs w:val="24"/>
        </w:rPr>
        <w:t>），建设项目占地均为永久占地</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cs="Times New Roman"/>
          <w:color w:val="auto"/>
          <w:sz w:val="24"/>
          <w:highlight w:val="none"/>
        </w:rPr>
        <w:t>项目占地面积为</w:t>
      </w:r>
      <w:r>
        <w:rPr>
          <w:rFonts w:hint="default" w:ascii="Times New Roman" w:hAnsi="Times New Roman" w:cs="Times New Roman"/>
          <w:color w:val="auto"/>
          <w:sz w:val="24"/>
          <w:highlight w:val="none"/>
          <w:lang w:val="en-US" w:eastAsia="zh-CN"/>
        </w:rPr>
        <w:t>5.86</w:t>
      </w:r>
      <w:r>
        <w:rPr>
          <w:rFonts w:hint="default" w:ascii="Times New Roman" w:hAnsi="Times New Roman" w:cs="Times New Roman"/>
          <w:color w:val="auto"/>
          <w:sz w:val="24"/>
          <w:highlight w:val="none"/>
        </w:rPr>
        <w:t>hm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vertAlign w:val="baseline"/>
          <w:lang w:eastAsia="zh-CN"/>
        </w:rPr>
        <w:t>，</w:t>
      </w:r>
      <w:r>
        <w:rPr>
          <w:rFonts w:hint="default" w:ascii="Times New Roman" w:hAnsi="Times New Roman" w:cs="Times New Roman"/>
          <w:bCs/>
          <w:color w:val="auto"/>
          <w:sz w:val="24"/>
          <w:szCs w:val="24"/>
        </w:rPr>
        <w:t>占地规模属“</w:t>
      </w:r>
      <w:r>
        <w:rPr>
          <w:rFonts w:hint="default" w:ascii="Times New Roman" w:hAnsi="Times New Roman" w:cs="Times New Roman"/>
          <w:bCs/>
          <w:color w:val="auto"/>
          <w:sz w:val="24"/>
          <w:szCs w:val="24"/>
          <w:lang w:val="en-US" w:eastAsia="zh-CN"/>
        </w:rPr>
        <w:t>中</w:t>
      </w:r>
      <w:r>
        <w:rPr>
          <w:rFonts w:hint="default" w:ascii="Times New Roman" w:hAnsi="Times New Roman" w:cs="Times New Roman"/>
          <w:bCs/>
          <w:color w:val="auto"/>
          <w:sz w:val="24"/>
          <w:szCs w:val="24"/>
        </w:rPr>
        <w:t>型”</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即</w:t>
      </w:r>
      <w:r>
        <w:rPr>
          <w:rFonts w:hint="default" w:ascii="Times New Roman" w:hAnsi="Times New Roman" w:cs="Times New Roman"/>
          <w:color w:val="auto"/>
          <w:sz w:val="24"/>
          <w:szCs w:val="24"/>
        </w:rPr>
        <w:t>5hm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＜永久占地面积＜50hm</w:t>
      </w:r>
      <w:r>
        <w:rPr>
          <w:rFonts w:hint="default" w:ascii="Times New Roman" w:hAnsi="Times New Roman" w:cs="Times New Roman"/>
          <w:color w:val="auto"/>
          <w:sz w:val="24"/>
          <w:szCs w:val="24"/>
          <w:vertAlign w:val="superscript"/>
        </w:rPr>
        <w:t>2</w:t>
      </w:r>
      <w:r>
        <w:rPr>
          <w:rFonts w:hint="default" w:ascii="Times New Roman" w:hAnsi="Times New Roman" w:cs="Times New Roman"/>
          <w:bCs/>
          <w:color w:val="auto"/>
          <w:sz w:val="24"/>
          <w:szCs w:val="24"/>
        </w:rPr>
        <w:t>）</w:t>
      </w:r>
      <w:r>
        <w:rPr>
          <w:rFonts w:hint="default" w:ascii="Times New Roman" w:hAnsi="Times New Roman" w:cs="Times New Roman"/>
          <w:color w:val="auto"/>
          <w:sz w:val="24"/>
          <w:highlight w:val="none"/>
        </w:rPr>
        <w:t>。</w:t>
      </w:r>
    </w:p>
    <w:p w14:paraId="25284F62">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土壤环境》（HJ964－2018），污染影响型项目土壤环境影响评价项目类别与敏感程度划分评价工作等级，详见下表。</w:t>
      </w:r>
    </w:p>
    <w:p w14:paraId="237B73BF">
      <w:pPr>
        <w:ind w:firstLine="1890" w:firstLineChars="900"/>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表1.</w:t>
      </w:r>
      <w:r>
        <w:rPr>
          <w:rFonts w:hint="default" w:ascii="Times New Roman" w:hAnsi="Times New Roman" w:eastAsia="黑体" w:cs="Times New Roman"/>
          <w:color w:val="auto"/>
          <w:sz w:val="21"/>
          <w:szCs w:val="21"/>
          <w:highlight w:val="none"/>
          <w:lang w:val="en-US" w:eastAsia="zh-CN"/>
        </w:rPr>
        <w:t>5</w:t>
      </w:r>
      <w:r>
        <w:rPr>
          <w:rFonts w:hint="default" w:ascii="Times New Roman" w:hAnsi="Times New Roman" w:eastAsia="黑体" w:cs="Times New Roman"/>
          <w:color w:val="auto"/>
          <w:sz w:val="21"/>
          <w:szCs w:val="21"/>
          <w:highlight w:val="none"/>
        </w:rPr>
        <w:t>-11污染影响型评价工作等级划分表</w:t>
      </w:r>
    </w:p>
    <w:tbl>
      <w:tblPr>
        <w:tblStyle w:val="23"/>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729"/>
        <w:gridCol w:w="732"/>
        <w:gridCol w:w="732"/>
        <w:gridCol w:w="732"/>
        <w:gridCol w:w="730"/>
        <w:gridCol w:w="732"/>
        <w:gridCol w:w="732"/>
        <w:gridCol w:w="732"/>
        <w:gridCol w:w="639"/>
      </w:tblGrid>
      <w:tr w14:paraId="1676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vMerge w:val="restart"/>
            <w:vAlign w:val="center"/>
          </w:tcPr>
          <w:p w14:paraId="64A22AA8">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mc:AlternateContent>
                <mc:Choice Requires="wps">
                  <w:drawing>
                    <wp:anchor distT="0" distB="0" distL="114300" distR="114300" simplePos="0" relativeHeight="251665408" behindDoc="0" locked="0" layoutInCell="1" allowOverlap="1">
                      <wp:simplePos x="0" y="0"/>
                      <wp:positionH relativeFrom="column">
                        <wp:posOffset>657225</wp:posOffset>
                      </wp:positionH>
                      <wp:positionV relativeFrom="paragraph">
                        <wp:posOffset>-1905</wp:posOffset>
                      </wp:positionV>
                      <wp:extent cx="704850" cy="596900"/>
                      <wp:effectExtent l="3175" t="3810" r="15875" b="8890"/>
                      <wp:wrapNone/>
                      <wp:docPr id="6" name="直接连接符 26"/>
                      <wp:cNvGraphicFramePr/>
                      <a:graphic xmlns:a="http://schemas.openxmlformats.org/drawingml/2006/main">
                        <a:graphicData uri="http://schemas.microsoft.com/office/word/2010/wordprocessingShape">
                          <wps:wsp>
                            <wps:cNvCnPr/>
                            <wps:spPr>
                              <a:xfrm flipH="1" flipV="1">
                                <a:off x="0" y="0"/>
                                <a:ext cx="704850" cy="596900"/>
                              </a:xfrm>
                              <a:prstGeom prst="line">
                                <a:avLst/>
                              </a:prstGeom>
                              <a:noFill/>
                              <a:ln w="6350" cap="flat" cmpd="sng" algn="ctr">
                                <a:solidFill>
                                  <a:sysClr val="windowText" lastClr="000000"/>
                                </a:solidFill>
                                <a:prstDash val="solid"/>
                              </a:ln>
                              <a:effectLst/>
                            </wps:spPr>
                            <wps:bodyPr/>
                          </wps:wsp>
                        </a:graphicData>
                      </a:graphic>
                    </wp:anchor>
                  </w:drawing>
                </mc:Choice>
                <mc:Fallback>
                  <w:pict>
                    <v:line id="直接连接符 26" o:spid="_x0000_s1026" o:spt="20" style="position:absolute;left:0pt;flip:x y;margin-left:51.75pt;margin-top:-0.15pt;height:47pt;width:55.5pt;z-index:251665408;mso-width-relative:page;mso-height-relative:page;" filled="f" stroked="t" coordsize="21600,21600" o:gfxdata="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7aDXHWAAAACAEAAA8AAAAAAAAAAQAgAAAAIgAAAGRycy9kb3ducmV2Lnht&#10;bFBLAQIUABQAAAAIAIdO4kD9963y+wEAANUDAAAOAAAAAAAAAAEAIAAAACUBAABkcnMvZTJvRG9j&#10;LnhtbFBLBQYAAAAABgAGAFkBAACSBQAAAAA=&#10;">
                      <v:fill on="f" focussize="0,0"/>
                      <v:stroke weight="0.5pt" color="#000000" joinstyle="round"/>
                      <v:imagedata o:title=""/>
                      <o:lock v:ext="edit" aspectratio="f"/>
                    </v:line>
                  </w:pict>
                </mc:Fallback>
              </mc:AlternateContent>
            </w:r>
            <w:r>
              <w:rPr>
                <w:rFonts w:hint="default" w:ascii="Times New Roman" w:hAnsi="Times New Roman" w:cs="Times New Roman"/>
                <w:b/>
                <w:color w:val="auto"/>
                <w:szCs w:val="21"/>
                <w:highlight w:val="none"/>
              </w:rPr>
              <w:t xml:space="preserve">           占地规模</w:t>
            </w:r>
          </w:p>
          <w:p w14:paraId="1DD49593">
            <w:pPr>
              <w:keepNext w:val="0"/>
              <w:keepLines w:val="0"/>
              <w:suppressLineNumbers w:val="0"/>
              <w:spacing w:before="0" w:beforeAutospacing="0" w:after="0" w:afterAutospacing="0"/>
              <w:ind w:left="0" w:right="0" w:firstLine="315" w:firstLineChars="150"/>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mc:AlternateContent>
                <mc:Choice Requires="wps">
                  <w:drawing>
                    <wp:anchor distT="0" distB="0" distL="114300" distR="114300" simplePos="0" relativeHeight="251666432" behindDoc="0" locked="0" layoutInCell="1" allowOverlap="1">
                      <wp:simplePos x="0" y="0"/>
                      <wp:positionH relativeFrom="column">
                        <wp:posOffset>-71755</wp:posOffset>
                      </wp:positionH>
                      <wp:positionV relativeFrom="paragraph">
                        <wp:posOffset>85090</wp:posOffset>
                      </wp:positionV>
                      <wp:extent cx="1422400" cy="292100"/>
                      <wp:effectExtent l="1270" t="4445" r="5080" b="8255"/>
                      <wp:wrapNone/>
                      <wp:docPr id="5" name="直接连接符 27"/>
                      <wp:cNvGraphicFramePr/>
                      <a:graphic xmlns:a="http://schemas.openxmlformats.org/drawingml/2006/main">
                        <a:graphicData uri="http://schemas.microsoft.com/office/word/2010/wordprocessingShape">
                          <wps:wsp>
                            <wps:cNvCnPr/>
                            <wps:spPr>
                              <a:xfrm flipH="1" flipV="1">
                                <a:off x="0" y="0"/>
                                <a:ext cx="1422400" cy="292100"/>
                              </a:xfrm>
                              <a:prstGeom prst="line">
                                <a:avLst/>
                              </a:prstGeom>
                              <a:noFill/>
                              <a:ln w="6350" cap="flat" cmpd="sng" algn="ctr">
                                <a:solidFill>
                                  <a:sysClr val="windowText" lastClr="000000"/>
                                </a:solidFill>
                                <a:prstDash val="solid"/>
                              </a:ln>
                              <a:effectLst/>
                            </wps:spPr>
                            <wps:bodyPr/>
                          </wps:wsp>
                        </a:graphicData>
                      </a:graphic>
                    </wp:anchor>
                  </w:drawing>
                </mc:Choice>
                <mc:Fallback>
                  <w:pict>
                    <v:line id="直接连接符 27" o:spid="_x0000_s1026" o:spt="20" style="position:absolute;left:0pt;flip:x y;margin-left:-5.65pt;margin-top:6.7pt;height:23pt;width:112pt;z-index:251666432;mso-width-relative:page;mso-height-relative:page;" filled="f" stroked="t" coordsize="21600,21600" o:gfxdata="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cGjCx2AAAAAkBAAAPAAAAAAAAAAEAIAAAACIAAABkcnMvZG93bnJldi54&#10;bWxQSwECFAAUAAAACACHTuJASxJNqfoBAADWAwAADgAAAAAAAAABACAAAAAnAQAAZHJzL2Uyb0Rv&#10;Yy54bWxQSwUGAAAAAAYABgBZAQAAkwUAAAAA&#10;">
                      <v:fill on="f" focussize="0,0"/>
                      <v:stroke weight="0.5pt" color="#000000" joinstyle="round"/>
                      <v:imagedata o:title=""/>
                      <o:lock v:ext="edit" aspectratio="f"/>
                    </v:line>
                  </w:pict>
                </mc:Fallback>
              </mc:AlternateContent>
            </w:r>
            <w:r>
              <w:rPr>
                <w:rFonts w:hint="default" w:ascii="Times New Roman" w:hAnsi="Times New Roman" w:cs="Times New Roman"/>
                <w:b/>
                <w:color w:val="auto"/>
                <w:szCs w:val="21"/>
                <w:highlight w:val="none"/>
              </w:rPr>
              <w:t>评价工作等级</w:t>
            </w:r>
          </w:p>
          <w:p w14:paraId="6241DB12">
            <w:pPr>
              <w:keepNext w:val="0"/>
              <w:keepLines w:val="0"/>
              <w:suppressLineNumbers w:val="0"/>
              <w:spacing w:before="0" w:beforeAutospacing="0" w:after="0" w:afterAutospacing="0"/>
              <w:ind w:left="0" w:right="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敏感程度</w:t>
            </w:r>
          </w:p>
        </w:tc>
        <w:tc>
          <w:tcPr>
            <w:tcW w:w="2193" w:type="dxa"/>
            <w:gridSpan w:val="3"/>
            <w:vAlign w:val="center"/>
          </w:tcPr>
          <w:p w14:paraId="2F5FD4E5">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I类</w:t>
            </w:r>
          </w:p>
        </w:tc>
        <w:tc>
          <w:tcPr>
            <w:tcW w:w="2194" w:type="dxa"/>
            <w:gridSpan w:val="3"/>
            <w:vAlign w:val="center"/>
          </w:tcPr>
          <w:p w14:paraId="703636B9">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eastAsia" w:ascii="Times New Roman" w:hAnsi="Times New Roman" w:cs="Times New Roman"/>
                <w:b/>
                <w:color w:val="auto"/>
                <w:szCs w:val="21"/>
                <w:highlight w:val="none"/>
                <w:lang w:eastAsia="zh-CN"/>
              </w:rPr>
              <w:t>Ⅱ类</w:t>
            </w:r>
          </w:p>
        </w:tc>
        <w:tc>
          <w:tcPr>
            <w:tcW w:w="2103" w:type="dxa"/>
            <w:gridSpan w:val="3"/>
            <w:vAlign w:val="center"/>
          </w:tcPr>
          <w:p w14:paraId="55E5B651">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eastAsia" w:cs="Times New Roman"/>
                <w:b/>
                <w:color w:val="auto"/>
                <w:szCs w:val="21"/>
                <w:highlight w:val="none"/>
                <w:lang w:eastAsia="zh-CN"/>
              </w:rPr>
              <w:t>Ⅲ</w:t>
            </w:r>
            <w:r>
              <w:rPr>
                <w:rFonts w:hint="default" w:ascii="Times New Roman" w:hAnsi="Times New Roman" w:cs="Times New Roman"/>
                <w:b/>
                <w:color w:val="auto"/>
                <w:szCs w:val="21"/>
                <w:highlight w:val="none"/>
              </w:rPr>
              <w:t>类</w:t>
            </w:r>
          </w:p>
        </w:tc>
      </w:tr>
      <w:tr w14:paraId="770D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vMerge w:val="continue"/>
            <w:vAlign w:val="center"/>
          </w:tcPr>
          <w:p w14:paraId="4732D9D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729" w:type="dxa"/>
            <w:vAlign w:val="center"/>
          </w:tcPr>
          <w:p w14:paraId="2972AA8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w:t>
            </w:r>
          </w:p>
        </w:tc>
        <w:tc>
          <w:tcPr>
            <w:tcW w:w="732" w:type="dxa"/>
            <w:vAlign w:val="center"/>
          </w:tcPr>
          <w:p w14:paraId="0B23940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w:t>
            </w:r>
          </w:p>
        </w:tc>
        <w:tc>
          <w:tcPr>
            <w:tcW w:w="732" w:type="dxa"/>
            <w:vAlign w:val="center"/>
          </w:tcPr>
          <w:p w14:paraId="49EB33F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w:t>
            </w:r>
          </w:p>
        </w:tc>
        <w:tc>
          <w:tcPr>
            <w:tcW w:w="732" w:type="dxa"/>
            <w:vAlign w:val="center"/>
          </w:tcPr>
          <w:p w14:paraId="5C13A21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w:t>
            </w:r>
          </w:p>
        </w:tc>
        <w:tc>
          <w:tcPr>
            <w:tcW w:w="730" w:type="dxa"/>
            <w:vAlign w:val="center"/>
          </w:tcPr>
          <w:p w14:paraId="5A422F2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w:t>
            </w:r>
          </w:p>
        </w:tc>
        <w:tc>
          <w:tcPr>
            <w:tcW w:w="732" w:type="dxa"/>
            <w:vAlign w:val="center"/>
          </w:tcPr>
          <w:p w14:paraId="3761D62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w:t>
            </w:r>
          </w:p>
        </w:tc>
        <w:tc>
          <w:tcPr>
            <w:tcW w:w="732" w:type="dxa"/>
            <w:vAlign w:val="center"/>
          </w:tcPr>
          <w:p w14:paraId="329CCEA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w:t>
            </w:r>
          </w:p>
        </w:tc>
        <w:tc>
          <w:tcPr>
            <w:tcW w:w="732" w:type="dxa"/>
            <w:vAlign w:val="center"/>
          </w:tcPr>
          <w:p w14:paraId="3019E7C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w:t>
            </w:r>
          </w:p>
        </w:tc>
        <w:tc>
          <w:tcPr>
            <w:tcW w:w="639" w:type="dxa"/>
            <w:tcBorders>
              <w:bottom w:val="single" w:color="auto" w:sz="4" w:space="0"/>
            </w:tcBorders>
            <w:shd w:val="clear" w:color="auto" w:fill="auto"/>
            <w:vAlign w:val="center"/>
          </w:tcPr>
          <w:p w14:paraId="0644490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w:t>
            </w:r>
          </w:p>
        </w:tc>
      </w:tr>
      <w:tr w14:paraId="2561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shd w:val="clear" w:color="auto" w:fill="auto"/>
            <w:vAlign w:val="center"/>
          </w:tcPr>
          <w:p w14:paraId="5CA0809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敏感</w:t>
            </w:r>
          </w:p>
        </w:tc>
        <w:tc>
          <w:tcPr>
            <w:tcW w:w="729" w:type="dxa"/>
            <w:shd w:val="clear" w:color="auto" w:fill="auto"/>
            <w:vAlign w:val="center"/>
          </w:tcPr>
          <w:p w14:paraId="0B09D36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732" w:type="dxa"/>
            <w:shd w:val="clear" w:color="auto" w:fill="auto"/>
            <w:vAlign w:val="center"/>
          </w:tcPr>
          <w:p w14:paraId="5A20F19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732" w:type="dxa"/>
            <w:shd w:val="clear" w:color="auto" w:fill="auto"/>
            <w:vAlign w:val="center"/>
          </w:tcPr>
          <w:p w14:paraId="04CB2AD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732" w:type="dxa"/>
            <w:shd w:val="clear" w:color="auto" w:fill="auto"/>
            <w:vAlign w:val="center"/>
          </w:tcPr>
          <w:p w14:paraId="11569EB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730" w:type="dxa"/>
            <w:shd w:val="clear" w:color="auto" w:fill="auto"/>
            <w:vAlign w:val="center"/>
          </w:tcPr>
          <w:p w14:paraId="5B174C3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732" w:type="dxa"/>
            <w:shd w:val="clear" w:color="auto" w:fill="auto"/>
            <w:vAlign w:val="center"/>
          </w:tcPr>
          <w:p w14:paraId="7C5824B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732" w:type="dxa"/>
            <w:shd w:val="clear" w:color="auto" w:fill="auto"/>
            <w:vAlign w:val="center"/>
          </w:tcPr>
          <w:p w14:paraId="05FF453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w:t>
            </w:r>
          </w:p>
        </w:tc>
        <w:tc>
          <w:tcPr>
            <w:tcW w:w="732" w:type="dxa"/>
            <w:shd w:val="clear" w:color="auto" w:fill="DBE3F4" w:themeFill="accent1" w:themeFillTint="32"/>
            <w:vAlign w:val="center"/>
          </w:tcPr>
          <w:p w14:paraId="1C7C5AE8">
            <w:pPr>
              <w:rPr>
                <w:rFonts w:hint="default" w:ascii="Times New Roman" w:hAnsi="Times New Roman" w:cs="Times New Roman"/>
                <w:color w:val="auto"/>
              </w:rPr>
            </w:pPr>
            <w:r>
              <w:rPr>
                <w:rFonts w:hint="default" w:ascii="Times New Roman" w:hAnsi="Times New Roman" w:cs="Times New Roman"/>
                <w:color w:val="auto"/>
                <w:shd w:val="clear" w:color="auto" w:fill="auto"/>
              </w:rPr>
              <w:t>三级</w:t>
            </w:r>
          </w:p>
        </w:tc>
        <w:tc>
          <w:tcPr>
            <w:tcW w:w="639" w:type="dxa"/>
            <w:shd w:val="clear" w:color="auto" w:fill="auto"/>
            <w:vAlign w:val="center"/>
          </w:tcPr>
          <w:p w14:paraId="725708B2">
            <w:pPr>
              <w:rPr>
                <w:rFonts w:hint="default" w:ascii="Times New Roman" w:hAnsi="Times New Roman" w:cs="Times New Roman"/>
                <w:color w:val="auto"/>
              </w:rPr>
            </w:pPr>
            <w:r>
              <w:rPr>
                <w:rFonts w:hint="default" w:ascii="Times New Roman" w:hAnsi="Times New Roman" w:cs="Times New Roman"/>
                <w:color w:val="auto"/>
                <w:shd w:val="clear" w:color="FFFFFF"/>
              </w:rPr>
              <w:t>三级</w:t>
            </w:r>
          </w:p>
        </w:tc>
      </w:tr>
      <w:tr w14:paraId="0483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vAlign w:val="center"/>
          </w:tcPr>
          <w:p w14:paraId="6C1AAFE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较敏感</w:t>
            </w:r>
          </w:p>
        </w:tc>
        <w:tc>
          <w:tcPr>
            <w:tcW w:w="729" w:type="dxa"/>
            <w:vAlign w:val="center"/>
          </w:tcPr>
          <w:p w14:paraId="18A62ED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732" w:type="dxa"/>
            <w:vAlign w:val="center"/>
          </w:tcPr>
          <w:p w14:paraId="559D84F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732" w:type="dxa"/>
            <w:vAlign w:val="center"/>
          </w:tcPr>
          <w:p w14:paraId="77E5495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732" w:type="dxa"/>
            <w:vAlign w:val="center"/>
          </w:tcPr>
          <w:p w14:paraId="5B74179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730" w:type="dxa"/>
            <w:vAlign w:val="center"/>
          </w:tcPr>
          <w:p w14:paraId="3863D1E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732" w:type="dxa"/>
            <w:vAlign w:val="center"/>
          </w:tcPr>
          <w:p w14:paraId="2F45A92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w:t>
            </w:r>
          </w:p>
        </w:tc>
        <w:tc>
          <w:tcPr>
            <w:tcW w:w="732" w:type="dxa"/>
            <w:vAlign w:val="center"/>
          </w:tcPr>
          <w:p w14:paraId="15D5170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w:t>
            </w:r>
          </w:p>
        </w:tc>
        <w:tc>
          <w:tcPr>
            <w:tcW w:w="732" w:type="dxa"/>
            <w:vAlign w:val="center"/>
          </w:tcPr>
          <w:p w14:paraId="3481900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w:t>
            </w:r>
          </w:p>
        </w:tc>
        <w:tc>
          <w:tcPr>
            <w:tcW w:w="639" w:type="dxa"/>
            <w:shd w:val="clear" w:color="auto" w:fill="auto"/>
            <w:vAlign w:val="center"/>
          </w:tcPr>
          <w:p w14:paraId="024BBC1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4655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vAlign w:val="center"/>
          </w:tcPr>
          <w:p w14:paraId="45C94F3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不敏感</w:t>
            </w:r>
          </w:p>
        </w:tc>
        <w:tc>
          <w:tcPr>
            <w:tcW w:w="729" w:type="dxa"/>
            <w:vAlign w:val="center"/>
          </w:tcPr>
          <w:p w14:paraId="3C6B976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w:t>
            </w:r>
          </w:p>
        </w:tc>
        <w:tc>
          <w:tcPr>
            <w:tcW w:w="732" w:type="dxa"/>
            <w:vAlign w:val="center"/>
          </w:tcPr>
          <w:p w14:paraId="668F500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732" w:type="dxa"/>
            <w:vAlign w:val="center"/>
          </w:tcPr>
          <w:p w14:paraId="20E55F3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732" w:type="dxa"/>
            <w:vAlign w:val="center"/>
          </w:tcPr>
          <w:p w14:paraId="22DD48A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w:t>
            </w:r>
          </w:p>
        </w:tc>
        <w:tc>
          <w:tcPr>
            <w:tcW w:w="730" w:type="dxa"/>
            <w:vAlign w:val="center"/>
          </w:tcPr>
          <w:p w14:paraId="453C9FF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w:t>
            </w:r>
          </w:p>
        </w:tc>
        <w:tc>
          <w:tcPr>
            <w:tcW w:w="732" w:type="dxa"/>
            <w:vAlign w:val="center"/>
          </w:tcPr>
          <w:p w14:paraId="36C6B1F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w:t>
            </w:r>
          </w:p>
        </w:tc>
        <w:tc>
          <w:tcPr>
            <w:tcW w:w="732" w:type="dxa"/>
            <w:vAlign w:val="center"/>
          </w:tcPr>
          <w:p w14:paraId="34A9E32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w:t>
            </w:r>
          </w:p>
        </w:tc>
        <w:tc>
          <w:tcPr>
            <w:tcW w:w="732" w:type="dxa"/>
            <w:vAlign w:val="center"/>
          </w:tcPr>
          <w:p w14:paraId="313D540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39" w:type="dxa"/>
            <w:shd w:val="clear" w:color="auto" w:fill="auto"/>
            <w:vAlign w:val="center"/>
          </w:tcPr>
          <w:p w14:paraId="06595E1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10509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5" w:type="dxa"/>
            <w:gridSpan w:val="10"/>
            <w:vAlign w:val="center"/>
          </w:tcPr>
          <w:p w14:paraId="67079A0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注：“--”表示可不开展土壤环境影响评价工作。</w:t>
            </w:r>
          </w:p>
        </w:tc>
      </w:tr>
    </w:tbl>
    <w:p w14:paraId="0CDED015">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根据表1.</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-11，确定本项目土壤环境影响评价工作等级为“三级”。</w:t>
      </w:r>
    </w:p>
    <w:p w14:paraId="7EA4D93E">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（2）评价范围</w:t>
      </w:r>
    </w:p>
    <w:p w14:paraId="06BD88E2">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土壤环境》（HJ964－2018）规定，本次生态影响型土壤评价不设评价范围、污染影响型土壤评价工作范围自场界外延50m范围，综上所述，本项目土壤评价范围为厂址及其周边外延50m范围。</w:t>
      </w:r>
    </w:p>
    <w:p w14:paraId="43B90A7F">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123" w:name="_Toc316388627"/>
      <w:bookmarkStart w:id="124" w:name="_Toc323657566"/>
      <w:bookmarkStart w:id="125" w:name="_Toc4867"/>
      <w:bookmarkStart w:id="126" w:name="_Toc31923"/>
      <w:r>
        <w:rPr>
          <w:rStyle w:val="35"/>
          <w:rFonts w:hint="default" w:ascii="Times New Roman" w:hAnsi="Times New Roman" w:eastAsia="宋体" w:cs="Times New Roman"/>
          <w:color w:val="auto"/>
          <w:sz w:val="24"/>
          <w:szCs w:val="24"/>
          <w:highlight w:val="none"/>
        </w:rPr>
        <w:t>1.</w:t>
      </w:r>
      <w:r>
        <w:rPr>
          <w:rStyle w:val="35"/>
          <w:rFonts w:hint="default" w:ascii="Times New Roman" w:hAnsi="Times New Roman" w:eastAsia="宋体" w:cs="Times New Roman"/>
          <w:color w:val="auto"/>
          <w:sz w:val="24"/>
          <w:szCs w:val="24"/>
          <w:highlight w:val="none"/>
          <w:lang w:val="en-US" w:eastAsia="zh-CN"/>
        </w:rPr>
        <w:t>5</w:t>
      </w:r>
      <w:r>
        <w:rPr>
          <w:rStyle w:val="35"/>
          <w:rFonts w:hint="default" w:ascii="Times New Roman" w:hAnsi="Times New Roman" w:eastAsia="宋体" w:cs="Times New Roman"/>
          <w:color w:val="auto"/>
          <w:sz w:val="24"/>
          <w:szCs w:val="24"/>
          <w:highlight w:val="none"/>
        </w:rPr>
        <w:t>.5声环境评价等级与评价范围</w:t>
      </w:r>
      <w:bookmarkEnd w:id="123"/>
      <w:bookmarkEnd w:id="124"/>
      <w:bookmarkEnd w:id="125"/>
      <w:bookmarkEnd w:id="126"/>
    </w:p>
    <w:p w14:paraId="3642A8E5">
      <w:pPr>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（1）声环境评价等级</w:t>
      </w:r>
    </w:p>
    <w:p w14:paraId="21DD8BD7">
      <w:pPr>
        <w:pStyle w:val="36"/>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该项目位于声环境功能区2类区。项目建成后，项目区噪声主要为猪叫声、</w:t>
      </w:r>
      <w:r>
        <w:rPr>
          <w:rFonts w:hint="default" w:ascii="Times New Roman" w:hAnsi="Times New Roman" w:cs="Times New Roman"/>
          <w:color w:val="auto"/>
          <w:kern w:val="0"/>
          <w:highlight w:val="none"/>
        </w:rPr>
        <w:t>生产设备、污水处理水泵及运输车辆等噪声</w:t>
      </w:r>
      <w:r>
        <w:rPr>
          <w:rFonts w:hint="default" w:ascii="Times New Roman" w:hAnsi="Times New Roman" w:cs="Times New Roman"/>
          <w:color w:val="auto"/>
          <w:highlight w:val="none"/>
        </w:rPr>
        <w:t>，项目建设后受影响敏感点人口数量无明显增加，故根据《环境影响评价技术导则 声环境》（HJ2.4-2021）评价等级的规定，确定本项目声环境评价等级为二级。</w:t>
      </w:r>
    </w:p>
    <w:p w14:paraId="075DDAFC">
      <w:pPr>
        <w:snapToGrid w:val="0"/>
        <w:spacing w:line="360" w:lineRule="auto"/>
        <w:ind w:firstLine="48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（2）声环境评价范围</w:t>
      </w:r>
    </w:p>
    <w:p w14:paraId="3C260758">
      <w:pPr>
        <w:snapToGrid w:val="0"/>
        <w:spacing w:line="360" w:lineRule="auto"/>
        <w:ind w:firstLine="480" w:firstLineChars="200"/>
        <w:rPr>
          <w:rFonts w:hint="default" w:ascii="Times New Roman" w:hAnsi="Times New Roman" w:cs="Times New Roman"/>
          <w:color w:val="auto"/>
          <w:spacing w:val="-2"/>
          <w:sz w:val="24"/>
          <w:highlight w:val="none"/>
        </w:rPr>
      </w:pPr>
      <w:r>
        <w:rPr>
          <w:rFonts w:hint="default" w:ascii="Times New Roman" w:hAnsi="Times New Roman" w:cs="Times New Roman"/>
          <w:color w:val="auto"/>
          <w:sz w:val="24"/>
          <w:highlight w:val="none"/>
        </w:rPr>
        <w:t>项目声环境评价范围为：项目区及厂界外延200m</w:t>
      </w:r>
      <w:r>
        <w:rPr>
          <w:rFonts w:hint="default" w:ascii="Times New Roman" w:hAnsi="Times New Roman" w:cs="Times New Roman"/>
          <w:color w:val="auto"/>
          <w:spacing w:val="-2"/>
          <w:sz w:val="24"/>
          <w:highlight w:val="none"/>
        </w:rPr>
        <w:t>。评价范围见附图4。</w:t>
      </w:r>
    </w:p>
    <w:p w14:paraId="398D3243">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127" w:name="_Toc29523"/>
      <w:r>
        <w:rPr>
          <w:rStyle w:val="35"/>
          <w:rFonts w:hint="default" w:ascii="Times New Roman" w:hAnsi="Times New Roman" w:eastAsia="宋体" w:cs="Times New Roman"/>
          <w:color w:val="auto"/>
          <w:sz w:val="24"/>
          <w:szCs w:val="24"/>
          <w:highlight w:val="none"/>
        </w:rPr>
        <w:t>1.</w:t>
      </w:r>
      <w:r>
        <w:rPr>
          <w:rStyle w:val="35"/>
          <w:rFonts w:hint="default" w:ascii="Times New Roman" w:hAnsi="Times New Roman" w:eastAsia="宋体" w:cs="Times New Roman"/>
          <w:color w:val="auto"/>
          <w:sz w:val="24"/>
          <w:szCs w:val="24"/>
          <w:highlight w:val="none"/>
          <w:lang w:val="en-US" w:eastAsia="zh-CN"/>
        </w:rPr>
        <w:t>5</w:t>
      </w:r>
      <w:r>
        <w:rPr>
          <w:rStyle w:val="35"/>
          <w:rFonts w:hint="default" w:ascii="Times New Roman" w:hAnsi="Times New Roman" w:eastAsia="宋体" w:cs="Times New Roman"/>
          <w:color w:val="auto"/>
          <w:sz w:val="24"/>
          <w:szCs w:val="24"/>
          <w:highlight w:val="none"/>
        </w:rPr>
        <w:t>.</w:t>
      </w:r>
      <w:r>
        <w:rPr>
          <w:rStyle w:val="35"/>
          <w:rFonts w:hint="default" w:ascii="Times New Roman" w:hAnsi="Times New Roman" w:eastAsia="宋体" w:cs="Times New Roman"/>
          <w:color w:val="auto"/>
          <w:sz w:val="24"/>
          <w:szCs w:val="24"/>
          <w:highlight w:val="none"/>
          <w:lang w:val="en-US" w:eastAsia="zh-CN"/>
        </w:rPr>
        <w:t>6</w:t>
      </w:r>
      <w:r>
        <w:rPr>
          <w:rStyle w:val="35"/>
          <w:rFonts w:hint="default" w:ascii="Times New Roman" w:hAnsi="Times New Roman" w:eastAsia="宋体" w:cs="Times New Roman"/>
          <w:color w:val="auto"/>
          <w:sz w:val="24"/>
          <w:szCs w:val="24"/>
          <w:highlight w:val="none"/>
        </w:rPr>
        <w:t>生态环境评价等级与评价范围</w:t>
      </w:r>
      <w:bookmarkEnd w:id="111"/>
      <w:bookmarkEnd w:id="112"/>
      <w:bookmarkEnd w:id="113"/>
      <w:bookmarkEnd w:id="127"/>
    </w:p>
    <w:p w14:paraId="1DBB935C">
      <w:pPr>
        <w:snapToGrid w:val="0"/>
        <w:spacing w:line="360" w:lineRule="auto"/>
        <w:ind w:firstLine="482" w:firstLineChars="200"/>
        <w:rPr>
          <w:rFonts w:hint="default" w:ascii="Times New Roman" w:hAnsi="Times New Roman" w:cs="Times New Roman"/>
          <w:color w:val="auto"/>
          <w:kern w:val="24"/>
          <w:sz w:val="24"/>
          <w:highlight w:val="none"/>
        </w:rPr>
      </w:pPr>
      <w:r>
        <w:rPr>
          <w:rFonts w:hint="default" w:ascii="Times New Roman" w:hAnsi="Times New Roman" w:cs="Times New Roman"/>
          <w:b/>
          <w:color w:val="auto"/>
          <w:sz w:val="24"/>
          <w:highlight w:val="none"/>
        </w:rPr>
        <w:t>（1）生态环境评价等级</w:t>
      </w:r>
    </w:p>
    <w:p w14:paraId="40E60C2C">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生态影响》（HJ19-2022）中评价等级判定原则，项目生态环境影响评价等级判定情况见表1.</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12</w:t>
      </w:r>
      <w:r>
        <w:rPr>
          <w:rFonts w:hint="default" w:ascii="Times New Roman" w:hAnsi="Times New Roman" w:cs="Times New Roman"/>
          <w:color w:val="auto"/>
          <w:sz w:val="24"/>
          <w:highlight w:val="none"/>
        </w:rPr>
        <w:t>。</w:t>
      </w:r>
    </w:p>
    <w:p w14:paraId="7A5049F7">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表1.</w:t>
      </w:r>
      <w:r>
        <w:rPr>
          <w:rFonts w:hint="default" w:ascii="Times New Roman" w:hAnsi="Times New Roman" w:cs="Times New Roman"/>
          <w:b/>
          <w:color w:val="auto"/>
          <w:szCs w:val="21"/>
          <w:highlight w:val="none"/>
          <w:lang w:val="en-US" w:eastAsia="zh-CN"/>
        </w:rPr>
        <w:t>5</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val="en-US" w:eastAsia="zh-CN"/>
        </w:rPr>
        <w:t>12</w:t>
      </w:r>
      <w:r>
        <w:rPr>
          <w:rFonts w:hint="default" w:ascii="Times New Roman" w:hAnsi="Times New Roman" w:cs="Times New Roman"/>
          <w:b/>
          <w:color w:val="auto"/>
          <w:szCs w:val="21"/>
          <w:highlight w:val="none"/>
        </w:rPr>
        <w:t xml:space="preserve">      生态环境影响评价工作等级判定原则表</w:t>
      </w:r>
    </w:p>
    <w:tbl>
      <w:tblPr>
        <w:tblStyle w:val="23"/>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4309"/>
        <w:gridCol w:w="4007"/>
      </w:tblGrid>
      <w:tr w14:paraId="6509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7CA1D5A9">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4309" w:type="dxa"/>
            <w:vAlign w:val="center"/>
          </w:tcPr>
          <w:p w14:paraId="4AAEEC61">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HJ19-2022评价等级判定原则</w:t>
            </w:r>
          </w:p>
        </w:tc>
        <w:tc>
          <w:tcPr>
            <w:tcW w:w="4007" w:type="dxa"/>
            <w:vAlign w:val="center"/>
          </w:tcPr>
          <w:p w14:paraId="33AE6646">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本项目情况</w:t>
            </w:r>
          </w:p>
        </w:tc>
      </w:tr>
      <w:tr w14:paraId="23AF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22B7B058">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4309" w:type="dxa"/>
            <w:vAlign w:val="center"/>
          </w:tcPr>
          <w:p w14:paraId="475D264F">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涉及国家公园、自然保护区、世界自然遗产、重要生境时，评价等级为一级。</w:t>
            </w:r>
          </w:p>
        </w:tc>
        <w:tc>
          <w:tcPr>
            <w:tcW w:w="4007" w:type="dxa"/>
            <w:vAlign w:val="center"/>
          </w:tcPr>
          <w:p w14:paraId="500B85AB">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本项目不涉及国家公园、自然保护区、世界自然遗产、重要生境。</w:t>
            </w:r>
          </w:p>
        </w:tc>
      </w:tr>
      <w:tr w14:paraId="50A5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2B6DC3C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4309" w:type="dxa"/>
            <w:vAlign w:val="center"/>
          </w:tcPr>
          <w:p w14:paraId="7614CC87">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涉及自然公园时，评价等级为二级。 </w:t>
            </w:r>
          </w:p>
        </w:tc>
        <w:tc>
          <w:tcPr>
            <w:tcW w:w="4007" w:type="dxa"/>
            <w:vAlign w:val="center"/>
          </w:tcPr>
          <w:p w14:paraId="5FF404E1">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本项目不涉及自然公园。</w:t>
            </w:r>
          </w:p>
        </w:tc>
      </w:tr>
      <w:tr w14:paraId="3EAD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5F5C98A3">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4309" w:type="dxa"/>
            <w:vAlign w:val="center"/>
          </w:tcPr>
          <w:p w14:paraId="239BF173">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涉及生态保护红线时，评价等级不低于二级。</w:t>
            </w:r>
          </w:p>
        </w:tc>
        <w:tc>
          <w:tcPr>
            <w:tcW w:w="4007" w:type="dxa"/>
            <w:vAlign w:val="center"/>
          </w:tcPr>
          <w:p w14:paraId="34FFE939">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根据自然资源局查询结果</w:t>
            </w:r>
            <w:r>
              <w:rPr>
                <w:rFonts w:hint="eastAsia" w:cs="Times New Roman"/>
                <w:color w:val="auto"/>
                <w:sz w:val="21"/>
                <w:szCs w:val="21"/>
                <w:lang w:eastAsia="zh-CN"/>
              </w:rPr>
              <w:t>（</w:t>
            </w:r>
            <w:r>
              <w:rPr>
                <w:rFonts w:hint="eastAsia" w:cs="Times New Roman"/>
                <w:color w:val="auto"/>
                <w:sz w:val="21"/>
                <w:szCs w:val="21"/>
                <w:lang w:val="en-US" w:eastAsia="zh-CN"/>
              </w:rPr>
              <w:t>见附件5</w:t>
            </w:r>
            <w:r>
              <w:rPr>
                <w:rFonts w:hint="eastAsia" w:cs="Times New Roman"/>
                <w:color w:val="auto"/>
                <w:sz w:val="21"/>
                <w:szCs w:val="21"/>
                <w:lang w:eastAsia="zh-CN"/>
              </w:rPr>
              <w:t>），</w:t>
            </w: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生态评价范围内</w:t>
            </w:r>
            <w:r>
              <w:rPr>
                <w:rFonts w:hint="default" w:ascii="Times New Roman" w:hAnsi="Times New Roman" w:cs="Times New Roman"/>
                <w:color w:val="auto"/>
                <w:sz w:val="21"/>
                <w:szCs w:val="21"/>
              </w:rPr>
              <w:t>不涉及生态保护红线。</w:t>
            </w:r>
          </w:p>
        </w:tc>
      </w:tr>
      <w:tr w14:paraId="7A7B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083EED17">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4309" w:type="dxa"/>
            <w:vAlign w:val="center"/>
          </w:tcPr>
          <w:p w14:paraId="50706B10">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根据HJ2.3判断属于水文要素影响型且地表水评价等级不低于二级的建设项目，生态影响评价等级不低于二级。</w:t>
            </w:r>
          </w:p>
        </w:tc>
        <w:tc>
          <w:tcPr>
            <w:tcW w:w="4007" w:type="dxa"/>
            <w:vAlign w:val="center"/>
          </w:tcPr>
          <w:p w14:paraId="5C5C3D49">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根据《环境影响评价技术导则 地表水环境》（HJ2.3-2018），本项目不属于水文要素影响型。</w:t>
            </w:r>
          </w:p>
        </w:tc>
      </w:tr>
      <w:tr w14:paraId="0D55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1F046394">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4309" w:type="dxa"/>
            <w:vAlign w:val="center"/>
          </w:tcPr>
          <w:p w14:paraId="69FE2592">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根据HJ610、HJ964判断地下水水位或土壤影响范围内分布有天然林、公益林、湿地等生态保护目标的建设项目，生态影响评价等级不低于二级。</w:t>
            </w:r>
          </w:p>
        </w:tc>
        <w:tc>
          <w:tcPr>
            <w:tcW w:w="4007" w:type="dxa"/>
            <w:vAlign w:val="center"/>
          </w:tcPr>
          <w:p w14:paraId="1CCAA572">
            <w:pPr>
              <w:spacing w:line="240" w:lineRule="auto"/>
              <w:ind w:firstLine="420" w:firstLineChars="20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本项目区地下水水位埋藏较深，项目运营期不会引起地下水水位变化，土壤评价范围为厂界外延50m</w:t>
            </w:r>
            <w:r>
              <w:rPr>
                <w:rFonts w:hint="default" w:ascii="Times New Roman" w:hAnsi="Times New Roman" w:cs="Times New Roman"/>
                <w:color w:val="auto"/>
                <w:sz w:val="21"/>
                <w:szCs w:val="21"/>
                <w:highlight w:val="none"/>
                <w:shd w:val="clear"/>
              </w:rPr>
              <w:t>，</w:t>
            </w:r>
            <w:r>
              <w:rPr>
                <w:rFonts w:hint="eastAsia"/>
                <w:color w:val="auto"/>
                <w:lang w:eastAsia="zh-CN"/>
              </w:rPr>
              <w:t>经林草部门查询，</w:t>
            </w:r>
            <w:r>
              <w:rPr>
                <w:rFonts w:hint="default" w:ascii="Times New Roman" w:hAnsi="Times New Roman" w:cs="Times New Roman"/>
                <w:color w:val="auto"/>
                <w:sz w:val="21"/>
                <w:szCs w:val="21"/>
                <w:highlight w:val="none"/>
                <w:shd w:val="clear"/>
              </w:rPr>
              <w:t>土壤评价范围内</w:t>
            </w:r>
            <w:r>
              <w:rPr>
                <w:rFonts w:hint="default" w:ascii="Times New Roman" w:hAnsi="Times New Roman" w:cs="Times New Roman"/>
                <w:color w:val="auto"/>
                <w:sz w:val="21"/>
                <w:szCs w:val="21"/>
                <w:highlight w:val="none"/>
                <w:shd w:val="clear"/>
                <w:lang w:val="en-US" w:eastAsia="zh-CN"/>
              </w:rPr>
              <w:t>无</w:t>
            </w:r>
            <w:r>
              <w:rPr>
                <w:rFonts w:hint="default" w:ascii="Times New Roman" w:hAnsi="Times New Roman" w:cs="Times New Roman"/>
                <w:color w:val="auto"/>
                <w:sz w:val="21"/>
                <w:szCs w:val="21"/>
                <w:highlight w:val="none"/>
                <w:shd w:val="clear"/>
              </w:rPr>
              <w:t>天然林</w:t>
            </w:r>
            <w:r>
              <w:rPr>
                <w:rFonts w:hint="default" w:ascii="Times New Roman" w:hAnsi="Times New Roman" w:cs="Times New Roman"/>
                <w:color w:val="auto"/>
                <w:sz w:val="21"/>
                <w:szCs w:val="21"/>
                <w:highlight w:val="none"/>
                <w:shd w:val="clear"/>
                <w:lang w:eastAsia="zh-CN"/>
              </w:rPr>
              <w:t>、</w:t>
            </w:r>
            <w:r>
              <w:rPr>
                <w:rFonts w:hint="default" w:ascii="Times New Roman" w:hAnsi="Times New Roman" w:cs="Times New Roman"/>
                <w:color w:val="auto"/>
                <w:sz w:val="21"/>
                <w:szCs w:val="21"/>
                <w:highlight w:val="none"/>
                <w:shd w:val="clear"/>
                <w:lang w:val="en-US" w:eastAsia="zh-CN"/>
              </w:rPr>
              <w:t>公益林</w:t>
            </w:r>
            <w:r>
              <w:rPr>
                <w:rFonts w:hint="default" w:ascii="Times New Roman" w:hAnsi="Times New Roman" w:cs="Times New Roman"/>
                <w:color w:val="auto"/>
                <w:sz w:val="21"/>
                <w:szCs w:val="21"/>
                <w:highlight w:val="none"/>
                <w:shd w:val="clear"/>
              </w:rPr>
              <w:t>分布。</w:t>
            </w:r>
            <w:r>
              <w:rPr>
                <w:rFonts w:hint="eastAsia"/>
                <w:color w:val="auto"/>
                <w:lang w:eastAsia="zh-CN"/>
              </w:rPr>
              <w:t>叠图结果见附图</w:t>
            </w:r>
            <w:r>
              <w:rPr>
                <w:rFonts w:hint="eastAsia"/>
                <w:color w:val="auto"/>
                <w:lang w:val="en-US" w:eastAsia="zh-CN"/>
              </w:rPr>
              <w:t>14、15。</w:t>
            </w:r>
          </w:p>
        </w:tc>
      </w:tr>
      <w:tr w14:paraId="7B5D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2C84EBE3">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4309" w:type="dxa"/>
            <w:vAlign w:val="center"/>
          </w:tcPr>
          <w:p w14:paraId="0144CF4E">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当工程占地规模大于20km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（包括永久和临时占用陆域和水域），评价等级不低于二级；改扩建项目的占地范围以新增占地（包括陆域和水域）确定。</w:t>
            </w:r>
          </w:p>
        </w:tc>
        <w:tc>
          <w:tcPr>
            <w:tcW w:w="4007" w:type="dxa"/>
            <w:vAlign w:val="center"/>
          </w:tcPr>
          <w:p w14:paraId="58F2303C">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本项目为新建项目，</w:t>
            </w:r>
            <w:r>
              <w:rPr>
                <w:rFonts w:hint="default" w:ascii="Times New Roman" w:hAnsi="Times New Roman" w:cs="Times New Roman"/>
                <w:color w:val="auto"/>
                <w:kern w:val="0"/>
                <w:szCs w:val="21"/>
                <w:highlight w:val="none"/>
              </w:rPr>
              <w:t>本</w:t>
            </w:r>
            <w:r>
              <w:rPr>
                <w:rFonts w:hint="default" w:ascii="Times New Roman" w:hAnsi="Times New Roman" w:cs="Times New Roman"/>
                <w:color w:val="auto"/>
                <w:kern w:val="0"/>
                <w:szCs w:val="21"/>
                <w:highlight w:val="none"/>
                <w:lang w:val="en-US" w:eastAsia="zh-CN"/>
              </w:rPr>
              <w:t>项目</w:t>
            </w:r>
            <w:r>
              <w:rPr>
                <w:rFonts w:hint="default" w:ascii="Times New Roman" w:hAnsi="Times New Roman" w:cs="Times New Roman"/>
                <w:color w:val="auto"/>
                <w:kern w:val="0"/>
                <w:szCs w:val="21"/>
                <w:highlight w:val="none"/>
              </w:rPr>
              <w:t>占地面积为0.0</w:t>
            </w:r>
            <w:r>
              <w:rPr>
                <w:rFonts w:hint="default" w:ascii="Times New Roman" w:hAnsi="Times New Roman" w:cs="Times New Roman"/>
                <w:bCs/>
                <w:color w:val="auto"/>
                <w:kern w:val="0"/>
                <w:szCs w:val="21"/>
                <w:highlight w:val="none"/>
                <w:lang w:val="en-US" w:eastAsia="zh-CN"/>
              </w:rPr>
              <w:t>5866</w:t>
            </w:r>
            <w:r>
              <w:rPr>
                <w:rFonts w:hint="default" w:ascii="Times New Roman" w:hAnsi="Times New Roman" w:cs="Times New Roman"/>
                <w:bCs/>
                <w:color w:val="auto"/>
                <w:kern w:val="0"/>
                <w:szCs w:val="21"/>
                <w:highlight w:val="none"/>
                <w:lang w:val="zh-CN"/>
              </w:rPr>
              <w:t>km</w:t>
            </w:r>
            <w:r>
              <w:rPr>
                <w:rFonts w:hint="default" w:ascii="Times New Roman" w:hAnsi="Times New Roman" w:cs="Times New Roman"/>
                <w:bCs/>
                <w:color w:val="auto"/>
                <w:kern w:val="0"/>
                <w:szCs w:val="21"/>
                <w:highlight w:val="none"/>
                <w:vertAlign w:val="superscript"/>
                <w:lang w:val="zh-CN"/>
              </w:rPr>
              <w:t>2</w:t>
            </w:r>
            <w:r>
              <w:rPr>
                <w:rFonts w:hint="default" w:ascii="Times New Roman" w:hAnsi="Times New Roman" w:cs="Times New Roman"/>
                <w:bCs/>
                <w:color w:val="auto"/>
                <w:kern w:val="0"/>
                <w:szCs w:val="21"/>
                <w:highlight w:val="none"/>
              </w:rPr>
              <w:t>，</w:t>
            </w:r>
            <w:r>
              <w:rPr>
                <w:rFonts w:hint="default" w:ascii="Times New Roman" w:hAnsi="Times New Roman" w:cs="Times New Roman"/>
                <w:color w:val="auto"/>
                <w:kern w:val="0"/>
                <w:szCs w:val="21"/>
                <w:highlight w:val="none"/>
              </w:rPr>
              <w:t>占地面积小于20km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r>
      <w:tr w14:paraId="3AC0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7DD8FF77">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4309" w:type="dxa"/>
            <w:vAlign w:val="center"/>
          </w:tcPr>
          <w:p w14:paraId="14E4E71C">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除上述1-6以外的情况，评价等级为三级。</w:t>
            </w:r>
          </w:p>
        </w:tc>
        <w:tc>
          <w:tcPr>
            <w:tcW w:w="4007" w:type="dxa"/>
            <w:shd w:val="clear" w:color="auto" w:fill="auto"/>
            <w:vAlign w:val="center"/>
          </w:tcPr>
          <w:p w14:paraId="10C74BC7">
            <w:pPr>
              <w:pStyle w:val="9"/>
              <w:spacing w:line="24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val="en-US" w:eastAsia="zh-CN"/>
              </w:rPr>
              <w:t>不涉及</w:t>
            </w:r>
            <w:r>
              <w:rPr>
                <w:rFonts w:hint="default" w:ascii="Times New Roman" w:hAnsi="Times New Roman" w:cs="Times New Roman"/>
                <w:color w:val="auto"/>
                <w:sz w:val="21"/>
                <w:szCs w:val="21"/>
                <w:highlight w:val="none"/>
              </w:rPr>
              <w:t>上述1-</w:t>
            </w:r>
            <w:r>
              <w:rPr>
                <w:rFonts w:hint="default"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的情况</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生态影响评价等级为三级。</w:t>
            </w:r>
          </w:p>
        </w:tc>
      </w:tr>
      <w:tr w14:paraId="5BEF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14F1F73E">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4309" w:type="dxa"/>
            <w:vAlign w:val="center"/>
          </w:tcPr>
          <w:p w14:paraId="7B704D46">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当评价等级判定同时符合上述1-7中多种情况时，应采用其中最高的评价等级。</w:t>
            </w:r>
          </w:p>
        </w:tc>
        <w:tc>
          <w:tcPr>
            <w:tcW w:w="4007" w:type="dxa"/>
            <w:shd w:val="clear" w:color="auto" w:fill="auto"/>
            <w:vAlign w:val="center"/>
          </w:tcPr>
          <w:p w14:paraId="25E7966E">
            <w:pPr>
              <w:spacing w:line="24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根据1-7综合分析，截止第8条评价原则，项目生态评价等级暂定为</w:t>
            </w:r>
            <w:r>
              <w:rPr>
                <w:rFonts w:hint="default" w:ascii="Times New Roman" w:hAnsi="Times New Roman" w:cs="Times New Roman"/>
                <w:color w:val="auto"/>
                <w:sz w:val="21"/>
                <w:szCs w:val="21"/>
                <w:highlight w:val="none"/>
                <w:lang w:val="en-US" w:eastAsia="zh-CN"/>
              </w:rPr>
              <w:t>三</w:t>
            </w:r>
            <w:r>
              <w:rPr>
                <w:rFonts w:hint="default" w:ascii="Times New Roman" w:hAnsi="Times New Roman" w:cs="Times New Roman"/>
                <w:color w:val="auto"/>
                <w:sz w:val="21"/>
                <w:szCs w:val="21"/>
                <w:highlight w:val="none"/>
              </w:rPr>
              <w:t>级。</w:t>
            </w:r>
          </w:p>
        </w:tc>
      </w:tr>
      <w:tr w14:paraId="045A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68894335">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4309" w:type="dxa"/>
            <w:vAlign w:val="center"/>
          </w:tcPr>
          <w:p w14:paraId="44F6E904">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建设项目涉及经论证对保护生物多样性具有重要意义的区域时，可适当上调评价等级。</w:t>
            </w:r>
          </w:p>
        </w:tc>
        <w:tc>
          <w:tcPr>
            <w:tcW w:w="4007" w:type="dxa"/>
            <w:vAlign w:val="center"/>
          </w:tcPr>
          <w:p w14:paraId="3C33328C">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kern w:val="0"/>
                <w:szCs w:val="21"/>
                <w:highlight w:val="none"/>
              </w:rPr>
              <w:t>经叠图分析（见附图12），项目不涉及云南省生物多样性优先保护区</w:t>
            </w:r>
          </w:p>
        </w:tc>
      </w:tr>
      <w:tr w14:paraId="0D59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15E4F657">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4309" w:type="dxa"/>
            <w:vAlign w:val="center"/>
          </w:tcPr>
          <w:p w14:paraId="69348AD4">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建设项目同时涉及陆生、水生生态影响时，可针对陆生生态、水生生态分别判定评价等级。</w:t>
            </w:r>
          </w:p>
        </w:tc>
        <w:tc>
          <w:tcPr>
            <w:tcW w:w="4007" w:type="dxa"/>
            <w:vAlign w:val="center"/>
          </w:tcPr>
          <w:p w14:paraId="25D21087">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本项目属污染影响型，不涉及占用水域等情况，本次评价主要评价陆生生态。</w:t>
            </w:r>
          </w:p>
        </w:tc>
      </w:tr>
      <w:tr w14:paraId="093B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4E43B9A9">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4309" w:type="dxa"/>
            <w:vAlign w:val="center"/>
          </w:tcPr>
          <w:p w14:paraId="2A473817">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在矿山开采可能导致矿区土地利用类型明显改变，或拦河闸坝建设可能明显改变水文情势等情况下，评价等级应上调一级。</w:t>
            </w:r>
          </w:p>
        </w:tc>
        <w:tc>
          <w:tcPr>
            <w:tcW w:w="4007" w:type="dxa"/>
            <w:vAlign w:val="center"/>
          </w:tcPr>
          <w:p w14:paraId="376C0FF5">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本项目为生猪养殖项目，不涉及矿山开采。</w:t>
            </w:r>
          </w:p>
        </w:tc>
      </w:tr>
      <w:tr w14:paraId="5A3C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3AE43C6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4309" w:type="dxa"/>
            <w:vAlign w:val="center"/>
          </w:tcPr>
          <w:p w14:paraId="70E89B8C">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线性工程可分段确定评价等级。线性工程地下穿越或地表跨越生态敏感区，在生态敏感区范围内无永久、临时占地时，评价等级可下调一级。</w:t>
            </w:r>
          </w:p>
        </w:tc>
        <w:tc>
          <w:tcPr>
            <w:tcW w:w="4007" w:type="dxa"/>
            <w:vAlign w:val="center"/>
          </w:tcPr>
          <w:p w14:paraId="3A02B1E0">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本项目不涉及建设线性工程。</w:t>
            </w:r>
          </w:p>
        </w:tc>
      </w:tr>
      <w:tr w14:paraId="31F7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50BBEC7C">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4309" w:type="dxa"/>
            <w:vAlign w:val="center"/>
          </w:tcPr>
          <w:p w14:paraId="267A3E9B">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涉海工程评价等级判定参照GB/T19485。</w:t>
            </w:r>
          </w:p>
        </w:tc>
        <w:tc>
          <w:tcPr>
            <w:tcW w:w="4007" w:type="dxa"/>
            <w:vAlign w:val="center"/>
          </w:tcPr>
          <w:p w14:paraId="4D7A9E69">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项目不属于涉海工程。</w:t>
            </w:r>
          </w:p>
        </w:tc>
      </w:tr>
      <w:tr w14:paraId="57FD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32E93992">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4309" w:type="dxa"/>
            <w:vAlign w:val="center"/>
          </w:tcPr>
          <w:p w14:paraId="78503F17">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tc>
        <w:tc>
          <w:tcPr>
            <w:tcW w:w="4007" w:type="dxa"/>
            <w:vAlign w:val="center"/>
          </w:tcPr>
          <w:p w14:paraId="4D050543">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项目建设性质为新建，不位于产业园区。</w:t>
            </w:r>
          </w:p>
        </w:tc>
      </w:tr>
    </w:tbl>
    <w:p w14:paraId="70A9E43D">
      <w:pPr>
        <w:snapToGri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根据上表判定情况及《环境影响评价技术导则 生态影响》（HJ19-2022）中相关规定，项目不属于评价等级为一级、二级的情形，因此本项目生态环境影响评价等级定为三级。</w:t>
      </w:r>
    </w:p>
    <w:p w14:paraId="3B0BAAB8">
      <w:pPr>
        <w:snapToGrid w:val="0"/>
        <w:spacing w:line="360" w:lineRule="auto"/>
        <w:ind w:firstLine="482" w:firstLineChars="200"/>
        <w:rPr>
          <w:rFonts w:hint="default" w:ascii="Times New Roman" w:hAnsi="Times New Roman" w:cs="Times New Roman"/>
          <w:color w:val="auto"/>
          <w:kern w:val="24"/>
          <w:sz w:val="24"/>
          <w:highlight w:val="none"/>
        </w:rPr>
      </w:pPr>
      <w:r>
        <w:rPr>
          <w:rFonts w:hint="default" w:ascii="Times New Roman" w:hAnsi="Times New Roman" w:cs="Times New Roman"/>
          <w:b/>
          <w:color w:val="auto"/>
          <w:sz w:val="24"/>
          <w:highlight w:val="none"/>
        </w:rPr>
        <w:t>（2）生态环境评价范围</w:t>
      </w:r>
    </w:p>
    <w:p w14:paraId="7B1D42FA">
      <w:pPr>
        <w:snapToGrid w:val="0"/>
        <w:spacing w:line="360" w:lineRule="auto"/>
        <w:ind w:firstLine="472" w:firstLineChars="200"/>
        <w:rPr>
          <w:rFonts w:hint="default" w:ascii="Times New Roman" w:hAnsi="Times New Roman" w:cs="Times New Roman"/>
          <w:color w:val="auto"/>
          <w:spacing w:val="-2"/>
          <w:sz w:val="24"/>
          <w:highlight w:val="none"/>
        </w:rPr>
      </w:pPr>
      <w:r>
        <w:rPr>
          <w:rFonts w:hint="default" w:ascii="Times New Roman" w:hAnsi="Times New Roman" w:cs="Times New Roman"/>
          <w:color w:val="auto"/>
          <w:spacing w:val="-2"/>
          <w:sz w:val="24"/>
          <w:highlight w:val="none"/>
        </w:rPr>
        <w:t>项目生态环境评价范围为：项目区及厂界外延</w:t>
      </w:r>
      <w:r>
        <w:rPr>
          <w:rFonts w:hint="default" w:ascii="Times New Roman" w:hAnsi="Times New Roman" w:cs="Times New Roman"/>
          <w:color w:val="auto"/>
          <w:spacing w:val="-2"/>
          <w:sz w:val="24"/>
          <w:highlight w:val="none"/>
          <w:lang w:val="en-US" w:eastAsia="zh-CN"/>
        </w:rPr>
        <w:t>3</w:t>
      </w:r>
      <w:r>
        <w:rPr>
          <w:rFonts w:hint="default" w:ascii="Times New Roman" w:hAnsi="Times New Roman" w:cs="Times New Roman"/>
          <w:color w:val="auto"/>
          <w:spacing w:val="-2"/>
          <w:sz w:val="24"/>
          <w:highlight w:val="none"/>
        </w:rPr>
        <w:t>00m</w:t>
      </w:r>
      <w:r>
        <w:rPr>
          <w:rFonts w:hint="eastAsia" w:cs="Times New Roman"/>
          <w:color w:val="auto"/>
          <w:spacing w:val="-2"/>
          <w:sz w:val="24"/>
          <w:highlight w:val="none"/>
          <w:lang w:eastAsia="zh-CN"/>
        </w:rPr>
        <w:t>，</w:t>
      </w:r>
      <w:r>
        <w:rPr>
          <w:rFonts w:hint="eastAsia" w:cs="Times New Roman"/>
          <w:color w:val="auto"/>
          <w:spacing w:val="-2"/>
          <w:sz w:val="24"/>
          <w:highlight w:val="none"/>
          <w:lang w:val="en-US" w:eastAsia="zh-CN"/>
        </w:rPr>
        <w:t>面积64.33hm</w:t>
      </w:r>
      <w:r>
        <w:rPr>
          <w:rFonts w:hint="eastAsia" w:cs="Times New Roman"/>
          <w:color w:val="auto"/>
          <w:spacing w:val="-2"/>
          <w:sz w:val="24"/>
          <w:highlight w:val="none"/>
          <w:vertAlign w:val="superscript"/>
          <w:lang w:val="en-US" w:eastAsia="zh-CN"/>
        </w:rPr>
        <w:t>2</w:t>
      </w:r>
      <w:r>
        <w:rPr>
          <w:rFonts w:hint="default" w:ascii="Times New Roman" w:hAnsi="Times New Roman" w:cs="Times New Roman"/>
          <w:color w:val="auto"/>
          <w:spacing w:val="-2"/>
          <w:sz w:val="24"/>
          <w:highlight w:val="none"/>
        </w:rPr>
        <w:t>。评价范围见附图4。</w:t>
      </w:r>
    </w:p>
    <w:p w14:paraId="476FCAAC">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128" w:name="_Toc27563"/>
      <w:r>
        <w:rPr>
          <w:rStyle w:val="35"/>
          <w:rFonts w:hint="default" w:ascii="Times New Roman" w:hAnsi="Times New Roman" w:eastAsia="宋体" w:cs="Times New Roman"/>
          <w:color w:val="auto"/>
          <w:sz w:val="24"/>
          <w:szCs w:val="24"/>
          <w:highlight w:val="none"/>
        </w:rPr>
        <w:t>1.</w:t>
      </w:r>
      <w:r>
        <w:rPr>
          <w:rStyle w:val="35"/>
          <w:rFonts w:hint="default" w:ascii="Times New Roman" w:hAnsi="Times New Roman" w:eastAsia="宋体" w:cs="Times New Roman"/>
          <w:color w:val="auto"/>
          <w:sz w:val="24"/>
          <w:szCs w:val="24"/>
          <w:highlight w:val="none"/>
          <w:lang w:val="en-US" w:eastAsia="zh-CN"/>
        </w:rPr>
        <w:t>5</w:t>
      </w:r>
      <w:r>
        <w:rPr>
          <w:rStyle w:val="35"/>
          <w:rFonts w:hint="default" w:ascii="Times New Roman" w:hAnsi="Times New Roman" w:eastAsia="宋体" w:cs="Times New Roman"/>
          <w:color w:val="auto"/>
          <w:sz w:val="24"/>
          <w:szCs w:val="24"/>
          <w:highlight w:val="none"/>
        </w:rPr>
        <w:t>.7环境风险评价等级与评价范围</w:t>
      </w:r>
      <w:bookmarkEnd w:id="128"/>
    </w:p>
    <w:p w14:paraId="134FC5C5">
      <w:pPr>
        <w:snapToGrid w:val="0"/>
        <w:spacing w:line="360" w:lineRule="auto"/>
        <w:ind w:firstLine="48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（1）评价等级</w:t>
      </w:r>
    </w:p>
    <w:p w14:paraId="30491B34">
      <w:pPr>
        <w:spacing w:line="360" w:lineRule="auto"/>
        <w:ind w:firstLine="480" w:firstLineChars="200"/>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sz w:val="24"/>
          <w:szCs w:val="24"/>
          <w:highlight w:val="none"/>
        </w:rPr>
        <w:t>根据《建设项目环境风险评价技术导则》（HJ/T169-2018）中对评价工作级别划分按表1.</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w:t>
      </w:r>
    </w:p>
    <w:p w14:paraId="3337AC46">
      <w:pPr>
        <w:widowControl w:val="0"/>
        <w:autoSpaceDE w:val="0"/>
        <w:autoSpaceDN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w:t>
      </w:r>
      <w:r>
        <w:rPr>
          <w:rFonts w:hint="default" w:ascii="Times New Roman" w:hAnsi="Times New Roman"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rPr>
        <w:t>-1</w:t>
      </w:r>
      <w:r>
        <w:rPr>
          <w:rFonts w:hint="default" w:ascii="Times New Roman" w:hAnsi="Times New Roman"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rPr>
        <w:t xml:space="preserve"> </w:t>
      </w:r>
      <w:r>
        <w:rPr>
          <w:rFonts w:hint="default"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 xml:space="preserve"> </w:t>
      </w:r>
      <w:r>
        <w:rPr>
          <w:rFonts w:hint="default" w:ascii="Times New Roman" w:hAnsi="Times New Roman" w:cs="Times New Roman"/>
          <w:b/>
          <w:color w:val="auto"/>
          <w:sz w:val="21"/>
          <w:szCs w:val="21"/>
          <w:highlight w:val="none"/>
          <w:lang w:eastAsia="zh-CN"/>
        </w:rPr>
        <w:t>环境风险</w:t>
      </w:r>
      <w:r>
        <w:rPr>
          <w:rFonts w:hint="default" w:ascii="Times New Roman" w:hAnsi="Times New Roman" w:cs="Times New Roman"/>
          <w:b/>
          <w:color w:val="auto"/>
          <w:sz w:val="21"/>
          <w:szCs w:val="21"/>
          <w:highlight w:val="none"/>
        </w:rPr>
        <w:t>评价工作级别</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14:paraId="7814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04" w:type="dxa"/>
            <w:tcBorders>
              <w:top w:val="single" w:color="auto" w:sz="4" w:space="0"/>
              <w:left w:val="single" w:color="auto" w:sz="4" w:space="0"/>
              <w:bottom w:val="single" w:color="auto" w:sz="4" w:space="0"/>
              <w:right w:val="single" w:color="auto" w:sz="4" w:space="0"/>
            </w:tcBorders>
            <w:vAlign w:val="center"/>
          </w:tcPr>
          <w:p w14:paraId="7B332247">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环境风险潜势</w:t>
            </w:r>
          </w:p>
        </w:tc>
        <w:tc>
          <w:tcPr>
            <w:tcW w:w="1704" w:type="dxa"/>
            <w:tcBorders>
              <w:top w:val="single" w:color="auto" w:sz="4" w:space="0"/>
              <w:left w:val="single" w:color="auto" w:sz="4" w:space="0"/>
              <w:bottom w:val="single" w:color="auto" w:sz="4" w:space="0"/>
              <w:right w:val="single" w:color="auto" w:sz="4" w:space="0"/>
            </w:tcBorders>
            <w:vAlign w:val="center"/>
          </w:tcPr>
          <w:p w14:paraId="3F585F2D">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Ⅳ、Ⅳ</w:t>
            </w:r>
            <w:r>
              <w:rPr>
                <w:rFonts w:hint="default" w:ascii="Times New Roman" w:hAnsi="Times New Roman" w:cs="Times New Roman"/>
                <w:color w:val="auto"/>
                <w:sz w:val="21"/>
                <w:szCs w:val="21"/>
                <w:highlight w:val="none"/>
                <w:vertAlign w:val="superscript"/>
              </w:rPr>
              <w:t>+</w:t>
            </w:r>
          </w:p>
        </w:tc>
        <w:tc>
          <w:tcPr>
            <w:tcW w:w="1704" w:type="dxa"/>
            <w:tcBorders>
              <w:top w:val="single" w:color="auto" w:sz="4" w:space="0"/>
              <w:left w:val="single" w:color="auto" w:sz="4" w:space="0"/>
              <w:bottom w:val="single" w:color="auto" w:sz="4" w:space="0"/>
              <w:right w:val="single" w:color="auto" w:sz="4" w:space="0"/>
            </w:tcBorders>
            <w:vAlign w:val="center"/>
          </w:tcPr>
          <w:p w14:paraId="111FAFFA">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w:t>
            </w:r>
          </w:p>
        </w:tc>
        <w:tc>
          <w:tcPr>
            <w:tcW w:w="1705" w:type="dxa"/>
            <w:tcBorders>
              <w:top w:val="single" w:color="auto" w:sz="4" w:space="0"/>
              <w:left w:val="single" w:color="auto" w:sz="4" w:space="0"/>
              <w:bottom w:val="single" w:color="auto" w:sz="4" w:space="0"/>
              <w:right w:val="single" w:color="auto" w:sz="4" w:space="0"/>
            </w:tcBorders>
            <w:vAlign w:val="center"/>
          </w:tcPr>
          <w:p w14:paraId="709180B2">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w:t>
            </w:r>
          </w:p>
        </w:tc>
        <w:tc>
          <w:tcPr>
            <w:tcW w:w="1705" w:type="dxa"/>
            <w:tcBorders>
              <w:top w:val="single" w:color="auto" w:sz="4" w:space="0"/>
              <w:left w:val="single" w:color="auto" w:sz="4" w:space="0"/>
              <w:bottom w:val="single" w:color="auto" w:sz="4" w:space="0"/>
              <w:right w:val="single" w:color="auto" w:sz="4" w:space="0"/>
            </w:tcBorders>
            <w:vAlign w:val="center"/>
          </w:tcPr>
          <w:p w14:paraId="677B031C">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Ⅰ</w:t>
            </w:r>
          </w:p>
        </w:tc>
      </w:tr>
      <w:tr w14:paraId="01E0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04" w:type="dxa"/>
            <w:tcBorders>
              <w:top w:val="single" w:color="auto" w:sz="4" w:space="0"/>
              <w:left w:val="single" w:color="auto" w:sz="4" w:space="0"/>
              <w:bottom w:val="single" w:color="auto" w:sz="4" w:space="0"/>
              <w:right w:val="single" w:color="auto" w:sz="4" w:space="0"/>
            </w:tcBorders>
            <w:vAlign w:val="center"/>
          </w:tcPr>
          <w:p w14:paraId="4C5ED360">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评价工作等级</w:t>
            </w:r>
          </w:p>
        </w:tc>
        <w:tc>
          <w:tcPr>
            <w:tcW w:w="1704" w:type="dxa"/>
            <w:tcBorders>
              <w:top w:val="single" w:color="auto" w:sz="4" w:space="0"/>
              <w:left w:val="single" w:color="auto" w:sz="4" w:space="0"/>
              <w:bottom w:val="single" w:color="auto" w:sz="4" w:space="0"/>
              <w:right w:val="single" w:color="auto" w:sz="4" w:space="0"/>
            </w:tcBorders>
            <w:vAlign w:val="center"/>
          </w:tcPr>
          <w:p w14:paraId="69C8BDC1">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1704" w:type="dxa"/>
            <w:tcBorders>
              <w:top w:val="single" w:color="auto" w:sz="4" w:space="0"/>
              <w:left w:val="single" w:color="auto" w:sz="4" w:space="0"/>
              <w:bottom w:val="single" w:color="auto" w:sz="4" w:space="0"/>
              <w:right w:val="single" w:color="auto" w:sz="4" w:space="0"/>
            </w:tcBorders>
            <w:vAlign w:val="center"/>
          </w:tcPr>
          <w:p w14:paraId="5B50D43A">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c>
          <w:tcPr>
            <w:tcW w:w="1705" w:type="dxa"/>
            <w:tcBorders>
              <w:top w:val="single" w:color="auto" w:sz="4" w:space="0"/>
              <w:left w:val="single" w:color="auto" w:sz="4" w:space="0"/>
              <w:bottom w:val="single" w:color="auto" w:sz="4" w:space="0"/>
              <w:right w:val="single" w:color="auto" w:sz="4" w:space="0"/>
            </w:tcBorders>
            <w:vAlign w:val="center"/>
          </w:tcPr>
          <w:p w14:paraId="6DB0AD64">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w:t>
            </w:r>
          </w:p>
        </w:tc>
        <w:tc>
          <w:tcPr>
            <w:tcW w:w="1705" w:type="dxa"/>
            <w:tcBorders>
              <w:top w:val="single" w:color="auto" w:sz="4" w:space="0"/>
              <w:left w:val="single" w:color="auto" w:sz="4" w:space="0"/>
              <w:bottom w:val="single" w:color="auto" w:sz="4" w:space="0"/>
              <w:right w:val="single" w:color="auto" w:sz="4" w:space="0"/>
            </w:tcBorders>
            <w:vAlign w:val="center"/>
          </w:tcPr>
          <w:p w14:paraId="20A7F8EE">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简要分析</w:t>
            </w:r>
            <w:r>
              <w:rPr>
                <w:rFonts w:hint="default" w:ascii="Times New Roman" w:hAnsi="Times New Roman" w:cs="Times New Roman"/>
                <w:color w:val="auto"/>
                <w:sz w:val="21"/>
                <w:szCs w:val="21"/>
                <w:highlight w:val="none"/>
                <w:vertAlign w:val="superscript"/>
              </w:rPr>
              <w:t>a</w:t>
            </w:r>
          </w:p>
        </w:tc>
      </w:tr>
      <w:tr w14:paraId="17D0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22" w:type="dxa"/>
            <w:gridSpan w:val="5"/>
            <w:tcBorders>
              <w:top w:val="single" w:color="auto" w:sz="4" w:space="0"/>
              <w:left w:val="single" w:color="auto" w:sz="4" w:space="0"/>
              <w:bottom w:val="single" w:color="auto" w:sz="4" w:space="0"/>
              <w:right w:val="single" w:color="auto" w:sz="4" w:space="0"/>
            </w:tcBorders>
            <w:vAlign w:val="center"/>
          </w:tcPr>
          <w:p w14:paraId="6DBB32E5">
            <w:pPr>
              <w:keepNext w:val="0"/>
              <w:keepLines w:val="0"/>
              <w:widowControl w:val="0"/>
              <w:suppressLineNumbers w:val="0"/>
              <w:autoSpaceDE w:val="0"/>
              <w:autoSpaceDN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 是相对于详细评价工作内容而言，在描述危险物质、环境影响途径、环境危害后果、风险防范措施等方面给出定性的说明</w:t>
            </w:r>
          </w:p>
        </w:tc>
      </w:tr>
    </w:tbl>
    <w:p w14:paraId="468F1EC9">
      <w:pPr>
        <w:pStyle w:val="14"/>
        <w:spacing w:line="360" w:lineRule="auto"/>
        <w:ind w:firstLine="480"/>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kern w:val="0"/>
          <w:sz w:val="24"/>
          <w:szCs w:val="24"/>
        </w:rPr>
        <w:t>根据《建设项目环境风险评价技术导则》（HJ169-2018）附录C，当存在多种危险物质时，则按式（C.1）计算物质总量与其临界量比值，建设项目危险物质数量与临界量比值（Q）按下式计算：</w:t>
      </w:r>
    </w:p>
    <w:p w14:paraId="20606702">
      <w:pPr>
        <w:snapToGrid w:val="0"/>
        <w:spacing w:line="360" w:lineRule="auto"/>
        <w:ind w:firstLine="480" w:firstLineChars="20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drawing>
          <wp:inline distT="0" distB="0" distL="114300" distR="114300">
            <wp:extent cx="1964055" cy="564515"/>
            <wp:effectExtent l="0" t="0" r="17145" b="698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9"/>
                    <a:stretch>
                      <a:fillRect/>
                    </a:stretch>
                  </pic:blipFill>
                  <pic:spPr>
                    <a:xfrm>
                      <a:off x="0" y="0"/>
                      <a:ext cx="1964055" cy="564515"/>
                    </a:xfrm>
                    <a:prstGeom prst="rect">
                      <a:avLst/>
                    </a:prstGeom>
                    <a:noFill/>
                    <a:ln>
                      <a:noFill/>
                    </a:ln>
                  </pic:spPr>
                </pic:pic>
              </a:graphicData>
            </a:graphic>
          </wp:inline>
        </w:drawing>
      </w:r>
    </w:p>
    <w:p w14:paraId="4BDA8A3C">
      <w:pPr>
        <w:snapToGrid w:val="0"/>
        <w:spacing w:line="360" w:lineRule="auto"/>
        <w:ind w:firstLine="480" w:firstLineChars="20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式中：q1、q2····qn—每种危险物质最大存在总量（t）。</w:t>
      </w:r>
    </w:p>
    <w:p w14:paraId="672CAEB2">
      <w:pPr>
        <w:snapToGrid w:val="0"/>
        <w:spacing w:line="360" w:lineRule="auto"/>
        <w:ind w:firstLine="480" w:firstLineChars="20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 xml:space="preserve">      Q1、Q2····Qn—每种物质的临界量（t）。</w:t>
      </w:r>
    </w:p>
    <w:p w14:paraId="1F8C3EA1">
      <w:pPr>
        <w:snapToGrid w:val="0"/>
        <w:spacing w:line="360" w:lineRule="auto"/>
        <w:ind w:firstLine="480" w:firstLineChars="20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 xml:space="preserve">      当＜1时，</w:t>
      </w:r>
      <w:r>
        <w:rPr>
          <w:rFonts w:hint="default" w:ascii="Times New Roman" w:hAnsi="Times New Roman" w:eastAsia="宋体" w:cs="Times New Roman"/>
          <w:b w:val="0"/>
          <w:bCs w:val="0"/>
          <w:color w:val="auto"/>
          <w:kern w:val="0"/>
          <w:sz w:val="24"/>
          <w:szCs w:val="24"/>
          <w:lang w:val="en-US" w:eastAsia="zh-CN"/>
        </w:rPr>
        <w:t>本</w:t>
      </w:r>
      <w:r>
        <w:rPr>
          <w:rFonts w:hint="default" w:ascii="Times New Roman" w:hAnsi="Times New Roman" w:eastAsia="宋体" w:cs="Times New Roman"/>
          <w:b w:val="0"/>
          <w:bCs w:val="0"/>
          <w:color w:val="auto"/>
          <w:kern w:val="0"/>
          <w:sz w:val="24"/>
          <w:szCs w:val="24"/>
        </w:rPr>
        <w:t>项目环境风险潜势划为Ⅰ。</w:t>
      </w:r>
    </w:p>
    <w:p w14:paraId="535B6711">
      <w:pPr>
        <w:snapToGrid w:val="0"/>
        <w:spacing w:line="360" w:lineRule="auto"/>
        <w:ind w:firstLine="480" w:firstLineChars="200"/>
        <w:rPr>
          <w:rFonts w:hint="default" w:ascii="Times New Roman" w:hAnsi="Times New Roman" w:eastAsia="宋体" w:cs="Times New Roman"/>
          <w:b w:val="0"/>
          <w:bCs w:val="0"/>
          <w:color w:val="auto"/>
          <w:kern w:val="0"/>
          <w:sz w:val="24"/>
          <w:szCs w:val="24"/>
          <w:lang w:eastAsia="zh-CN"/>
        </w:rPr>
      </w:pPr>
      <w:r>
        <w:rPr>
          <w:rFonts w:hint="default" w:ascii="Times New Roman" w:hAnsi="Times New Roman" w:eastAsia="宋体" w:cs="Times New Roman"/>
          <w:b w:val="0"/>
          <w:bCs w:val="0"/>
          <w:color w:val="auto"/>
          <w:kern w:val="0"/>
          <w:sz w:val="24"/>
          <w:szCs w:val="24"/>
        </w:rPr>
        <w:t xml:space="preserve">      当Q≥1时，将Q值划分为：（1）1≤Q＜10；（2）10≤Q＜100；（</w:t>
      </w:r>
      <w:r>
        <w:rPr>
          <w:rFonts w:hint="default" w:ascii="Times New Roman" w:hAnsi="Times New Roman" w:eastAsia="宋体" w:cs="Times New Roman"/>
          <w:b w:val="0"/>
          <w:bCs w:val="0"/>
          <w:color w:val="auto"/>
          <w:kern w:val="0"/>
          <w:sz w:val="24"/>
          <w:szCs w:val="24"/>
          <w:lang w:val="en-US" w:eastAsia="zh-CN"/>
        </w:rPr>
        <w:t>3</w:t>
      </w:r>
      <w:r>
        <w:rPr>
          <w:rFonts w:hint="default" w:ascii="Times New Roman" w:hAnsi="Times New Roman" w:eastAsia="宋体" w:cs="Times New Roman"/>
          <w:b w:val="0"/>
          <w:bCs w:val="0"/>
          <w:color w:val="auto"/>
          <w:kern w:val="0"/>
          <w:sz w:val="24"/>
          <w:szCs w:val="24"/>
        </w:rPr>
        <w:t>）Q≥100。</w:t>
      </w:r>
    </w:p>
    <w:p w14:paraId="594FDFFD">
      <w:pPr>
        <w:pStyle w:val="38"/>
        <w:spacing w:line="360" w:lineRule="auto"/>
        <w:jc w:val="both"/>
        <w:rPr>
          <w:rFonts w:hint="default" w:ascii="Times New Roman" w:hAnsi="Times New Roman" w:eastAsia="宋体" w:cs="Times New Roman"/>
          <w:b w:val="0"/>
          <w:bCs w:val="0"/>
          <w:color w:val="auto"/>
          <w:kern w:val="0"/>
          <w:sz w:val="24"/>
          <w:szCs w:val="24"/>
          <w:lang w:val="en-US" w:eastAsia="zh-CN" w:bidi="ar-SA"/>
        </w:rPr>
      </w:pPr>
      <w:r>
        <w:rPr>
          <w:rFonts w:hint="default" w:ascii="Times New Roman" w:hAnsi="Times New Roman" w:eastAsia="宋体" w:cs="Times New Roman"/>
          <w:b w:val="0"/>
          <w:bCs w:val="0"/>
          <w:color w:val="auto"/>
          <w:kern w:val="0"/>
          <w:sz w:val="24"/>
          <w:szCs w:val="24"/>
          <w:lang w:val="en-US" w:eastAsia="zh-CN" w:bidi="ar-SA"/>
        </w:rPr>
        <w:t>项目风险物质最大储存量及临界量情况如下：</w:t>
      </w:r>
    </w:p>
    <w:p w14:paraId="09C18717">
      <w:pPr>
        <w:pStyle w:val="38"/>
        <w:spacing w:line="360" w:lineRule="auto"/>
        <w:rPr>
          <w:rFonts w:hint="default" w:ascii="Times New Roman" w:hAnsi="Times New Roman" w:eastAsia="黑体" w:cs="Times New Roman"/>
          <w:b w:val="0"/>
          <w:bCs w:val="0"/>
          <w:color w:val="auto"/>
          <w:sz w:val="21"/>
          <w:szCs w:val="21"/>
        </w:rPr>
      </w:pPr>
      <w:r>
        <w:rPr>
          <w:rFonts w:hint="default" w:ascii="Times New Roman" w:hAnsi="Times New Roman" w:eastAsia="黑体" w:cs="Times New Roman"/>
          <w:b w:val="0"/>
          <w:bCs w:val="0"/>
          <w:color w:val="auto"/>
          <w:sz w:val="21"/>
          <w:szCs w:val="21"/>
        </w:rPr>
        <w:t>表</w:t>
      </w:r>
      <w:r>
        <w:rPr>
          <w:rFonts w:hint="default" w:ascii="Times New Roman" w:hAnsi="Times New Roman" w:eastAsia="黑体" w:cs="Times New Roman"/>
          <w:b w:val="0"/>
          <w:bCs w:val="0"/>
          <w:color w:val="auto"/>
          <w:sz w:val="21"/>
          <w:szCs w:val="21"/>
          <w:lang w:val="en-US" w:eastAsia="zh-CN"/>
        </w:rPr>
        <w:t>1.5-14</w:t>
      </w:r>
      <w:r>
        <w:rPr>
          <w:rFonts w:hint="default" w:ascii="Times New Roman" w:hAnsi="Times New Roman" w:eastAsia="黑体" w:cs="Times New Roman"/>
          <w:b w:val="0"/>
          <w:bCs w:val="0"/>
          <w:color w:val="auto"/>
          <w:sz w:val="21"/>
          <w:szCs w:val="21"/>
        </w:rPr>
        <w:t xml:space="preserve">   项目风险物质最大储存量及临界量情况一览表</w:t>
      </w:r>
    </w:p>
    <w:tbl>
      <w:tblPr>
        <w:tblStyle w:val="23"/>
        <w:tblW w:w="86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03"/>
        <w:gridCol w:w="1764"/>
        <w:gridCol w:w="1912"/>
        <w:gridCol w:w="1988"/>
        <w:gridCol w:w="2159"/>
      </w:tblGrid>
      <w:tr w14:paraId="26FC0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803" w:type="dxa"/>
            <w:tcBorders>
              <w:top w:val="single" w:color="000000" w:sz="6" w:space="0"/>
              <w:left w:val="single" w:color="000000" w:sz="6" w:space="0"/>
              <w:bottom w:val="single" w:color="000000" w:sz="6" w:space="0"/>
              <w:right w:val="single" w:color="000000" w:sz="4" w:space="0"/>
            </w:tcBorders>
            <w:shd w:val="clear" w:color="auto" w:fill="auto"/>
            <w:vAlign w:val="center"/>
          </w:tcPr>
          <w:p w14:paraId="76AFBEA6">
            <w:pPr>
              <w:pStyle w:val="20"/>
              <w:keepNext w:val="0"/>
              <w:keepLines w:val="0"/>
              <w:widowControl w:val="0"/>
              <w:suppressLineNumbers w:val="0"/>
              <w:autoSpaceDE w:val="0"/>
              <w:autoSpaceDN w:val="0"/>
              <w:adjustRightInd w:val="0"/>
              <w:spacing w:before="0" w:beforeAutospacing="0" w:after="0" w:afterAutospacing="0" w:line="261" w:lineRule="exact"/>
              <w:ind w:left="182" w:right="0"/>
              <w:jc w:val="left"/>
              <w:rPr>
                <w:rFonts w:hint="default" w:ascii="Times New Roman" w:hAnsi="Times New Roman" w:cs="Times New Roman"/>
                <w:b/>
                <w:bCs w:val="0"/>
                <w:color w:val="auto"/>
                <w:sz w:val="21"/>
                <w:szCs w:val="21"/>
                <w:lang w:val="en-US"/>
              </w:rPr>
            </w:pPr>
            <w:r>
              <w:rPr>
                <w:rFonts w:hint="default" w:ascii="Times New Roman" w:hAnsi="Times New Roman" w:eastAsia="宋体" w:cs="Times New Roman"/>
                <w:b/>
                <w:bCs w:val="0"/>
                <w:color w:val="auto"/>
                <w:spacing w:val="-1"/>
                <w:kern w:val="0"/>
                <w:sz w:val="21"/>
                <w:szCs w:val="21"/>
                <w:lang w:val="en-US" w:eastAsia="zh-CN" w:bidi="ar"/>
              </w:rPr>
              <w:t>序号</w:t>
            </w:r>
          </w:p>
        </w:tc>
        <w:tc>
          <w:tcPr>
            <w:tcW w:w="1764" w:type="dxa"/>
            <w:tcBorders>
              <w:top w:val="single" w:color="000000" w:sz="6" w:space="0"/>
              <w:left w:val="single" w:color="000000" w:sz="4" w:space="0"/>
              <w:bottom w:val="single" w:color="000000" w:sz="6" w:space="0"/>
              <w:right w:val="single" w:color="000000" w:sz="6" w:space="0"/>
            </w:tcBorders>
            <w:shd w:val="clear" w:color="auto" w:fill="auto"/>
            <w:vAlign w:val="center"/>
          </w:tcPr>
          <w:p w14:paraId="283A472C">
            <w:pPr>
              <w:pStyle w:val="20"/>
              <w:keepNext w:val="0"/>
              <w:keepLines w:val="0"/>
              <w:widowControl w:val="0"/>
              <w:suppressLineNumbers w:val="0"/>
              <w:autoSpaceDE w:val="0"/>
              <w:autoSpaceDN w:val="0"/>
              <w:adjustRightInd w:val="0"/>
              <w:spacing w:before="0" w:beforeAutospacing="0" w:after="0" w:afterAutospacing="0" w:line="261" w:lineRule="exact"/>
              <w:ind w:left="2" w:right="0"/>
              <w:jc w:val="center"/>
              <w:rPr>
                <w:rFonts w:hint="default" w:ascii="Times New Roman" w:hAnsi="Times New Roman" w:cs="Times New Roman"/>
                <w:b/>
                <w:bCs w:val="0"/>
                <w:color w:val="auto"/>
                <w:sz w:val="21"/>
                <w:szCs w:val="21"/>
                <w:lang w:val="en-US"/>
              </w:rPr>
            </w:pPr>
            <w:r>
              <w:rPr>
                <w:rFonts w:hint="default" w:ascii="Times New Roman" w:hAnsi="Times New Roman" w:eastAsia="宋体" w:cs="Times New Roman"/>
                <w:b/>
                <w:bCs w:val="0"/>
                <w:color w:val="auto"/>
                <w:spacing w:val="-1"/>
                <w:kern w:val="0"/>
                <w:sz w:val="21"/>
                <w:szCs w:val="21"/>
                <w:lang w:val="en-US" w:eastAsia="zh-CN" w:bidi="ar"/>
              </w:rPr>
              <w:t>名称</w:t>
            </w:r>
          </w:p>
        </w:tc>
        <w:tc>
          <w:tcPr>
            <w:tcW w:w="19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478DB04">
            <w:pPr>
              <w:pStyle w:val="20"/>
              <w:keepNext w:val="0"/>
              <w:keepLines w:val="0"/>
              <w:widowControl w:val="0"/>
              <w:suppressLineNumbers w:val="0"/>
              <w:autoSpaceDE w:val="0"/>
              <w:autoSpaceDN w:val="0"/>
              <w:adjustRightInd w:val="0"/>
              <w:spacing w:before="0" w:beforeAutospacing="0" w:after="0" w:afterAutospacing="0" w:line="277" w:lineRule="exact"/>
              <w:ind w:left="287" w:right="0"/>
              <w:jc w:val="center"/>
              <w:rPr>
                <w:rFonts w:hint="default" w:ascii="Times New Roman" w:hAnsi="Times New Roman" w:cs="Times New Roman"/>
                <w:b/>
                <w:bCs w:val="0"/>
                <w:color w:val="auto"/>
                <w:sz w:val="21"/>
                <w:szCs w:val="21"/>
                <w:lang w:val="en-US"/>
              </w:rPr>
            </w:pPr>
            <w:r>
              <w:rPr>
                <w:rFonts w:hint="default" w:ascii="Times New Roman" w:hAnsi="Times New Roman" w:eastAsia="宋体" w:cs="Times New Roman"/>
                <w:b/>
                <w:bCs w:val="0"/>
                <w:color w:val="auto"/>
                <w:kern w:val="0"/>
                <w:sz w:val="21"/>
                <w:szCs w:val="21"/>
                <w:lang w:val="en-US" w:eastAsia="zh-CN" w:bidi="ar"/>
              </w:rPr>
              <w:t>最大储存量（t）</w:t>
            </w:r>
          </w:p>
        </w:tc>
        <w:tc>
          <w:tcPr>
            <w:tcW w:w="19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4EFB1C5">
            <w:pPr>
              <w:pStyle w:val="20"/>
              <w:keepNext w:val="0"/>
              <w:keepLines w:val="0"/>
              <w:widowControl w:val="0"/>
              <w:suppressLineNumbers w:val="0"/>
              <w:autoSpaceDE w:val="0"/>
              <w:autoSpaceDN w:val="0"/>
              <w:adjustRightInd w:val="0"/>
              <w:spacing w:before="0" w:beforeAutospacing="0" w:after="0" w:afterAutospacing="0" w:line="277" w:lineRule="exact"/>
              <w:ind w:left="421" w:right="0"/>
              <w:jc w:val="center"/>
              <w:rPr>
                <w:rFonts w:hint="default" w:ascii="Times New Roman" w:hAnsi="Times New Roman" w:cs="Times New Roman"/>
                <w:b/>
                <w:bCs w:val="0"/>
                <w:color w:val="auto"/>
                <w:sz w:val="21"/>
                <w:szCs w:val="21"/>
                <w:lang w:val="en-US"/>
              </w:rPr>
            </w:pPr>
            <w:r>
              <w:rPr>
                <w:rFonts w:hint="default" w:ascii="Times New Roman" w:hAnsi="Times New Roman" w:eastAsia="宋体" w:cs="Times New Roman"/>
                <w:b/>
                <w:bCs w:val="0"/>
                <w:color w:val="auto"/>
                <w:kern w:val="0"/>
                <w:sz w:val="21"/>
                <w:szCs w:val="21"/>
                <w:lang w:val="en-US" w:eastAsia="zh-CN" w:bidi="ar"/>
              </w:rPr>
              <w:t>临界量（t）</w:t>
            </w:r>
          </w:p>
        </w:tc>
        <w:tc>
          <w:tcPr>
            <w:tcW w:w="215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C9D26FC">
            <w:pPr>
              <w:pStyle w:val="20"/>
              <w:keepNext w:val="0"/>
              <w:keepLines w:val="0"/>
              <w:widowControl w:val="0"/>
              <w:suppressLineNumbers w:val="0"/>
              <w:autoSpaceDE w:val="0"/>
              <w:autoSpaceDN w:val="0"/>
              <w:adjustRightInd w:val="0"/>
              <w:spacing w:before="35" w:beforeAutospacing="0" w:after="0" w:afterAutospacing="0"/>
              <w:ind w:left="0" w:right="0"/>
              <w:jc w:val="center"/>
              <w:rPr>
                <w:rFonts w:hint="default" w:ascii="Times New Roman" w:hAnsi="Times New Roman" w:cs="Times New Roman"/>
                <w:b/>
                <w:bCs w:val="0"/>
                <w:color w:val="auto"/>
                <w:sz w:val="21"/>
                <w:szCs w:val="21"/>
                <w:lang w:val="en-US"/>
              </w:rPr>
            </w:pPr>
            <w:r>
              <w:rPr>
                <w:rFonts w:hint="default" w:ascii="Times New Roman" w:hAnsi="Times New Roman" w:eastAsia="宋体" w:cs="Times New Roman"/>
                <w:b/>
                <w:bCs w:val="0"/>
                <w:color w:val="auto"/>
                <w:spacing w:val="-1"/>
                <w:kern w:val="0"/>
                <w:sz w:val="21"/>
                <w:szCs w:val="21"/>
                <w:lang w:val="en-US" w:eastAsia="zh-CN" w:bidi="ar"/>
              </w:rPr>
              <w:t>qi/Qi</w:t>
            </w:r>
          </w:p>
        </w:tc>
      </w:tr>
      <w:tr w14:paraId="58DE4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803" w:type="dxa"/>
            <w:tcBorders>
              <w:top w:val="single" w:color="000000" w:sz="6" w:space="0"/>
              <w:left w:val="single" w:color="000000" w:sz="6" w:space="0"/>
              <w:bottom w:val="single" w:color="000000" w:sz="6" w:space="0"/>
              <w:right w:val="single" w:color="000000" w:sz="4" w:space="0"/>
            </w:tcBorders>
            <w:shd w:val="clear" w:color="auto" w:fill="auto"/>
            <w:vAlign w:val="center"/>
          </w:tcPr>
          <w:p w14:paraId="3E7E7FC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cs="Times New Roman"/>
                <w:color w:val="auto"/>
                <w:kern w:val="2"/>
                <w:sz w:val="21"/>
                <w:szCs w:val="21"/>
                <w:lang w:val="en-US" w:eastAsia="zh-CN" w:bidi="ar"/>
              </w:rPr>
              <w:t>1</w:t>
            </w:r>
          </w:p>
        </w:tc>
        <w:tc>
          <w:tcPr>
            <w:tcW w:w="1764" w:type="dxa"/>
            <w:tcBorders>
              <w:top w:val="single" w:color="000000" w:sz="6" w:space="0"/>
              <w:left w:val="single" w:color="000000" w:sz="4" w:space="0"/>
              <w:bottom w:val="single" w:color="000000" w:sz="6" w:space="0"/>
              <w:right w:val="single" w:color="000000" w:sz="6" w:space="0"/>
            </w:tcBorders>
            <w:shd w:val="clear" w:color="auto" w:fill="auto"/>
            <w:vAlign w:val="center"/>
          </w:tcPr>
          <w:p w14:paraId="53ADFE2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 w:val="21"/>
                <w:szCs w:val="21"/>
                <w:highlight w:val="none"/>
                <w:lang w:val="en-US" w:eastAsia="zh-CN"/>
              </w:rPr>
              <w:t>柴油</w:t>
            </w:r>
          </w:p>
        </w:tc>
        <w:tc>
          <w:tcPr>
            <w:tcW w:w="19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7EF20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sz w:val="21"/>
                <w:szCs w:val="21"/>
                <w:highlight w:val="none"/>
                <w:lang w:val="en-US" w:eastAsia="zh-CN"/>
              </w:rPr>
              <w:t>0.03</w:t>
            </w:r>
          </w:p>
        </w:tc>
        <w:tc>
          <w:tcPr>
            <w:tcW w:w="19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C4C37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2500</w:t>
            </w:r>
          </w:p>
        </w:tc>
        <w:tc>
          <w:tcPr>
            <w:tcW w:w="215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CAFDEF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0.000012</w:t>
            </w:r>
          </w:p>
        </w:tc>
      </w:tr>
      <w:tr w14:paraId="3AE55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803" w:type="dxa"/>
            <w:tcBorders>
              <w:top w:val="single" w:color="000000" w:sz="6" w:space="0"/>
              <w:left w:val="single" w:color="000000" w:sz="6" w:space="0"/>
              <w:bottom w:val="single" w:color="000000" w:sz="6" w:space="0"/>
              <w:right w:val="single" w:color="000000" w:sz="4" w:space="0"/>
            </w:tcBorders>
            <w:shd w:val="clear" w:color="auto" w:fill="auto"/>
            <w:vAlign w:val="center"/>
          </w:tcPr>
          <w:p w14:paraId="118EEAD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color w:val="auto"/>
                <w:kern w:val="2"/>
                <w:sz w:val="21"/>
                <w:szCs w:val="21"/>
                <w:lang w:val="en-US" w:eastAsia="zh-CN" w:bidi="ar"/>
              </w:rPr>
              <w:t>2</w:t>
            </w:r>
          </w:p>
        </w:tc>
        <w:tc>
          <w:tcPr>
            <w:tcW w:w="1764" w:type="dxa"/>
            <w:tcBorders>
              <w:top w:val="single" w:color="000000" w:sz="6" w:space="0"/>
              <w:left w:val="single" w:color="000000" w:sz="4" w:space="0"/>
              <w:bottom w:val="single" w:color="000000" w:sz="6" w:space="0"/>
              <w:right w:val="single" w:color="000000" w:sz="6" w:space="0"/>
            </w:tcBorders>
            <w:shd w:val="clear" w:color="auto" w:fill="auto"/>
            <w:vAlign w:val="center"/>
          </w:tcPr>
          <w:p w14:paraId="4A79F813">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highlight w:val="none"/>
                <w:lang w:eastAsia="zh-CN"/>
              </w:rPr>
              <w:t>废润滑油、</w:t>
            </w:r>
            <w:r>
              <w:rPr>
                <w:rFonts w:hint="default" w:ascii="Times New Roman" w:hAnsi="Times New Roman" w:eastAsia="宋体" w:cs="Times New Roman"/>
                <w:color w:val="auto"/>
                <w:sz w:val="21"/>
                <w:szCs w:val="21"/>
                <w:highlight w:val="none"/>
              </w:rPr>
              <w:t>废机油</w:t>
            </w:r>
          </w:p>
        </w:tc>
        <w:tc>
          <w:tcPr>
            <w:tcW w:w="19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898723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highlight w:val="none"/>
                <w:lang w:eastAsia="zh-CN"/>
              </w:rPr>
              <w:t>0.</w:t>
            </w:r>
            <w:r>
              <w:rPr>
                <w:rFonts w:hint="default" w:ascii="Times New Roman" w:hAnsi="Times New Roman" w:cs="Times New Roman"/>
                <w:color w:val="auto"/>
                <w:sz w:val="21"/>
                <w:szCs w:val="21"/>
                <w:highlight w:val="none"/>
                <w:lang w:val="en-US" w:eastAsia="zh-CN"/>
              </w:rPr>
              <w:t>1</w:t>
            </w:r>
          </w:p>
        </w:tc>
        <w:tc>
          <w:tcPr>
            <w:tcW w:w="19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DAD30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2500</w:t>
            </w:r>
          </w:p>
        </w:tc>
        <w:tc>
          <w:tcPr>
            <w:tcW w:w="215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17E97D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0.000</w:t>
            </w:r>
            <w:r>
              <w:rPr>
                <w:rFonts w:hint="default" w:ascii="Times New Roman" w:hAnsi="Times New Roman" w:cs="Times New Roman"/>
                <w:color w:val="auto"/>
                <w:kern w:val="2"/>
                <w:sz w:val="21"/>
                <w:szCs w:val="21"/>
                <w:lang w:val="en-US" w:eastAsia="zh-CN" w:bidi="ar"/>
              </w:rPr>
              <w:t>04</w:t>
            </w:r>
          </w:p>
        </w:tc>
      </w:tr>
      <w:tr w14:paraId="6DC38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2567"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14:paraId="4FE03B39">
            <w:pPr>
              <w:pStyle w:val="20"/>
              <w:keepNext w:val="0"/>
              <w:keepLines w:val="0"/>
              <w:widowControl w:val="0"/>
              <w:suppressLineNumbers w:val="0"/>
              <w:autoSpaceDE w:val="0"/>
              <w:autoSpaceDN w:val="0"/>
              <w:adjustRightInd w:val="0"/>
              <w:spacing w:before="0" w:beforeAutospacing="0" w:after="0" w:afterAutospacing="0" w:line="262" w:lineRule="exact"/>
              <w:ind w:left="0" w:right="1"/>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pacing w:val="-1"/>
                <w:kern w:val="0"/>
                <w:sz w:val="21"/>
                <w:szCs w:val="21"/>
                <w:lang w:val="en-US" w:eastAsia="zh-CN" w:bidi="ar"/>
              </w:rPr>
              <w:t>合计</w:t>
            </w:r>
          </w:p>
        </w:tc>
        <w:tc>
          <w:tcPr>
            <w:tcW w:w="3900"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14:paraId="5BEBFEAB">
            <w:pPr>
              <w:pStyle w:val="20"/>
              <w:keepNext w:val="0"/>
              <w:keepLines w:val="0"/>
              <w:widowControl w:val="0"/>
              <w:suppressLineNumbers w:val="0"/>
              <w:autoSpaceDE w:val="0"/>
              <w:autoSpaceDN w:val="0"/>
              <w:adjustRightInd w:val="0"/>
              <w:spacing w:before="36" w:beforeAutospacing="0" w:after="0" w:afterAutospacing="0"/>
              <w:ind w:left="0" w:right="1"/>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w:t>
            </w:r>
          </w:p>
        </w:tc>
        <w:tc>
          <w:tcPr>
            <w:tcW w:w="215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35E1E9">
            <w:pPr>
              <w:pStyle w:val="20"/>
              <w:keepNext w:val="0"/>
              <w:keepLines w:val="0"/>
              <w:widowControl w:val="0"/>
              <w:suppressLineNumbers w:val="0"/>
              <w:autoSpaceDE w:val="0"/>
              <w:autoSpaceDN w:val="0"/>
              <w:adjustRightInd w:val="0"/>
              <w:spacing w:before="0" w:beforeAutospacing="0" w:after="0" w:afterAutospacing="0" w:line="277" w:lineRule="exact"/>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0.000052＜1</w:t>
            </w:r>
          </w:p>
        </w:tc>
      </w:tr>
      <w:tr w14:paraId="7D50B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2567"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14:paraId="09805DCA">
            <w:pPr>
              <w:pStyle w:val="20"/>
              <w:keepNext w:val="0"/>
              <w:keepLines w:val="0"/>
              <w:widowControl w:val="0"/>
              <w:suppressLineNumbers w:val="0"/>
              <w:autoSpaceDE w:val="0"/>
              <w:autoSpaceDN w:val="0"/>
              <w:adjustRightInd w:val="0"/>
              <w:spacing w:before="0" w:beforeAutospacing="0" w:after="0" w:afterAutospacing="0" w:line="261" w:lineRule="exact"/>
              <w:ind w:left="518"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环境风险潜势</w:t>
            </w:r>
          </w:p>
        </w:tc>
        <w:tc>
          <w:tcPr>
            <w:tcW w:w="605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5B82A9D9">
            <w:pPr>
              <w:pStyle w:val="20"/>
              <w:keepNext w:val="0"/>
              <w:keepLines w:val="0"/>
              <w:widowControl w:val="0"/>
              <w:suppressLineNumbers w:val="0"/>
              <w:autoSpaceDE w:val="0"/>
              <w:autoSpaceDN w:val="0"/>
              <w:adjustRightInd w:val="0"/>
              <w:spacing w:before="35" w:beforeAutospacing="0" w:after="0" w:afterAutospacing="0"/>
              <w:ind w:left="0" w:right="2"/>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I</w:t>
            </w:r>
          </w:p>
        </w:tc>
      </w:tr>
    </w:tbl>
    <w:p w14:paraId="40A150AE">
      <w:pPr>
        <w:spacing w:line="360" w:lineRule="auto"/>
        <w:ind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根据上表及《建设项目环境风险评价技术导则》（HJ169-2018）附录C确定，当Q＜1时，可直接判定本项目环境风险潜势为I。</w:t>
      </w:r>
      <w:r>
        <w:rPr>
          <w:rFonts w:hint="default" w:ascii="Times New Roman" w:hAnsi="Times New Roman" w:eastAsia="宋体" w:cs="Times New Roman"/>
          <w:b w:val="0"/>
          <w:bCs w:val="0"/>
          <w:color w:val="auto"/>
          <w:kern w:val="0"/>
          <w:sz w:val="24"/>
          <w:szCs w:val="24"/>
          <w:lang w:eastAsia="zh-CN"/>
        </w:rPr>
        <w:t>根据《建设项目环境风险评价技术导则》(HJ169-2018)，可开展简单分析</w:t>
      </w:r>
      <w:r>
        <w:rPr>
          <w:rFonts w:hint="default" w:ascii="Times New Roman" w:hAnsi="Times New Roman" w:eastAsia="宋体" w:cs="Times New Roman"/>
          <w:b w:val="0"/>
          <w:bCs w:val="0"/>
          <w:color w:val="auto"/>
          <w:sz w:val="24"/>
          <w:szCs w:val="24"/>
          <w:lang w:val="en-US" w:eastAsia="zh-CN"/>
        </w:rPr>
        <w:t>。</w:t>
      </w:r>
    </w:p>
    <w:p w14:paraId="30D47092">
      <w:pPr>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（2）评价范围</w:t>
      </w:r>
    </w:p>
    <w:p w14:paraId="41535A0F">
      <w:pPr>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sz w:val="24"/>
          <w:highlight w:val="none"/>
          <w:u w:val="none"/>
        </w:rPr>
      </w:pPr>
      <w:r>
        <w:rPr>
          <w:rFonts w:hint="default" w:ascii="Times New Roman" w:hAnsi="Times New Roman" w:eastAsia="宋体" w:cs="Times New Roman"/>
          <w:color w:val="auto"/>
          <w:kern w:val="2"/>
          <w:sz w:val="24"/>
          <w:szCs w:val="24"/>
          <w:highlight w:val="none"/>
          <w:lang w:val="en-US" w:eastAsia="zh-CN" w:bidi="ar-SA"/>
        </w:rPr>
        <w:t>项目环境风险评价为简单分析，故本项目大气环境风险评价范围为同大气评价范</w:t>
      </w:r>
      <w:r>
        <w:rPr>
          <w:rFonts w:hint="default" w:ascii="Times New Roman" w:hAnsi="Times New Roman" w:eastAsia="宋体" w:cs="Times New Roman"/>
          <w:color w:val="auto"/>
          <w:kern w:val="2"/>
          <w:sz w:val="24"/>
          <w:szCs w:val="24"/>
          <w:highlight w:val="none"/>
          <w:u w:val="none"/>
          <w:lang w:val="en-US" w:eastAsia="zh-CN" w:bidi="ar-SA"/>
        </w:rPr>
        <w:t>围</w:t>
      </w:r>
      <w:r>
        <w:rPr>
          <w:rFonts w:hint="default" w:ascii="Times New Roman" w:hAnsi="Times New Roman" w:cs="Times New Roman"/>
          <w:color w:val="auto"/>
          <w:kern w:val="2"/>
          <w:sz w:val="24"/>
          <w:szCs w:val="24"/>
          <w:highlight w:val="none"/>
          <w:u w:val="none"/>
          <w:lang w:val="en-US" w:eastAsia="zh-CN" w:bidi="ar-SA"/>
        </w:rPr>
        <w:t>：自项目边界外延2.5km的矩形区域；</w:t>
      </w:r>
      <w:r>
        <w:rPr>
          <w:rFonts w:hint="default" w:ascii="Times New Roman" w:hAnsi="Times New Roman" w:eastAsia="宋体" w:cs="Times New Roman"/>
          <w:color w:val="auto"/>
          <w:kern w:val="2"/>
          <w:sz w:val="24"/>
          <w:szCs w:val="24"/>
          <w:highlight w:val="none"/>
          <w:u w:val="none"/>
          <w:lang w:val="en-US" w:eastAsia="zh-CN" w:bidi="ar-SA"/>
        </w:rPr>
        <w:t>地表水环境风险评价范围同地表水评价范围</w:t>
      </w:r>
      <w:r>
        <w:rPr>
          <w:rFonts w:hint="default" w:ascii="Times New Roman" w:hAnsi="Times New Roman" w:cs="Times New Roman"/>
          <w:color w:val="auto"/>
          <w:kern w:val="2"/>
          <w:sz w:val="24"/>
          <w:szCs w:val="24"/>
          <w:highlight w:val="none"/>
          <w:u w:val="none"/>
          <w:lang w:val="en-US" w:eastAsia="zh-CN" w:bidi="ar-SA"/>
        </w:rPr>
        <w:t>，甸溪河：项目区地表径流汇入点上游500m至下游2.5km，长度3km；</w:t>
      </w:r>
      <w:r>
        <w:rPr>
          <w:rFonts w:hint="default" w:ascii="Times New Roman" w:hAnsi="Times New Roman" w:eastAsia="宋体" w:cs="Times New Roman"/>
          <w:color w:val="auto"/>
          <w:kern w:val="2"/>
          <w:sz w:val="24"/>
          <w:szCs w:val="24"/>
          <w:highlight w:val="none"/>
          <w:u w:val="none"/>
          <w:lang w:val="en-US" w:eastAsia="zh-CN" w:bidi="ar-SA"/>
        </w:rPr>
        <w:t>地下水环境风险评价范围同地下水评价范围。</w:t>
      </w:r>
    </w:p>
    <w:p w14:paraId="1E1C7F78">
      <w:pPr>
        <w:pStyle w:val="3"/>
        <w:keepNext/>
        <w:keepLines/>
        <w:pageBreakBefore w:val="0"/>
        <w:widowControl w:val="0"/>
        <w:kinsoku/>
        <w:wordWrap/>
        <w:overflowPunct/>
        <w:topLinePunct w:val="0"/>
        <w:autoSpaceDE/>
        <w:autoSpaceDN/>
        <w:bidi w:val="0"/>
        <w:adjustRightInd/>
        <w:snapToGrid/>
        <w:spacing w:before="0" w:beforeLines="0" w:after="0" w:afterLines="0" w:line="413" w:lineRule="auto"/>
        <w:textAlignment w:val="auto"/>
        <w:rPr>
          <w:rStyle w:val="34"/>
          <w:rFonts w:hint="default" w:ascii="Times New Roman" w:hAnsi="Times New Roman" w:cs="Times New Roman"/>
          <w:b w:val="0"/>
          <w:bCs w:val="0"/>
          <w:color w:val="auto"/>
          <w:sz w:val="24"/>
          <w:highlight w:val="none"/>
          <w:u w:val="none"/>
        </w:rPr>
      </w:pPr>
      <w:bookmarkStart w:id="129" w:name="_Toc267948881"/>
      <w:bookmarkStart w:id="130" w:name="_Toc316388630"/>
      <w:bookmarkStart w:id="131" w:name="_Toc12859"/>
      <w:bookmarkStart w:id="132" w:name="_Toc22295"/>
      <w:bookmarkStart w:id="133" w:name="_Toc1903"/>
      <w:bookmarkStart w:id="134" w:name="_Toc6373"/>
      <w:bookmarkStart w:id="135" w:name="_Toc16465"/>
      <w:bookmarkStart w:id="136" w:name="_Toc323657569"/>
      <w:r>
        <w:rPr>
          <w:rStyle w:val="34"/>
          <w:rFonts w:hint="default" w:ascii="Times New Roman" w:hAnsi="Times New Roman" w:cs="Times New Roman"/>
          <w:b w:val="0"/>
          <w:bCs w:val="0"/>
          <w:color w:val="auto"/>
          <w:sz w:val="24"/>
          <w:highlight w:val="none"/>
          <w:u w:val="none"/>
        </w:rPr>
        <w:t>1.6环境保护</w:t>
      </w:r>
      <w:bookmarkEnd w:id="129"/>
      <w:r>
        <w:rPr>
          <w:rStyle w:val="34"/>
          <w:rFonts w:hint="default" w:ascii="Times New Roman" w:hAnsi="Times New Roman" w:cs="Times New Roman"/>
          <w:b w:val="0"/>
          <w:bCs w:val="0"/>
          <w:color w:val="auto"/>
          <w:sz w:val="24"/>
          <w:highlight w:val="none"/>
          <w:u w:val="none"/>
        </w:rPr>
        <w:t>目标</w:t>
      </w:r>
      <w:bookmarkEnd w:id="130"/>
      <w:bookmarkEnd w:id="131"/>
      <w:bookmarkEnd w:id="132"/>
      <w:bookmarkEnd w:id="133"/>
      <w:bookmarkEnd w:id="134"/>
      <w:bookmarkEnd w:id="135"/>
      <w:bookmarkEnd w:id="136"/>
    </w:p>
    <w:p w14:paraId="39FD1E8C">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highlight w:val="none"/>
          <w:u w:val="none"/>
        </w:rPr>
      </w:pPr>
      <w:r>
        <w:rPr>
          <w:rFonts w:hint="default" w:ascii="Times New Roman" w:hAnsi="Times New Roman" w:cs="Times New Roman"/>
          <w:b/>
          <w:color w:val="auto"/>
          <w:sz w:val="24"/>
          <w:highlight w:val="none"/>
          <w:u w:val="none"/>
        </w:rPr>
        <w:t>（1）环境空气保护目标</w:t>
      </w:r>
    </w:p>
    <w:p w14:paraId="2D84A20E">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项目所在区域周边环境敏感点按照《环境空气质量标准》（GB3095-2012）二级标准进行保护。大气环境评价范围以项目区场址中心为中心（经纬度：东经103.492753°，北纬24.283106°），边长为5km的矩形区域。</w:t>
      </w:r>
    </w:p>
    <w:p w14:paraId="08554F5E">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（2）地表水环境保护目标</w:t>
      </w:r>
    </w:p>
    <w:p w14:paraId="1E669817">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经现场调查，项目</w:t>
      </w:r>
      <w:r>
        <w:rPr>
          <w:rFonts w:hint="default" w:ascii="Times New Roman" w:hAnsi="Times New Roman" w:cs="Times New Roman"/>
          <w:color w:val="auto"/>
          <w:sz w:val="24"/>
          <w:highlight w:val="none"/>
          <w:lang w:val="en-US" w:eastAsia="zh-CN"/>
        </w:rPr>
        <w:t>西南侧640m</w:t>
      </w:r>
      <w:r>
        <w:rPr>
          <w:rFonts w:hint="eastAsia" w:cs="Times New Roman"/>
          <w:color w:val="auto"/>
          <w:sz w:val="24"/>
          <w:highlight w:val="none"/>
          <w:lang w:val="en-US" w:eastAsia="zh-CN"/>
        </w:rPr>
        <w:t>为</w:t>
      </w:r>
      <w:r>
        <w:rPr>
          <w:rFonts w:hint="default" w:ascii="Times New Roman" w:hAnsi="Times New Roman" w:cs="Times New Roman"/>
          <w:color w:val="auto"/>
          <w:sz w:val="24"/>
          <w:highlight w:val="none"/>
          <w:lang w:val="en-US" w:eastAsia="zh-CN"/>
        </w:rPr>
        <w:t>跃进大沟</w:t>
      </w:r>
      <w:r>
        <w:rPr>
          <w:rFonts w:hint="eastAsia" w:cs="Times New Roman"/>
          <w:color w:val="auto"/>
          <w:sz w:val="24"/>
          <w:highlight w:val="none"/>
          <w:lang w:val="en-US" w:eastAsia="zh-CN"/>
        </w:rPr>
        <w:t>，属于人工灌溉沟渠。项目最近的地表水体为</w:t>
      </w:r>
      <w:r>
        <w:rPr>
          <w:rFonts w:hint="default" w:ascii="Times New Roman" w:hAnsi="Times New Roman" w:cs="Times New Roman"/>
          <w:color w:val="auto"/>
          <w:sz w:val="24"/>
          <w:highlight w:val="none"/>
          <w:lang w:val="en-US" w:eastAsia="zh-CN"/>
        </w:rPr>
        <w:t>西侧3.8km</w:t>
      </w:r>
      <w:r>
        <w:rPr>
          <w:rFonts w:hint="default" w:ascii="Times New Roman" w:hAnsi="Times New Roman" w:cs="Times New Roman"/>
          <w:color w:val="auto"/>
          <w:sz w:val="24"/>
          <w:highlight w:val="none"/>
        </w:rPr>
        <w:t>甸溪河。</w:t>
      </w:r>
    </w:p>
    <w:p w14:paraId="14A4AE51">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b/>
          <w:color w:val="auto"/>
          <w:sz w:val="24"/>
          <w:szCs w:val="28"/>
          <w:highlight w:val="none"/>
        </w:rPr>
      </w:pPr>
      <w:r>
        <w:rPr>
          <w:rFonts w:hint="default" w:ascii="Times New Roman" w:hAnsi="Times New Roman" w:cs="Times New Roman"/>
          <w:b/>
          <w:color w:val="auto"/>
          <w:sz w:val="24"/>
          <w:szCs w:val="28"/>
          <w:highlight w:val="none"/>
        </w:rPr>
        <w:t>（3）地下水环境保护目标</w:t>
      </w:r>
    </w:p>
    <w:p w14:paraId="206D7D41">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本项目地下水环境保护目标主要为项目区所在的水文地质单元，重点保护该水文地质单元内的水质</w:t>
      </w:r>
      <w:r>
        <w:rPr>
          <w:rFonts w:hint="default" w:ascii="Times New Roman" w:hAnsi="Times New Roman" w:cs="Times New Roman"/>
          <w:color w:val="auto"/>
          <w:sz w:val="24"/>
          <w:szCs w:val="28"/>
          <w:highlight w:val="none"/>
          <w:lang w:eastAsia="zh-CN"/>
        </w:rPr>
        <w:t>及周边泉点、水井等</w:t>
      </w:r>
      <w:r>
        <w:rPr>
          <w:rFonts w:hint="default" w:ascii="Times New Roman" w:hAnsi="Times New Roman" w:cs="Times New Roman"/>
          <w:color w:val="auto"/>
          <w:sz w:val="24"/>
          <w:szCs w:val="28"/>
          <w:highlight w:val="none"/>
        </w:rPr>
        <w:t>。</w:t>
      </w:r>
    </w:p>
    <w:p w14:paraId="4E95D3C5">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（4）声环境保护目标</w:t>
      </w:r>
    </w:p>
    <w:p w14:paraId="71F07758">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经调查，项目区厂界外延200m范围内</w:t>
      </w:r>
      <w:r>
        <w:rPr>
          <w:rFonts w:hint="default" w:ascii="Times New Roman" w:hAnsi="Times New Roman" w:cs="Times New Roman"/>
          <w:color w:val="auto"/>
          <w:sz w:val="24"/>
          <w:highlight w:val="none"/>
          <w:lang w:val="en-US" w:eastAsia="zh-CN"/>
        </w:rPr>
        <w:t>无</w:t>
      </w:r>
      <w:r>
        <w:rPr>
          <w:rFonts w:hint="default" w:ascii="Times New Roman" w:hAnsi="Times New Roman" w:cs="Times New Roman"/>
          <w:color w:val="auto"/>
          <w:sz w:val="24"/>
          <w:highlight w:val="none"/>
        </w:rPr>
        <w:t>声环境保护目标。</w:t>
      </w:r>
    </w:p>
    <w:p w14:paraId="310C65DD">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（5）生态环境保护目标</w:t>
      </w:r>
    </w:p>
    <w:p w14:paraId="309F0D9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经现场调查，项目评价区范围内无国家、省、地市级自然保护区和风景名胜区等特殊保护目标，不属于生态敏感与脆弱区。生态环境保护目标主要为项目区厂界外延</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00m范围的植被、动植物、土地等，主要保护评价区内现有的植被、动植物、土地等不受项目建设引发的次生灾害，将项目建设过程中的水土流失控制在有效范围。</w:t>
      </w:r>
    </w:p>
    <w:p w14:paraId="40D7D8FF">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（6）土壤环境保护目标</w:t>
      </w:r>
    </w:p>
    <w:p w14:paraId="33FD38E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经调查，项目土壤环境评价范围内无居民点，土壤环境保护目标主要为评价范围内的农田</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草地</w:t>
      </w:r>
      <w:r>
        <w:rPr>
          <w:rFonts w:hint="default" w:ascii="Times New Roman" w:hAnsi="Times New Roman" w:cs="Times New Roman"/>
          <w:color w:val="auto"/>
          <w:sz w:val="24"/>
          <w:highlight w:val="none"/>
        </w:rPr>
        <w:t>。</w:t>
      </w:r>
    </w:p>
    <w:p w14:paraId="4ADDE4D6">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综上，项目环境保护目标见表1.6-1。</w:t>
      </w:r>
    </w:p>
    <w:p w14:paraId="36FD9082">
      <w:pPr>
        <w:snapToGrid w:val="0"/>
        <w:spacing w:line="360" w:lineRule="auto"/>
        <w:ind w:firstLine="422" w:firstLineChars="200"/>
        <w:jc w:val="center"/>
        <w:rPr>
          <w:rFonts w:hint="default" w:ascii="Times New Roman" w:hAnsi="Times New Roman" w:cs="Times New Roman"/>
          <w:color w:val="auto"/>
          <w:sz w:val="24"/>
          <w:highlight w:val="none"/>
        </w:rPr>
      </w:pPr>
      <w:r>
        <w:rPr>
          <w:rFonts w:hint="default" w:ascii="Times New Roman" w:hAnsi="Times New Roman" w:cs="Times New Roman"/>
          <w:b/>
          <w:bCs/>
          <w:color w:val="auto"/>
          <w:szCs w:val="21"/>
          <w:highlight w:val="none"/>
        </w:rPr>
        <w:t>表1.6-1  项目环境保护目标一览表</w:t>
      </w:r>
    </w:p>
    <w:tbl>
      <w:tblPr>
        <w:tblStyle w:val="23"/>
        <w:tblW w:w="8833"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28"/>
        <w:gridCol w:w="924"/>
        <w:gridCol w:w="1365"/>
        <w:gridCol w:w="1350"/>
        <w:gridCol w:w="968"/>
        <w:gridCol w:w="1217"/>
        <w:gridCol w:w="747"/>
        <w:gridCol w:w="919"/>
        <w:gridCol w:w="915"/>
      </w:tblGrid>
      <w:tr w14:paraId="48C8ED3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8" w:type="dxa"/>
            <w:vMerge w:val="restart"/>
            <w:tcBorders>
              <w:top w:val="single" w:color="000000" w:sz="4" w:space="0"/>
              <w:left w:val="single" w:color="000000" w:sz="4" w:space="0"/>
              <w:bottom w:val="single" w:color="000000" w:sz="4" w:space="0"/>
              <w:right w:val="single" w:color="000000" w:sz="4" w:space="0"/>
            </w:tcBorders>
            <w:vAlign w:val="center"/>
          </w:tcPr>
          <w:p w14:paraId="11350E5C">
            <w:pPr>
              <w:widowControl/>
              <w:spacing w:line="24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序号</w:t>
            </w:r>
          </w:p>
        </w:tc>
        <w:tc>
          <w:tcPr>
            <w:tcW w:w="924" w:type="dxa"/>
            <w:vMerge w:val="restart"/>
            <w:tcBorders>
              <w:top w:val="single" w:color="000000" w:sz="4" w:space="0"/>
              <w:left w:val="single" w:color="000000" w:sz="4" w:space="0"/>
              <w:bottom w:val="single" w:color="000000" w:sz="4" w:space="0"/>
              <w:right w:val="single" w:color="000000" w:sz="4" w:space="0"/>
            </w:tcBorders>
            <w:vAlign w:val="center"/>
          </w:tcPr>
          <w:p w14:paraId="79E991DA">
            <w:pPr>
              <w:widowControl/>
              <w:spacing w:line="24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名称</w:t>
            </w:r>
          </w:p>
        </w:tc>
        <w:tc>
          <w:tcPr>
            <w:tcW w:w="2715" w:type="dxa"/>
            <w:gridSpan w:val="2"/>
            <w:tcBorders>
              <w:top w:val="single" w:color="000000" w:sz="4" w:space="0"/>
              <w:left w:val="single" w:color="000000" w:sz="4" w:space="0"/>
              <w:bottom w:val="single" w:color="000000" w:sz="4" w:space="0"/>
              <w:right w:val="single" w:color="000000" w:sz="4" w:space="0"/>
            </w:tcBorders>
            <w:vAlign w:val="center"/>
          </w:tcPr>
          <w:p w14:paraId="4E0B9F05">
            <w:pPr>
              <w:pStyle w:val="60"/>
              <w:autoSpaceDE w:val="0"/>
              <w:autoSpaceDN w:val="0"/>
              <w:rPr>
                <w:rFonts w:hint="default" w:ascii="Times New Roman" w:hAnsi="Times New Roman" w:cs="Times New Roman"/>
                <w:b/>
                <w:bCs/>
                <w:color w:val="auto"/>
                <w:kern w:val="0"/>
                <w:sz w:val="18"/>
                <w:szCs w:val="18"/>
              </w:rPr>
            </w:pPr>
            <w:r>
              <w:rPr>
                <w:rFonts w:hint="default" w:ascii="Times New Roman" w:hAnsi="Times New Roman" w:cs="Times New Roman"/>
                <w:b/>
                <w:color w:val="auto"/>
                <w:sz w:val="18"/>
                <w:szCs w:val="18"/>
              </w:rPr>
              <w:t>坐标</w:t>
            </w:r>
            <w:r>
              <w:rPr>
                <w:rFonts w:hint="default" w:ascii="Times New Roman" w:hAnsi="Times New Roman" w:cs="Times New Roman"/>
                <w:b/>
                <w:color w:val="auto"/>
                <w:sz w:val="18"/>
                <w:szCs w:val="18"/>
                <w:lang w:eastAsia="zh-CN"/>
              </w:rPr>
              <w:t>（</w:t>
            </w:r>
            <w:r>
              <w:rPr>
                <w:rFonts w:hint="default" w:ascii="Times New Roman" w:hAnsi="Times New Roman" w:cs="Times New Roman"/>
                <w:b/>
                <w:color w:val="auto"/>
                <w:sz w:val="18"/>
                <w:szCs w:val="18"/>
                <w:lang w:val="en-US" w:eastAsia="zh-CN"/>
              </w:rPr>
              <w:t>°</w:t>
            </w:r>
            <w:r>
              <w:rPr>
                <w:rFonts w:hint="default" w:ascii="Times New Roman" w:hAnsi="Times New Roman" w:cs="Times New Roman"/>
                <w:b/>
                <w:color w:val="auto"/>
                <w:sz w:val="18"/>
                <w:szCs w:val="18"/>
                <w:lang w:eastAsia="zh-CN"/>
              </w:rPr>
              <w:t>）</w:t>
            </w:r>
          </w:p>
        </w:tc>
        <w:tc>
          <w:tcPr>
            <w:tcW w:w="968" w:type="dxa"/>
            <w:vMerge w:val="restart"/>
            <w:tcBorders>
              <w:top w:val="single" w:color="000000" w:sz="4" w:space="0"/>
              <w:left w:val="single" w:color="000000" w:sz="4" w:space="0"/>
              <w:bottom w:val="single" w:color="000000" w:sz="4" w:space="0"/>
              <w:right w:val="single" w:color="000000" w:sz="4" w:space="0"/>
            </w:tcBorders>
            <w:vAlign w:val="center"/>
          </w:tcPr>
          <w:p w14:paraId="2B3ECF00">
            <w:pPr>
              <w:widowControl/>
              <w:spacing w:line="24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保护对象</w:t>
            </w:r>
          </w:p>
        </w:tc>
        <w:tc>
          <w:tcPr>
            <w:tcW w:w="1217" w:type="dxa"/>
            <w:vMerge w:val="restart"/>
            <w:tcBorders>
              <w:top w:val="single" w:color="000000" w:sz="4" w:space="0"/>
              <w:left w:val="single" w:color="000000" w:sz="4" w:space="0"/>
              <w:bottom w:val="single" w:color="000000" w:sz="4" w:space="0"/>
              <w:right w:val="single" w:color="000000" w:sz="4" w:space="0"/>
            </w:tcBorders>
            <w:vAlign w:val="center"/>
          </w:tcPr>
          <w:p w14:paraId="21CE4277">
            <w:pPr>
              <w:widowControl/>
              <w:spacing w:line="24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保护内容</w:t>
            </w:r>
          </w:p>
        </w:tc>
        <w:tc>
          <w:tcPr>
            <w:tcW w:w="747" w:type="dxa"/>
            <w:vMerge w:val="restart"/>
            <w:tcBorders>
              <w:top w:val="single" w:color="000000" w:sz="4" w:space="0"/>
              <w:left w:val="single" w:color="000000" w:sz="4" w:space="0"/>
              <w:bottom w:val="single" w:color="000000" w:sz="4" w:space="0"/>
              <w:right w:val="single" w:color="000000" w:sz="4" w:space="0"/>
            </w:tcBorders>
            <w:vAlign w:val="center"/>
          </w:tcPr>
          <w:p w14:paraId="03BED1FD">
            <w:pPr>
              <w:widowControl/>
              <w:spacing w:line="24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环境功能区</w:t>
            </w:r>
          </w:p>
        </w:tc>
        <w:tc>
          <w:tcPr>
            <w:tcW w:w="919" w:type="dxa"/>
            <w:vMerge w:val="restart"/>
            <w:tcBorders>
              <w:top w:val="single" w:color="000000" w:sz="4" w:space="0"/>
              <w:left w:val="single" w:color="000000" w:sz="4" w:space="0"/>
              <w:bottom w:val="single" w:color="000000" w:sz="4" w:space="0"/>
              <w:right w:val="single" w:color="000000" w:sz="4" w:space="0"/>
            </w:tcBorders>
            <w:vAlign w:val="center"/>
          </w:tcPr>
          <w:p w14:paraId="3CFF9253">
            <w:pPr>
              <w:widowControl/>
              <w:spacing w:line="24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相对厂址方位</w:t>
            </w:r>
          </w:p>
        </w:tc>
        <w:tc>
          <w:tcPr>
            <w:tcW w:w="915" w:type="dxa"/>
            <w:vMerge w:val="restart"/>
            <w:tcBorders>
              <w:top w:val="single" w:color="000000" w:sz="4" w:space="0"/>
              <w:left w:val="single" w:color="000000" w:sz="4" w:space="0"/>
              <w:bottom w:val="single" w:color="000000" w:sz="4" w:space="0"/>
              <w:right w:val="single" w:color="000000" w:sz="4" w:space="0"/>
            </w:tcBorders>
            <w:vAlign w:val="center"/>
          </w:tcPr>
          <w:p w14:paraId="2D8A8442">
            <w:pPr>
              <w:widowControl/>
              <w:spacing w:line="24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相对厂界距离/m</w:t>
            </w:r>
          </w:p>
        </w:tc>
      </w:tr>
      <w:tr w14:paraId="29B10B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8" w:type="dxa"/>
            <w:vMerge w:val="continue"/>
            <w:tcBorders>
              <w:top w:val="single" w:color="000000" w:sz="4" w:space="0"/>
              <w:left w:val="single" w:color="000000" w:sz="4" w:space="0"/>
              <w:bottom w:val="single" w:color="000000" w:sz="4" w:space="0"/>
              <w:right w:val="single" w:color="000000" w:sz="4" w:space="0"/>
            </w:tcBorders>
            <w:vAlign w:val="center"/>
          </w:tcPr>
          <w:p w14:paraId="0F91819C">
            <w:pPr>
              <w:widowControl/>
              <w:spacing w:line="240" w:lineRule="auto"/>
              <w:jc w:val="center"/>
              <w:rPr>
                <w:rFonts w:hint="default" w:ascii="Times New Roman" w:hAnsi="Times New Roman" w:cs="Times New Roman"/>
                <w:color w:val="auto"/>
                <w:kern w:val="0"/>
                <w:sz w:val="18"/>
                <w:szCs w:val="18"/>
              </w:rPr>
            </w:pPr>
          </w:p>
        </w:tc>
        <w:tc>
          <w:tcPr>
            <w:tcW w:w="924" w:type="dxa"/>
            <w:vMerge w:val="continue"/>
            <w:tcBorders>
              <w:top w:val="single" w:color="000000" w:sz="4" w:space="0"/>
              <w:left w:val="single" w:color="000000" w:sz="4" w:space="0"/>
              <w:bottom w:val="single" w:color="000000" w:sz="4" w:space="0"/>
              <w:right w:val="single" w:color="000000" w:sz="4" w:space="0"/>
            </w:tcBorders>
            <w:vAlign w:val="center"/>
          </w:tcPr>
          <w:p w14:paraId="2234A2B6">
            <w:pPr>
              <w:spacing w:line="240" w:lineRule="auto"/>
              <w:jc w:val="center"/>
              <w:rPr>
                <w:rFonts w:hint="default" w:ascii="Times New Roman" w:hAnsi="Times New Roman" w:cs="Times New Roman"/>
                <w:color w:val="auto"/>
                <w:kern w:val="0"/>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5692057D">
            <w:pPr>
              <w:jc w:val="center"/>
              <w:rPr>
                <w:rFonts w:hint="default" w:ascii="Times New Roman" w:hAnsi="Times New Roman" w:cs="Times New Roman"/>
                <w:b/>
                <w:bCs/>
                <w:color w:val="auto"/>
                <w:kern w:val="0"/>
                <w:sz w:val="18"/>
                <w:szCs w:val="18"/>
              </w:rPr>
            </w:pPr>
            <w:r>
              <w:rPr>
                <w:rFonts w:hint="default" w:ascii="Times New Roman" w:hAnsi="Times New Roman" w:cs="Times New Roman"/>
                <w:b/>
                <w:color w:val="auto"/>
                <w:sz w:val="18"/>
                <w:szCs w:val="18"/>
              </w:rPr>
              <w:t>东经</w:t>
            </w:r>
          </w:p>
        </w:tc>
        <w:tc>
          <w:tcPr>
            <w:tcW w:w="1350" w:type="dxa"/>
            <w:tcBorders>
              <w:top w:val="single" w:color="000000" w:sz="4" w:space="0"/>
              <w:left w:val="single" w:color="000000" w:sz="4" w:space="0"/>
              <w:bottom w:val="single" w:color="000000" w:sz="4" w:space="0"/>
              <w:right w:val="single" w:color="000000" w:sz="4" w:space="0"/>
            </w:tcBorders>
            <w:vAlign w:val="center"/>
          </w:tcPr>
          <w:p w14:paraId="087D82EC">
            <w:pPr>
              <w:pStyle w:val="60"/>
              <w:autoSpaceDE w:val="0"/>
              <w:autoSpaceDN w:val="0"/>
              <w:rPr>
                <w:rFonts w:hint="default" w:ascii="Times New Roman" w:hAnsi="Times New Roman" w:cs="Times New Roman"/>
                <w:b/>
                <w:bCs/>
                <w:color w:val="auto"/>
                <w:kern w:val="0"/>
                <w:sz w:val="18"/>
                <w:szCs w:val="18"/>
              </w:rPr>
            </w:pPr>
            <w:r>
              <w:rPr>
                <w:rFonts w:hint="default" w:ascii="Times New Roman" w:hAnsi="Times New Roman" w:cs="Times New Roman"/>
                <w:b/>
                <w:color w:val="auto"/>
                <w:sz w:val="18"/>
                <w:szCs w:val="18"/>
              </w:rPr>
              <w:t>北纬</w:t>
            </w:r>
          </w:p>
        </w:tc>
        <w:tc>
          <w:tcPr>
            <w:tcW w:w="968" w:type="dxa"/>
            <w:vMerge w:val="continue"/>
            <w:tcBorders>
              <w:top w:val="single" w:color="000000" w:sz="4" w:space="0"/>
              <w:left w:val="single" w:color="000000" w:sz="4" w:space="0"/>
              <w:bottom w:val="single" w:color="000000" w:sz="4" w:space="0"/>
              <w:right w:val="single" w:color="000000" w:sz="4" w:space="0"/>
            </w:tcBorders>
            <w:vAlign w:val="center"/>
          </w:tcPr>
          <w:p w14:paraId="3B0278A6">
            <w:pPr>
              <w:widowControl/>
              <w:spacing w:line="240" w:lineRule="auto"/>
              <w:jc w:val="center"/>
              <w:rPr>
                <w:rFonts w:hint="default" w:ascii="Times New Roman" w:hAnsi="Times New Roman" w:cs="Times New Roman"/>
                <w:color w:val="auto"/>
                <w:kern w:val="0"/>
                <w:sz w:val="18"/>
                <w:szCs w:val="18"/>
              </w:rPr>
            </w:pPr>
          </w:p>
        </w:tc>
        <w:tc>
          <w:tcPr>
            <w:tcW w:w="1217" w:type="dxa"/>
            <w:vMerge w:val="continue"/>
            <w:tcBorders>
              <w:top w:val="single" w:color="000000" w:sz="4" w:space="0"/>
              <w:left w:val="single" w:color="000000" w:sz="4" w:space="0"/>
              <w:bottom w:val="single" w:color="000000" w:sz="4" w:space="0"/>
              <w:right w:val="single" w:color="000000" w:sz="4" w:space="0"/>
            </w:tcBorders>
            <w:vAlign w:val="center"/>
          </w:tcPr>
          <w:p w14:paraId="7F3AFA38">
            <w:pPr>
              <w:widowControl/>
              <w:spacing w:line="240" w:lineRule="auto"/>
              <w:jc w:val="center"/>
              <w:rPr>
                <w:rFonts w:hint="default" w:ascii="Times New Roman" w:hAnsi="Times New Roman" w:cs="Times New Roman"/>
                <w:color w:val="auto"/>
                <w:kern w:val="0"/>
                <w:sz w:val="18"/>
                <w:szCs w:val="18"/>
              </w:rPr>
            </w:pPr>
          </w:p>
        </w:tc>
        <w:tc>
          <w:tcPr>
            <w:tcW w:w="747" w:type="dxa"/>
            <w:vMerge w:val="continue"/>
            <w:tcBorders>
              <w:top w:val="single" w:color="000000" w:sz="4" w:space="0"/>
              <w:left w:val="single" w:color="000000" w:sz="4" w:space="0"/>
              <w:bottom w:val="single" w:color="000000" w:sz="4" w:space="0"/>
              <w:right w:val="single" w:color="000000" w:sz="4" w:space="0"/>
            </w:tcBorders>
            <w:vAlign w:val="center"/>
          </w:tcPr>
          <w:p w14:paraId="34F32D8E">
            <w:pPr>
              <w:widowControl/>
              <w:spacing w:line="240" w:lineRule="auto"/>
              <w:jc w:val="center"/>
              <w:rPr>
                <w:rFonts w:hint="default" w:ascii="Times New Roman" w:hAnsi="Times New Roman" w:cs="Times New Roman"/>
                <w:color w:val="auto"/>
                <w:kern w:val="0"/>
                <w:sz w:val="18"/>
                <w:szCs w:val="18"/>
              </w:rPr>
            </w:pPr>
          </w:p>
        </w:tc>
        <w:tc>
          <w:tcPr>
            <w:tcW w:w="919" w:type="dxa"/>
            <w:vMerge w:val="continue"/>
            <w:tcBorders>
              <w:top w:val="single" w:color="000000" w:sz="4" w:space="0"/>
              <w:left w:val="single" w:color="000000" w:sz="4" w:space="0"/>
              <w:bottom w:val="single" w:color="000000" w:sz="4" w:space="0"/>
              <w:right w:val="single" w:color="000000" w:sz="4" w:space="0"/>
            </w:tcBorders>
            <w:vAlign w:val="center"/>
          </w:tcPr>
          <w:p w14:paraId="1A564280">
            <w:pPr>
              <w:widowControl/>
              <w:spacing w:line="240" w:lineRule="auto"/>
              <w:jc w:val="center"/>
              <w:rPr>
                <w:rFonts w:hint="default" w:ascii="Times New Roman" w:hAnsi="Times New Roman" w:cs="Times New Roman"/>
                <w:color w:val="auto"/>
                <w:kern w:val="0"/>
                <w:sz w:val="18"/>
                <w:szCs w:val="18"/>
              </w:rPr>
            </w:pPr>
          </w:p>
        </w:tc>
        <w:tc>
          <w:tcPr>
            <w:tcW w:w="915" w:type="dxa"/>
            <w:vMerge w:val="continue"/>
            <w:tcBorders>
              <w:top w:val="single" w:color="000000" w:sz="4" w:space="0"/>
              <w:left w:val="single" w:color="000000" w:sz="4" w:space="0"/>
              <w:bottom w:val="single" w:color="000000" w:sz="4" w:space="0"/>
              <w:right w:val="single" w:color="000000" w:sz="4" w:space="0"/>
            </w:tcBorders>
            <w:vAlign w:val="center"/>
          </w:tcPr>
          <w:p w14:paraId="5C842091">
            <w:pPr>
              <w:widowControl/>
              <w:spacing w:line="240" w:lineRule="auto"/>
              <w:jc w:val="center"/>
              <w:rPr>
                <w:rFonts w:hint="default" w:ascii="Times New Roman" w:hAnsi="Times New Roman" w:cs="Times New Roman"/>
                <w:color w:val="auto"/>
                <w:kern w:val="0"/>
                <w:sz w:val="18"/>
                <w:szCs w:val="18"/>
              </w:rPr>
            </w:pPr>
          </w:p>
        </w:tc>
      </w:tr>
      <w:tr w14:paraId="4F9271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8" w:type="dxa"/>
            <w:vMerge w:val="restart"/>
            <w:tcBorders>
              <w:top w:val="single" w:color="000000" w:sz="4" w:space="0"/>
              <w:left w:val="single" w:color="000000" w:sz="4" w:space="0"/>
              <w:right w:val="single" w:color="000000" w:sz="4" w:space="0"/>
            </w:tcBorders>
            <w:vAlign w:val="center"/>
          </w:tcPr>
          <w:p w14:paraId="51BBEB36">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szCs w:val="21"/>
                <w:highlight w:val="none"/>
              </w:rPr>
              <w:t>环境空气</w:t>
            </w:r>
          </w:p>
        </w:tc>
        <w:tc>
          <w:tcPr>
            <w:tcW w:w="924" w:type="dxa"/>
            <w:tcBorders>
              <w:top w:val="single" w:color="000000" w:sz="4" w:space="0"/>
              <w:left w:val="single" w:color="000000" w:sz="4" w:space="0"/>
              <w:bottom w:val="single" w:color="000000" w:sz="4" w:space="0"/>
              <w:right w:val="single" w:color="000000" w:sz="4" w:space="0"/>
            </w:tcBorders>
            <w:vAlign w:val="center"/>
          </w:tcPr>
          <w:p w14:paraId="2C57359A">
            <w:pPr>
              <w:autoSpaceDE w:val="0"/>
              <w:autoSpaceDN w:val="0"/>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sz w:val="18"/>
                <w:szCs w:val="18"/>
              </w:rPr>
              <w:t>猴街</w:t>
            </w:r>
          </w:p>
        </w:tc>
        <w:tc>
          <w:tcPr>
            <w:tcW w:w="1365" w:type="dxa"/>
            <w:tcBorders>
              <w:top w:val="single" w:color="000000" w:sz="4" w:space="0"/>
              <w:left w:val="single" w:color="000000" w:sz="4" w:space="0"/>
              <w:bottom w:val="single" w:color="000000" w:sz="4" w:space="0"/>
              <w:right w:val="single" w:color="000000" w:sz="4" w:space="0"/>
            </w:tcBorders>
            <w:vAlign w:val="center"/>
          </w:tcPr>
          <w:p w14:paraId="2574A36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highlight w:val="none"/>
              </w:rPr>
              <w:t>103.480077</w:t>
            </w:r>
          </w:p>
        </w:tc>
        <w:tc>
          <w:tcPr>
            <w:tcW w:w="1350" w:type="dxa"/>
            <w:tcBorders>
              <w:top w:val="single" w:color="000000" w:sz="4" w:space="0"/>
              <w:left w:val="single" w:color="000000" w:sz="4" w:space="0"/>
              <w:bottom w:val="single" w:color="000000" w:sz="4" w:space="0"/>
              <w:right w:val="single" w:color="000000" w:sz="4" w:space="0"/>
            </w:tcBorders>
            <w:vAlign w:val="center"/>
          </w:tcPr>
          <w:p w14:paraId="3C9D748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highlight w:val="none"/>
              </w:rPr>
              <w:t>24.268162</w:t>
            </w:r>
          </w:p>
        </w:tc>
        <w:tc>
          <w:tcPr>
            <w:tcW w:w="968" w:type="dxa"/>
            <w:tcBorders>
              <w:top w:val="single" w:color="000000" w:sz="4" w:space="0"/>
              <w:left w:val="single" w:color="000000" w:sz="4" w:space="0"/>
              <w:bottom w:val="single" w:color="000000" w:sz="4" w:space="0"/>
              <w:right w:val="single" w:color="000000" w:sz="4" w:space="0"/>
            </w:tcBorders>
            <w:vAlign w:val="center"/>
          </w:tcPr>
          <w:p w14:paraId="3F17076E">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val="en-US" w:eastAsia="zh-CN"/>
              </w:rPr>
              <w:t>200</w:t>
            </w:r>
            <w:r>
              <w:rPr>
                <w:rFonts w:hint="default" w:ascii="Times New Roman" w:hAnsi="Times New Roman" w:cs="Times New Roman"/>
                <w:color w:val="auto"/>
                <w:kern w:val="0"/>
                <w:sz w:val="18"/>
                <w:szCs w:val="18"/>
              </w:rPr>
              <w:t>户，约</w:t>
            </w:r>
            <w:r>
              <w:rPr>
                <w:rFonts w:hint="default" w:ascii="Times New Roman" w:hAnsi="Times New Roman" w:cs="Times New Roman"/>
                <w:color w:val="auto"/>
                <w:kern w:val="0"/>
                <w:sz w:val="18"/>
                <w:szCs w:val="18"/>
                <w:lang w:val="en-US" w:eastAsia="zh-CN"/>
              </w:rPr>
              <w:t>800</w:t>
            </w:r>
            <w:r>
              <w:rPr>
                <w:rFonts w:hint="default" w:ascii="Times New Roman" w:hAnsi="Times New Roman" w:cs="Times New Roman"/>
                <w:color w:val="auto"/>
                <w:kern w:val="0"/>
                <w:sz w:val="18"/>
                <w:szCs w:val="18"/>
              </w:rPr>
              <w:t>人</w:t>
            </w:r>
          </w:p>
        </w:tc>
        <w:tc>
          <w:tcPr>
            <w:tcW w:w="1217" w:type="dxa"/>
            <w:vMerge w:val="restart"/>
            <w:tcBorders>
              <w:top w:val="single" w:color="000000" w:sz="4" w:space="0"/>
              <w:left w:val="single" w:color="000000" w:sz="4" w:space="0"/>
              <w:right w:val="single" w:color="000000" w:sz="4" w:space="0"/>
            </w:tcBorders>
            <w:vAlign w:val="center"/>
          </w:tcPr>
          <w:p w14:paraId="71E211A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highlight w:val="none"/>
              </w:rPr>
              <w:t>环境空气</w:t>
            </w:r>
          </w:p>
        </w:tc>
        <w:tc>
          <w:tcPr>
            <w:tcW w:w="747" w:type="dxa"/>
            <w:vMerge w:val="restart"/>
            <w:tcBorders>
              <w:top w:val="single" w:color="000000" w:sz="4" w:space="0"/>
              <w:left w:val="single" w:color="000000" w:sz="4" w:space="0"/>
              <w:bottom w:val="single" w:color="000000" w:sz="4" w:space="0"/>
              <w:right w:val="single" w:color="000000" w:sz="4" w:space="0"/>
            </w:tcBorders>
            <w:vAlign w:val="center"/>
          </w:tcPr>
          <w:p w14:paraId="1BB0AA13">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kern w:val="0"/>
                <w:sz w:val="18"/>
                <w:szCs w:val="18"/>
              </w:rPr>
            </w:pPr>
            <w:r>
              <w:rPr>
                <w:rFonts w:hint="default" w:ascii="Times New Roman" w:hAnsi="Times New Roman" w:cs="Times New Roman"/>
                <w:bCs/>
                <w:color w:val="auto"/>
                <w:sz w:val="18"/>
                <w:szCs w:val="18"/>
                <w:highlight w:val="none"/>
              </w:rPr>
              <w:t>二类区</w:t>
            </w:r>
          </w:p>
        </w:tc>
        <w:tc>
          <w:tcPr>
            <w:tcW w:w="919" w:type="dxa"/>
            <w:tcBorders>
              <w:top w:val="single" w:color="000000" w:sz="4" w:space="0"/>
              <w:left w:val="single" w:color="000000" w:sz="4" w:space="0"/>
              <w:bottom w:val="single" w:color="000000" w:sz="4" w:space="0"/>
              <w:right w:val="single" w:color="000000" w:sz="4" w:space="0"/>
            </w:tcBorders>
            <w:vAlign w:val="center"/>
          </w:tcPr>
          <w:p w14:paraId="14DF073D">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西南侧</w:t>
            </w:r>
          </w:p>
        </w:tc>
        <w:tc>
          <w:tcPr>
            <w:tcW w:w="915" w:type="dxa"/>
            <w:tcBorders>
              <w:top w:val="single" w:color="000000" w:sz="4" w:space="0"/>
              <w:left w:val="single" w:color="000000" w:sz="4" w:space="0"/>
              <w:bottom w:val="single" w:color="000000" w:sz="4" w:space="0"/>
              <w:right w:val="single" w:color="000000" w:sz="4" w:space="0"/>
            </w:tcBorders>
            <w:vAlign w:val="center"/>
          </w:tcPr>
          <w:p w14:paraId="096A69C4">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bCs/>
                <w:color w:val="auto"/>
                <w:sz w:val="18"/>
                <w:szCs w:val="18"/>
                <w:highlight w:val="none"/>
                <w:lang w:val="en-US" w:eastAsia="zh-CN"/>
              </w:rPr>
              <w:t>1822</w:t>
            </w:r>
          </w:p>
        </w:tc>
      </w:tr>
      <w:tr w14:paraId="5100A9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8" w:type="dxa"/>
            <w:vMerge w:val="continue"/>
            <w:tcBorders>
              <w:left w:val="single" w:color="000000" w:sz="4" w:space="0"/>
              <w:right w:val="single" w:color="000000" w:sz="4" w:space="0"/>
            </w:tcBorders>
            <w:vAlign w:val="center"/>
          </w:tcPr>
          <w:p w14:paraId="5CAE1B00">
            <w:pPr>
              <w:widowControl/>
              <w:spacing w:line="240" w:lineRule="auto"/>
              <w:jc w:val="center"/>
              <w:rPr>
                <w:rFonts w:hint="default" w:ascii="Times New Roman" w:hAnsi="Times New Roman" w:cs="Times New Roman"/>
                <w:color w:val="auto"/>
                <w:kern w:val="0"/>
                <w:sz w:val="18"/>
                <w:szCs w:val="18"/>
              </w:rPr>
            </w:pPr>
          </w:p>
        </w:tc>
        <w:tc>
          <w:tcPr>
            <w:tcW w:w="924" w:type="dxa"/>
            <w:tcBorders>
              <w:top w:val="single" w:color="000000" w:sz="4" w:space="0"/>
              <w:left w:val="single" w:color="000000" w:sz="4" w:space="0"/>
              <w:bottom w:val="single" w:color="000000" w:sz="4" w:space="0"/>
              <w:right w:val="single" w:color="000000" w:sz="4" w:space="0"/>
            </w:tcBorders>
            <w:vAlign w:val="center"/>
          </w:tcPr>
          <w:p w14:paraId="08F9F125">
            <w:pPr>
              <w:autoSpaceDE w:val="0"/>
              <w:autoSpaceDN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sz w:val="18"/>
                <w:szCs w:val="18"/>
              </w:rPr>
              <w:t>上村</w:t>
            </w:r>
          </w:p>
        </w:tc>
        <w:tc>
          <w:tcPr>
            <w:tcW w:w="1365" w:type="dxa"/>
            <w:tcBorders>
              <w:top w:val="single" w:color="000000" w:sz="4" w:space="0"/>
              <w:left w:val="single" w:color="000000" w:sz="4" w:space="0"/>
              <w:bottom w:val="single" w:color="000000" w:sz="4" w:space="0"/>
              <w:right w:val="single" w:color="000000" w:sz="4" w:space="0"/>
            </w:tcBorders>
            <w:vAlign w:val="center"/>
          </w:tcPr>
          <w:p w14:paraId="1AB12A2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highlight w:val="none"/>
              </w:rPr>
              <w:t>103.476289</w:t>
            </w:r>
          </w:p>
        </w:tc>
        <w:tc>
          <w:tcPr>
            <w:tcW w:w="1350" w:type="dxa"/>
            <w:tcBorders>
              <w:top w:val="single" w:color="000000" w:sz="4" w:space="0"/>
              <w:left w:val="single" w:color="000000" w:sz="4" w:space="0"/>
              <w:bottom w:val="single" w:color="000000" w:sz="4" w:space="0"/>
              <w:right w:val="single" w:color="000000" w:sz="4" w:space="0"/>
            </w:tcBorders>
            <w:vAlign w:val="center"/>
          </w:tcPr>
          <w:p w14:paraId="268FDF9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highlight w:val="none"/>
              </w:rPr>
              <w:t>24.270411</w:t>
            </w:r>
          </w:p>
        </w:tc>
        <w:tc>
          <w:tcPr>
            <w:tcW w:w="968" w:type="dxa"/>
            <w:tcBorders>
              <w:top w:val="single" w:color="000000" w:sz="4" w:space="0"/>
              <w:left w:val="single" w:color="000000" w:sz="4" w:space="0"/>
              <w:bottom w:val="single" w:color="000000" w:sz="4" w:space="0"/>
              <w:right w:val="single" w:color="000000" w:sz="4" w:space="0"/>
            </w:tcBorders>
            <w:vAlign w:val="center"/>
          </w:tcPr>
          <w:p w14:paraId="5FEA2387">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val="en-US" w:eastAsia="zh-CN"/>
              </w:rPr>
              <w:t>350</w:t>
            </w:r>
            <w:r>
              <w:rPr>
                <w:rFonts w:hint="default" w:ascii="Times New Roman" w:hAnsi="Times New Roman" w:cs="Times New Roman"/>
                <w:color w:val="auto"/>
                <w:kern w:val="0"/>
                <w:sz w:val="18"/>
                <w:szCs w:val="18"/>
              </w:rPr>
              <w:t>户，约</w:t>
            </w:r>
            <w:r>
              <w:rPr>
                <w:rFonts w:hint="default" w:ascii="Times New Roman" w:hAnsi="Times New Roman" w:cs="Times New Roman"/>
                <w:color w:val="auto"/>
                <w:kern w:val="0"/>
                <w:sz w:val="18"/>
                <w:szCs w:val="18"/>
                <w:lang w:val="en-US" w:eastAsia="zh-CN"/>
              </w:rPr>
              <w:t>1300</w:t>
            </w:r>
            <w:r>
              <w:rPr>
                <w:rFonts w:hint="default" w:ascii="Times New Roman" w:hAnsi="Times New Roman" w:cs="Times New Roman"/>
                <w:color w:val="auto"/>
                <w:kern w:val="0"/>
                <w:sz w:val="18"/>
                <w:szCs w:val="18"/>
              </w:rPr>
              <w:t>人</w:t>
            </w:r>
          </w:p>
        </w:tc>
        <w:tc>
          <w:tcPr>
            <w:tcW w:w="1217" w:type="dxa"/>
            <w:vMerge w:val="continue"/>
            <w:tcBorders>
              <w:left w:val="single" w:color="000000" w:sz="4" w:space="0"/>
              <w:right w:val="single" w:color="000000" w:sz="4" w:space="0"/>
            </w:tcBorders>
            <w:vAlign w:val="center"/>
          </w:tcPr>
          <w:p w14:paraId="108A752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18"/>
                <w:szCs w:val="18"/>
              </w:rPr>
            </w:pPr>
          </w:p>
        </w:tc>
        <w:tc>
          <w:tcPr>
            <w:tcW w:w="747" w:type="dxa"/>
            <w:vMerge w:val="continue"/>
            <w:tcBorders>
              <w:top w:val="single" w:color="000000" w:sz="4" w:space="0"/>
              <w:left w:val="single" w:color="000000" w:sz="4" w:space="0"/>
              <w:bottom w:val="single" w:color="000000" w:sz="4" w:space="0"/>
              <w:right w:val="single" w:color="000000" w:sz="4" w:space="0"/>
            </w:tcBorders>
            <w:vAlign w:val="center"/>
          </w:tcPr>
          <w:p w14:paraId="69F42A56">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kern w:val="0"/>
                <w:sz w:val="18"/>
                <w:szCs w:val="18"/>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07A59DF6">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西南侧</w:t>
            </w:r>
          </w:p>
        </w:tc>
        <w:tc>
          <w:tcPr>
            <w:tcW w:w="915" w:type="dxa"/>
            <w:tcBorders>
              <w:top w:val="single" w:color="000000" w:sz="4" w:space="0"/>
              <w:left w:val="single" w:color="000000" w:sz="4" w:space="0"/>
              <w:bottom w:val="single" w:color="000000" w:sz="4" w:space="0"/>
              <w:right w:val="single" w:color="000000" w:sz="4" w:space="0"/>
            </w:tcBorders>
            <w:vAlign w:val="center"/>
          </w:tcPr>
          <w:p w14:paraId="2E7EEE9A">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bCs/>
                <w:color w:val="auto"/>
                <w:sz w:val="18"/>
                <w:szCs w:val="18"/>
                <w:highlight w:val="none"/>
                <w:lang w:val="en-US" w:eastAsia="zh-CN"/>
              </w:rPr>
              <w:t>1975</w:t>
            </w:r>
          </w:p>
        </w:tc>
      </w:tr>
      <w:tr w14:paraId="2EB9EA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8" w:type="dxa"/>
            <w:vMerge w:val="continue"/>
            <w:tcBorders>
              <w:left w:val="single" w:color="000000" w:sz="4" w:space="0"/>
              <w:right w:val="single" w:color="000000" w:sz="4" w:space="0"/>
            </w:tcBorders>
            <w:vAlign w:val="center"/>
          </w:tcPr>
          <w:p w14:paraId="35E5CEEB">
            <w:pPr>
              <w:widowControl/>
              <w:spacing w:line="240" w:lineRule="auto"/>
              <w:jc w:val="center"/>
              <w:rPr>
                <w:rFonts w:hint="default" w:ascii="Times New Roman" w:hAnsi="Times New Roman" w:cs="Times New Roman"/>
                <w:color w:val="auto"/>
                <w:kern w:val="0"/>
                <w:sz w:val="18"/>
                <w:szCs w:val="18"/>
              </w:rPr>
            </w:pPr>
          </w:p>
        </w:tc>
        <w:tc>
          <w:tcPr>
            <w:tcW w:w="924" w:type="dxa"/>
            <w:tcBorders>
              <w:top w:val="single" w:color="000000" w:sz="4" w:space="0"/>
              <w:left w:val="single" w:color="000000" w:sz="4" w:space="0"/>
              <w:bottom w:val="single" w:color="000000" w:sz="4" w:space="0"/>
              <w:right w:val="single" w:color="000000" w:sz="4" w:space="0"/>
            </w:tcBorders>
            <w:vAlign w:val="center"/>
          </w:tcPr>
          <w:p w14:paraId="532E1E09">
            <w:pPr>
              <w:autoSpaceDE w:val="0"/>
              <w:autoSpaceDN w:val="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梅子哨</w:t>
            </w:r>
          </w:p>
        </w:tc>
        <w:tc>
          <w:tcPr>
            <w:tcW w:w="1365" w:type="dxa"/>
            <w:tcBorders>
              <w:top w:val="single" w:color="000000" w:sz="4" w:space="0"/>
              <w:left w:val="single" w:color="000000" w:sz="4" w:space="0"/>
              <w:bottom w:val="single" w:color="000000" w:sz="4" w:space="0"/>
              <w:right w:val="single" w:color="000000" w:sz="4" w:space="0"/>
            </w:tcBorders>
            <w:vAlign w:val="center"/>
          </w:tcPr>
          <w:p w14:paraId="6DEAF1B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rPr>
              <w:t>103.477137</w:t>
            </w:r>
          </w:p>
        </w:tc>
        <w:tc>
          <w:tcPr>
            <w:tcW w:w="1350" w:type="dxa"/>
            <w:tcBorders>
              <w:top w:val="single" w:color="000000" w:sz="4" w:space="0"/>
              <w:left w:val="single" w:color="000000" w:sz="4" w:space="0"/>
              <w:bottom w:val="single" w:color="000000" w:sz="4" w:space="0"/>
              <w:right w:val="single" w:color="000000" w:sz="4" w:space="0"/>
            </w:tcBorders>
            <w:vAlign w:val="center"/>
          </w:tcPr>
          <w:p w14:paraId="370B7F5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rPr>
              <w:t>24.266470</w:t>
            </w:r>
          </w:p>
        </w:tc>
        <w:tc>
          <w:tcPr>
            <w:tcW w:w="968" w:type="dxa"/>
            <w:tcBorders>
              <w:top w:val="single" w:color="000000" w:sz="4" w:space="0"/>
              <w:left w:val="single" w:color="000000" w:sz="4" w:space="0"/>
              <w:bottom w:val="single" w:color="000000" w:sz="4" w:space="0"/>
              <w:right w:val="single" w:color="000000" w:sz="4" w:space="0"/>
            </w:tcBorders>
            <w:vAlign w:val="center"/>
          </w:tcPr>
          <w:p w14:paraId="164407C2">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128户，约48</w:t>
            </w:r>
            <w:r>
              <w:rPr>
                <w:rFonts w:hint="default" w:ascii="Times New Roman" w:hAnsi="Times New Roman" w:cs="Times New Roman"/>
                <w:color w:val="auto"/>
                <w:kern w:val="0"/>
                <w:sz w:val="18"/>
                <w:szCs w:val="18"/>
                <w:lang w:val="en-US" w:eastAsia="zh-CN"/>
              </w:rPr>
              <w:t>0</w:t>
            </w:r>
            <w:r>
              <w:rPr>
                <w:rFonts w:hint="default" w:ascii="Times New Roman" w:hAnsi="Times New Roman" w:cs="Times New Roman"/>
                <w:color w:val="auto"/>
                <w:kern w:val="0"/>
                <w:sz w:val="18"/>
                <w:szCs w:val="18"/>
              </w:rPr>
              <w:t>人</w:t>
            </w:r>
          </w:p>
        </w:tc>
        <w:tc>
          <w:tcPr>
            <w:tcW w:w="1217" w:type="dxa"/>
            <w:vMerge w:val="continue"/>
            <w:tcBorders>
              <w:left w:val="single" w:color="000000" w:sz="4" w:space="0"/>
              <w:right w:val="single" w:color="000000" w:sz="4" w:space="0"/>
            </w:tcBorders>
            <w:vAlign w:val="center"/>
          </w:tcPr>
          <w:p w14:paraId="57E5CD2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rPr>
            </w:pPr>
          </w:p>
        </w:tc>
        <w:tc>
          <w:tcPr>
            <w:tcW w:w="747" w:type="dxa"/>
            <w:vMerge w:val="continue"/>
            <w:tcBorders>
              <w:top w:val="single" w:color="000000" w:sz="4" w:space="0"/>
              <w:left w:val="single" w:color="000000" w:sz="4" w:space="0"/>
              <w:bottom w:val="single" w:color="000000" w:sz="4" w:space="0"/>
              <w:right w:val="single" w:color="000000" w:sz="4" w:space="0"/>
            </w:tcBorders>
            <w:vAlign w:val="center"/>
          </w:tcPr>
          <w:p w14:paraId="73EECDE1">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kern w:val="0"/>
                <w:sz w:val="18"/>
                <w:szCs w:val="18"/>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4808039B">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西南侧</w:t>
            </w:r>
          </w:p>
        </w:tc>
        <w:tc>
          <w:tcPr>
            <w:tcW w:w="915" w:type="dxa"/>
            <w:tcBorders>
              <w:top w:val="single" w:color="000000" w:sz="4" w:space="0"/>
              <w:left w:val="single" w:color="000000" w:sz="4" w:space="0"/>
              <w:bottom w:val="single" w:color="000000" w:sz="4" w:space="0"/>
              <w:right w:val="single" w:color="000000" w:sz="4" w:space="0"/>
            </w:tcBorders>
            <w:vAlign w:val="center"/>
          </w:tcPr>
          <w:p w14:paraId="150B994B">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bCs/>
                <w:color w:val="auto"/>
                <w:sz w:val="18"/>
                <w:szCs w:val="18"/>
                <w:highlight w:val="none"/>
                <w:lang w:val="en-US" w:eastAsia="zh-CN"/>
              </w:rPr>
              <w:t>2196</w:t>
            </w:r>
          </w:p>
        </w:tc>
      </w:tr>
      <w:tr w14:paraId="09C861F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8" w:type="dxa"/>
            <w:vMerge w:val="continue"/>
            <w:tcBorders>
              <w:left w:val="single" w:color="000000" w:sz="4" w:space="0"/>
              <w:bottom w:val="single" w:color="000000" w:sz="4" w:space="0"/>
              <w:right w:val="single" w:color="000000" w:sz="4" w:space="0"/>
            </w:tcBorders>
            <w:vAlign w:val="center"/>
          </w:tcPr>
          <w:p w14:paraId="7E77EEA9">
            <w:pPr>
              <w:widowControl/>
              <w:spacing w:line="240" w:lineRule="auto"/>
              <w:jc w:val="center"/>
              <w:rPr>
                <w:rFonts w:hint="default" w:ascii="Times New Roman" w:hAnsi="Times New Roman" w:cs="Times New Roman"/>
                <w:color w:val="auto"/>
                <w:kern w:val="0"/>
                <w:sz w:val="18"/>
                <w:szCs w:val="18"/>
              </w:rPr>
            </w:pPr>
          </w:p>
        </w:tc>
        <w:tc>
          <w:tcPr>
            <w:tcW w:w="924" w:type="dxa"/>
            <w:tcBorders>
              <w:top w:val="single" w:color="000000" w:sz="4" w:space="0"/>
              <w:left w:val="single" w:color="000000" w:sz="4" w:space="0"/>
              <w:bottom w:val="single" w:color="000000" w:sz="4" w:space="0"/>
              <w:right w:val="single" w:color="000000" w:sz="4" w:space="0"/>
            </w:tcBorders>
            <w:vAlign w:val="center"/>
          </w:tcPr>
          <w:p w14:paraId="16FEC2DA">
            <w:pPr>
              <w:autoSpaceDE w:val="0"/>
              <w:autoSpaceDN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sz w:val="18"/>
                <w:szCs w:val="18"/>
              </w:rPr>
              <w:t>小沙冲</w:t>
            </w:r>
          </w:p>
        </w:tc>
        <w:tc>
          <w:tcPr>
            <w:tcW w:w="1365" w:type="dxa"/>
            <w:tcBorders>
              <w:top w:val="single" w:color="000000" w:sz="4" w:space="0"/>
              <w:left w:val="single" w:color="000000" w:sz="4" w:space="0"/>
              <w:bottom w:val="single" w:color="000000" w:sz="4" w:space="0"/>
              <w:right w:val="single" w:color="000000" w:sz="4" w:space="0"/>
            </w:tcBorders>
            <w:vAlign w:val="center"/>
          </w:tcPr>
          <w:p w14:paraId="5F5EDAD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highlight w:val="none"/>
              </w:rPr>
              <w:t>103.478027</w:t>
            </w:r>
          </w:p>
        </w:tc>
        <w:tc>
          <w:tcPr>
            <w:tcW w:w="1350" w:type="dxa"/>
            <w:tcBorders>
              <w:top w:val="single" w:color="000000" w:sz="4" w:space="0"/>
              <w:left w:val="single" w:color="000000" w:sz="4" w:space="0"/>
              <w:bottom w:val="single" w:color="000000" w:sz="4" w:space="0"/>
              <w:right w:val="single" w:color="000000" w:sz="4" w:space="0"/>
            </w:tcBorders>
            <w:vAlign w:val="center"/>
          </w:tcPr>
          <w:p w14:paraId="36B300C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highlight w:val="none"/>
              </w:rPr>
              <w:t>24.260219</w:t>
            </w:r>
          </w:p>
        </w:tc>
        <w:tc>
          <w:tcPr>
            <w:tcW w:w="968" w:type="dxa"/>
            <w:tcBorders>
              <w:top w:val="single" w:color="000000" w:sz="4" w:space="0"/>
              <w:left w:val="single" w:color="000000" w:sz="4" w:space="0"/>
              <w:bottom w:val="single" w:color="000000" w:sz="4" w:space="0"/>
              <w:right w:val="single" w:color="000000" w:sz="4" w:space="0"/>
            </w:tcBorders>
            <w:vAlign w:val="center"/>
          </w:tcPr>
          <w:p w14:paraId="20779F97">
            <w:pPr>
              <w:keepNext w:val="0"/>
              <w:keepLines w:val="0"/>
              <w:suppressLineNumbers w:val="0"/>
              <w:spacing w:before="0" w:beforeAutospacing="0" w:after="0" w:afterAutospacing="0"/>
              <w:ind w:right="0" w:rightChars="0"/>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245户，约1063人</w:t>
            </w:r>
          </w:p>
        </w:tc>
        <w:tc>
          <w:tcPr>
            <w:tcW w:w="1217" w:type="dxa"/>
            <w:vMerge w:val="continue"/>
            <w:tcBorders>
              <w:left w:val="single" w:color="000000" w:sz="4" w:space="0"/>
              <w:bottom w:val="single" w:color="000000" w:sz="4" w:space="0"/>
              <w:right w:val="single" w:color="000000" w:sz="4" w:space="0"/>
            </w:tcBorders>
            <w:vAlign w:val="center"/>
          </w:tcPr>
          <w:p w14:paraId="3747240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18"/>
                <w:szCs w:val="18"/>
              </w:rPr>
            </w:pPr>
          </w:p>
        </w:tc>
        <w:tc>
          <w:tcPr>
            <w:tcW w:w="747" w:type="dxa"/>
            <w:vMerge w:val="continue"/>
            <w:tcBorders>
              <w:top w:val="single" w:color="000000" w:sz="4" w:space="0"/>
              <w:left w:val="single" w:color="000000" w:sz="4" w:space="0"/>
              <w:bottom w:val="single" w:color="000000" w:sz="4" w:space="0"/>
              <w:right w:val="single" w:color="000000" w:sz="4" w:space="0"/>
            </w:tcBorders>
            <w:vAlign w:val="center"/>
          </w:tcPr>
          <w:p w14:paraId="50BAC429">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kern w:val="0"/>
                <w:sz w:val="18"/>
                <w:szCs w:val="18"/>
              </w:rPr>
            </w:pPr>
          </w:p>
        </w:tc>
        <w:tc>
          <w:tcPr>
            <w:tcW w:w="919" w:type="dxa"/>
            <w:tcBorders>
              <w:top w:val="single" w:color="000000" w:sz="4" w:space="0"/>
              <w:left w:val="single" w:color="000000" w:sz="4" w:space="0"/>
              <w:bottom w:val="single" w:color="000000" w:sz="4" w:space="0"/>
              <w:right w:val="single" w:color="000000" w:sz="4" w:space="0"/>
            </w:tcBorders>
            <w:vAlign w:val="center"/>
          </w:tcPr>
          <w:p w14:paraId="594D5111">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西南侧</w:t>
            </w:r>
          </w:p>
        </w:tc>
        <w:tc>
          <w:tcPr>
            <w:tcW w:w="915" w:type="dxa"/>
            <w:tcBorders>
              <w:top w:val="single" w:color="000000" w:sz="4" w:space="0"/>
              <w:left w:val="single" w:color="000000" w:sz="4" w:space="0"/>
              <w:bottom w:val="single" w:color="000000" w:sz="4" w:space="0"/>
              <w:right w:val="single" w:color="000000" w:sz="4" w:space="0"/>
            </w:tcBorders>
            <w:vAlign w:val="center"/>
          </w:tcPr>
          <w:p w14:paraId="65EEA9B9">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bCs/>
                <w:color w:val="auto"/>
                <w:sz w:val="18"/>
                <w:szCs w:val="18"/>
                <w:highlight w:val="none"/>
                <w:lang w:val="en-US" w:eastAsia="zh-CN"/>
              </w:rPr>
              <w:t>2745</w:t>
            </w:r>
          </w:p>
        </w:tc>
      </w:tr>
      <w:tr w14:paraId="3EDB9E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352" w:type="dxa"/>
            <w:gridSpan w:val="2"/>
            <w:tcBorders>
              <w:top w:val="single" w:color="000000" w:sz="4" w:space="0"/>
              <w:left w:val="single" w:color="000000" w:sz="4" w:space="0"/>
              <w:bottom w:val="single" w:color="000000" w:sz="4" w:space="0"/>
              <w:right w:val="single" w:color="000000" w:sz="4" w:space="0"/>
            </w:tcBorders>
            <w:vAlign w:val="center"/>
          </w:tcPr>
          <w:p w14:paraId="1C8E86F8">
            <w:pPr>
              <w:widowControl/>
              <w:spacing w:line="24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环境要素</w:t>
            </w:r>
          </w:p>
        </w:tc>
        <w:tc>
          <w:tcPr>
            <w:tcW w:w="1365" w:type="dxa"/>
            <w:tcBorders>
              <w:top w:val="single" w:color="000000" w:sz="4" w:space="0"/>
              <w:left w:val="single" w:color="000000" w:sz="4" w:space="0"/>
              <w:bottom w:val="single" w:color="000000" w:sz="4" w:space="0"/>
              <w:right w:val="single" w:color="000000" w:sz="4" w:space="0"/>
            </w:tcBorders>
            <w:vAlign w:val="center"/>
          </w:tcPr>
          <w:p w14:paraId="56EB12EB">
            <w:pPr>
              <w:widowControl/>
              <w:spacing w:line="24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保护目标</w:t>
            </w:r>
          </w:p>
        </w:tc>
        <w:tc>
          <w:tcPr>
            <w:tcW w:w="2318" w:type="dxa"/>
            <w:gridSpan w:val="2"/>
            <w:tcBorders>
              <w:top w:val="single" w:color="000000" w:sz="4" w:space="0"/>
              <w:left w:val="single" w:color="000000" w:sz="4" w:space="0"/>
              <w:bottom w:val="single" w:color="000000" w:sz="4" w:space="0"/>
              <w:right w:val="single" w:color="000000" w:sz="4" w:space="0"/>
            </w:tcBorders>
            <w:vAlign w:val="center"/>
          </w:tcPr>
          <w:p w14:paraId="0EA4EC83">
            <w:pPr>
              <w:widowControl/>
              <w:spacing w:line="24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与生产区方位、距离</w:t>
            </w:r>
          </w:p>
        </w:tc>
        <w:tc>
          <w:tcPr>
            <w:tcW w:w="1217" w:type="dxa"/>
            <w:tcBorders>
              <w:top w:val="single" w:color="000000" w:sz="4" w:space="0"/>
              <w:left w:val="single" w:color="000000" w:sz="4" w:space="0"/>
              <w:bottom w:val="single" w:color="000000" w:sz="4" w:space="0"/>
              <w:right w:val="single" w:color="000000" w:sz="4" w:space="0"/>
            </w:tcBorders>
            <w:vAlign w:val="center"/>
          </w:tcPr>
          <w:p w14:paraId="41B2475E">
            <w:pPr>
              <w:widowControl/>
              <w:spacing w:line="240" w:lineRule="auto"/>
              <w:jc w:val="center"/>
              <w:rPr>
                <w:rFonts w:hint="default" w:ascii="Times New Roman" w:hAnsi="Times New Roman" w:eastAsia="宋体" w:cs="Times New Roman"/>
                <w:b/>
                <w:bCs/>
                <w:color w:val="auto"/>
                <w:kern w:val="0"/>
                <w:sz w:val="18"/>
                <w:szCs w:val="18"/>
                <w:lang w:eastAsia="zh-CN"/>
              </w:rPr>
            </w:pPr>
            <w:r>
              <w:rPr>
                <w:rFonts w:hint="default" w:ascii="Times New Roman" w:hAnsi="Times New Roman" w:cs="Times New Roman"/>
                <w:b/>
                <w:bCs/>
                <w:color w:val="auto"/>
                <w:kern w:val="0"/>
                <w:sz w:val="18"/>
                <w:szCs w:val="18"/>
              </w:rPr>
              <w:t>保护</w:t>
            </w:r>
            <w:r>
              <w:rPr>
                <w:rFonts w:hint="default" w:ascii="Times New Roman" w:hAnsi="Times New Roman" w:cs="Times New Roman"/>
                <w:b/>
                <w:bCs/>
                <w:color w:val="auto"/>
                <w:kern w:val="0"/>
                <w:sz w:val="18"/>
                <w:szCs w:val="18"/>
                <w:lang w:val="en-US" w:eastAsia="zh-CN"/>
              </w:rPr>
              <w:t>内容</w:t>
            </w:r>
          </w:p>
        </w:tc>
        <w:tc>
          <w:tcPr>
            <w:tcW w:w="2581" w:type="dxa"/>
            <w:gridSpan w:val="3"/>
            <w:tcBorders>
              <w:top w:val="single" w:color="000000" w:sz="4" w:space="0"/>
              <w:left w:val="single" w:color="000000" w:sz="4" w:space="0"/>
              <w:bottom w:val="single" w:color="000000" w:sz="4" w:space="0"/>
              <w:right w:val="single" w:color="000000" w:sz="4" w:space="0"/>
            </w:tcBorders>
            <w:vAlign w:val="center"/>
          </w:tcPr>
          <w:p w14:paraId="664A3F8B">
            <w:pPr>
              <w:widowControl/>
              <w:spacing w:line="240" w:lineRule="auto"/>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保护级别</w:t>
            </w:r>
          </w:p>
        </w:tc>
      </w:tr>
      <w:tr w14:paraId="495FD1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352" w:type="dxa"/>
            <w:gridSpan w:val="2"/>
            <w:tcBorders>
              <w:top w:val="single" w:color="000000" w:sz="4" w:space="0"/>
              <w:left w:val="single" w:color="000000" w:sz="4" w:space="0"/>
              <w:right w:val="single" w:color="000000" w:sz="4" w:space="0"/>
            </w:tcBorders>
            <w:vAlign w:val="center"/>
          </w:tcPr>
          <w:p w14:paraId="3A6B1ACE">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地表水</w:t>
            </w:r>
          </w:p>
        </w:tc>
        <w:tc>
          <w:tcPr>
            <w:tcW w:w="1365" w:type="dxa"/>
            <w:tcBorders>
              <w:top w:val="single" w:color="000000" w:sz="4" w:space="0"/>
              <w:left w:val="single" w:color="000000" w:sz="4" w:space="0"/>
              <w:bottom w:val="single" w:color="000000" w:sz="4" w:space="0"/>
              <w:right w:val="single" w:color="000000" w:sz="4" w:space="0"/>
            </w:tcBorders>
            <w:vAlign w:val="center"/>
          </w:tcPr>
          <w:p w14:paraId="13197C2E">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甸溪河</w:t>
            </w:r>
          </w:p>
        </w:tc>
        <w:tc>
          <w:tcPr>
            <w:tcW w:w="2318" w:type="dxa"/>
            <w:gridSpan w:val="2"/>
            <w:tcBorders>
              <w:top w:val="single" w:color="000000" w:sz="4" w:space="0"/>
              <w:left w:val="single" w:color="000000" w:sz="4" w:space="0"/>
              <w:right w:val="single" w:color="000000" w:sz="4" w:space="0"/>
            </w:tcBorders>
            <w:vAlign w:val="center"/>
          </w:tcPr>
          <w:p w14:paraId="4CC93FBB">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西侧，</w:t>
            </w:r>
            <w:r>
              <w:rPr>
                <w:rFonts w:hint="default" w:ascii="Times New Roman" w:hAnsi="Times New Roman" w:cs="Times New Roman"/>
                <w:bCs/>
                <w:color w:val="auto"/>
                <w:szCs w:val="21"/>
                <w:highlight w:val="none"/>
                <w:lang w:val="en-US" w:eastAsia="zh-CN"/>
              </w:rPr>
              <w:t>3800</w:t>
            </w:r>
            <w:r>
              <w:rPr>
                <w:rFonts w:hint="default" w:ascii="Times New Roman" w:hAnsi="Times New Roman" w:cs="Times New Roman"/>
                <w:color w:val="auto"/>
                <w:sz w:val="18"/>
                <w:szCs w:val="18"/>
                <w:highlight w:val="none"/>
                <w:lang w:val="en-US" w:eastAsia="zh-CN"/>
              </w:rPr>
              <w:t>m</w:t>
            </w:r>
          </w:p>
        </w:tc>
        <w:tc>
          <w:tcPr>
            <w:tcW w:w="1217" w:type="dxa"/>
            <w:tcBorders>
              <w:top w:val="single" w:color="000000" w:sz="4" w:space="0"/>
              <w:left w:val="single" w:color="000000" w:sz="4" w:space="0"/>
              <w:right w:val="single" w:color="000000" w:sz="4" w:space="0"/>
            </w:tcBorders>
            <w:vAlign w:val="center"/>
          </w:tcPr>
          <w:p w14:paraId="268FC523">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highlight w:val="none"/>
              </w:rPr>
              <w:t>水质</w:t>
            </w:r>
          </w:p>
        </w:tc>
        <w:tc>
          <w:tcPr>
            <w:tcW w:w="2581" w:type="dxa"/>
            <w:gridSpan w:val="3"/>
            <w:tcBorders>
              <w:top w:val="single" w:color="000000" w:sz="4" w:space="0"/>
              <w:left w:val="single" w:color="000000" w:sz="4" w:space="0"/>
              <w:right w:val="single" w:color="000000" w:sz="4" w:space="0"/>
            </w:tcBorders>
            <w:vAlign w:val="center"/>
          </w:tcPr>
          <w:p w14:paraId="654CE9AF">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GB3838-2002《地表水环境质量标准》</w:t>
            </w:r>
            <w:r>
              <w:rPr>
                <w:rFonts w:hint="eastAsia" w:ascii="Times New Roman" w:hAnsi="Times New Roman" w:cs="Times New Roman"/>
                <w:color w:val="auto"/>
                <w:kern w:val="0"/>
                <w:sz w:val="18"/>
                <w:szCs w:val="18"/>
                <w:lang w:eastAsia="zh-CN"/>
              </w:rPr>
              <w:t>Ⅲ类</w:t>
            </w:r>
          </w:p>
        </w:tc>
      </w:tr>
      <w:tr w14:paraId="48180A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352" w:type="dxa"/>
            <w:gridSpan w:val="2"/>
            <w:tcBorders>
              <w:top w:val="single" w:color="000000" w:sz="4" w:space="0"/>
              <w:left w:val="single" w:color="000000" w:sz="4" w:space="0"/>
              <w:bottom w:val="single" w:color="000000" w:sz="4" w:space="0"/>
              <w:right w:val="single" w:color="000000" w:sz="4" w:space="0"/>
            </w:tcBorders>
            <w:vAlign w:val="center"/>
          </w:tcPr>
          <w:p w14:paraId="5202C056">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生态环境</w:t>
            </w:r>
          </w:p>
        </w:tc>
        <w:tc>
          <w:tcPr>
            <w:tcW w:w="3683" w:type="dxa"/>
            <w:gridSpan w:val="3"/>
            <w:tcBorders>
              <w:top w:val="single" w:color="000000" w:sz="4" w:space="0"/>
              <w:left w:val="single" w:color="000000" w:sz="4" w:space="0"/>
              <w:bottom w:val="single" w:color="000000" w:sz="4" w:space="0"/>
              <w:right w:val="single" w:color="000000" w:sz="4" w:space="0"/>
            </w:tcBorders>
            <w:vAlign w:val="center"/>
          </w:tcPr>
          <w:p w14:paraId="7B669C08">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项目区及周边300m以内的区域</w:t>
            </w:r>
          </w:p>
        </w:tc>
        <w:tc>
          <w:tcPr>
            <w:tcW w:w="1217" w:type="dxa"/>
            <w:tcBorders>
              <w:top w:val="single" w:color="000000" w:sz="4" w:space="0"/>
              <w:left w:val="single" w:color="000000" w:sz="4" w:space="0"/>
              <w:bottom w:val="single" w:color="000000" w:sz="4" w:space="0"/>
              <w:right w:val="single" w:color="000000" w:sz="4" w:space="0"/>
            </w:tcBorders>
            <w:vAlign w:val="center"/>
          </w:tcPr>
          <w:p w14:paraId="398127C1">
            <w:pPr>
              <w:widowControl/>
              <w:spacing w:line="240" w:lineRule="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保护范围内地表、地貌、土壤、水土、动植物</w:t>
            </w:r>
          </w:p>
        </w:tc>
        <w:tc>
          <w:tcPr>
            <w:tcW w:w="2581" w:type="dxa"/>
            <w:gridSpan w:val="3"/>
            <w:tcBorders>
              <w:top w:val="single" w:color="000000" w:sz="4" w:space="0"/>
              <w:left w:val="single" w:color="000000" w:sz="4" w:space="0"/>
              <w:bottom w:val="single" w:color="000000" w:sz="4" w:space="0"/>
              <w:right w:val="single" w:color="000000" w:sz="4" w:space="0"/>
            </w:tcBorders>
            <w:vAlign w:val="center"/>
          </w:tcPr>
          <w:p w14:paraId="50C176DF">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bCs/>
                <w:color w:val="auto"/>
                <w:sz w:val="18"/>
                <w:szCs w:val="18"/>
                <w:highlight w:val="none"/>
              </w:rPr>
              <w:t>保护现有动、植物及植被，当地的生态环境质量不降低，水土流失在可控制范围内</w:t>
            </w:r>
          </w:p>
        </w:tc>
      </w:tr>
      <w:tr w14:paraId="423FFD2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352" w:type="dxa"/>
            <w:gridSpan w:val="2"/>
            <w:vMerge w:val="restart"/>
            <w:tcBorders>
              <w:top w:val="single" w:color="000000" w:sz="4" w:space="0"/>
              <w:left w:val="single" w:color="000000" w:sz="4" w:space="0"/>
              <w:right w:val="single" w:color="000000" w:sz="4" w:space="0"/>
            </w:tcBorders>
            <w:vAlign w:val="center"/>
          </w:tcPr>
          <w:p w14:paraId="04FD157B">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土壤环境</w:t>
            </w:r>
          </w:p>
        </w:tc>
        <w:tc>
          <w:tcPr>
            <w:tcW w:w="4900" w:type="dxa"/>
            <w:gridSpan w:val="4"/>
            <w:tcBorders>
              <w:top w:val="single" w:color="000000" w:sz="4" w:space="0"/>
              <w:left w:val="single" w:color="000000" w:sz="4" w:space="0"/>
              <w:right w:val="single" w:color="000000" w:sz="4" w:space="0"/>
            </w:tcBorders>
            <w:vAlign w:val="center"/>
          </w:tcPr>
          <w:p w14:paraId="08D11D23">
            <w:pPr>
              <w:keepNext w:val="0"/>
              <w:keepLines w:val="0"/>
              <w:suppressLineNumbers w:val="0"/>
              <w:spacing w:before="0" w:beforeAutospacing="0" w:after="0" w:afterAutospacing="0"/>
              <w:ind w:left="450" w:leftChars="0" w:right="0" w:rightChars="0" w:hanging="450" w:hangingChars="25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bCs/>
                <w:color w:val="auto"/>
                <w:sz w:val="18"/>
                <w:szCs w:val="18"/>
                <w:highlight w:val="none"/>
              </w:rPr>
              <w:t>场区及场界外周围50m范围内</w:t>
            </w:r>
            <w:r>
              <w:rPr>
                <w:rFonts w:hint="default" w:ascii="Times New Roman" w:hAnsi="Times New Roman" w:cs="Times New Roman"/>
                <w:bCs/>
                <w:color w:val="auto"/>
                <w:sz w:val="18"/>
                <w:szCs w:val="18"/>
                <w:highlight w:val="none"/>
                <w:lang w:val="en-US" w:eastAsia="zh-CN"/>
              </w:rPr>
              <w:t>草地</w:t>
            </w:r>
          </w:p>
        </w:tc>
        <w:tc>
          <w:tcPr>
            <w:tcW w:w="2581" w:type="dxa"/>
            <w:gridSpan w:val="3"/>
            <w:vMerge w:val="restart"/>
            <w:tcBorders>
              <w:top w:val="single" w:color="000000" w:sz="4" w:space="0"/>
              <w:left w:val="single" w:color="000000" w:sz="4" w:space="0"/>
              <w:right w:val="single" w:color="000000" w:sz="4" w:space="0"/>
            </w:tcBorders>
            <w:vAlign w:val="center"/>
          </w:tcPr>
          <w:p w14:paraId="70875A7B">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避免土壤酸化、盐化或者碱化，避免污染物下渗污染土壤；</w:t>
            </w:r>
          </w:p>
          <w:p w14:paraId="52F6A80A">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kern w:val="0"/>
                <w:sz w:val="18"/>
                <w:szCs w:val="18"/>
              </w:rPr>
            </w:pPr>
            <w:r>
              <w:rPr>
                <w:rFonts w:hint="default" w:ascii="Times New Roman" w:hAnsi="Times New Roman" w:cs="Times New Roman"/>
                <w:bCs/>
                <w:color w:val="auto"/>
                <w:sz w:val="18"/>
                <w:szCs w:val="18"/>
                <w:highlight w:val="none"/>
              </w:rPr>
              <w:t>执行GB15618-2018标准的筛选值</w:t>
            </w:r>
          </w:p>
        </w:tc>
      </w:tr>
      <w:tr w14:paraId="76D35E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352" w:type="dxa"/>
            <w:gridSpan w:val="2"/>
            <w:vMerge w:val="restart"/>
            <w:tcBorders>
              <w:top w:val="single" w:color="000000" w:sz="4" w:space="0"/>
              <w:left w:val="single" w:color="000000" w:sz="4" w:space="0"/>
              <w:right w:val="single" w:color="000000" w:sz="4" w:space="0"/>
            </w:tcBorders>
            <w:vAlign w:val="center"/>
          </w:tcPr>
          <w:p w14:paraId="2297EA7B">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地下水环境</w:t>
            </w:r>
          </w:p>
        </w:tc>
        <w:tc>
          <w:tcPr>
            <w:tcW w:w="1365" w:type="dxa"/>
            <w:tcBorders>
              <w:top w:val="single" w:color="000000" w:sz="4" w:space="0"/>
              <w:left w:val="single" w:color="000000" w:sz="4" w:space="0"/>
              <w:bottom w:val="single" w:color="000000" w:sz="4" w:space="0"/>
              <w:right w:val="single" w:color="000000" w:sz="4" w:space="0"/>
            </w:tcBorders>
            <w:vAlign w:val="center"/>
          </w:tcPr>
          <w:p w14:paraId="71C269C0">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项目区分布的潜水含水层</w:t>
            </w:r>
          </w:p>
        </w:tc>
        <w:tc>
          <w:tcPr>
            <w:tcW w:w="2318" w:type="dxa"/>
            <w:gridSpan w:val="2"/>
            <w:tcBorders>
              <w:top w:val="single" w:color="000000" w:sz="4" w:space="0"/>
              <w:left w:val="single" w:color="000000" w:sz="4" w:space="0"/>
              <w:bottom w:val="single" w:color="000000" w:sz="4" w:space="0"/>
              <w:right w:val="single" w:color="000000" w:sz="4" w:space="0"/>
            </w:tcBorders>
            <w:vAlign w:val="center"/>
          </w:tcPr>
          <w:p w14:paraId="7EE19A6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项目区</w:t>
            </w:r>
          </w:p>
        </w:tc>
        <w:tc>
          <w:tcPr>
            <w:tcW w:w="1217" w:type="dxa"/>
            <w:tcBorders>
              <w:top w:val="single" w:color="000000" w:sz="4" w:space="0"/>
              <w:left w:val="single" w:color="000000" w:sz="4" w:space="0"/>
              <w:bottom w:val="single" w:color="000000" w:sz="4" w:space="0"/>
              <w:right w:val="single" w:color="000000" w:sz="4" w:space="0"/>
            </w:tcBorders>
            <w:vAlign w:val="center"/>
          </w:tcPr>
          <w:p w14:paraId="7CEE0599">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bCs/>
                <w:color w:val="auto"/>
                <w:sz w:val="18"/>
                <w:szCs w:val="18"/>
              </w:rPr>
              <w:t>T</w:t>
            </w:r>
            <w:r>
              <w:rPr>
                <w:rFonts w:hint="default" w:ascii="Times New Roman" w:hAnsi="Times New Roman" w:cs="Times New Roman"/>
                <w:bCs/>
                <w:color w:val="auto"/>
                <w:sz w:val="18"/>
                <w:szCs w:val="18"/>
                <w:vertAlign w:val="subscript"/>
              </w:rPr>
              <w:t>2</w:t>
            </w:r>
            <w:r>
              <w:rPr>
                <w:rFonts w:hint="default" w:ascii="Times New Roman" w:hAnsi="Times New Roman" w:cs="Times New Roman"/>
                <w:bCs/>
                <w:color w:val="auto"/>
                <w:sz w:val="18"/>
                <w:szCs w:val="18"/>
              </w:rPr>
              <w:t>g</w:t>
            </w:r>
            <w:r>
              <w:rPr>
                <w:rFonts w:hint="default" w:ascii="Times New Roman" w:hAnsi="Times New Roman" w:cs="Times New Roman"/>
                <w:bCs/>
                <w:color w:val="auto"/>
                <w:sz w:val="18"/>
                <w:szCs w:val="18"/>
                <w:vertAlign w:val="superscript"/>
              </w:rPr>
              <w:t>d</w:t>
            </w:r>
            <w:r>
              <w:rPr>
                <w:rFonts w:hint="default" w:ascii="Times New Roman" w:hAnsi="Times New Roman" w:cs="Times New Roman"/>
                <w:bCs/>
                <w:color w:val="auto"/>
                <w:sz w:val="18"/>
                <w:szCs w:val="18"/>
              </w:rPr>
              <w:t>含水层</w:t>
            </w:r>
          </w:p>
        </w:tc>
        <w:tc>
          <w:tcPr>
            <w:tcW w:w="2581" w:type="dxa"/>
            <w:gridSpan w:val="3"/>
            <w:vMerge w:val="restart"/>
            <w:tcBorders>
              <w:top w:val="single" w:color="000000" w:sz="4" w:space="0"/>
              <w:left w:val="single" w:color="000000" w:sz="4" w:space="0"/>
              <w:right w:val="single" w:color="000000" w:sz="4" w:space="0"/>
            </w:tcBorders>
            <w:vAlign w:val="center"/>
          </w:tcPr>
          <w:p w14:paraId="3570B5CF">
            <w:pPr>
              <w:widowControl/>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GB/T14848-2017《地下水质量标准》Ⅲ类标准</w:t>
            </w:r>
          </w:p>
        </w:tc>
      </w:tr>
      <w:tr w14:paraId="1BCD42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352" w:type="dxa"/>
            <w:gridSpan w:val="2"/>
            <w:vMerge w:val="continue"/>
            <w:tcBorders>
              <w:left w:val="single" w:color="000000" w:sz="4" w:space="0"/>
              <w:right w:val="single" w:color="000000" w:sz="4" w:space="0"/>
            </w:tcBorders>
            <w:vAlign w:val="center"/>
          </w:tcPr>
          <w:p w14:paraId="5CB973B0">
            <w:pPr>
              <w:widowControl/>
              <w:spacing w:line="240" w:lineRule="auto"/>
              <w:jc w:val="center"/>
              <w:rPr>
                <w:rFonts w:hint="default" w:ascii="Times New Roman" w:hAnsi="Times New Roman" w:cs="Times New Roman"/>
                <w:color w:val="auto"/>
                <w:kern w:val="0"/>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2D0CF47D">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小沙冲水井</w:t>
            </w:r>
          </w:p>
        </w:tc>
        <w:tc>
          <w:tcPr>
            <w:tcW w:w="2318" w:type="dxa"/>
            <w:gridSpan w:val="2"/>
            <w:tcBorders>
              <w:top w:val="single" w:color="000000" w:sz="4" w:space="0"/>
              <w:left w:val="single" w:color="000000" w:sz="4" w:space="0"/>
              <w:bottom w:val="single" w:color="000000" w:sz="4" w:space="0"/>
              <w:right w:val="single" w:color="000000" w:sz="4" w:space="0"/>
            </w:tcBorders>
            <w:vAlign w:val="center"/>
          </w:tcPr>
          <w:p w14:paraId="7746A4A5">
            <w:pPr>
              <w:spacing w:line="240" w:lineRule="auto"/>
              <w:jc w:val="center"/>
              <w:rPr>
                <w:rFonts w:hint="default" w:ascii="Times New Roman" w:hAnsi="Times New Roman" w:cs="Times New Roman"/>
                <w:color w:val="auto"/>
                <w:sz w:val="18"/>
                <w:szCs w:val="18"/>
                <w:lang w:val="en-US"/>
              </w:rPr>
            </w:pPr>
            <w:r>
              <w:rPr>
                <w:rFonts w:hint="default" w:ascii="Times New Roman" w:hAnsi="Times New Roman" w:cs="Times New Roman"/>
                <w:bCs/>
                <w:color w:val="auto"/>
                <w:sz w:val="18"/>
                <w:szCs w:val="18"/>
                <w:lang w:bidi="zh-CN"/>
              </w:rPr>
              <w:t>项目西南侧</w:t>
            </w:r>
            <w:r>
              <w:rPr>
                <w:rFonts w:hint="default" w:ascii="Times New Roman" w:hAnsi="Times New Roman" w:cs="Times New Roman"/>
                <w:bCs/>
                <w:color w:val="auto"/>
                <w:sz w:val="18"/>
                <w:szCs w:val="18"/>
                <w:lang w:val="en-US" w:bidi="zh-CN"/>
              </w:rPr>
              <w:t>2.936</w:t>
            </w:r>
            <w:r>
              <w:rPr>
                <w:rFonts w:hint="default" w:ascii="Times New Roman" w:hAnsi="Times New Roman" w:cs="Times New Roman"/>
                <w:bCs/>
                <w:color w:val="auto"/>
                <w:sz w:val="18"/>
                <w:szCs w:val="18"/>
                <w:lang w:bidi="zh-CN"/>
              </w:rPr>
              <w:t>km，下游；</w:t>
            </w:r>
            <w:r>
              <w:rPr>
                <w:rFonts w:hint="default" w:ascii="Times New Roman" w:hAnsi="Times New Roman" w:cs="Times New Roman"/>
                <w:bCs/>
                <w:color w:val="auto"/>
                <w:sz w:val="18"/>
                <w:szCs w:val="18"/>
                <w:lang w:val="en-US" w:bidi="zh-CN"/>
              </w:rPr>
              <w:t>功能：浇菜，无饮用水功能；</w:t>
            </w:r>
            <w:r>
              <w:rPr>
                <w:rFonts w:hint="default" w:ascii="Times New Roman" w:hAnsi="Times New Roman" w:eastAsia="宋体" w:cs="Times New Roman"/>
                <w:color w:val="auto"/>
                <w:sz w:val="18"/>
                <w:szCs w:val="18"/>
                <w:lang w:val="en-US" w:eastAsia="zh-CN" w:bidi="zh-CN"/>
              </w:rPr>
              <w:t>地下水揭露高程</w:t>
            </w:r>
            <w:r>
              <w:rPr>
                <w:rFonts w:hint="default" w:ascii="Times New Roman" w:hAnsi="Times New Roman" w:eastAsia="宋体" w:cs="Times New Roman"/>
                <w:color w:val="auto"/>
                <w:sz w:val="18"/>
                <w:szCs w:val="18"/>
                <w:lang w:val="en-US" w:bidi="zh-CN"/>
              </w:rPr>
              <w:t>1426m;</w:t>
            </w:r>
          </w:p>
        </w:tc>
        <w:tc>
          <w:tcPr>
            <w:tcW w:w="1217" w:type="dxa"/>
            <w:tcBorders>
              <w:top w:val="single" w:color="000000" w:sz="4" w:space="0"/>
              <w:left w:val="single" w:color="000000" w:sz="4" w:space="0"/>
              <w:bottom w:val="single" w:color="000000" w:sz="4" w:space="0"/>
              <w:right w:val="single" w:color="000000" w:sz="4" w:space="0"/>
            </w:tcBorders>
            <w:vAlign w:val="center"/>
          </w:tcPr>
          <w:p w14:paraId="368B3C44">
            <w:pPr>
              <w:widowControl/>
              <w:spacing w:line="240"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N</w:t>
            </w:r>
            <w:r>
              <w:rPr>
                <w:rFonts w:hint="default" w:ascii="Times New Roman" w:hAnsi="Times New Roman" w:cs="Times New Roman"/>
                <w:bCs/>
                <w:color w:val="auto"/>
                <w:sz w:val="18"/>
                <w:szCs w:val="18"/>
                <w:vertAlign w:val="subscript"/>
                <w:lang w:val="en-US" w:eastAsia="zh-CN"/>
              </w:rPr>
              <w:t>1-2</w:t>
            </w:r>
            <w:r>
              <w:rPr>
                <w:rFonts w:hint="default" w:ascii="Times New Roman" w:hAnsi="Times New Roman" w:cs="Times New Roman"/>
                <w:bCs/>
                <w:color w:val="auto"/>
                <w:sz w:val="18"/>
                <w:szCs w:val="18"/>
                <w:vertAlign w:val="superscript"/>
                <w:lang w:val="en-US" w:eastAsia="zh-CN"/>
              </w:rPr>
              <w:t>h</w:t>
            </w:r>
            <w:r>
              <w:rPr>
                <w:rFonts w:hint="default" w:ascii="Times New Roman" w:hAnsi="Times New Roman" w:cs="Times New Roman"/>
                <w:bCs/>
                <w:color w:val="auto"/>
                <w:sz w:val="18"/>
                <w:szCs w:val="18"/>
              </w:rPr>
              <w:t>含水层</w:t>
            </w:r>
          </w:p>
        </w:tc>
        <w:tc>
          <w:tcPr>
            <w:tcW w:w="2581" w:type="dxa"/>
            <w:gridSpan w:val="3"/>
            <w:vMerge w:val="continue"/>
            <w:tcBorders>
              <w:left w:val="single" w:color="000000" w:sz="4" w:space="0"/>
              <w:right w:val="single" w:color="000000" w:sz="4" w:space="0"/>
            </w:tcBorders>
            <w:vAlign w:val="center"/>
          </w:tcPr>
          <w:p w14:paraId="602B79BC">
            <w:pPr>
              <w:widowControl/>
              <w:spacing w:line="240" w:lineRule="auto"/>
              <w:jc w:val="center"/>
              <w:rPr>
                <w:rFonts w:hint="default" w:ascii="Times New Roman" w:hAnsi="Times New Roman" w:cs="Times New Roman"/>
                <w:color w:val="auto"/>
                <w:sz w:val="18"/>
                <w:szCs w:val="18"/>
              </w:rPr>
            </w:pPr>
          </w:p>
        </w:tc>
      </w:tr>
      <w:tr w14:paraId="268D78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352" w:type="dxa"/>
            <w:gridSpan w:val="2"/>
            <w:vMerge w:val="continue"/>
            <w:tcBorders>
              <w:left w:val="single" w:color="000000" w:sz="4" w:space="0"/>
              <w:right w:val="single" w:color="000000" w:sz="4" w:space="0"/>
            </w:tcBorders>
            <w:vAlign w:val="center"/>
          </w:tcPr>
          <w:p w14:paraId="66B5565A">
            <w:pPr>
              <w:widowControl/>
              <w:spacing w:line="240" w:lineRule="auto"/>
              <w:jc w:val="center"/>
              <w:rPr>
                <w:rFonts w:hint="default" w:ascii="Times New Roman" w:hAnsi="Times New Roman" w:cs="Times New Roman"/>
                <w:color w:val="auto"/>
                <w:kern w:val="0"/>
                <w:sz w:val="18"/>
                <w:szCs w:val="18"/>
              </w:rPr>
            </w:pPr>
          </w:p>
        </w:tc>
        <w:tc>
          <w:tcPr>
            <w:tcW w:w="1365" w:type="dxa"/>
            <w:tcBorders>
              <w:top w:val="single" w:color="000000" w:sz="4" w:space="0"/>
              <w:left w:val="single" w:color="000000" w:sz="4" w:space="0"/>
              <w:bottom w:val="single" w:color="000000" w:sz="4" w:space="0"/>
              <w:right w:val="single" w:color="000000" w:sz="4" w:space="0"/>
            </w:tcBorders>
            <w:vAlign w:val="center"/>
          </w:tcPr>
          <w:p w14:paraId="329486C9">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梅子哨村水井</w:t>
            </w:r>
          </w:p>
        </w:tc>
        <w:tc>
          <w:tcPr>
            <w:tcW w:w="2318" w:type="dxa"/>
            <w:gridSpan w:val="2"/>
            <w:tcBorders>
              <w:top w:val="single" w:color="000000" w:sz="4" w:space="0"/>
              <w:left w:val="single" w:color="000000" w:sz="4" w:space="0"/>
              <w:bottom w:val="single" w:color="000000" w:sz="4" w:space="0"/>
              <w:right w:val="single" w:color="000000" w:sz="4" w:space="0"/>
            </w:tcBorders>
            <w:vAlign w:val="center"/>
          </w:tcPr>
          <w:p w14:paraId="0D59EB27">
            <w:pPr>
              <w:spacing w:line="240" w:lineRule="auto"/>
              <w:jc w:val="center"/>
              <w:rPr>
                <w:rFonts w:hint="default" w:ascii="Times New Roman" w:hAnsi="Times New Roman" w:cs="Times New Roman"/>
                <w:color w:val="auto"/>
                <w:sz w:val="18"/>
                <w:szCs w:val="18"/>
                <w:lang w:val="en-US" w:bidi="zh-CN"/>
              </w:rPr>
            </w:pPr>
            <w:r>
              <w:rPr>
                <w:rFonts w:hint="default" w:ascii="Times New Roman" w:hAnsi="Times New Roman" w:cs="Times New Roman"/>
                <w:bCs/>
                <w:color w:val="auto"/>
                <w:sz w:val="18"/>
                <w:szCs w:val="18"/>
                <w:lang w:bidi="zh-CN"/>
              </w:rPr>
              <w:t>项目西南侧</w:t>
            </w:r>
            <w:r>
              <w:rPr>
                <w:rFonts w:hint="default" w:ascii="Times New Roman" w:hAnsi="Times New Roman" w:cs="Times New Roman"/>
                <w:bCs/>
                <w:color w:val="auto"/>
                <w:sz w:val="18"/>
                <w:szCs w:val="18"/>
                <w:lang w:val="en-US" w:bidi="zh-CN"/>
              </w:rPr>
              <w:t>2.308</w:t>
            </w:r>
            <w:r>
              <w:rPr>
                <w:rFonts w:hint="default" w:ascii="Times New Roman" w:hAnsi="Times New Roman" w:cs="Times New Roman"/>
                <w:bCs/>
                <w:color w:val="auto"/>
                <w:sz w:val="18"/>
                <w:szCs w:val="18"/>
                <w:lang w:bidi="zh-CN"/>
              </w:rPr>
              <w:t>km，下游</w:t>
            </w:r>
            <w:r>
              <w:rPr>
                <w:rFonts w:hint="default" w:ascii="Times New Roman" w:hAnsi="Times New Roman" w:cs="Times New Roman"/>
                <w:bCs/>
                <w:color w:val="auto"/>
                <w:sz w:val="18"/>
                <w:szCs w:val="18"/>
                <w:lang w:val="en-US" w:bidi="zh-CN"/>
              </w:rPr>
              <w:t>；浇菜，无饮用水功能；</w:t>
            </w:r>
            <w:r>
              <w:rPr>
                <w:rFonts w:hint="default" w:ascii="Times New Roman" w:hAnsi="Times New Roman" w:eastAsia="宋体" w:cs="Times New Roman"/>
                <w:color w:val="auto"/>
                <w:sz w:val="18"/>
                <w:szCs w:val="18"/>
                <w:lang w:val="en-US" w:eastAsia="zh-CN" w:bidi="zh-CN"/>
              </w:rPr>
              <w:t>地下水揭露高程</w:t>
            </w:r>
            <w:r>
              <w:rPr>
                <w:rFonts w:hint="default" w:ascii="Times New Roman" w:hAnsi="Times New Roman" w:eastAsia="宋体" w:cs="Times New Roman"/>
                <w:color w:val="auto"/>
                <w:sz w:val="18"/>
                <w:szCs w:val="18"/>
                <w:lang w:val="en-US" w:bidi="zh-CN"/>
              </w:rPr>
              <w:t>1415m</w:t>
            </w:r>
          </w:p>
        </w:tc>
        <w:tc>
          <w:tcPr>
            <w:tcW w:w="1217" w:type="dxa"/>
            <w:tcBorders>
              <w:top w:val="single" w:color="000000" w:sz="4" w:space="0"/>
              <w:left w:val="single" w:color="000000" w:sz="4" w:space="0"/>
              <w:bottom w:val="single" w:color="000000" w:sz="4" w:space="0"/>
              <w:right w:val="single" w:color="000000" w:sz="4" w:space="0"/>
            </w:tcBorders>
            <w:vAlign w:val="center"/>
          </w:tcPr>
          <w:p w14:paraId="2AD54573">
            <w:pPr>
              <w:widowControl/>
              <w:spacing w:line="240"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N</w:t>
            </w:r>
            <w:r>
              <w:rPr>
                <w:rFonts w:hint="default" w:ascii="Times New Roman" w:hAnsi="Times New Roman" w:cs="Times New Roman"/>
                <w:bCs/>
                <w:color w:val="auto"/>
                <w:sz w:val="18"/>
                <w:szCs w:val="18"/>
                <w:vertAlign w:val="subscript"/>
                <w:lang w:val="en-US" w:eastAsia="zh-CN"/>
              </w:rPr>
              <w:t>1-2</w:t>
            </w:r>
            <w:r>
              <w:rPr>
                <w:rFonts w:hint="default" w:ascii="Times New Roman" w:hAnsi="Times New Roman" w:cs="Times New Roman"/>
                <w:bCs/>
                <w:color w:val="auto"/>
                <w:sz w:val="18"/>
                <w:szCs w:val="18"/>
                <w:vertAlign w:val="superscript"/>
                <w:lang w:val="en-US" w:eastAsia="zh-CN"/>
              </w:rPr>
              <w:t>h</w:t>
            </w:r>
            <w:r>
              <w:rPr>
                <w:rFonts w:hint="default" w:ascii="Times New Roman" w:hAnsi="Times New Roman" w:cs="Times New Roman"/>
                <w:bCs/>
                <w:color w:val="auto"/>
                <w:sz w:val="18"/>
                <w:szCs w:val="18"/>
              </w:rPr>
              <w:t>含水层</w:t>
            </w:r>
          </w:p>
        </w:tc>
        <w:tc>
          <w:tcPr>
            <w:tcW w:w="2581" w:type="dxa"/>
            <w:gridSpan w:val="3"/>
            <w:vMerge w:val="continue"/>
            <w:tcBorders>
              <w:left w:val="single" w:color="000000" w:sz="4" w:space="0"/>
              <w:right w:val="single" w:color="000000" w:sz="4" w:space="0"/>
            </w:tcBorders>
            <w:vAlign w:val="center"/>
          </w:tcPr>
          <w:p w14:paraId="5F41708A">
            <w:pPr>
              <w:widowControl/>
              <w:spacing w:line="240" w:lineRule="auto"/>
              <w:jc w:val="center"/>
              <w:rPr>
                <w:rFonts w:hint="default" w:ascii="Times New Roman" w:hAnsi="Times New Roman" w:cs="Times New Roman"/>
                <w:color w:val="auto"/>
                <w:sz w:val="18"/>
                <w:szCs w:val="18"/>
              </w:rPr>
            </w:pPr>
          </w:p>
        </w:tc>
      </w:tr>
    </w:tbl>
    <w:p w14:paraId="6CE35880">
      <w:pPr>
        <w:adjustRightInd w:val="0"/>
        <w:snapToGrid w:val="0"/>
        <w:jc w:val="center"/>
        <w:rPr>
          <w:rFonts w:hint="default" w:ascii="Times New Roman" w:hAnsi="Times New Roman" w:cs="Times New Roman"/>
          <w:b/>
          <w:bCs/>
          <w:color w:val="auto"/>
          <w:szCs w:val="21"/>
          <w:highlight w:val="none"/>
        </w:rPr>
      </w:pPr>
    </w:p>
    <w:p w14:paraId="4489A2CB">
      <w:pPr>
        <w:adjustRightInd w:val="0"/>
        <w:snapToGrid w:val="0"/>
        <w:ind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根据前文分析，本项目环境风险为简单分析，风险保护目标见表1.</w:t>
      </w:r>
      <w:r>
        <w:rPr>
          <w:rFonts w:hint="default" w:ascii="Times New Roman" w:hAnsi="Times New Roman" w:cs="Times New Roman"/>
          <w:color w:val="auto"/>
          <w:kern w:val="0"/>
          <w:lang w:val="en-US" w:eastAsia="zh-CN"/>
        </w:rPr>
        <w:t>6</w:t>
      </w:r>
      <w:r>
        <w:rPr>
          <w:rFonts w:hint="default" w:ascii="Times New Roman" w:hAnsi="Times New Roman" w:cs="Times New Roman"/>
          <w:color w:val="auto"/>
          <w:kern w:val="0"/>
        </w:rPr>
        <w:t>-2。</w:t>
      </w:r>
    </w:p>
    <w:p w14:paraId="51B5A679">
      <w:pPr>
        <w:pStyle w:val="38"/>
        <w:widowControl/>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-2  环境风险保护目标一览表</w:t>
      </w:r>
    </w:p>
    <w:tbl>
      <w:tblPr>
        <w:tblStyle w:val="23"/>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814"/>
        <w:gridCol w:w="1373"/>
        <w:gridCol w:w="373"/>
        <w:gridCol w:w="238"/>
        <w:gridCol w:w="762"/>
        <w:gridCol w:w="280"/>
        <w:gridCol w:w="1093"/>
        <w:gridCol w:w="187"/>
        <w:gridCol w:w="190"/>
        <w:gridCol w:w="839"/>
        <w:gridCol w:w="251"/>
        <w:gridCol w:w="1280"/>
      </w:tblGrid>
      <w:tr w14:paraId="16DF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Align w:val="center"/>
          </w:tcPr>
          <w:p w14:paraId="0B5E18D8">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7680" w:type="dxa"/>
            <w:gridSpan w:val="12"/>
            <w:vAlign w:val="center"/>
          </w:tcPr>
          <w:p w14:paraId="4FED70F6">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环境敏感特征</w:t>
            </w:r>
          </w:p>
        </w:tc>
      </w:tr>
      <w:tr w14:paraId="2CFB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79" w:type="dxa"/>
            <w:vMerge w:val="restart"/>
            <w:vAlign w:val="center"/>
          </w:tcPr>
          <w:p w14:paraId="621F7636">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w:t>
            </w:r>
          </w:p>
        </w:tc>
        <w:tc>
          <w:tcPr>
            <w:tcW w:w="814" w:type="dxa"/>
            <w:vAlign w:val="center"/>
          </w:tcPr>
          <w:p w14:paraId="3ADB75FB">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746" w:type="dxa"/>
            <w:gridSpan w:val="2"/>
            <w:vAlign w:val="center"/>
          </w:tcPr>
          <w:p w14:paraId="6351AA41">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敏感目标名称</w:t>
            </w:r>
          </w:p>
        </w:tc>
        <w:tc>
          <w:tcPr>
            <w:tcW w:w="1280" w:type="dxa"/>
            <w:gridSpan w:val="3"/>
            <w:vAlign w:val="center"/>
          </w:tcPr>
          <w:p w14:paraId="4A3F34A6">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相对方位</w:t>
            </w:r>
          </w:p>
        </w:tc>
        <w:tc>
          <w:tcPr>
            <w:tcW w:w="1280" w:type="dxa"/>
            <w:gridSpan w:val="2"/>
            <w:vAlign w:val="center"/>
          </w:tcPr>
          <w:p w14:paraId="21092FF4">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距离/m</w:t>
            </w:r>
          </w:p>
        </w:tc>
        <w:tc>
          <w:tcPr>
            <w:tcW w:w="1280" w:type="dxa"/>
            <w:gridSpan w:val="3"/>
            <w:vAlign w:val="center"/>
          </w:tcPr>
          <w:p w14:paraId="4C10FF29">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属性</w:t>
            </w:r>
          </w:p>
        </w:tc>
        <w:tc>
          <w:tcPr>
            <w:tcW w:w="1280" w:type="dxa"/>
            <w:vAlign w:val="center"/>
          </w:tcPr>
          <w:p w14:paraId="2A93A73C">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人口数（人）</w:t>
            </w:r>
          </w:p>
        </w:tc>
      </w:tr>
      <w:tr w14:paraId="6739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792107F9">
            <w:pPr>
              <w:spacing w:line="240" w:lineRule="auto"/>
              <w:jc w:val="center"/>
              <w:rPr>
                <w:rFonts w:hint="default" w:ascii="Times New Roman" w:hAnsi="Times New Roman" w:cs="Times New Roman"/>
                <w:color w:val="auto"/>
                <w:sz w:val="21"/>
                <w:szCs w:val="21"/>
              </w:rPr>
            </w:pPr>
          </w:p>
        </w:tc>
        <w:tc>
          <w:tcPr>
            <w:tcW w:w="814" w:type="dxa"/>
            <w:vAlign w:val="center"/>
          </w:tcPr>
          <w:p w14:paraId="23CD9F9B">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746" w:type="dxa"/>
            <w:gridSpan w:val="2"/>
            <w:vAlign w:val="center"/>
          </w:tcPr>
          <w:p w14:paraId="7D384D33">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sz w:val="18"/>
                <w:szCs w:val="18"/>
              </w:rPr>
              <w:t>猴街</w:t>
            </w:r>
          </w:p>
        </w:tc>
        <w:tc>
          <w:tcPr>
            <w:tcW w:w="1280" w:type="dxa"/>
            <w:gridSpan w:val="3"/>
            <w:vAlign w:val="center"/>
          </w:tcPr>
          <w:p w14:paraId="19616B80">
            <w:pPr>
              <w:autoSpaceDE w:val="0"/>
              <w:autoSpaceDN w:val="0"/>
              <w:jc w:val="center"/>
              <w:rPr>
                <w:rFonts w:hint="default" w:ascii="Times New Roman" w:hAnsi="Times New Roman" w:cs="Times New Roman"/>
                <w:bCs/>
                <w:color w:val="auto"/>
                <w:sz w:val="21"/>
                <w:szCs w:val="21"/>
              </w:rPr>
            </w:pPr>
            <w:r>
              <w:rPr>
                <w:rFonts w:hint="default" w:ascii="Times New Roman" w:hAnsi="Times New Roman" w:cs="Times New Roman"/>
                <w:color w:val="auto"/>
                <w:kern w:val="0"/>
                <w:sz w:val="18"/>
                <w:szCs w:val="18"/>
              </w:rPr>
              <w:t>西南侧</w:t>
            </w:r>
          </w:p>
        </w:tc>
        <w:tc>
          <w:tcPr>
            <w:tcW w:w="1280" w:type="dxa"/>
            <w:gridSpan w:val="2"/>
            <w:vAlign w:val="center"/>
          </w:tcPr>
          <w:p w14:paraId="6765EFDA">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highlight w:val="none"/>
                <w:lang w:val="en-US" w:eastAsia="zh-CN"/>
              </w:rPr>
              <w:t>1822</w:t>
            </w:r>
          </w:p>
        </w:tc>
        <w:tc>
          <w:tcPr>
            <w:tcW w:w="1280" w:type="dxa"/>
            <w:gridSpan w:val="3"/>
            <w:vAlign w:val="center"/>
          </w:tcPr>
          <w:p w14:paraId="39B257C4">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居民点</w:t>
            </w:r>
          </w:p>
        </w:tc>
        <w:tc>
          <w:tcPr>
            <w:tcW w:w="1280" w:type="dxa"/>
            <w:vAlign w:val="center"/>
          </w:tcPr>
          <w:p w14:paraId="4DCB4631">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18"/>
                <w:szCs w:val="18"/>
                <w:lang w:val="en-US" w:eastAsia="zh-CN"/>
              </w:rPr>
              <w:t>800</w:t>
            </w:r>
          </w:p>
        </w:tc>
      </w:tr>
      <w:tr w14:paraId="15CF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1E6A003B">
            <w:pPr>
              <w:spacing w:line="240" w:lineRule="auto"/>
              <w:jc w:val="center"/>
              <w:rPr>
                <w:rFonts w:hint="default" w:ascii="Times New Roman" w:hAnsi="Times New Roman" w:cs="Times New Roman"/>
                <w:color w:val="auto"/>
                <w:sz w:val="21"/>
                <w:szCs w:val="21"/>
              </w:rPr>
            </w:pPr>
          </w:p>
        </w:tc>
        <w:tc>
          <w:tcPr>
            <w:tcW w:w="814" w:type="dxa"/>
            <w:vAlign w:val="center"/>
          </w:tcPr>
          <w:p w14:paraId="2261D085">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746" w:type="dxa"/>
            <w:gridSpan w:val="2"/>
            <w:vAlign w:val="center"/>
          </w:tcPr>
          <w:p w14:paraId="2F56E973">
            <w:pPr>
              <w:autoSpaceDE w:val="0"/>
              <w:autoSpaceDN w:val="0"/>
              <w:jc w:val="center"/>
              <w:rPr>
                <w:rFonts w:hint="default" w:ascii="Times New Roman" w:hAnsi="Times New Roman" w:cs="Times New Roman"/>
                <w:bCs/>
                <w:color w:val="auto"/>
                <w:sz w:val="21"/>
                <w:szCs w:val="21"/>
              </w:rPr>
            </w:pPr>
            <w:r>
              <w:rPr>
                <w:rFonts w:hint="default" w:ascii="Times New Roman" w:hAnsi="Times New Roman" w:cs="Times New Roman"/>
                <w:color w:val="auto"/>
                <w:sz w:val="18"/>
                <w:szCs w:val="18"/>
              </w:rPr>
              <w:t>上村</w:t>
            </w:r>
          </w:p>
        </w:tc>
        <w:tc>
          <w:tcPr>
            <w:tcW w:w="1280" w:type="dxa"/>
            <w:gridSpan w:val="3"/>
            <w:vAlign w:val="center"/>
          </w:tcPr>
          <w:p w14:paraId="0B3B765A">
            <w:pPr>
              <w:autoSpaceDE w:val="0"/>
              <w:autoSpaceDN w:val="0"/>
              <w:jc w:val="center"/>
              <w:rPr>
                <w:rFonts w:hint="default" w:ascii="Times New Roman" w:hAnsi="Times New Roman" w:cs="Times New Roman"/>
                <w:bCs/>
                <w:color w:val="auto"/>
                <w:sz w:val="21"/>
                <w:szCs w:val="21"/>
              </w:rPr>
            </w:pPr>
            <w:r>
              <w:rPr>
                <w:rFonts w:hint="default" w:ascii="Times New Roman" w:hAnsi="Times New Roman" w:cs="Times New Roman"/>
                <w:color w:val="auto"/>
                <w:kern w:val="0"/>
                <w:sz w:val="18"/>
                <w:szCs w:val="18"/>
              </w:rPr>
              <w:t>西南侧</w:t>
            </w:r>
          </w:p>
        </w:tc>
        <w:tc>
          <w:tcPr>
            <w:tcW w:w="1280" w:type="dxa"/>
            <w:gridSpan w:val="2"/>
            <w:vAlign w:val="center"/>
          </w:tcPr>
          <w:p w14:paraId="62727A6D">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highlight w:val="none"/>
                <w:lang w:val="en-US" w:eastAsia="zh-CN"/>
              </w:rPr>
              <w:t>1975</w:t>
            </w:r>
          </w:p>
        </w:tc>
        <w:tc>
          <w:tcPr>
            <w:tcW w:w="1280" w:type="dxa"/>
            <w:gridSpan w:val="3"/>
            <w:vAlign w:val="center"/>
          </w:tcPr>
          <w:p w14:paraId="398B3C14">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居民点</w:t>
            </w:r>
          </w:p>
        </w:tc>
        <w:tc>
          <w:tcPr>
            <w:tcW w:w="1280" w:type="dxa"/>
            <w:vAlign w:val="center"/>
          </w:tcPr>
          <w:p w14:paraId="5B99D1F0">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18"/>
                <w:szCs w:val="18"/>
                <w:lang w:val="en-US" w:eastAsia="zh-CN"/>
              </w:rPr>
              <w:t>1300</w:t>
            </w:r>
          </w:p>
        </w:tc>
      </w:tr>
      <w:tr w14:paraId="5E92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22DF6293">
            <w:pPr>
              <w:spacing w:line="240" w:lineRule="auto"/>
              <w:jc w:val="center"/>
              <w:rPr>
                <w:rFonts w:hint="default" w:ascii="Times New Roman" w:hAnsi="Times New Roman" w:cs="Times New Roman"/>
                <w:color w:val="auto"/>
                <w:sz w:val="21"/>
                <w:szCs w:val="21"/>
              </w:rPr>
            </w:pPr>
          </w:p>
        </w:tc>
        <w:tc>
          <w:tcPr>
            <w:tcW w:w="814" w:type="dxa"/>
            <w:vAlign w:val="center"/>
          </w:tcPr>
          <w:p w14:paraId="3AF5FAF9">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746" w:type="dxa"/>
            <w:gridSpan w:val="2"/>
            <w:vAlign w:val="center"/>
          </w:tcPr>
          <w:p w14:paraId="191F37D5">
            <w:pPr>
              <w:autoSpaceDE w:val="0"/>
              <w:autoSpaceDN w:val="0"/>
              <w:jc w:val="center"/>
              <w:rPr>
                <w:rFonts w:hint="default" w:ascii="Times New Roman" w:hAnsi="Times New Roman" w:cs="Times New Roman"/>
                <w:bCs/>
                <w:color w:val="auto"/>
                <w:sz w:val="21"/>
                <w:szCs w:val="21"/>
              </w:rPr>
            </w:pPr>
            <w:r>
              <w:rPr>
                <w:rFonts w:hint="default" w:ascii="Times New Roman" w:hAnsi="Times New Roman" w:cs="Times New Roman"/>
                <w:color w:val="auto"/>
                <w:sz w:val="18"/>
                <w:szCs w:val="18"/>
              </w:rPr>
              <w:t>梅子哨</w:t>
            </w:r>
          </w:p>
        </w:tc>
        <w:tc>
          <w:tcPr>
            <w:tcW w:w="1280" w:type="dxa"/>
            <w:gridSpan w:val="3"/>
            <w:vAlign w:val="center"/>
          </w:tcPr>
          <w:p w14:paraId="1D195DD0">
            <w:pPr>
              <w:autoSpaceDE w:val="0"/>
              <w:autoSpaceDN w:val="0"/>
              <w:jc w:val="center"/>
              <w:rPr>
                <w:rFonts w:hint="default" w:ascii="Times New Roman" w:hAnsi="Times New Roman" w:cs="Times New Roman"/>
                <w:bCs/>
                <w:color w:val="auto"/>
                <w:sz w:val="21"/>
                <w:szCs w:val="21"/>
              </w:rPr>
            </w:pPr>
            <w:r>
              <w:rPr>
                <w:rFonts w:hint="default" w:ascii="Times New Roman" w:hAnsi="Times New Roman" w:cs="Times New Roman"/>
                <w:color w:val="auto"/>
                <w:kern w:val="0"/>
                <w:sz w:val="18"/>
                <w:szCs w:val="18"/>
              </w:rPr>
              <w:t>西南侧</w:t>
            </w:r>
          </w:p>
        </w:tc>
        <w:tc>
          <w:tcPr>
            <w:tcW w:w="1280" w:type="dxa"/>
            <w:gridSpan w:val="2"/>
            <w:vAlign w:val="center"/>
          </w:tcPr>
          <w:p w14:paraId="406152DD">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highlight w:val="none"/>
                <w:lang w:val="en-US" w:eastAsia="zh-CN"/>
              </w:rPr>
              <w:t>2196</w:t>
            </w:r>
          </w:p>
        </w:tc>
        <w:tc>
          <w:tcPr>
            <w:tcW w:w="1280" w:type="dxa"/>
            <w:gridSpan w:val="3"/>
            <w:vAlign w:val="center"/>
          </w:tcPr>
          <w:p w14:paraId="60246750">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居民点</w:t>
            </w:r>
          </w:p>
        </w:tc>
        <w:tc>
          <w:tcPr>
            <w:tcW w:w="1280" w:type="dxa"/>
            <w:vAlign w:val="center"/>
          </w:tcPr>
          <w:p w14:paraId="4421844A">
            <w:pPr>
              <w:autoSpaceDE w:val="0"/>
              <w:autoSpaceDN w:val="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18"/>
                <w:szCs w:val="18"/>
              </w:rPr>
              <w:t>48</w:t>
            </w:r>
            <w:r>
              <w:rPr>
                <w:rFonts w:hint="default" w:ascii="Times New Roman" w:hAnsi="Times New Roman" w:cs="Times New Roman"/>
                <w:color w:val="auto"/>
                <w:kern w:val="0"/>
                <w:sz w:val="18"/>
                <w:szCs w:val="18"/>
                <w:lang w:val="en-US" w:eastAsia="zh-CN"/>
              </w:rPr>
              <w:t>0</w:t>
            </w:r>
          </w:p>
        </w:tc>
      </w:tr>
      <w:tr w14:paraId="0EB2A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3F081450">
            <w:pPr>
              <w:spacing w:line="240" w:lineRule="auto"/>
              <w:jc w:val="center"/>
              <w:rPr>
                <w:rFonts w:hint="default" w:ascii="Times New Roman" w:hAnsi="Times New Roman" w:cs="Times New Roman"/>
                <w:color w:val="auto"/>
                <w:sz w:val="21"/>
                <w:szCs w:val="21"/>
              </w:rPr>
            </w:pPr>
          </w:p>
        </w:tc>
        <w:tc>
          <w:tcPr>
            <w:tcW w:w="814" w:type="dxa"/>
            <w:vAlign w:val="center"/>
          </w:tcPr>
          <w:p w14:paraId="4FFB83D4">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746" w:type="dxa"/>
            <w:gridSpan w:val="2"/>
            <w:vAlign w:val="center"/>
          </w:tcPr>
          <w:p w14:paraId="285FC616">
            <w:pPr>
              <w:autoSpaceDE w:val="0"/>
              <w:autoSpaceDN w:val="0"/>
              <w:jc w:val="center"/>
              <w:rPr>
                <w:rFonts w:hint="default" w:ascii="Times New Roman" w:hAnsi="Times New Roman" w:cs="Times New Roman"/>
                <w:bCs/>
                <w:color w:val="auto"/>
                <w:sz w:val="21"/>
                <w:szCs w:val="21"/>
              </w:rPr>
            </w:pPr>
            <w:r>
              <w:rPr>
                <w:rFonts w:hint="default" w:ascii="Times New Roman" w:hAnsi="Times New Roman" w:cs="Times New Roman"/>
                <w:color w:val="auto"/>
                <w:sz w:val="18"/>
                <w:szCs w:val="18"/>
              </w:rPr>
              <w:t>小沙冲</w:t>
            </w:r>
          </w:p>
        </w:tc>
        <w:tc>
          <w:tcPr>
            <w:tcW w:w="1280" w:type="dxa"/>
            <w:gridSpan w:val="3"/>
            <w:vAlign w:val="center"/>
          </w:tcPr>
          <w:p w14:paraId="69C8372A">
            <w:pPr>
              <w:autoSpaceDE w:val="0"/>
              <w:autoSpaceDN w:val="0"/>
              <w:jc w:val="center"/>
              <w:rPr>
                <w:rFonts w:hint="default" w:ascii="Times New Roman" w:hAnsi="Times New Roman" w:cs="Times New Roman"/>
                <w:bCs/>
                <w:color w:val="auto"/>
                <w:sz w:val="21"/>
                <w:szCs w:val="21"/>
              </w:rPr>
            </w:pPr>
            <w:r>
              <w:rPr>
                <w:rFonts w:hint="default" w:ascii="Times New Roman" w:hAnsi="Times New Roman" w:cs="Times New Roman"/>
                <w:color w:val="auto"/>
                <w:kern w:val="0"/>
                <w:sz w:val="18"/>
                <w:szCs w:val="18"/>
              </w:rPr>
              <w:t>西南侧</w:t>
            </w:r>
          </w:p>
        </w:tc>
        <w:tc>
          <w:tcPr>
            <w:tcW w:w="1280" w:type="dxa"/>
            <w:gridSpan w:val="2"/>
            <w:vAlign w:val="center"/>
          </w:tcPr>
          <w:p w14:paraId="1A6B88D2">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highlight w:val="none"/>
                <w:lang w:val="en-US" w:eastAsia="zh-CN"/>
              </w:rPr>
              <w:t>2745</w:t>
            </w:r>
          </w:p>
        </w:tc>
        <w:tc>
          <w:tcPr>
            <w:tcW w:w="1280" w:type="dxa"/>
            <w:gridSpan w:val="3"/>
            <w:vAlign w:val="center"/>
          </w:tcPr>
          <w:p w14:paraId="1EEA99D5">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居民点</w:t>
            </w:r>
          </w:p>
        </w:tc>
        <w:tc>
          <w:tcPr>
            <w:tcW w:w="1280" w:type="dxa"/>
            <w:vAlign w:val="center"/>
          </w:tcPr>
          <w:p w14:paraId="7FFCEEBF">
            <w:pPr>
              <w:keepNext w:val="0"/>
              <w:keepLines w:val="0"/>
              <w:suppressLineNumbers w:val="0"/>
              <w:spacing w:before="0" w:beforeAutospacing="0" w:after="0" w:afterAutospacing="0"/>
              <w:ind w:right="0" w:rightChars="0"/>
              <w:jc w:val="left"/>
              <w:rPr>
                <w:rFonts w:hint="default" w:ascii="Times New Roman" w:hAnsi="Times New Roman" w:cs="Times New Roman"/>
                <w:color w:val="auto"/>
                <w:sz w:val="21"/>
                <w:szCs w:val="21"/>
              </w:rPr>
            </w:pPr>
            <w:r>
              <w:rPr>
                <w:rFonts w:hint="default" w:ascii="Times New Roman" w:hAnsi="Times New Roman" w:cs="Times New Roman"/>
                <w:color w:val="auto"/>
                <w:kern w:val="0"/>
                <w:sz w:val="18"/>
                <w:szCs w:val="18"/>
              </w:rPr>
              <w:t>1063</w:t>
            </w:r>
          </w:p>
        </w:tc>
      </w:tr>
      <w:tr w14:paraId="3FF8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75ADA81F">
            <w:pPr>
              <w:spacing w:line="240" w:lineRule="auto"/>
              <w:jc w:val="center"/>
              <w:rPr>
                <w:rFonts w:hint="default" w:ascii="Times New Roman" w:hAnsi="Times New Roman" w:cs="Times New Roman"/>
                <w:color w:val="auto"/>
                <w:sz w:val="21"/>
                <w:szCs w:val="21"/>
              </w:rPr>
            </w:pPr>
          </w:p>
        </w:tc>
        <w:tc>
          <w:tcPr>
            <w:tcW w:w="6400" w:type="dxa"/>
            <w:gridSpan w:val="11"/>
            <w:vAlign w:val="center"/>
          </w:tcPr>
          <w:p w14:paraId="29B91D76">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厂址周边500m范围人口数小计</w:t>
            </w:r>
          </w:p>
        </w:tc>
        <w:tc>
          <w:tcPr>
            <w:tcW w:w="1280" w:type="dxa"/>
            <w:vAlign w:val="center"/>
          </w:tcPr>
          <w:p w14:paraId="3A9534FF">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14:paraId="6D19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7D761551">
            <w:pPr>
              <w:spacing w:line="240" w:lineRule="auto"/>
              <w:jc w:val="center"/>
              <w:rPr>
                <w:rFonts w:hint="default" w:ascii="Times New Roman" w:hAnsi="Times New Roman" w:cs="Times New Roman"/>
                <w:color w:val="auto"/>
                <w:sz w:val="21"/>
                <w:szCs w:val="21"/>
              </w:rPr>
            </w:pPr>
          </w:p>
        </w:tc>
        <w:tc>
          <w:tcPr>
            <w:tcW w:w="6400" w:type="dxa"/>
            <w:gridSpan w:val="11"/>
            <w:vAlign w:val="center"/>
          </w:tcPr>
          <w:p w14:paraId="464B5257">
            <w:pPr>
              <w:pStyle w:val="14"/>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18"/>
                <w:szCs w:val="18"/>
                <w:lang w:val="en-US" w:eastAsia="zh-CN"/>
              </w:rPr>
              <w:t>大气环境敏感程度E值</w:t>
            </w:r>
          </w:p>
        </w:tc>
        <w:tc>
          <w:tcPr>
            <w:tcW w:w="1280" w:type="dxa"/>
            <w:vAlign w:val="center"/>
          </w:tcPr>
          <w:p w14:paraId="1ED791B2">
            <w:pPr>
              <w:pStyle w:val="14"/>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18"/>
                <w:szCs w:val="18"/>
                <w:lang w:val="en-US" w:eastAsia="zh-CN"/>
              </w:rPr>
              <w:t>E3</w:t>
            </w:r>
          </w:p>
        </w:tc>
      </w:tr>
      <w:tr w14:paraId="3D21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restart"/>
            <w:vAlign w:val="center"/>
          </w:tcPr>
          <w:p w14:paraId="0B9B385E">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7680" w:type="dxa"/>
            <w:gridSpan w:val="12"/>
            <w:vAlign w:val="center"/>
          </w:tcPr>
          <w:p w14:paraId="7052468B">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受纳水体</w:t>
            </w:r>
          </w:p>
        </w:tc>
      </w:tr>
      <w:tr w14:paraId="26B0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704B49EF">
            <w:pPr>
              <w:spacing w:line="240" w:lineRule="auto"/>
              <w:jc w:val="center"/>
              <w:rPr>
                <w:rFonts w:hint="default" w:ascii="Times New Roman" w:hAnsi="Times New Roman" w:cs="Times New Roman"/>
                <w:color w:val="auto"/>
                <w:sz w:val="21"/>
                <w:szCs w:val="21"/>
              </w:rPr>
            </w:pPr>
          </w:p>
        </w:tc>
        <w:tc>
          <w:tcPr>
            <w:tcW w:w="814" w:type="dxa"/>
            <w:vAlign w:val="center"/>
          </w:tcPr>
          <w:p w14:paraId="55F41BC9">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984" w:type="dxa"/>
            <w:gridSpan w:val="3"/>
            <w:vAlign w:val="center"/>
          </w:tcPr>
          <w:p w14:paraId="518ECC67">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受纳水体名称</w:t>
            </w:r>
          </w:p>
        </w:tc>
        <w:tc>
          <w:tcPr>
            <w:tcW w:w="2512" w:type="dxa"/>
            <w:gridSpan w:val="5"/>
            <w:vAlign w:val="center"/>
          </w:tcPr>
          <w:p w14:paraId="3BEE0238">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排放点水域环境功能</w:t>
            </w:r>
          </w:p>
        </w:tc>
        <w:tc>
          <w:tcPr>
            <w:tcW w:w="2370" w:type="dxa"/>
            <w:gridSpan w:val="3"/>
            <w:vAlign w:val="center"/>
          </w:tcPr>
          <w:p w14:paraId="3CC9D8C0">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24h内径流范围</w:t>
            </w:r>
          </w:p>
        </w:tc>
      </w:tr>
      <w:tr w14:paraId="3AE1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28459C73">
            <w:pPr>
              <w:spacing w:line="240" w:lineRule="auto"/>
              <w:jc w:val="center"/>
              <w:rPr>
                <w:rFonts w:hint="default" w:ascii="Times New Roman" w:hAnsi="Times New Roman" w:cs="Times New Roman"/>
                <w:color w:val="auto"/>
                <w:sz w:val="21"/>
                <w:szCs w:val="21"/>
              </w:rPr>
            </w:pPr>
          </w:p>
        </w:tc>
        <w:tc>
          <w:tcPr>
            <w:tcW w:w="814" w:type="dxa"/>
            <w:vAlign w:val="center"/>
          </w:tcPr>
          <w:p w14:paraId="6FFFB76F">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984" w:type="dxa"/>
            <w:gridSpan w:val="3"/>
            <w:vAlign w:val="center"/>
          </w:tcPr>
          <w:p w14:paraId="03302E9C">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甸溪河</w:t>
            </w:r>
          </w:p>
        </w:tc>
        <w:tc>
          <w:tcPr>
            <w:tcW w:w="2512" w:type="dxa"/>
            <w:gridSpan w:val="5"/>
            <w:vAlign w:val="center"/>
          </w:tcPr>
          <w:p w14:paraId="61934D26">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Ⅲ类</w:t>
            </w:r>
          </w:p>
        </w:tc>
        <w:tc>
          <w:tcPr>
            <w:tcW w:w="2370" w:type="dxa"/>
            <w:gridSpan w:val="3"/>
            <w:vAlign w:val="center"/>
          </w:tcPr>
          <w:p w14:paraId="07EDE1E5">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628B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2387DE0C">
            <w:pPr>
              <w:spacing w:line="240" w:lineRule="auto"/>
              <w:jc w:val="center"/>
              <w:rPr>
                <w:rFonts w:hint="default" w:ascii="Times New Roman" w:hAnsi="Times New Roman" w:cs="Times New Roman"/>
                <w:color w:val="auto"/>
                <w:sz w:val="21"/>
                <w:szCs w:val="21"/>
              </w:rPr>
            </w:pPr>
          </w:p>
        </w:tc>
        <w:tc>
          <w:tcPr>
            <w:tcW w:w="814" w:type="dxa"/>
            <w:vAlign w:val="center"/>
          </w:tcPr>
          <w:p w14:paraId="19240ED9">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6866" w:type="dxa"/>
            <w:gridSpan w:val="11"/>
            <w:vAlign w:val="center"/>
          </w:tcPr>
          <w:p w14:paraId="7CC703F6">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内陆水体排放点下游10km范围内敏感目标</w:t>
            </w:r>
          </w:p>
        </w:tc>
      </w:tr>
      <w:tr w14:paraId="5B35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1FFD1508">
            <w:pPr>
              <w:spacing w:line="240" w:lineRule="auto"/>
              <w:jc w:val="center"/>
              <w:rPr>
                <w:rFonts w:hint="default" w:ascii="Times New Roman" w:hAnsi="Times New Roman" w:cs="Times New Roman"/>
                <w:color w:val="auto"/>
                <w:sz w:val="21"/>
                <w:szCs w:val="21"/>
              </w:rPr>
            </w:pPr>
          </w:p>
        </w:tc>
        <w:tc>
          <w:tcPr>
            <w:tcW w:w="814" w:type="dxa"/>
            <w:vAlign w:val="center"/>
          </w:tcPr>
          <w:p w14:paraId="4B7A987E">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984" w:type="dxa"/>
            <w:gridSpan w:val="3"/>
            <w:vAlign w:val="center"/>
          </w:tcPr>
          <w:p w14:paraId="1B459721">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w:t>
            </w:r>
          </w:p>
        </w:tc>
        <w:tc>
          <w:tcPr>
            <w:tcW w:w="2512" w:type="dxa"/>
            <w:gridSpan w:val="5"/>
            <w:vAlign w:val="center"/>
          </w:tcPr>
          <w:p w14:paraId="38C6E099">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370" w:type="dxa"/>
            <w:gridSpan w:val="3"/>
            <w:vAlign w:val="center"/>
          </w:tcPr>
          <w:p w14:paraId="783356AE">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189C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016EA294">
            <w:pPr>
              <w:spacing w:line="240" w:lineRule="auto"/>
              <w:jc w:val="center"/>
              <w:rPr>
                <w:rFonts w:hint="default" w:ascii="Times New Roman" w:hAnsi="Times New Roman" w:cs="Times New Roman"/>
                <w:color w:val="auto"/>
                <w:sz w:val="21"/>
                <w:szCs w:val="21"/>
              </w:rPr>
            </w:pPr>
          </w:p>
        </w:tc>
        <w:tc>
          <w:tcPr>
            <w:tcW w:w="5310" w:type="dxa"/>
            <w:gridSpan w:val="9"/>
            <w:vAlign w:val="center"/>
          </w:tcPr>
          <w:p w14:paraId="52035A3F">
            <w:pPr>
              <w:pStyle w:val="14"/>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18"/>
                <w:szCs w:val="18"/>
                <w:lang w:val="en-US" w:eastAsia="zh-CN"/>
              </w:rPr>
              <w:t>地表水环境敏感程度E值</w:t>
            </w:r>
          </w:p>
        </w:tc>
        <w:tc>
          <w:tcPr>
            <w:tcW w:w="2370" w:type="dxa"/>
            <w:gridSpan w:val="3"/>
            <w:vAlign w:val="center"/>
          </w:tcPr>
          <w:p w14:paraId="723FCB4B">
            <w:pPr>
              <w:pStyle w:val="14"/>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18"/>
                <w:szCs w:val="18"/>
              </w:rPr>
              <w:t>E3</w:t>
            </w:r>
          </w:p>
        </w:tc>
      </w:tr>
      <w:tr w14:paraId="594E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restart"/>
            <w:vAlign w:val="center"/>
          </w:tcPr>
          <w:p w14:paraId="522C4963">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814" w:type="dxa"/>
            <w:vAlign w:val="center"/>
          </w:tcPr>
          <w:p w14:paraId="768FD30C">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373" w:type="dxa"/>
            <w:vAlign w:val="center"/>
          </w:tcPr>
          <w:p w14:paraId="2E51EB4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环境敏感区名称</w:t>
            </w:r>
          </w:p>
        </w:tc>
        <w:tc>
          <w:tcPr>
            <w:tcW w:w="1373" w:type="dxa"/>
            <w:gridSpan w:val="3"/>
            <w:vAlign w:val="center"/>
          </w:tcPr>
          <w:p w14:paraId="46FF8AE6">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环境敏感特征</w:t>
            </w:r>
          </w:p>
        </w:tc>
        <w:tc>
          <w:tcPr>
            <w:tcW w:w="1373" w:type="dxa"/>
            <w:gridSpan w:val="2"/>
            <w:vAlign w:val="center"/>
          </w:tcPr>
          <w:p w14:paraId="73C539CB">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水质目标</w:t>
            </w:r>
          </w:p>
        </w:tc>
        <w:tc>
          <w:tcPr>
            <w:tcW w:w="1216" w:type="dxa"/>
            <w:gridSpan w:val="3"/>
            <w:vAlign w:val="center"/>
          </w:tcPr>
          <w:p w14:paraId="269BDE7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包气带防渗性能</w:t>
            </w:r>
          </w:p>
        </w:tc>
        <w:tc>
          <w:tcPr>
            <w:tcW w:w="1531" w:type="dxa"/>
            <w:gridSpan w:val="2"/>
            <w:vAlign w:val="center"/>
          </w:tcPr>
          <w:p w14:paraId="7E098686">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与下游厂界距离/m</w:t>
            </w:r>
          </w:p>
        </w:tc>
      </w:tr>
      <w:tr w14:paraId="7B2E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167D61E3">
            <w:pPr>
              <w:spacing w:line="240" w:lineRule="auto"/>
              <w:jc w:val="center"/>
              <w:rPr>
                <w:rFonts w:hint="default" w:ascii="Times New Roman" w:hAnsi="Times New Roman" w:cs="Times New Roman"/>
                <w:color w:val="auto"/>
                <w:sz w:val="21"/>
                <w:szCs w:val="21"/>
              </w:rPr>
            </w:pPr>
          </w:p>
        </w:tc>
        <w:tc>
          <w:tcPr>
            <w:tcW w:w="814" w:type="dxa"/>
            <w:vAlign w:val="center"/>
          </w:tcPr>
          <w:p w14:paraId="0452EEA7">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373" w:type="dxa"/>
            <w:vAlign w:val="center"/>
          </w:tcPr>
          <w:p w14:paraId="69F0F061">
            <w:pPr>
              <w:spacing w:line="240" w:lineRule="auto"/>
              <w:jc w:val="center"/>
              <w:rPr>
                <w:rFonts w:hint="default" w:ascii="Times New Roman" w:hAnsi="Times New Roman" w:cs="Times New Roman"/>
                <w:color w:val="auto"/>
                <w:sz w:val="21"/>
                <w:szCs w:val="21"/>
                <w:highlight w:val="green"/>
              </w:rPr>
            </w:pPr>
            <w:r>
              <w:rPr>
                <w:rFonts w:hint="default" w:ascii="Times New Roman" w:hAnsi="Times New Roman" w:cs="Times New Roman"/>
                <w:color w:val="auto"/>
                <w:sz w:val="21"/>
                <w:szCs w:val="21"/>
              </w:rPr>
              <w:t>项目区</w:t>
            </w:r>
            <w:r>
              <w:rPr>
                <w:rFonts w:hint="default" w:ascii="Times New Roman" w:hAnsi="Times New Roman" w:cs="Times New Roman"/>
                <w:color w:val="auto"/>
                <w:sz w:val="21"/>
                <w:szCs w:val="21"/>
                <w:lang w:val="en-US" w:eastAsia="zh-CN"/>
              </w:rPr>
              <w:t>所在水文地质单元</w:t>
            </w:r>
          </w:p>
        </w:tc>
        <w:tc>
          <w:tcPr>
            <w:tcW w:w="1373" w:type="dxa"/>
            <w:gridSpan w:val="3"/>
            <w:vAlign w:val="center"/>
          </w:tcPr>
          <w:p w14:paraId="374BD099">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G3</w:t>
            </w:r>
            <w:r>
              <w:rPr>
                <w:rFonts w:hint="default" w:ascii="Times New Roman" w:hAnsi="Times New Roman" w:cs="Times New Roman"/>
                <w:color w:val="auto"/>
                <w:sz w:val="21"/>
                <w:szCs w:val="21"/>
                <w:lang w:val="en-US" w:eastAsia="zh-CN"/>
              </w:rPr>
              <w:t>（不敏感）</w:t>
            </w:r>
          </w:p>
        </w:tc>
        <w:tc>
          <w:tcPr>
            <w:tcW w:w="1373" w:type="dxa"/>
            <w:gridSpan w:val="2"/>
            <w:vAlign w:val="center"/>
          </w:tcPr>
          <w:p w14:paraId="101EDBE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Ⅲ类</w:t>
            </w:r>
          </w:p>
        </w:tc>
        <w:tc>
          <w:tcPr>
            <w:tcW w:w="1216" w:type="dxa"/>
            <w:gridSpan w:val="3"/>
            <w:vAlign w:val="center"/>
          </w:tcPr>
          <w:p w14:paraId="7FD04711">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D2</w:t>
            </w:r>
          </w:p>
        </w:tc>
        <w:tc>
          <w:tcPr>
            <w:tcW w:w="1531" w:type="dxa"/>
            <w:gridSpan w:val="2"/>
            <w:vAlign w:val="center"/>
          </w:tcPr>
          <w:p w14:paraId="6A04E5CC">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2A84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52E3FAD0">
            <w:pPr>
              <w:spacing w:line="240" w:lineRule="auto"/>
              <w:jc w:val="center"/>
              <w:rPr>
                <w:rFonts w:hint="default" w:ascii="Times New Roman" w:hAnsi="Times New Roman" w:cs="Times New Roman"/>
                <w:color w:val="auto"/>
                <w:sz w:val="21"/>
                <w:szCs w:val="21"/>
              </w:rPr>
            </w:pPr>
          </w:p>
        </w:tc>
        <w:tc>
          <w:tcPr>
            <w:tcW w:w="814" w:type="dxa"/>
            <w:vAlign w:val="center"/>
          </w:tcPr>
          <w:p w14:paraId="4887706E">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73" w:type="dxa"/>
            <w:vAlign w:val="center"/>
          </w:tcPr>
          <w:p w14:paraId="752CE78C">
            <w:pPr>
              <w:spacing w:line="240" w:lineRule="auto"/>
              <w:jc w:val="center"/>
              <w:rPr>
                <w:rFonts w:hint="default" w:ascii="Times New Roman" w:hAnsi="Times New Roman" w:cs="Times New Roman"/>
                <w:color w:val="auto"/>
                <w:sz w:val="21"/>
                <w:szCs w:val="21"/>
                <w:highlight w:val="green"/>
              </w:rPr>
            </w:pPr>
            <w:r>
              <w:rPr>
                <w:rFonts w:hint="default" w:ascii="Times New Roman" w:hAnsi="Times New Roman" w:eastAsia="宋体" w:cs="Times New Roman"/>
                <w:color w:val="auto"/>
                <w:sz w:val="21"/>
                <w:szCs w:val="21"/>
                <w:lang w:val="en-US" w:eastAsia="zh-CN"/>
              </w:rPr>
              <w:t>小沙冲水井</w:t>
            </w:r>
          </w:p>
        </w:tc>
        <w:tc>
          <w:tcPr>
            <w:tcW w:w="1373" w:type="dxa"/>
            <w:gridSpan w:val="3"/>
            <w:vAlign w:val="center"/>
          </w:tcPr>
          <w:p w14:paraId="32F9752B">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G3</w:t>
            </w:r>
            <w:r>
              <w:rPr>
                <w:rFonts w:hint="default" w:ascii="Times New Roman" w:hAnsi="Times New Roman" w:cs="Times New Roman"/>
                <w:color w:val="auto"/>
                <w:sz w:val="21"/>
                <w:szCs w:val="21"/>
                <w:lang w:val="en-US" w:eastAsia="zh-CN"/>
              </w:rPr>
              <w:t>（不敏感）</w:t>
            </w:r>
          </w:p>
        </w:tc>
        <w:tc>
          <w:tcPr>
            <w:tcW w:w="1373" w:type="dxa"/>
            <w:gridSpan w:val="2"/>
            <w:vAlign w:val="center"/>
          </w:tcPr>
          <w:p w14:paraId="67668BDB">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Ⅲ类</w:t>
            </w:r>
          </w:p>
        </w:tc>
        <w:tc>
          <w:tcPr>
            <w:tcW w:w="1216" w:type="dxa"/>
            <w:gridSpan w:val="3"/>
            <w:vAlign w:val="center"/>
          </w:tcPr>
          <w:p w14:paraId="61AB867B">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D2</w:t>
            </w:r>
          </w:p>
        </w:tc>
        <w:tc>
          <w:tcPr>
            <w:tcW w:w="1531" w:type="dxa"/>
            <w:gridSpan w:val="2"/>
            <w:vAlign w:val="center"/>
          </w:tcPr>
          <w:p w14:paraId="3DD50979">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bidi="zh-CN"/>
              </w:rPr>
              <w:t>项目西南侧</w:t>
            </w:r>
            <w:r>
              <w:rPr>
                <w:rFonts w:hint="default" w:ascii="Times New Roman" w:hAnsi="Times New Roman" w:cs="Times New Roman"/>
                <w:bCs/>
                <w:color w:val="auto"/>
                <w:sz w:val="21"/>
                <w:szCs w:val="21"/>
                <w:lang w:val="en-US" w:bidi="zh-CN"/>
              </w:rPr>
              <w:t>2.936</w:t>
            </w:r>
            <w:r>
              <w:rPr>
                <w:rFonts w:hint="default" w:ascii="Times New Roman" w:hAnsi="Times New Roman" w:cs="Times New Roman"/>
                <w:bCs/>
                <w:color w:val="auto"/>
                <w:sz w:val="21"/>
                <w:szCs w:val="21"/>
                <w:lang w:bidi="zh-CN"/>
              </w:rPr>
              <w:t>km，下游</w:t>
            </w:r>
          </w:p>
        </w:tc>
      </w:tr>
      <w:tr w14:paraId="3990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31FCFA2F">
            <w:pPr>
              <w:spacing w:line="240" w:lineRule="auto"/>
              <w:jc w:val="center"/>
              <w:rPr>
                <w:rFonts w:hint="default" w:ascii="Times New Roman" w:hAnsi="Times New Roman" w:cs="Times New Roman"/>
                <w:color w:val="auto"/>
                <w:sz w:val="21"/>
                <w:szCs w:val="21"/>
              </w:rPr>
            </w:pPr>
          </w:p>
        </w:tc>
        <w:tc>
          <w:tcPr>
            <w:tcW w:w="814" w:type="dxa"/>
            <w:vAlign w:val="center"/>
          </w:tcPr>
          <w:p w14:paraId="60B167E4">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373" w:type="dxa"/>
            <w:vAlign w:val="center"/>
          </w:tcPr>
          <w:p w14:paraId="3E40E472">
            <w:pPr>
              <w:spacing w:line="240" w:lineRule="auto"/>
              <w:jc w:val="center"/>
              <w:rPr>
                <w:rFonts w:hint="default" w:ascii="Times New Roman" w:hAnsi="Times New Roman" w:cs="Times New Roman"/>
                <w:color w:val="auto"/>
                <w:sz w:val="21"/>
                <w:szCs w:val="21"/>
                <w:highlight w:val="green"/>
              </w:rPr>
            </w:pPr>
            <w:r>
              <w:rPr>
                <w:rFonts w:hint="default" w:ascii="Times New Roman" w:hAnsi="Times New Roman" w:eastAsia="宋体" w:cs="Times New Roman"/>
                <w:color w:val="auto"/>
                <w:sz w:val="21"/>
                <w:szCs w:val="21"/>
                <w:lang w:val="en-US" w:eastAsia="zh-CN"/>
              </w:rPr>
              <w:t>梅子哨村水井</w:t>
            </w:r>
          </w:p>
        </w:tc>
        <w:tc>
          <w:tcPr>
            <w:tcW w:w="1373" w:type="dxa"/>
            <w:gridSpan w:val="3"/>
            <w:vAlign w:val="center"/>
          </w:tcPr>
          <w:p w14:paraId="3AC63953">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G3</w:t>
            </w:r>
            <w:r>
              <w:rPr>
                <w:rFonts w:hint="default" w:ascii="Times New Roman" w:hAnsi="Times New Roman" w:cs="Times New Roman"/>
                <w:color w:val="auto"/>
                <w:sz w:val="21"/>
                <w:szCs w:val="21"/>
                <w:lang w:val="en-US" w:eastAsia="zh-CN"/>
              </w:rPr>
              <w:t>（不敏感）</w:t>
            </w:r>
          </w:p>
        </w:tc>
        <w:tc>
          <w:tcPr>
            <w:tcW w:w="1373" w:type="dxa"/>
            <w:gridSpan w:val="2"/>
            <w:vAlign w:val="center"/>
          </w:tcPr>
          <w:p w14:paraId="7D47732A">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Ⅲ类</w:t>
            </w:r>
          </w:p>
        </w:tc>
        <w:tc>
          <w:tcPr>
            <w:tcW w:w="1216" w:type="dxa"/>
            <w:gridSpan w:val="3"/>
            <w:vAlign w:val="center"/>
          </w:tcPr>
          <w:p w14:paraId="6ADD286F">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D2</w:t>
            </w:r>
          </w:p>
        </w:tc>
        <w:tc>
          <w:tcPr>
            <w:tcW w:w="1531" w:type="dxa"/>
            <w:gridSpan w:val="2"/>
            <w:vAlign w:val="center"/>
          </w:tcPr>
          <w:p w14:paraId="665AF3F9">
            <w:pPr>
              <w:spacing w:line="240" w:lineRule="auto"/>
              <w:jc w:val="center"/>
              <w:rPr>
                <w:rFonts w:hint="default" w:ascii="Times New Roman" w:hAnsi="Times New Roman" w:cs="Times New Roman"/>
                <w:color w:val="auto"/>
                <w:sz w:val="21"/>
                <w:szCs w:val="21"/>
                <w:lang w:bidi="zh-CN"/>
              </w:rPr>
            </w:pPr>
            <w:r>
              <w:rPr>
                <w:rFonts w:hint="default" w:ascii="Times New Roman" w:hAnsi="Times New Roman" w:cs="Times New Roman"/>
                <w:bCs/>
                <w:color w:val="auto"/>
                <w:sz w:val="21"/>
                <w:szCs w:val="21"/>
                <w:lang w:bidi="zh-CN"/>
              </w:rPr>
              <w:t>项目西南侧</w:t>
            </w:r>
            <w:r>
              <w:rPr>
                <w:rFonts w:hint="default" w:ascii="Times New Roman" w:hAnsi="Times New Roman" w:cs="Times New Roman"/>
                <w:bCs/>
                <w:color w:val="auto"/>
                <w:sz w:val="21"/>
                <w:szCs w:val="21"/>
                <w:lang w:val="en-US" w:bidi="zh-CN"/>
              </w:rPr>
              <w:t>2.308</w:t>
            </w:r>
            <w:r>
              <w:rPr>
                <w:rFonts w:hint="default" w:ascii="Times New Roman" w:hAnsi="Times New Roman" w:cs="Times New Roman"/>
                <w:bCs/>
                <w:color w:val="auto"/>
                <w:sz w:val="21"/>
                <w:szCs w:val="21"/>
                <w:lang w:bidi="zh-CN"/>
              </w:rPr>
              <w:t>km，下游</w:t>
            </w:r>
          </w:p>
        </w:tc>
      </w:tr>
      <w:tr w14:paraId="227A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4122F72C">
            <w:pPr>
              <w:spacing w:line="240" w:lineRule="auto"/>
              <w:jc w:val="center"/>
              <w:rPr>
                <w:rFonts w:hint="default" w:ascii="Times New Roman" w:hAnsi="Times New Roman" w:cs="Times New Roman"/>
                <w:color w:val="auto"/>
                <w:sz w:val="21"/>
                <w:szCs w:val="21"/>
              </w:rPr>
            </w:pPr>
          </w:p>
        </w:tc>
        <w:tc>
          <w:tcPr>
            <w:tcW w:w="6149" w:type="dxa"/>
            <w:gridSpan w:val="10"/>
            <w:vAlign w:val="center"/>
          </w:tcPr>
          <w:p w14:paraId="718B2879">
            <w:pPr>
              <w:pStyle w:val="14"/>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lang w:val="en-US" w:eastAsia="zh-CN"/>
              </w:rPr>
              <w:t>地下水环境敏感程度E值</w:t>
            </w:r>
          </w:p>
        </w:tc>
        <w:tc>
          <w:tcPr>
            <w:tcW w:w="1531" w:type="dxa"/>
            <w:gridSpan w:val="2"/>
            <w:vAlign w:val="center"/>
          </w:tcPr>
          <w:p w14:paraId="2BC8D98A">
            <w:pPr>
              <w:pStyle w:val="14"/>
              <w:keepNext w:val="0"/>
              <w:keepLines w:val="0"/>
              <w:pageBreakBefore w:val="0"/>
              <w:kinsoku/>
              <w:wordWrap/>
              <w:overflowPunct/>
              <w:topLinePunct w:val="0"/>
              <w:autoSpaceDE/>
              <w:autoSpaceDN/>
              <w:bidi w:val="0"/>
              <w:adjustRightInd/>
              <w:snapToGrid/>
              <w:spacing w:beforeLines="0" w:line="240" w:lineRule="auto"/>
              <w:ind w:firstLine="0" w:firstLineChars="0"/>
              <w:jc w:val="center"/>
              <w:rPr>
                <w:rFonts w:hint="default" w:ascii="Times New Roman" w:hAnsi="Times New Roman" w:cs="Times New Roman"/>
                <w:bCs/>
                <w:color w:val="auto"/>
                <w:sz w:val="21"/>
                <w:szCs w:val="21"/>
                <w:lang w:bidi="zh-CN"/>
              </w:rPr>
            </w:pPr>
            <w:r>
              <w:rPr>
                <w:rFonts w:hint="default" w:ascii="Times New Roman" w:hAnsi="Times New Roman" w:cs="Times New Roman"/>
                <w:color w:val="auto"/>
                <w:sz w:val="18"/>
                <w:szCs w:val="18"/>
                <w:lang w:val="en-US" w:eastAsia="zh-CN"/>
              </w:rPr>
              <w:t>E3</w:t>
            </w:r>
          </w:p>
        </w:tc>
      </w:tr>
    </w:tbl>
    <w:p w14:paraId="1FB343FF">
      <w:pPr>
        <w:adjustRightInd w:val="0"/>
        <w:snapToGrid w:val="0"/>
        <w:jc w:val="center"/>
        <w:rPr>
          <w:rFonts w:hint="default" w:ascii="Times New Roman" w:hAnsi="Times New Roman" w:cs="Times New Roman"/>
          <w:b/>
          <w:bCs/>
          <w:color w:val="auto"/>
          <w:szCs w:val="21"/>
          <w:highlight w:val="none"/>
        </w:rPr>
      </w:pPr>
    </w:p>
    <w:p w14:paraId="1056B312">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Style w:val="34"/>
          <w:rFonts w:hint="default" w:ascii="Times New Roman" w:hAnsi="Times New Roman" w:cs="Times New Roman"/>
          <w:b w:val="0"/>
          <w:bCs w:val="0"/>
          <w:color w:val="auto"/>
          <w:sz w:val="24"/>
          <w:highlight w:val="none"/>
        </w:rPr>
      </w:pPr>
      <w:bookmarkStart w:id="137" w:name="_Toc235803945"/>
      <w:bookmarkStart w:id="138" w:name="_Toc23661"/>
      <w:bookmarkStart w:id="139" w:name="_Toc323657573"/>
      <w:bookmarkStart w:id="140" w:name="_Toc316388634"/>
      <w:bookmarkStart w:id="141" w:name="_Toc267948882"/>
      <w:bookmarkStart w:id="142" w:name="_Toc16947"/>
      <w:bookmarkStart w:id="143" w:name="_Toc4730"/>
      <w:bookmarkStart w:id="144" w:name="_Toc16057"/>
      <w:bookmarkStart w:id="145" w:name="_Toc7539"/>
      <w:r>
        <w:rPr>
          <w:rStyle w:val="34"/>
          <w:rFonts w:hint="default" w:ascii="Times New Roman" w:hAnsi="Times New Roman" w:cs="Times New Roman"/>
          <w:b w:val="0"/>
          <w:bCs w:val="0"/>
          <w:color w:val="auto"/>
          <w:sz w:val="24"/>
          <w:highlight w:val="none"/>
        </w:rPr>
        <w:t>1.7评价重点</w:t>
      </w:r>
      <w:bookmarkEnd w:id="137"/>
      <w:bookmarkEnd w:id="138"/>
      <w:bookmarkEnd w:id="139"/>
      <w:bookmarkEnd w:id="140"/>
      <w:bookmarkEnd w:id="141"/>
      <w:r>
        <w:rPr>
          <w:rStyle w:val="34"/>
          <w:rFonts w:hint="default" w:ascii="Times New Roman" w:hAnsi="Times New Roman" w:cs="Times New Roman"/>
          <w:b w:val="0"/>
          <w:bCs w:val="0"/>
          <w:color w:val="auto"/>
          <w:sz w:val="24"/>
          <w:highlight w:val="none"/>
        </w:rPr>
        <w:t>及评价时段</w:t>
      </w:r>
      <w:bookmarkEnd w:id="142"/>
      <w:bookmarkEnd w:id="143"/>
      <w:bookmarkEnd w:id="144"/>
      <w:bookmarkEnd w:id="145"/>
    </w:p>
    <w:p w14:paraId="617972A0">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146" w:name="_Toc323657575"/>
      <w:bookmarkStart w:id="147" w:name="_Toc316388636"/>
      <w:bookmarkStart w:id="148" w:name="_Toc30208"/>
      <w:bookmarkStart w:id="149" w:name="_Toc26732"/>
      <w:r>
        <w:rPr>
          <w:rStyle w:val="35"/>
          <w:rFonts w:hint="default" w:ascii="Times New Roman" w:hAnsi="Times New Roman" w:eastAsia="宋体" w:cs="Times New Roman"/>
          <w:color w:val="auto"/>
          <w:sz w:val="24"/>
          <w:szCs w:val="24"/>
          <w:highlight w:val="none"/>
        </w:rPr>
        <w:t>1.7.1评价重点</w:t>
      </w:r>
      <w:bookmarkEnd w:id="146"/>
      <w:bookmarkEnd w:id="147"/>
      <w:bookmarkEnd w:id="148"/>
      <w:bookmarkEnd w:id="149"/>
    </w:p>
    <w:p w14:paraId="3800C835">
      <w:pPr>
        <w:bidi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该项目环境影响评价涉及大气环境、声环境、固体废物处置、废水处置、地下水环境和环境风险等项目评价。根据项目所在地环境特征和本项目的特点，确定本评价以工程分析、大气环境影响评价、水环境影响评价及污染防治对策措施、固废污染防治对策措施、地下水环境影响评价为评价重点，对声环境影响评价、土壤环境影响评价、风险评价和总量控制等作一般性的分析与评价，并兼顾公众参与等专题的调查与分析。</w:t>
      </w:r>
    </w:p>
    <w:p w14:paraId="1E267343">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150" w:name="_Toc22762"/>
      <w:r>
        <w:rPr>
          <w:rStyle w:val="35"/>
          <w:rFonts w:hint="default" w:ascii="Times New Roman" w:hAnsi="Times New Roman" w:eastAsia="宋体" w:cs="Times New Roman"/>
          <w:color w:val="auto"/>
          <w:sz w:val="24"/>
          <w:szCs w:val="24"/>
          <w:highlight w:val="none"/>
        </w:rPr>
        <w:t>1.7.2评价时段</w:t>
      </w:r>
      <w:bookmarkEnd w:id="150"/>
    </w:p>
    <w:p w14:paraId="0AF98843">
      <w:pPr>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根据项目的特点，结合项目不同实施阶段的环境影响特点，本次环境影响评价时段为建设期和生产运行期，重点评价运营期。</w:t>
      </w:r>
    </w:p>
    <w:p w14:paraId="348214AE">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Style w:val="34"/>
          <w:rFonts w:hint="default" w:ascii="Times New Roman" w:hAnsi="Times New Roman" w:cs="Times New Roman"/>
          <w:b w:val="0"/>
          <w:bCs w:val="0"/>
          <w:color w:val="auto"/>
          <w:sz w:val="24"/>
          <w:highlight w:val="none"/>
        </w:rPr>
      </w:pPr>
      <w:bookmarkStart w:id="151" w:name="_Toc17580"/>
      <w:bookmarkStart w:id="152" w:name="_Toc316388640"/>
      <w:bookmarkStart w:id="153" w:name="_Toc13559"/>
      <w:bookmarkStart w:id="154" w:name="_Toc232840457"/>
      <w:bookmarkStart w:id="155" w:name="_Toc30953"/>
      <w:bookmarkStart w:id="156" w:name="_Toc323657579"/>
      <w:bookmarkStart w:id="157" w:name="_Toc12201"/>
      <w:bookmarkStart w:id="158" w:name="_Toc20098"/>
      <w:bookmarkStart w:id="159" w:name="_Toc248994810"/>
      <w:r>
        <w:rPr>
          <w:rStyle w:val="34"/>
          <w:rFonts w:hint="default" w:ascii="Times New Roman" w:hAnsi="Times New Roman" w:cs="Times New Roman"/>
          <w:b w:val="0"/>
          <w:bCs w:val="0"/>
          <w:color w:val="auto"/>
          <w:sz w:val="24"/>
          <w:highlight w:val="none"/>
        </w:rPr>
        <w:t>1.</w:t>
      </w:r>
      <w:bookmarkStart w:id="160" w:name="_Toc79119885"/>
      <w:bookmarkStart w:id="161" w:name="_Toc64192610"/>
      <w:bookmarkStart w:id="162" w:name="_Toc71967304"/>
      <w:r>
        <w:rPr>
          <w:rStyle w:val="34"/>
          <w:rFonts w:hint="default" w:ascii="Times New Roman" w:hAnsi="Times New Roman" w:cs="Times New Roman"/>
          <w:b w:val="0"/>
          <w:bCs w:val="0"/>
          <w:color w:val="auto"/>
          <w:sz w:val="24"/>
          <w:highlight w:val="none"/>
        </w:rPr>
        <w:t>8评价工作程序</w:t>
      </w:r>
      <w:bookmarkEnd w:id="151"/>
      <w:bookmarkEnd w:id="152"/>
      <w:bookmarkEnd w:id="153"/>
      <w:bookmarkEnd w:id="154"/>
      <w:bookmarkEnd w:id="155"/>
      <w:bookmarkEnd w:id="156"/>
      <w:bookmarkEnd w:id="157"/>
      <w:bookmarkEnd w:id="158"/>
      <w:bookmarkEnd w:id="159"/>
      <w:bookmarkEnd w:id="160"/>
      <w:bookmarkEnd w:id="161"/>
      <w:bookmarkEnd w:id="162"/>
    </w:p>
    <w:p w14:paraId="7EF75E86">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本项目环境影响评价工作程序见图1.8-1。</w:t>
      </w:r>
    </w:p>
    <w:p w14:paraId="6A016D60">
      <w:pPr>
        <w:snapToGrid w:val="0"/>
        <w:spacing w:before="312" w:beforeLines="100" w:line="360" w:lineRule="auto"/>
        <w:jc w:val="center"/>
        <w:rPr>
          <w:rFonts w:hint="default" w:ascii="Times New Roman" w:hAnsi="Times New Roman" w:cs="Times New Roman"/>
          <w:b/>
          <w:color w:val="auto"/>
          <w:szCs w:val="21"/>
          <w:highlight w:val="none"/>
        </w:rPr>
        <w:sectPr>
          <w:headerReference r:id="rId16" w:type="default"/>
          <w:footerReference r:id="rId17" w:type="default"/>
          <w:pgSz w:w="11907" w:h="16840"/>
          <w:pgMar w:top="1531" w:right="1797" w:bottom="1440"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highlight w:val="none"/>
        </w:rPr>
        <w:object>
          <v:shape id="_x0000_i1025" o:spt="75" type="#_x0000_t75" style="height:500.95pt;width:429.8pt;" o:ole="t" filled="f" coordsize="21600,21600">
            <v:path/>
            <v:fill on="f" focussize="0,0"/>
            <v:stroke/>
            <v:imagedata r:id="rId41" o:title=""/>
            <o:lock v:ext="edit" aspectratio="t"/>
            <w10:wrap type="none"/>
            <w10:anchorlock/>
          </v:shape>
          <o:OLEObject Type="Embed" ProgID="Visio.Drawing.11" ShapeID="_x0000_i1025" DrawAspect="Content" ObjectID="_1468075725" r:id="rId40">
            <o:LockedField>false</o:LockedField>
          </o:OLEObject>
        </w:object>
      </w:r>
      <w:r>
        <w:rPr>
          <w:rFonts w:hint="default" w:ascii="Times New Roman" w:hAnsi="Times New Roman" w:cs="Times New Roman"/>
          <w:color w:val="auto"/>
          <w:highlight w:val="none"/>
        </w:rPr>
        <w:tab/>
      </w:r>
      <w:r>
        <w:rPr>
          <w:rFonts w:hint="default" w:ascii="Times New Roman" w:hAnsi="Times New Roman" w:cs="Times New Roman"/>
          <w:b/>
          <w:color w:val="auto"/>
          <w:szCs w:val="21"/>
          <w:highlight w:val="none"/>
        </w:rPr>
        <w:t>图1.8-1   环境影响评价工作程序图</w:t>
      </w:r>
    </w:p>
    <w:p w14:paraId="56F763AC">
      <w:pPr>
        <w:pStyle w:val="2"/>
        <w:keepNext/>
        <w:keepLines/>
        <w:pageBreakBefore w:val="0"/>
        <w:widowControl w:val="0"/>
        <w:kinsoku/>
        <w:wordWrap/>
        <w:overflowPunct/>
        <w:topLinePunct w:val="0"/>
        <w:autoSpaceDE/>
        <w:autoSpaceDN/>
        <w:bidi w:val="0"/>
        <w:adjustRightInd/>
        <w:snapToGrid w:val="0"/>
        <w:spacing w:before="0" w:after="0" w:afterLines="0" w:line="360" w:lineRule="auto"/>
        <w:textAlignment w:val="auto"/>
        <w:rPr>
          <w:rFonts w:hint="default" w:ascii="Times New Roman" w:hAnsi="Times New Roman" w:cs="Times New Roman"/>
          <w:color w:val="auto"/>
          <w:sz w:val="28"/>
          <w:szCs w:val="28"/>
          <w:highlight w:val="none"/>
        </w:rPr>
      </w:pPr>
      <w:bookmarkStart w:id="163" w:name="_Toc30807"/>
      <w:bookmarkStart w:id="164" w:name="_Toc21349"/>
      <w:bookmarkStart w:id="165" w:name="_Toc22281"/>
      <w:bookmarkStart w:id="166" w:name="_Toc25438"/>
      <w:r>
        <w:rPr>
          <w:rFonts w:hint="default" w:ascii="Times New Roman" w:hAnsi="Times New Roman" w:cs="Times New Roman"/>
          <w:color w:val="auto"/>
          <w:sz w:val="28"/>
          <w:szCs w:val="28"/>
          <w:highlight w:val="none"/>
        </w:rPr>
        <w:t>2工程概况</w:t>
      </w:r>
      <w:bookmarkEnd w:id="163"/>
      <w:bookmarkEnd w:id="164"/>
      <w:bookmarkEnd w:id="165"/>
      <w:bookmarkEnd w:id="166"/>
    </w:p>
    <w:p w14:paraId="2EA47905">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Style w:val="34"/>
          <w:rFonts w:hint="default" w:ascii="Times New Roman" w:hAnsi="Times New Roman" w:cs="Times New Roman"/>
          <w:b w:val="0"/>
          <w:bCs w:val="0"/>
          <w:color w:val="auto"/>
          <w:sz w:val="24"/>
          <w:highlight w:val="none"/>
        </w:rPr>
      </w:pPr>
      <w:bookmarkStart w:id="167" w:name="_Toc13431"/>
      <w:bookmarkStart w:id="168" w:name="_Toc23891"/>
      <w:bookmarkStart w:id="169" w:name="_Toc5752"/>
      <w:bookmarkStart w:id="170" w:name="_Toc29123"/>
      <w:r>
        <w:rPr>
          <w:rStyle w:val="34"/>
          <w:rFonts w:hint="default" w:ascii="Times New Roman" w:hAnsi="Times New Roman" w:cs="Times New Roman"/>
          <w:b w:val="0"/>
          <w:bCs w:val="0"/>
          <w:color w:val="auto"/>
          <w:sz w:val="24"/>
          <w:highlight w:val="none"/>
        </w:rPr>
        <w:t>2.</w:t>
      </w:r>
      <w:r>
        <w:rPr>
          <w:rStyle w:val="34"/>
          <w:rFonts w:hint="default" w:ascii="Times New Roman" w:hAnsi="Times New Roman" w:cs="Times New Roman"/>
          <w:b w:val="0"/>
          <w:bCs w:val="0"/>
          <w:color w:val="auto"/>
          <w:sz w:val="24"/>
          <w:highlight w:val="none"/>
          <w:lang w:val="en-US"/>
        </w:rPr>
        <w:t>1</w:t>
      </w:r>
      <w:r>
        <w:rPr>
          <w:rStyle w:val="34"/>
          <w:rFonts w:hint="default" w:ascii="Times New Roman" w:hAnsi="Times New Roman" w:cs="Times New Roman"/>
          <w:b w:val="0"/>
          <w:bCs w:val="0"/>
          <w:color w:val="auto"/>
          <w:sz w:val="24"/>
          <w:highlight w:val="none"/>
        </w:rPr>
        <w:t>项目概况</w:t>
      </w:r>
      <w:bookmarkEnd w:id="167"/>
      <w:bookmarkEnd w:id="168"/>
      <w:bookmarkEnd w:id="169"/>
      <w:bookmarkEnd w:id="170"/>
    </w:p>
    <w:p w14:paraId="2FF63AEA">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lang w:eastAsia="zh-CN"/>
        </w:rPr>
      </w:pPr>
      <w:bookmarkStart w:id="171" w:name="_Toc4053"/>
      <w:r>
        <w:rPr>
          <w:rStyle w:val="35"/>
          <w:rFonts w:hint="default" w:ascii="Times New Roman" w:hAnsi="Times New Roman" w:eastAsia="宋体" w:cs="Times New Roman"/>
          <w:color w:val="auto"/>
          <w:sz w:val="24"/>
          <w:szCs w:val="24"/>
          <w:highlight w:val="none"/>
        </w:rPr>
        <w:t>2.</w:t>
      </w:r>
      <w:r>
        <w:rPr>
          <w:rStyle w:val="35"/>
          <w:rFonts w:hint="default" w:ascii="Times New Roman" w:hAnsi="Times New Roman" w:eastAsia="宋体" w:cs="Times New Roman"/>
          <w:color w:val="auto"/>
          <w:sz w:val="24"/>
          <w:szCs w:val="24"/>
          <w:highlight w:val="none"/>
          <w:lang w:val="en-US" w:eastAsia="zh-CN"/>
        </w:rPr>
        <w:t>1</w:t>
      </w:r>
      <w:r>
        <w:rPr>
          <w:rStyle w:val="35"/>
          <w:rFonts w:hint="default" w:ascii="Times New Roman" w:hAnsi="Times New Roman" w:eastAsia="宋体" w:cs="Times New Roman"/>
          <w:color w:val="auto"/>
          <w:sz w:val="24"/>
          <w:szCs w:val="24"/>
          <w:highlight w:val="none"/>
        </w:rPr>
        <w:t>.1项目</w:t>
      </w:r>
      <w:r>
        <w:rPr>
          <w:rStyle w:val="35"/>
          <w:rFonts w:hint="default" w:ascii="Times New Roman" w:hAnsi="Times New Roman" w:eastAsia="宋体" w:cs="Times New Roman"/>
          <w:color w:val="auto"/>
          <w:sz w:val="24"/>
          <w:szCs w:val="24"/>
          <w:highlight w:val="none"/>
          <w:lang w:eastAsia="zh-CN"/>
        </w:rPr>
        <w:t>基本情况</w:t>
      </w:r>
      <w:bookmarkEnd w:id="171"/>
    </w:p>
    <w:p w14:paraId="411385FD">
      <w:pPr>
        <w:adjustRightInd w:val="0"/>
        <w:snapToGrid w:val="0"/>
        <w:spacing w:line="360" w:lineRule="auto"/>
        <w:ind w:left="2759" w:leftChars="228" w:hanging="2280" w:hangingChars="950"/>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rPr>
        <w:t>（1）建设项目名称：</w:t>
      </w:r>
      <w:r>
        <w:rPr>
          <w:rFonts w:hint="default" w:ascii="Times New Roman" w:hAnsi="Times New Roman" w:cs="Times New Roman"/>
          <w:bCs/>
          <w:color w:val="auto"/>
          <w:sz w:val="24"/>
          <w:highlight w:val="none"/>
          <w:lang w:eastAsia="zh-CN"/>
        </w:rPr>
        <w:t>弥勒温氏畜牧有限公司新哨二区后备猪培育基地</w:t>
      </w:r>
    </w:p>
    <w:p w14:paraId="7D571A59">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（2）建设性质：新建</w:t>
      </w:r>
    </w:p>
    <w:p w14:paraId="26AF16C0">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rPr>
        <w:t>（3）建设单位：</w:t>
      </w:r>
      <w:r>
        <w:rPr>
          <w:rFonts w:hint="default" w:ascii="Times New Roman" w:hAnsi="Times New Roman" w:cs="Times New Roman"/>
          <w:bCs/>
          <w:color w:val="auto"/>
          <w:sz w:val="24"/>
          <w:highlight w:val="none"/>
          <w:lang w:eastAsia="zh-CN"/>
        </w:rPr>
        <w:t>弥勒温氏畜牧有限公司</w:t>
      </w:r>
    </w:p>
    <w:p w14:paraId="52586BEF">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（4）建设地点：</w:t>
      </w:r>
      <w:r>
        <w:rPr>
          <w:rFonts w:hint="default" w:ascii="Times New Roman" w:hAnsi="Times New Roman" w:cs="Times New Roman"/>
          <w:bCs/>
          <w:color w:val="auto"/>
          <w:sz w:val="24"/>
          <w:highlight w:val="none"/>
          <w:lang w:eastAsia="zh-CN"/>
        </w:rPr>
        <w:t>弥勒市新哨镇猴街居委会猴街二组东北方向横山脚</w:t>
      </w:r>
      <w:r>
        <w:rPr>
          <w:rFonts w:hint="default" w:ascii="Times New Roman" w:hAnsi="Times New Roman" w:cs="Times New Roman"/>
          <w:bCs/>
          <w:color w:val="auto"/>
          <w:sz w:val="24"/>
          <w:highlight w:val="none"/>
        </w:rPr>
        <w:t>，项目中心地理位置坐标为</w:t>
      </w:r>
      <w:r>
        <w:rPr>
          <w:rFonts w:hint="default" w:ascii="Times New Roman" w:hAnsi="Times New Roman" w:cs="Times New Roman"/>
          <w:color w:val="auto"/>
          <w:sz w:val="24"/>
          <w:highlight w:val="none"/>
        </w:rPr>
        <w:t>东经103.492786°，北纬24.283101°</w:t>
      </w:r>
      <w:r>
        <w:rPr>
          <w:rFonts w:hint="default" w:ascii="Times New Roman" w:hAnsi="Times New Roman" w:cs="Times New Roman"/>
          <w:bCs/>
          <w:color w:val="auto"/>
          <w:sz w:val="24"/>
          <w:highlight w:val="none"/>
        </w:rPr>
        <w:t>。</w:t>
      </w:r>
    </w:p>
    <w:p w14:paraId="5739CD2F">
      <w:pPr>
        <w:adjustRightInd w:val="0"/>
        <w:snapToGrid w:val="0"/>
        <w:spacing w:line="360" w:lineRule="auto"/>
        <w:ind w:firstLine="480" w:firstLineChars="200"/>
        <w:rPr>
          <w:rFonts w:hint="eastAsia"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rPr>
        <w:t>（5）占地面积及建筑面积：占地面积为</w:t>
      </w:r>
      <w:r>
        <w:rPr>
          <w:rFonts w:hint="default" w:ascii="Times New Roman" w:hAnsi="Times New Roman" w:cs="Times New Roman"/>
          <w:bCs/>
          <w:color w:val="auto"/>
          <w:sz w:val="24"/>
          <w:highlight w:val="none"/>
          <w:lang w:val="en-US" w:eastAsia="zh-CN"/>
        </w:rPr>
        <w:t>58665.09</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，建筑面积为</w:t>
      </w:r>
      <w:r>
        <w:rPr>
          <w:rFonts w:hint="default" w:ascii="Times New Roman" w:hAnsi="Times New Roman" w:cs="Times New Roman"/>
          <w:bCs/>
          <w:color w:val="auto"/>
          <w:sz w:val="24"/>
          <w:highlight w:val="none"/>
          <w:lang w:val="en-US" w:eastAsia="zh-CN"/>
        </w:rPr>
        <w:t>7278</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2</w:t>
      </w:r>
      <w:r>
        <w:rPr>
          <w:rFonts w:hint="eastAsia" w:cs="Times New Roman"/>
          <w:bCs/>
          <w:color w:val="auto"/>
          <w:sz w:val="24"/>
          <w:highlight w:val="none"/>
          <w:lang w:eastAsia="zh-CN"/>
        </w:rPr>
        <w:t>。（</w:t>
      </w:r>
      <w:r>
        <w:rPr>
          <w:rFonts w:hint="eastAsia" w:cs="Times New Roman"/>
          <w:bCs/>
          <w:color w:val="auto"/>
          <w:sz w:val="24"/>
          <w:highlight w:val="none"/>
          <w:lang w:val="en-US" w:eastAsia="zh-CN"/>
        </w:rPr>
        <w:t>该地块已完成设施农用地备案，总面积41.4787公顷。鉴于建设单位资金筹备进度及当前市场实际需求，经综合评估，本次仅利用其中</w:t>
      </w:r>
      <w:r>
        <w:rPr>
          <w:rFonts w:hint="default" w:ascii="Times New Roman" w:hAnsi="Times New Roman" w:cs="Times New Roman"/>
          <w:bCs/>
          <w:color w:val="auto"/>
          <w:sz w:val="24"/>
          <w:highlight w:val="none"/>
          <w:lang w:val="en-US" w:eastAsia="zh-CN"/>
        </w:rPr>
        <w:t>58665.09</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2</w:t>
      </w:r>
      <w:r>
        <w:rPr>
          <w:rFonts w:hint="eastAsia" w:cs="Times New Roman"/>
          <w:bCs/>
          <w:color w:val="auto"/>
          <w:sz w:val="24"/>
          <w:highlight w:val="none"/>
          <w:lang w:val="en-US" w:eastAsia="zh-CN"/>
        </w:rPr>
        <w:t>土地建设本项目，科学合理配置资源，确保项目建设与资金、市场需求相匹配。</w:t>
      </w:r>
      <w:r>
        <w:rPr>
          <w:rFonts w:hint="eastAsia" w:cs="Times New Roman"/>
          <w:bCs/>
          <w:color w:val="auto"/>
          <w:sz w:val="24"/>
          <w:highlight w:val="none"/>
          <w:lang w:eastAsia="zh-CN"/>
        </w:rPr>
        <w:t>）</w:t>
      </w:r>
    </w:p>
    <w:p w14:paraId="1E5F4939">
      <w:pPr>
        <w:pStyle w:val="43"/>
        <w:snapToGrid w:val="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（6）总投资：项目总投资</w:t>
      </w:r>
      <w:r>
        <w:rPr>
          <w:rFonts w:hint="default" w:ascii="Times New Roman" w:hAnsi="Times New Roman" w:cs="Times New Roman"/>
          <w:bCs/>
          <w:color w:val="auto"/>
          <w:highlight w:val="none"/>
          <w:lang w:val="en-US" w:eastAsia="zh-CN"/>
        </w:rPr>
        <w:t>1620</w:t>
      </w:r>
      <w:r>
        <w:rPr>
          <w:rFonts w:hint="default" w:ascii="Times New Roman" w:hAnsi="Times New Roman" w:cs="Times New Roman"/>
          <w:bCs/>
          <w:color w:val="auto"/>
          <w:highlight w:val="none"/>
        </w:rPr>
        <w:t>万元，其中环保投资为</w:t>
      </w:r>
      <w:r>
        <w:rPr>
          <w:rFonts w:hint="default" w:ascii="Times New Roman" w:hAnsi="Times New Roman" w:cs="Times New Roman"/>
          <w:bCs/>
          <w:color w:val="auto"/>
          <w:highlight w:val="none"/>
          <w:lang w:val="en-US" w:eastAsia="zh-CN"/>
        </w:rPr>
        <w:t>82.93</w:t>
      </w:r>
      <w:r>
        <w:rPr>
          <w:rFonts w:hint="default" w:ascii="Times New Roman" w:hAnsi="Times New Roman" w:cs="Times New Roman"/>
          <w:bCs/>
          <w:color w:val="auto"/>
          <w:highlight w:val="none"/>
        </w:rPr>
        <w:t>万元，</w:t>
      </w:r>
      <w:r>
        <w:rPr>
          <w:rFonts w:hint="default" w:ascii="Times New Roman" w:hAnsi="Times New Roman" w:cs="Times New Roman"/>
          <w:color w:val="auto"/>
          <w:highlight w:val="none"/>
        </w:rPr>
        <w:t>环保投资约占项目总投资的</w:t>
      </w:r>
      <w:r>
        <w:rPr>
          <w:rFonts w:hint="default" w:ascii="Times New Roman" w:hAnsi="Times New Roman" w:cs="Times New Roman"/>
          <w:color w:val="auto"/>
          <w:highlight w:val="none"/>
          <w:lang w:val="en-US" w:eastAsia="zh-CN"/>
        </w:rPr>
        <w:t>5.12</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w:t>
      </w:r>
    </w:p>
    <w:p w14:paraId="69CCE035">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172" w:name="_Toc28015"/>
      <w:r>
        <w:rPr>
          <w:rStyle w:val="35"/>
          <w:rFonts w:hint="default" w:ascii="Times New Roman" w:hAnsi="Times New Roman" w:eastAsia="宋体" w:cs="Times New Roman"/>
          <w:color w:val="auto"/>
          <w:sz w:val="24"/>
          <w:szCs w:val="24"/>
          <w:highlight w:val="none"/>
        </w:rPr>
        <w:t>2.</w:t>
      </w:r>
      <w:r>
        <w:rPr>
          <w:rStyle w:val="35"/>
          <w:rFonts w:hint="default" w:ascii="Times New Roman" w:hAnsi="Times New Roman" w:eastAsia="宋体" w:cs="Times New Roman"/>
          <w:color w:val="auto"/>
          <w:sz w:val="24"/>
          <w:szCs w:val="24"/>
          <w:highlight w:val="none"/>
          <w:lang w:val="en-US" w:eastAsia="zh-CN"/>
        </w:rPr>
        <w:t>1</w:t>
      </w:r>
      <w:r>
        <w:rPr>
          <w:rStyle w:val="35"/>
          <w:rFonts w:hint="default" w:ascii="Times New Roman" w:hAnsi="Times New Roman" w:eastAsia="宋体" w:cs="Times New Roman"/>
          <w:color w:val="auto"/>
          <w:sz w:val="24"/>
          <w:szCs w:val="24"/>
          <w:highlight w:val="none"/>
        </w:rPr>
        <w:t>.2建设规模及产品方案</w:t>
      </w:r>
      <w:bookmarkEnd w:id="172"/>
    </w:p>
    <w:p w14:paraId="22F33B20">
      <w:pPr>
        <w:pStyle w:val="43"/>
        <w:snapToGrid w:val="0"/>
        <w:rPr>
          <w:rFonts w:hint="default" w:ascii="Times New Roman" w:hAnsi="Times New Roman" w:cs="Times New Roman"/>
          <w:bCs/>
          <w:color w:val="auto"/>
          <w:highlight w:val="none"/>
          <w:lang w:bidi="zh-CN"/>
        </w:rPr>
      </w:pPr>
      <w:r>
        <w:rPr>
          <w:rFonts w:hint="default" w:ascii="Times New Roman" w:hAnsi="Times New Roman" w:cs="Times New Roman"/>
          <w:bCs/>
          <w:color w:val="auto"/>
          <w:highlight w:val="none"/>
        </w:rPr>
        <w:t>根据项目设计规模，本项目采用全进全出养殖模式，建设单位从弥勒温氏畜牧有限公司新哨种猪场进仔猪</w:t>
      </w:r>
      <w:r>
        <w:rPr>
          <w:rFonts w:hint="default" w:ascii="Times New Roman" w:hAnsi="Times New Roman" w:cs="Times New Roman"/>
          <w:bCs/>
          <w:color w:val="auto"/>
          <w:lang w:eastAsia="zh-CN"/>
        </w:rPr>
        <w:t>（</w:t>
      </w:r>
      <w:r>
        <w:rPr>
          <w:rFonts w:hint="default" w:ascii="Times New Roman" w:hAnsi="Times New Roman" w:cs="Times New Roman"/>
          <w:bCs/>
          <w:color w:val="auto"/>
          <w:lang w:val="en-US" w:eastAsia="zh-CN"/>
        </w:rPr>
        <w:t>母猪</w:t>
      </w:r>
      <w:r>
        <w:rPr>
          <w:rFonts w:hint="default" w:ascii="Times New Roman" w:hAnsi="Times New Roman" w:cs="Times New Roman"/>
          <w:bCs/>
          <w:color w:val="auto"/>
          <w:lang w:eastAsia="zh-CN"/>
        </w:rPr>
        <w:t>）</w:t>
      </w:r>
      <w:r>
        <w:rPr>
          <w:rFonts w:hint="default" w:ascii="Times New Roman" w:hAnsi="Times New Roman" w:cs="Times New Roman"/>
          <w:bCs/>
          <w:color w:val="auto"/>
          <w:highlight w:val="none"/>
        </w:rPr>
        <w:t>，达到出栏标准后</w:t>
      </w:r>
      <w:r>
        <w:rPr>
          <w:rFonts w:hint="default" w:ascii="Times New Roman" w:hAnsi="Times New Roman" w:cs="Times New Roman"/>
          <w:bCs/>
          <w:color w:val="auto"/>
          <w:highlight w:val="none"/>
          <w:lang w:val="en-US" w:eastAsia="zh-CN"/>
        </w:rPr>
        <w:t>部分外售给其他养殖场作为能繁母猪，其余部分输送给公司在云南省及相邻省份的其它能繁母猪养殖场更换淘汰的能繁母猪。</w:t>
      </w:r>
      <w:r>
        <w:rPr>
          <w:rFonts w:hint="default" w:ascii="Times New Roman" w:hAnsi="Times New Roman" w:cs="Times New Roman"/>
          <w:bCs/>
          <w:color w:val="auto"/>
          <w:highlight w:val="none"/>
        </w:rPr>
        <w:t>每年分两批次引进仔猪</w:t>
      </w:r>
      <w:r>
        <w:rPr>
          <w:rFonts w:hint="default" w:ascii="Times New Roman" w:hAnsi="Times New Roman" w:cs="Times New Roman"/>
          <w:bCs/>
          <w:color w:val="auto"/>
          <w:highlight w:val="none"/>
          <w:lang w:bidi="zh-CN"/>
        </w:rPr>
        <w:t>，每批次养殖约160天后即出栏</w:t>
      </w:r>
      <w:r>
        <w:rPr>
          <w:rFonts w:hint="default" w:ascii="Times New Roman" w:hAnsi="Times New Roman" w:cs="Times New Roman"/>
          <w:bCs/>
          <w:color w:val="auto"/>
          <w:highlight w:val="none"/>
          <w:lang w:val="en-US" w:bidi="zh-CN"/>
        </w:rPr>
        <w:t>送至种猪场</w:t>
      </w:r>
      <w:r>
        <w:rPr>
          <w:rFonts w:hint="default" w:ascii="Times New Roman" w:hAnsi="Times New Roman" w:cs="Times New Roman"/>
          <w:bCs/>
          <w:color w:val="auto"/>
          <w:highlight w:val="none"/>
          <w:lang w:bidi="zh-CN"/>
        </w:rPr>
        <w:t>。项目建成达产后，合计年存栏量为</w:t>
      </w:r>
      <w:r>
        <w:rPr>
          <w:rFonts w:hint="default" w:ascii="Times New Roman" w:hAnsi="Times New Roman" w:cs="Times New Roman"/>
          <w:bCs/>
          <w:color w:val="auto"/>
          <w:highlight w:val="none"/>
          <w:lang w:val="en-US" w:bidi="zh-CN"/>
        </w:rPr>
        <w:t>4</w:t>
      </w:r>
      <w:r>
        <w:rPr>
          <w:rFonts w:hint="default" w:ascii="Times New Roman" w:hAnsi="Times New Roman" w:cs="Times New Roman"/>
          <w:bCs/>
          <w:color w:val="auto"/>
          <w:highlight w:val="none"/>
          <w:lang w:bidi="zh-CN"/>
        </w:rPr>
        <w:t>000头，年出栏</w:t>
      </w:r>
      <w:r>
        <w:rPr>
          <w:rFonts w:hint="default" w:ascii="Times New Roman" w:hAnsi="Times New Roman" w:cs="Times New Roman"/>
          <w:color w:val="auto"/>
          <w:szCs w:val="21"/>
          <w:highlight w:val="none"/>
          <w:lang w:val="en-US" w:eastAsia="zh-CN"/>
        </w:rPr>
        <w:t>后备母猪</w:t>
      </w:r>
      <w:r>
        <w:rPr>
          <w:rFonts w:hint="default" w:ascii="Times New Roman" w:hAnsi="Times New Roman" w:cs="Times New Roman"/>
          <w:bCs/>
          <w:color w:val="auto"/>
          <w:highlight w:val="none"/>
          <w:lang w:val="en-US" w:bidi="zh-CN"/>
        </w:rPr>
        <w:t>8</w:t>
      </w:r>
      <w:r>
        <w:rPr>
          <w:rFonts w:hint="default" w:ascii="Times New Roman" w:hAnsi="Times New Roman" w:cs="Times New Roman"/>
          <w:bCs/>
          <w:color w:val="auto"/>
          <w:highlight w:val="none"/>
          <w:lang w:bidi="zh-CN"/>
        </w:rPr>
        <w:t>000头。养殖规模及产品方案见表2.</w:t>
      </w:r>
      <w:r>
        <w:rPr>
          <w:rFonts w:hint="default" w:ascii="Times New Roman" w:hAnsi="Times New Roman" w:cs="Times New Roman"/>
          <w:bCs/>
          <w:color w:val="auto"/>
          <w:highlight w:val="none"/>
          <w:lang w:val="en-US" w:bidi="zh-CN"/>
        </w:rPr>
        <w:t>1</w:t>
      </w:r>
      <w:r>
        <w:rPr>
          <w:rFonts w:hint="default" w:ascii="Times New Roman" w:hAnsi="Times New Roman" w:cs="Times New Roman"/>
          <w:bCs/>
          <w:color w:val="auto"/>
          <w:highlight w:val="none"/>
          <w:lang w:bidi="zh-CN"/>
        </w:rPr>
        <w:t>-1。</w:t>
      </w:r>
    </w:p>
    <w:p w14:paraId="57AB688F">
      <w:pPr>
        <w:snapToGrid w:val="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表2.</w:t>
      </w:r>
      <w:r>
        <w:rPr>
          <w:rFonts w:hint="default" w:ascii="Times New Roman" w:hAnsi="Times New Roman" w:cs="Times New Roman"/>
          <w:b/>
          <w:color w:val="auto"/>
          <w:szCs w:val="21"/>
          <w:highlight w:val="none"/>
          <w:lang w:val="en-US" w:eastAsia="zh-CN"/>
        </w:rPr>
        <w:t>1</w:t>
      </w:r>
      <w:r>
        <w:rPr>
          <w:rFonts w:hint="default" w:ascii="Times New Roman" w:hAnsi="Times New Roman" w:cs="Times New Roman"/>
          <w:b/>
          <w:color w:val="auto"/>
          <w:szCs w:val="21"/>
          <w:highlight w:val="none"/>
        </w:rPr>
        <w:t>-1    项目养殖规模及产品方案一览表</w:t>
      </w:r>
    </w:p>
    <w:tbl>
      <w:tblPr>
        <w:tblStyle w:val="23"/>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8"/>
        <w:gridCol w:w="2199"/>
        <w:gridCol w:w="1665"/>
        <w:gridCol w:w="2733"/>
      </w:tblGrid>
      <w:tr w14:paraId="1FAF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vAlign w:val="center"/>
          </w:tcPr>
          <w:p w14:paraId="6DA19E60">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名称</w:t>
            </w:r>
          </w:p>
        </w:tc>
        <w:tc>
          <w:tcPr>
            <w:tcW w:w="2199" w:type="dxa"/>
            <w:vAlign w:val="center"/>
          </w:tcPr>
          <w:p w14:paraId="4AC6E952">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数量</w:t>
            </w:r>
          </w:p>
        </w:tc>
        <w:tc>
          <w:tcPr>
            <w:tcW w:w="1665" w:type="dxa"/>
            <w:vAlign w:val="center"/>
          </w:tcPr>
          <w:p w14:paraId="42B92BBB">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规格特性</w:t>
            </w:r>
          </w:p>
        </w:tc>
        <w:tc>
          <w:tcPr>
            <w:tcW w:w="2733" w:type="dxa"/>
            <w:vAlign w:val="center"/>
          </w:tcPr>
          <w:p w14:paraId="6B0E2048">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去向</w:t>
            </w:r>
          </w:p>
        </w:tc>
      </w:tr>
      <w:tr w14:paraId="1AF4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vAlign w:val="center"/>
          </w:tcPr>
          <w:p w14:paraId="64A3E9E1">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后备母猪</w:t>
            </w:r>
          </w:p>
        </w:tc>
        <w:tc>
          <w:tcPr>
            <w:tcW w:w="2199" w:type="dxa"/>
            <w:vAlign w:val="center"/>
          </w:tcPr>
          <w:p w14:paraId="6F027C43">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常年存栏</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000头</w:t>
            </w:r>
          </w:p>
        </w:tc>
        <w:tc>
          <w:tcPr>
            <w:tcW w:w="1665" w:type="dxa"/>
            <w:vAlign w:val="center"/>
          </w:tcPr>
          <w:p w14:paraId="7027BC5C">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2733" w:type="dxa"/>
            <w:vAlign w:val="center"/>
          </w:tcPr>
          <w:p w14:paraId="1BA1FAFB">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203A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vAlign w:val="center"/>
          </w:tcPr>
          <w:p w14:paraId="714C60C8">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后备母猪</w:t>
            </w:r>
          </w:p>
        </w:tc>
        <w:tc>
          <w:tcPr>
            <w:tcW w:w="2199" w:type="dxa"/>
            <w:vAlign w:val="center"/>
          </w:tcPr>
          <w:p w14:paraId="33363BB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年出栏</w:t>
            </w:r>
            <w:r>
              <w:rPr>
                <w:rFonts w:hint="default"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rPr>
              <w:t>000头</w:t>
            </w:r>
          </w:p>
        </w:tc>
        <w:tc>
          <w:tcPr>
            <w:tcW w:w="1665" w:type="dxa"/>
            <w:vAlign w:val="center"/>
          </w:tcPr>
          <w:p w14:paraId="15632EEC">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130kg/头</w:t>
            </w:r>
          </w:p>
        </w:tc>
        <w:tc>
          <w:tcPr>
            <w:tcW w:w="2733" w:type="dxa"/>
            <w:vAlign w:val="center"/>
          </w:tcPr>
          <w:p w14:paraId="69B10047">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部分外售给其他养殖场作为能繁母猪，其余部分输送给公司在云南省及相邻省份的其它能繁母猪养殖场更换淘汰的能繁母猪</w:t>
            </w:r>
          </w:p>
        </w:tc>
      </w:tr>
    </w:tbl>
    <w:p w14:paraId="3FE22DA2">
      <w:pPr>
        <w:pStyle w:val="15"/>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项目商品生猪生产技术指标见表2.</w:t>
      </w:r>
      <w:r>
        <w:rPr>
          <w:rFonts w:hint="default" w:ascii="Times New Roman" w:hAnsi="Times New Roman" w:cs="Times New Roman"/>
          <w:color w:val="auto"/>
          <w:szCs w:val="20"/>
          <w:highlight w:val="none"/>
          <w:lang w:val="en-US" w:eastAsia="zh-CN"/>
        </w:rPr>
        <w:t>1</w:t>
      </w:r>
      <w:r>
        <w:rPr>
          <w:rFonts w:hint="default" w:ascii="Times New Roman" w:hAnsi="Times New Roman" w:cs="Times New Roman"/>
          <w:color w:val="auto"/>
          <w:szCs w:val="20"/>
          <w:highlight w:val="none"/>
        </w:rPr>
        <w:t>-2所示。</w:t>
      </w:r>
    </w:p>
    <w:p w14:paraId="0AD446E6">
      <w:pPr>
        <w:snapToGrid w:val="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表2.</w:t>
      </w:r>
      <w:r>
        <w:rPr>
          <w:rFonts w:hint="default" w:ascii="Times New Roman" w:hAnsi="Times New Roman" w:cs="Times New Roman"/>
          <w:b/>
          <w:color w:val="auto"/>
          <w:szCs w:val="21"/>
          <w:highlight w:val="none"/>
          <w:lang w:val="en-US" w:eastAsia="zh-CN"/>
        </w:rPr>
        <w:t>1</w:t>
      </w:r>
      <w:r>
        <w:rPr>
          <w:rFonts w:hint="default" w:ascii="Times New Roman" w:hAnsi="Times New Roman" w:cs="Times New Roman"/>
          <w:b/>
          <w:color w:val="auto"/>
          <w:szCs w:val="21"/>
          <w:highlight w:val="none"/>
        </w:rPr>
        <w:t>-2    项目生产技术指标表</w:t>
      </w:r>
    </w:p>
    <w:tbl>
      <w:tblPr>
        <w:tblStyle w:val="23"/>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2"/>
        <w:gridCol w:w="4573"/>
      </w:tblGrid>
      <w:tr w14:paraId="5E1B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2" w:type="dxa"/>
            <w:vAlign w:val="center"/>
          </w:tcPr>
          <w:p w14:paraId="6092784B">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类别</w:t>
            </w:r>
          </w:p>
        </w:tc>
        <w:tc>
          <w:tcPr>
            <w:tcW w:w="4573" w:type="dxa"/>
            <w:vAlign w:val="center"/>
          </w:tcPr>
          <w:p w14:paraId="4827EFAE">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技术指标</w:t>
            </w:r>
          </w:p>
        </w:tc>
      </w:tr>
      <w:tr w14:paraId="6F7B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2" w:type="dxa"/>
            <w:vAlign w:val="center"/>
          </w:tcPr>
          <w:p w14:paraId="0A05C5FB">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保育猪舍</w:t>
            </w:r>
          </w:p>
        </w:tc>
        <w:tc>
          <w:tcPr>
            <w:tcW w:w="4573" w:type="dxa"/>
            <w:vAlign w:val="center"/>
          </w:tcPr>
          <w:p w14:paraId="1C35D4F2">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1栋</w:t>
            </w:r>
          </w:p>
        </w:tc>
      </w:tr>
      <w:tr w14:paraId="4D3D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2" w:type="dxa"/>
            <w:vAlign w:val="center"/>
          </w:tcPr>
          <w:p w14:paraId="2E2565A3">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育肥猪舍</w:t>
            </w:r>
          </w:p>
        </w:tc>
        <w:tc>
          <w:tcPr>
            <w:tcW w:w="4573" w:type="dxa"/>
            <w:vAlign w:val="center"/>
          </w:tcPr>
          <w:p w14:paraId="583E75D3">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栋</w:t>
            </w:r>
          </w:p>
        </w:tc>
      </w:tr>
      <w:tr w14:paraId="0D5B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2" w:type="dxa"/>
            <w:vAlign w:val="center"/>
          </w:tcPr>
          <w:p w14:paraId="61B471EC">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存栏规模</w:t>
            </w:r>
          </w:p>
        </w:tc>
        <w:tc>
          <w:tcPr>
            <w:tcW w:w="4573" w:type="dxa"/>
            <w:vAlign w:val="center"/>
          </w:tcPr>
          <w:p w14:paraId="542D1C3C">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000头</w:t>
            </w:r>
          </w:p>
        </w:tc>
      </w:tr>
      <w:tr w14:paraId="717D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2" w:type="dxa"/>
            <w:vAlign w:val="center"/>
          </w:tcPr>
          <w:p w14:paraId="0C87A434">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饲养天数</w:t>
            </w:r>
          </w:p>
        </w:tc>
        <w:tc>
          <w:tcPr>
            <w:tcW w:w="4573" w:type="dxa"/>
            <w:vAlign w:val="center"/>
          </w:tcPr>
          <w:p w14:paraId="5D68CFC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160天</w:t>
            </w:r>
          </w:p>
        </w:tc>
      </w:tr>
      <w:tr w14:paraId="21E2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2" w:type="dxa"/>
            <w:vAlign w:val="center"/>
          </w:tcPr>
          <w:p w14:paraId="5675F131">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成活率</w:t>
            </w:r>
          </w:p>
        </w:tc>
        <w:tc>
          <w:tcPr>
            <w:tcW w:w="4573" w:type="dxa"/>
            <w:vAlign w:val="center"/>
          </w:tcPr>
          <w:p w14:paraId="3BEDD97D">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95</w:t>
            </w:r>
            <w:r>
              <w:rPr>
                <w:rFonts w:hint="default" w:ascii="Times New Roman" w:hAnsi="Times New Roman" w:cs="Times New Roman"/>
                <w:color w:val="auto"/>
                <w:szCs w:val="21"/>
                <w:highlight w:val="none"/>
              </w:rPr>
              <w:t>%</w:t>
            </w:r>
          </w:p>
        </w:tc>
      </w:tr>
      <w:tr w14:paraId="7FA2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2" w:type="dxa"/>
            <w:vAlign w:val="center"/>
          </w:tcPr>
          <w:p w14:paraId="6EBABBD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出栏体重</w:t>
            </w:r>
          </w:p>
        </w:tc>
        <w:tc>
          <w:tcPr>
            <w:tcW w:w="4573" w:type="dxa"/>
            <w:vAlign w:val="center"/>
          </w:tcPr>
          <w:p w14:paraId="6B333FBE">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110kg~130kg</w:t>
            </w:r>
          </w:p>
        </w:tc>
      </w:tr>
      <w:tr w14:paraId="22AC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2" w:type="dxa"/>
            <w:vAlign w:val="center"/>
          </w:tcPr>
          <w:p w14:paraId="6F5FC5CE">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每栋育肥舍年出栏批次</w:t>
            </w:r>
          </w:p>
        </w:tc>
        <w:tc>
          <w:tcPr>
            <w:tcW w:w="4573" w:type="dxa"/>
            <w:vAlign w:val="center"/>
          </w:tcPr>
          <w:p w14:paraId="5493E8D0">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2批</w:t>
            </w:r>
          </w:p>
        </w:tc>
      </w:tr>
    </w:tbl>
    <w:p w14:paraId="3C0FA510">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173" w:name="_Toc835"/>
      <w:r>
        <w:rPr>
          <w:rStyle w:val="35"/>
          <w:rFonts w:hint="default" w:ascii="Times New Roman" w:hAnsi="Times New Roman" w:eastAsia="宋体" w:cs="Times New Roman"/>
          <w:color w:val="auto"/>
          <w:sz w:val="24"/>
          <w:szCs w:val="24"/>
          <w:highlight w:val="none"/>
        </w:rPr>
        <w:t>2.</w:t>
      </w:r>
      <w:r>
        <w:rPr>
          <w:rStyle w:val="35"/>
          <w:rFonts w:hint="default" w:ascii="Times New Roman" w:hAnsi="Times New Roman" w:eastAsia="宋体" w:cs="Times New Roman"/>
          <w:color w:val="auto"/>
          <w:sz w:val="24"/>
          <w:szCs w:val="24"/>
          <w:highlight w:val="none"/>
          <w:lang w:val="en-US" w:eastAsia="zh-CN"/>
        </w:rPr>
        <w:t>1</w:t>
      </w:r>
      <w:r>
        <w:rPr>
          <w:rStyle w:val="35"/>
          <w:rFonts w:hint="default" w:ascii="Times New Roman" w:hAnsi="Times New Roman" w:eastAsia="宋体" w:cs="Times New Roman"/>
          <w:color w:val="auto"/>
          <w:sz w:val="24"/>
          <w:szCs w:val="24"/>
          <w:highlight w:val="none"/>
        </w:rPr>
        <w:t>.3建设内容</w:t>
      </w:r>
      <w:bookmarkEnd w:id="173"/>
    </w:p>
    <w:bookmarkEnd w:id="5"/>
    <w:bookmarkEnd w:id="6"/>
    <w:bookmarkEnd w:id="7"/>
    <w:bookmarkEnd w:id="8"/>
    <w:bookmarkEnd w:id="9"/>
    <w:p w14:paraId="2C843597">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项目建设内容主要包括标准化猪舍</w:t>
      </w:r>
      <w:r>
        <w:rPr>
          <w:rFonts w:hint="default"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rPr>
        <w:t>幢、保育舍1幢、饲料塔3个，配套</w:t>
      </w:r>
      <w:r>
        <w:rPr>
          <w:rFonts w:hint="default" w:ascii="Times New Roman" w:hAnsi="Times New Roman" w:cs="Times New Roman"/>
          <w:color w:val="auto"/>
          <w:sz w:val="24"/>
        </w:rPr>
        <w:t>粪污处理设施、员工宿舍及其他配套附属设施等</w:t>
      </w:r>
      <w:r>
        <w:rPr>
          <w:rFonts w:hint="default" w:ascii="Times New Roman" w:hAnsi="Times New Roman" w:cs="Times New Roman"/>
          <w:bCs/>
          <w:color w:val="auto"/>
          <w:sz w:val="24"/>
          <w:highlight w:val="none"/>
        </w:rPr>
        <w:t>；公用工程包括养殖相关设施设备、电力设施、给水排水、道路、围墙大门、绿化隔离带等。</w:t>
      </w:r>
      <w:r>
        <w:rPr>
          <w:rFonts w:hint="default" w:ascii="Times New Roman" w:hAnsi="Times New Roman" w:cs="Times New Roman"/>
          <w:color w:val="auto"/>
          <w:sz w:val="24"/>
          <w:highlight w:val="none"/>
        </w:rPr>
        <w:t>具体见表2.</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w:t>
      </w:r>
    </w:p>
    <w:p w14:paraId="4EB7707C">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表2.</w:t>
      </w:r>
      <w:r>
        <w:rPr>
          <w:rFonts w:hint="default" w:ascii="Times New Roman" w:hAnsi="Times New Roman" w:cs="Times New Roman"/>
          <w:b/>
          <w:color w:val="auto"/>
          <w:szCs w:val="21"/>
          <w:highlight w:val="none"/>
          <w:lang w:val="en-US" w:eastAsia="zh-CN"/>
        </w:rPr>
        <w:t>1</w:t>
      </w:r>
      <w:r>
        <w:rPr>
          <w:rFonts w:hint="default" w:ascii="Times New Roman" w:hAnsi="Times New Roman" w:cs="Times New Roman"/>
          <w:b/>
          <w:color w:val="auto"/>
          <w:szCs w:val="21"/>
          <w:highlight w:val="none"/>
        </w:rPr>
        <w:t>-3    项目建设内容一览表</w:t>
      </w:r>
    </w:p>
    <w:tbl>
      <w:tblPr>
        <w:tblStyle w:val="23"/>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17"/>
        <w:gridCol w:w="426"/>
        <w:gridCol w:w="1247"/>
        <w:gridCol w:w="5887"/>
        <w:gridCol w:w="813"/>
      </w:tblGrid>
      <w:tr w14:paraId="7BC3D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090" w:type="dxa"/>
            <w:gridSpan w:val="3"/>
            <w:tcBorders>
              <w:top w:val="single" w:color="000000" w:sz="4" w:space="0"/>
              <w:left w:val="single" w:color="000000" w:sz="4" w:space="0"/>
              <w:bottom w:val="single" w:color="000000" w:sz="4" w:space="0"/>
              <w:right w:val="single" w:color="000000" w:sz="4" w:space="0"/>
              <w:tl2br w:val="nil"/>
            </w:tcBorders>
            <w:shd w:val="clear" w:color="auto" w:fill="auto"/>
            <w:vAlign w:val="center"/>
          </w:tcPr>
          <w:p w14:paraId="755948D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工程名称</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5984">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建设内容</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4FEDC">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rPr>
              <w:t>备注</w:t>
            </w:r>
          </w:p>
        </w:tc>
      </w:tr>
      <w:tr w14:paraId="216D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E2325B">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主体工程</w:t>
            </w: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39F89A">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highlight w:val="none"/>
              </w:rPr>
            </w:pPr>
            <w:r>
              <w:rPr>
                <w:rFonts w:hint="default" w:ascii="Times New Roman" w:hAnsi="Times New Roman" w:cs="Times New Roman"/>
                <w:b w:val="0"/>
                <w:color w:val="auto"/>
                <w:highlight w:val="none"/>
              </w:rPr>
              <w:t>保育舍</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6D25">
            <w:pPr>
              <w:keepNext w:val="0"/>
              <w:keepLines w:val="0"/>
              <w:suppressLineNumbers w:val="0"/>
              <w:spacing w:before="0" w:beforeAutospacing="0" w:after="0" w:afterAutospacing="0"/>
              <w:ind w:left="0" w:right="0" w:firstLine="210" w:firstLineChars="100"/>
              <w:rPr>
                <w:rFonts w:hint="default" w:ascii="Times New Roman" w:hAnsi="Times New Roman" w:cs="Times New Roman"/>
                <w:b w:val="0"/>
                <w:color w:val="auto"/>
                <w:highlight w:val="none"/>
              </w:rPr>
            </w:pPr>
            <w:r>
              <w:rPr>
                <w:rFonts w:hint="default" w:ascii="Times New Roman" w:hAnsi="Times New Roman" w:cs="Times New Roman"/>
                <w:b w:val="0"/>
                <w:color w:val="auto"/>
                <w:highlight w:val="none"/>
              </w:rPr>
              <w:t>设置1栋保育舍，位于场地</w:t>
            </w:r>
            <w:r>
              <w:rPr>
                <w:rFonts w:hint="default" w:ascii="Times New Roman" w:hAnsi="Times New Roman" w:cs="Times New Roman"/>
                <w:b w:val="0"/>
                <w:color w:val="auto"/>
                <w:highlight w:val="none"/>
                <w:lang w:val="en-US" w:eastAsia="zh-CN"/>
              </w:rPr>
              <w:t>东北</w:t>
            </w:r>
            <w:r>
              <w:rPr>
                <w:rFonts w:hint="default" w:ascii="Times New Roman" w:hAnsi="Times New Roman" w:cs="Times New Roman"/>
                <w:b w:val="0"/>
                <w:color w:val="auto"/>
                <w:highlight w:val="none"/>
              </w:rPr>
              <w:t>侧，建筑面积</w:t>
            </w:r>
            <w:r>
              <w:rPr>
                <w:rFonts w:hint="default" w:ascii="Times New Roman" w:hAnsi="Times New Roman" w:cs="Times New Roman"/>
                <w:b w:val="0"/>
                <w:color w:val="auto"/>
                <w:highlight w:val="none"/>
                <w:lang w:val="en-US" w:eastAsia="zh-CN"/>
              </w:rPr>
              <w:t>928</w:t>
            </w:r>
            <w:r>
              <w:rPr>
                <w:rFonts w:hint="default" w:ascii="Times New Roman" w:hAnsi="Times New Roman" w:cs="Times New Roman"/>
                <w:b w:val="0"/>
                <w:color w:val="auto"/>
                <w:highlight w:val="none"/>
              </w:rPr>
              <w:t>m</w:t>
            </w:r>
            <w:r>
              <w:rPr>
                <w:rFonts w:hint="default" w:ascii="Times New Roman" w:hAnsi="Times New Roman" w:cs="Times New Roman"/>
                <w:b w:val="0"/>
                <w:color w:val="auto"/>
                <w:highlight w:val="none"/>
                <w:vertAlign w:val="superscript"/>
              </w:rPr>
              <w:t>2</w:t>
            </w:r>
            <w:r>
              <w:rPr>
                <w:rFonts w:hint="default" w:ascii="Times New Roman" w:hAnsi="Times New Roman" w:cs="Times New Roman"/>
                <w:b w:val="0"/>
                <w:color w:val="auto"/>
                <w:highlight w:val="none"/>
              </w:rPr>
              <w:t>，</w:t>
            </w:r>
            <w:r>
              <w:rPr>
                <w:rFonts w:hint="default" w:ascii="Times New Roman" w:hAnsi="Times New Roman" w:cs="Times New Roman"/>
                <w:color w:val="auto"/>
                <w:sz w:val="21"/>
                <w:szCs w:val="21"/>
              </w:rPr>
              <w:t>长</w:t>
            </w:r>
            <w:r>
              <w:rPr>
                <w:rFonts w:hint="default" w:ascii="Times New Roman" w:hAnsi="Times New Roman" w:cs="Times New Roman"/>
                <w:color w:val="auto"/>
                <w:sz w:val="21"/>
                <w:szCs w:val="21"/>
                <w:lang w:val="en-US" w:eastAsia="zh-CN"/>
              </w:rPr>
              <w:t>32</w:t>
            </w:r>
            <w:r>
              <w:rPr>
                <w:rFonts w:hint="default" w:ascii="Times New Roman" w:hAnsi="Times New Roman" w:cs="Times New Roman"/>
                <w:color w:val="auto"/>
                <w:sz w:val="21"/>
                <w:szCs w:val="21"/>
              </w:rPr>
              <w:t>m，宽</w:t>
            </w:r>
            <w:r>
              <w:rPr>
                <w:rFonts w:hint="default" w:ascii="Times New Roman" w:hAnsi="Times New Roman" w:cs="Times New Roman"/>
                <w:color w:val="auto"/>
                <w:sz w:val="21"/>
                <w:szCs w:val="21"/>
                <w:lang w:val="en-US" w:eastAsia="zh-CN"/>
              </w:rPr>
              <w:t>29</w:t>
            </w:r>
            <w:r>
              <w:rPr>
                <w:rFonts w:hint="default" w:ascii="Times New Roman" w:hAnsi="Times New Roman" w:cs="Times New Roman"/>
                <w:color w:val="auto"/>
                <w:sz w:val="21"/>
                <w:szCs w:val="21"/>
              </w:rPr>
              <w:t>m，</w:t>
            </w:r>
            <w:r>
              <w:rPr>
                <w:rFonts w:hint="default" w:ascii="Times New Roman" w:hAnsi="Times New Roman" w:cs="Times New Roman"/>
                <w:b w:val="0"/>
                <w:color w:val="auto"/>
                <w:highlight w:val="none"/>
              </w:rPr>
              <w:t>高6m，为全封闭设计，</w:t>
            </w:r>
            <w:r>
              <w:rPr>
                <w:rFonts w:hint="default" w:ascii="Times New Roman" w:hAnsi="Times New Roman" w:eastAsia="宋体" w:cs="Times New Roman"/>
                <w:color w:val="auto"/>
                <w:sz w:val="21"/>
                <w:szCs w:val="21"/>
                <w:lang w:val="en-US" w:eastAsia="zh-CN"/>
              </w:rPr>
              <w:t>下部</w:t>
            </w:r>
            <w:r>
              <w:rPr>
                <w:rFonts w:hint="default" w:ascii="Times New Roman" w:hAnsi="Times New Roman" w:cs="Times New Roman"/>
                <w:color w:val="auto"/>
                <w:sz w:val="21"/>
                <w:szCs w:val="21"/>
              </w:rPr>
              <w:t>砖混结构</w:t>
            </w:r>
            <w:r>
              <w:rPr>
                <w:rFonts w:hint="default" w:ascii="Times New Roman" w:hAnsi="Times New Roman" w:cs="Times New Roman"/>
                <w:color w:val="auto"/>
                <w:sz w:val="21"/>
                <w:szCs w:val="21"/>
                <w:lang w:eastAsia="zh-CN"/>
              </w:rPr>
              <w:t>，</w:t>
            </w:r>
            <w:r>
              <w:rPr>
                <w:rFonts w:hint="default" w:ascii="Times New Roman" w:hAnsi="Times New Roman" w:cs="Times New Roman"/>
                <w:b w:val="0"/>
                <w:color w:val="auto"/>
                <w:highlight w:val="none"/>
              </w:rPr>
              <w:t>上部为全钢架结构，猪舍内分</w:t>
            </w:r>
            <w:r>
              <w:rPr>
                <w:rFonts w:hint="default" w:ascii="Times New Roman" w:hAnsi="Times New Roman" w:cs="Times New Roman"/>
                <w:b w:val="0"/>
                <w:color w:val="auto"/>
                <w:highlight w:val="none"/>
                <w:lang w:val="en-US" w:eastAsia="zh-CN"/>
              </w:rPr>
              <w:t>4</w:t>
            </w:r>
            <w:r>
              <w:rPr>
                <w:rFonts w:hint="default" w:ascii="Times New Roman" w:hAnsi="Times New Roman" w:cs="Times New Roman"/>
                <w:b w:val="0"/>
                <w:color w:val="auto"/>
                <w:highlight w:val="none"/>
              </w:rPr>
              <w:t>个单元，均为独立单元</w:t>
            </w:r>
            <w:r>
              <w:rPr>
                <w:rFonts w:hint="default" w:ascii="Times New Roman" w:hAnsi="Times New Roman" w:cs="Times New Roman"/>
                <w:b w:val="0"/>
                <w:color w:val="auto"/>
                <w:highlight w:val="none"/>
                <w:lang w:eastAsia="zh-CN"/>
              </w:rPr>
              <w:t>，</w:t>
            </w:r>
            <w:r>
              <w:rPr>
                <w:rFonts w:hint="default" w:ascii="Times New Roman" w:hAnsi="Times New Roman" w:cs="Times New Roman"/>
                <w:b w:val="0"/>
                <w:color w:val="auto"/>
                <w:highlight w:val="none"/>
              </w:rPr>
              <w:t>内部配置</w:t>
            </w:r>
            <w:r>
              <w:rPr>
                <w:rFonts w:hint="default" w:ascii="Times New Roman" w:hAnsi="Times New Roman" w:cs="Times New Roman"/>
                <w:b w:val="0"/>
                <w:color w:val="auto"/>
                <w:highlight w:val="none"/>
                <w:lang w:val="en-US" w:eastAsia="zh-CN"/>
              </w:rPr>
              <w:t>88</w:t>
            </w:r>
            <w:r>
              <w:rPr>
                <w:rFonts w:hint="default" w:ascii="Times New Roman" w:hAnsi="Times New Roman" w:cs="Times New Roman"/>
                <w:b w:val="0"/>
                <w:color w:val="auto"/>
                <w:highlight w:val="none"/>
              </w:rPr>
              <w:t>个栏位。用于仔猪保育，保育约</w:t>
            </w:r>
            <w:r>
              <w:rPr>
                <w:rFonts w:hint="default" w:ascii="Times New Roman" w:hAnsi="Times New Roman" w:cs="Times New Roman"/>
                <w:b w:val="0"/>
                <w:color w:val="auto"/>
                <w:highlight w:val="none"/>
                <w:lang w:val="en-US" w:eastAsia="zh-CN"/>
              </w:rPr>
              <w:t>4</w:t>
            </w:r>
            <w:r>
              <w:rPr>
                <w:rFonts w:hint="default" w:ascii="Times New Roman" w:hAnsi="Times New Roman" w:cs="Times New Roman"/>
                <w:b w:val="0"/>
                <w:color w:val="auto"/>
                <w:highlight w:val="none"/>
              </w:rPr>
              <w:t>0d进入育肥舍。猪舍设置排风扇抽排风，配套漏缝地板，漏缝地板下方设置1个长</w:t>
            </w:r>
            <w:r>
              <w:rPr>
                <w:rFonts w:hint="default" w:ascii="Times New Roman" w:hAnsi="Times New Roman" w:cs="Times New Roman"/>
                <w:b w:val="0"/>
                <w:color w:val="auto"/>
                <w:highlight w:val="none"/>
                <w:lang w:val="en-US" w:eastAsia="zh-CN"/>
              </w:rPr>
              <w:t>20</w:t>
            </w:r>
            <w:r>
              <w:rPr>
                <w:rFonts w:hint="default" w:ascii="Times New Roman" w:hAnsi="Times New Roman" w:cs="Times New Roman"/>
                <w:b w:val="0"/>
                <w:color w:val="auto"/>
                <w:highlight w:val="none"/>
              </w:rPr>
              <w:t>m、宽</w:t>
            </w:r>
            <w:r>
              <w:rPr>
                <w:rFonts w:hint="default" w:ascii="Times New Roman" w:hAnsi="Times New Roman" w:cs="Times New Roman"/>
                <w:b w:val="0"/>
                <w:color w:val="auto"/>
                <w:highlight w:val="none"/>
                <w:lang w:val="en-US" w:eastAsia="zh-CN"/>
              </w:rPr>
              <w:t>15</w:t>
            </w:r>
            <w:r>
              <w:rPr>
                <w:rFonts w:hint="default" w:ascii="Times New Roman" w:hAnsi="Times New Roman" w:cs="Times New Roman"/>
                <w:b w:val="0"/>
                <w:color w:val="auto"/>
                <w:highlight w:val="none"/>
              </w:rPr>
              <w:t>m、深1.2m的</w:t>
            </w:r>
            <w:r>
              <w:rPr>
                <w:rFonts w:hint="default" w:ascii="Times New Roman" w:hAnsi="Times New Roman" w:cs="Times New Roman"/>
                <w:b w:val="0"/>
                <w:color w:val="auto"/>
                <w:highlight w:val="none"/>
                <w:lang w:eastAsia="zh-CN"/>
              </w:rPr>
              <w:t>粪尿收集池</w:t>
            </w:r>
            <w:r>
              <w:rPr>
                <w:rFonts w:hint="default" w:ascii="Times New Roman" w:hAnsi="Times New Roman" w:cs="Times New Roman"/>
                <w:b w:val="0"/>
                <w:color w:val="auto"/>
                <w:highlight w:val="none"/>
              </w:rPr>
              <w:t>，容积约为</w:t>
            </w:r>
            <w:r>
              <w:rPr>
                <w:rFonts w:hint="default" w:ascii="Times New Roman" w:hAnsi="Times New Roman" w:cs="Times New Roman"/>
                <w:b w:val="0"/>
                <w:color w:val="auto"/>
                <w:highlight w:val="none"/>
                <w:lang w:val="en-US" w:eastAsia="zh-CN"/>
              </w:rPr>
              <w:t>360</w:t>
            </w:r>
            <w:r>
              <w:rPr>
                <w:rFonts w:hint="default" w:ascii="Times New Roman" w:hAnsi="Times New Roman" w:cs="Times New Roman"/>
                <w:b w:val="0"/>
                <w:color w:val="auto"/>
                <w:highlight w:val="none"/>
              </w:rPr>
              <w:t>m</w:t>
            </w:r>
            <w:r>
              <w:rPr>
                <w:rFonts w:hint="default" w:ascii="Times New Roman" w:hAnsi="Times New Roman" w:cs="Times New Roman"/>
                <w:b w:val="0"/>
                <w:color w:val="auto"/>
                <w:highlight w:val="none"/>
                <w:vertAlign w:val="superscript"/>
              </w:rPr>
              <w:t>3</w:t>
            </w:r>
            <w:r>
              <w:rPr>
                <w:rFonts w:hint="default" w:ascii="Times New Roman" w:hAnsi="Times New Roman" w:cs="Times New Roman"/>
                <w:b w:val="0"/>
                <w:color w:val="auto"/>
                <w:highlight w:val="none"/>
              </w:rPr>
              <w:t>。猪舍配有食槽、猪用自动饮水器、抽排风系统、电加热供暖装置、水帘降温加湿系统等。</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434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Cs w:val="20"/>
                <w:highlight w:val="none"/>
                <w:lang w:val="en-US" w:eastAsia="zh-CN"/>
              </w:rPr>
            </w:pPr>
            <w:r>
              <w:rPr>
                <w:rFonts w:hint="default" w:ascii="Times New Roman" w:hAnsi="Times New Roman" w:cs="Times New Roman"/>
                <w:b w:val="0"/>
                <w:color w:val="auto"/>
                <w:szCs w:val="20"/>
                <w:highlight w:val="none"/>
                <w:lang w:val="en-US" w:eastAsia="zh-CN"/>
              </w:rPr>
              <w:t>新建</w:t>
            </w:r>
          </w:p>
        </w:tc>
      </w:tr>
      <w:tr w14:paraId="6894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56B62">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638874">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highlight w:val="none"/>
              </w:rPr>
            </w:pPr>
            <w:r>
              <w:rPr>
                <w:rFonts w:hint="default" w:ascii="Times New Roman" w:hAnsi="Times New Roman" w:cs="Times New Roman"/>
                <w:b w:val="0"/>
                <w:color w:val="auto"/>
                <w:highlight w:val="none"/>
              </w:rPr>
              <w:t>育肥舍</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6691">
            <w:pPr>
              <w:keepNext w:val="0"/>
              <w:keepLines w:val="0"/>
              <w:suppressLineNumbers w:val="0"/>
              <w:spacing w:before="0" w:beforeAutospacing="0" w:after="0" w:afterAutospacing="0"/>
              <w:ind w:left="0" w:right="0" w:firstLine="210" w:firstLineChars="100"/>
              <w:rPr>
                <w:rFonts w:hint="default" w:ascii="Times New Roman" w:hAnsi="Times New Roman" w:cs="Times New Roman"/>
                <w:b w:val="0"/>
                <w:color w:val="auto"/>
                <w:highlight w:val="none"/>
              </w:rPr>
            </w:pPr>
            <w:r>
              <w:rPr>
                <w:rFonts w:hint="default" w:ascii="Times New Roman" w:hAnsi="Times New Roman" w:cs="Times New Roman"/>
                <w:b w:val="0"/>
                <w:color w:val="auto"/>
                <w:highlight w:val="none"/>
              </w:rPr>
              <w:t>设置</w:t>
            </w:r>
            <w:r>
              <w:rPr>
                <w:rFonts w:hint="default" w:ascii="Times New Roman" w:hAnsi="Times New Roman" w:cs="Times New Roman"/>
                <w:b w:val="0"/>
                <w:color w:val="auto"/>
                <w:highlight w:val="none"/>
                <w:lang w:val="en-US" w:eastAsia="zh-CN"/>
              </w:rPr>
              <w:t>2</w:t>
            </w:r>
            <w:r>
              <w:rPr>
                <w:rFonts w:hint="default" w:ascii="Times New Roman" w:hAnsi="Times New Roman" w:cs="Times New Roman"/>
                <w:b w:val="0"/>
                <w:color w:val="auto"/>
                <w:highlight w:val="none"/>
              </w:rPr>
              <w:t>栋育肥舍，</w:t>
            </w:r>
            <w:r>
              <w:rPr>
                <w:rFonts w:hint="default" w:ascii="Times New Roman" w:hAnsi="Times New Roman" w:cs="Times New Roman"/>
                <w:color w:val="auto"/>
                <w:sz w:val="21"/>
                <w:szCs w:val="21"/>
                <w:lang w:val="en-US" w:eastAsia="zh-CN"/>
              </w:rPr>
              <w:t>编号1-1号、1-2号。</w:t>
            </w:r>
            <w:r>
              <w:rPr>
                <w:rFonts w:hint="default" w:ascii="Times New Roman" w:hAnsi="Times New Roman" w:cs="Times New Roman"/>
                <w:b w:val="0"/>
                <w:color w:val="auto"/>
                <w:highlight w:val="none"/>
              </w:rPr>
              <w:t>位于场地</w:t>
            </w:r>
            <w:r>
              <w:rPr>
                <w:rFonts w:hint="default" w:ascii="Times New Roman" w:hAnsi="Times New Roman" w:cs="Times New Roman"/>
                <w:b w:val="0"/>
                <w:color w:val="auto"/>
                <w:highlight w:val="none"/>
                <w:lang w:val="en-US" w:eastAsia="zh-CN"/>
              </w:rPr>
              <w:t>中部</w:t>
            </w:r>
            <w:r>
              <w:rPr>
                <w:rFonts w:hint="default" w:ascii="Times New Roman" w:hAnsi="Times New Roman" w:cs="Times New Roman"/>
                <w:b w:val="0"/>
                <w:color w:val="auto"/>
                <w:highlight w:val="none"/>
              </w:rPr>
              <w:t>，总建筑面积</w:t>
            </w:r>
            <w:r>
              <w:rPr>
                <w:rFonts w:hint="default" w:ascii="Times New Roman" w:hAnsi="Times New Roman" w:cs="Times New Roman"/>
                <w:b w:val="0"/>
                <w:color w:val="auto"/>
                <w:highlight w:val="none"/>
                <w:lang w:val="en-US" w:eastAsia="zh-CN"/>
              </w:rPr>
              <w:t>4696</w:t>
            </w:r>
            <w:r>
              <w:rPr>
                <w:rFonts w:hint="default" w:ascii="Times New Roman" w:hAnsi="Times New Roman" w:cs="Times New Roman"/>
                <w:b w:val="0"/>
                <w:color w:val="auto"/>
                <w:highlight w:val="none"/>
              </w:rPr>
              <w:t>m</w:t>
            </w:r>
            <w:r>
              <w:rPr>
                <w:rFonts w:hint="default" w:ascii="Times New Roman" w:hAnsi="Times New Roman" w:cs="Times New Roman"/>
                <w:b w:val="0"/>
                <w:color w:val="auto"/>
                <w:highlight w:val="none"/>
                <w:vertAlign w:val="superscript"/>
              </w:rPr>
              <w:t>2</w:t>
            </w:r>
            <w:r>
              <w:rPr>
                <w:rFonts w:hint="default" w:ascii="Times New Roman" w:hAnsi="Times New Roman" w:cs="Times New Roman"/>
                <w:b w:val="0"/>
                <w:color w:val="auto"/>
                <w:highlight w:val="none"/>
                <w:vertAlign w:val="baseline"/>
                <w:lang w:eastAsia="zh-CN"/>
              </w:rPr>
              <w:t>（</w:t>
            </w:r>
            <w:r>
              <w:rPr>
                <w:rFonts w:hint="default" w:ascii="Times New Roman" w:hAnsi="Times New Roman" w:cs="Times New Roman"/>
                <w:b w:val="0"/>
                <w:color w:val="auto"/>
                <w:highlight w:val="none"/>
                <w:vertAlign w:val="baseline"/>
                <w:lang w:val="en-US" w:eastAsia="zh-CN"/>
              </w:rPr>
              <w:t>单栋2348</w:t>
            </w:r>
            <w:r>
              <w:rPr>
                <w:rFonts w:hint="default" w:ascii="Times New Roman" w:hAnsi="Times New Roman" w:cs="Times New Roman"/>
                <w:b w:val="0"/>
                <w:color w:val="auto"/>
                <w:highlight w:val="none"/>
              </w:rPr>
              <w:t>m</w:t>
            </w:r>
            <w:r>
              <w:rPr>
                <w:rFonts w:hint="default" w:ascii="Times New Roman" w:hAnsi="Times New Roman" w:cs="Times New Roman"/>
                <w:b w:val="0"/>
                <w:color w:val="auto"/>
                <w:highlight w:val="none"/>
                <w:vertAlign w:val="superscript"/>
              </w:rPr>
              <w:t>2</w:t>
            </w:r>
            <w:r>
              <w:rPr>
                <w:rFonts w:hint="default" w:ascii="Times New Roman" w:hAnsi="Times New Roman" w:cs="Times New Roman"/>
                <w:b w:val="0"/>
                <w:color w:val="auto"/>
                <w:highlight w:val="none"/>
                <w:vertAlign w:val="baseline"/>
                <w:lang w:eastAsia="zh-CN"/>
              </w:rPr>
              <w:t>）</w:t>
            </w:r>
            <w:r>
              <w:rPr>
                <w:rFonts w:hint="default" w:ascii="Times New Roman" w:hAnsi="Times New Roman" w:cs="Times New Roman"/>
                <w:b w:val="0"/>
                <w:color w:val="auto"/>
                <w:highlight w:val="none"/>
              </w:rPr>
              <w:t>，</w:t>
            </w:r>
            <w:r>
              <w:rPr>
                <w:rFonts w:hint="default" w:ascii="Times New Roman" w:hAnsi="Times New Roman" w:cs="Times New Roman"/>
                <w:color w:val="auto"/>
                <w:sz w:val="21"/>
                <w:szCs w:val="21"/>
              </w:rPr>
              <w:t>长</w:t>
            </w:r>
            <w:r>
              <w:rPr>
                <w:rFonts w:hint="default" w:ascii="Times New Roman" w:hAnsi="Times New Roman" w:cs="Times New Roman"/>
                <w:color w:val="auto"/>
                <w:sz w:val="21"/>
                <w:szCs w:val="21"/>
                <w:lang w:val="en-US" w:eastAsia="zh-CN"/>
              </w:rPr>
              <w:t>55.9</w:t>
            </w:r>
            <w:r>
              <w:rPr>
                <w:rFonts w:hint="default" w:ascii="Times New Roman" w:hAnsi="Times New Roman" w:cs="Times New Roman"/>
                <w:color w:val="auto"/>
                <w:sz w:val="21"/>
                <w:szCs w:val="21"/>
              </w:rPr>
              <w:t>m，宽</w:t>
            </w:r>
            <w:r>
              <w:rPr>
                <w:rFonts w:hint="default" w:ascii="Times New Roman" w:hAnsi="Times New Roman" w:cs="Times New Roman"/>
                <w:color w:val="auto"/>
                <w:sz w:val="21"/>
                <w:szCs w:val="21"/>
                <w:lang w:val="en-US" w:eastAsia="zh-CN"/>
              </w:rPr>
              <w:t>42</w:t>
            </w:r>
            <w:r>
              <w:rPr>
                <w:rFonts w:hint="default" w:ascii="Times New Roman" w:hAnsi="Times New Roman" w:cs="Times New Roman"/>
                <w:color w:val="auto"/>
                <w:sz w:val="21"/>
                <w:szCs w:val="21"/>
              </w:rPr>
              <w:t>m，</w:t>
            </w:r>
            <w:r>
              <w:rPr>
                <w:rFonts w:hint="default" w:ascii="Times New Roman" w:hAnsi="Times New Roman" w:cs="Times New Roman"/>
                <w:b w:val="0"/>
                <w:color w:val="auto"/>
                <w:highlight w:val="none"/>
              </w:rPr>
              <w:t>高6m，为全封闭设计，</w:t>
            </w:r>
            <w:r>
              <w:rPr>
                <w:rFonts w:hint="default" w:ascii="Times New Roman" w:hAnsi="Times New Roman" w:eastAsia="宋体" w:cs="Times New Roman"/>
                <w:color w:val="auto"/>
                <w:sz w:val="21"/>
                <w:szCs w:val="21"/>
                <w:lang w:val="en-US" w:eastAsia="zh-CN"/>
              </w:rPr>
              <w:t>下部</w:t>
            </w:r>
            <w:r>
              <w:rPr>
                <w:rFonts w:hint="default" w:ascii="Times New Roman" w:hAnsi="Times New Roman" w:cs="Times New Roman"/>
                <w:color w:val="auto"/>
                <w:sz w:val="21"/>
                <w:szCs w:val="21"/>
              </w:rPr>
              <w:t>砖混结构</w:t>
            </w:r>
            <w:r>
              <w:rPr>
                <w:rFonts w:hint="default" w:ascii="Times New Roman" w:hAnsi="Times New Roman" w:cs="Times New Roman"/>
                <w:color w:val="auto"/>
                <w:sz w:val="21"/>
                <w:szCs w:val="21"/>
                <w:lang w:eastAsia="zh-CN"/>
              </w:rPr>
              <w:t>，</w:t>
            </w:r>
            <w:r>
              <w:rPr>
                <w:rFonts w:hint="default" w:ascii="Times New Roman" w:hAnsi="Times New Roman" w:cs="Times New Roman"/>
                <w:b w:val="0"/>
                <w:color w:val="auto"/>
                <w:highlight w:val="none"/>
              </w:rPr>
              <w:t>上部为全钢架结构，每栋猪舍内分8个单元，均为独立单元，内部配置</w:t>
            </w:r>
            <w:r>
              <w:rPr>
                <w:rFonts w:hint="default" w:ascii="Times New Roman" w:hAnsi="Times New Roman" w:cs="Times New Roman"/>
                <w:b w:val="0"/>
                <w:color w:val="auto"/>
                <w:highlight w:val="none"/>
                <w:lang w:val="en-US" w:eastAsia="zh-CN"/>
              </w:rPr>
              <w:t>16</w:t>
            </w:r>
            <w:r>
              <w:rPr>
                <w:rFonts w:hint="default" w:ascii="Times New Roman" w:hAnsi="Times New Roman" w:cs="Times New Roman"/>
                <w:b w:val="0"/>
                <w:color w:val="auto"/>
                <w:highlight w:val="none"/>
              </w:rPr>
              <w:t>个栏位。猪舍设置排风扇抽排风，配套漏缝地板，漏缝地板下方设置</w:t>
            </w:r>
            <w:r>
              <w:rPr>
                <w:rFonts w:hint="default" w:ascii="Times New Roman" w:hAnsi="Times New Roman" w:eastAsia="宋体" w:cs="Times New Roman"/>
                <w:color w:val="auto"/>
                <w:sz w:val="21"/>
                <w:szCs w:val="21"/>
                <w:lang w:val="en-US" w:eastAsia="zh-CN"/>
              </w:rPr>
              <w:t>1个</w:t>
            </w:r>
            <w:r>
              <w:rPr>
                <w:rFonts w:hint="default" w:ascii="Times New Roman" w:hAnsi="Times New Roman" w:eastAsia="宋体" w:cs="Times New Roman"/>
                <w:color w:val="auto"/>
                <w:sz w:val="21"/>
                <w:szCs w:val="21"/>
                <w:lang w:eastAsia="zh-CN"/>
              </w:rPr>
              <w:t>粪尿收集池</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kern w:val="0"/>
                <w:sz w:val="21"/>
                <w:szCs w:val="21"/>
                <w:vertAlign w:val="baseline"/>
                <w:lang w:val="en-US" w:eastAsia="zh-CN" w:bidi="ar"/>
              </w:rPr>
              <w:t>长</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vertAlign w:val="baseline"/>
                <w:lang w:val="en-US" w:eastAsia="zh-CN" w:bidi="ar"/>
              </w:rPr>
              <w:t>宽</w:t>
            </w:r>
            <w:r>
              <w:rPr>
                <w:rFonts w:hint="default" w:ascii="Times New Roman" w:hAnsi="Times New Roman" w:eastAsia="宋体" w:cs="Times New Roman"/>
                <w:color w:val="auto"/>
                <w:kern w:val="0"/>
                <w:sz w:val="21"/>
                <w:szCs w:val="21"/>
                <w:lang w:val="en-US" w:eastAsia="zh-CN" w:bidi="ar"/>
              </w:rPr>
              <w:t>×深</w:t>
            </w:r>
            <w:r>
              <w:rPr>
                <w:rFonts w:hint="default" w:ascii="Times New Roman" w:hAnsi="Times New Roman" w:eastAsia="宋体" w:cs="Times New Roman"/>
                <w:b w:val="0"/>
                <w:bCs w:val="0"/>
                <w:color w:val="auto"/>
                <w:kern w:val="0"/>
                <w:sz w:val="21"/>
                <w:szCs w:val="21"/>
                <w:vertAlign w:val="baseline"/>
                <w:lang w:val="en-US" w:eastAsia="zh-CN" w:bidi="ar"/>
              </w:rPr>
              <w:t>：35</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vertAlign w:val="baseline"/>
                <w:lang w:val="en-US" w:eastAsia="zh-CN" w:bidi="ar"/>
              </w:rPr>
              <w:t>17.9</w:t>
            </w:r>
            <w:r>
              <w:rPr>
                <w:rFonts w:hint="default" w:ascii="Times New Roman" w:hAnsi="Times New Roman" w:eastAsia="宋体" w:cs="Times New Roman"/>
                <w:color w:val="auto"/>
                <w:kern w:val="0"/>
                <w:sz w:val="21"/>
                <w:szCs w:val="21"/>
                <w:lang w:val="en-US" w:eastAsia="zh-CN" w:bidi="ar"/>
              </w:rPr>
              <w:t>×1.6</w:t>
            </w:r>
            <w:r>
              <w:rPr>
                <w:rFonts w:hint="default" w:ascii="Times New Roman" w:hAnsi="Times New Roman" w:eastAsia="宋体" w:cs="Times New Roman"/>
                <w:b w:val="0"/>
                <w:bCs w:val="0"/>
                <w:color w:val="auto"/>
                <w:kern w:val="0"/>
                <w:sz w:val="21"/>
                <w:szCs w:val="21"/>
                <w:vertAlign w:val="baseline"/>
                <w:lang w:val="en-US" w:eastAsia="zh-CN" w:bidi="ar"/>
              </w:rPr>
              <w:t>m（容积1000m</w:t>
            </w:r>
            <w:r>
              <w:rPr>
                <w:rFonts w:hint="default" w:ascii="Times New Roman" w:hAnsi="Times New Roman" w:eastAsia="宋体" w:cs="Times New Roman"/>
                <w:b w:val="0"/>
                <w:bCs w:val="0"/>
                <w:color w:val="auto"/>
                <w:kern w:val="0"/>
                <w:sz w:val="21"/>
                <w:szCs w:val="21"/>
                <w:vertAlign w:val="superscript"/>
                <w:lang w:val="en-US" w:eastAsia="zh-CN" w:bidi="ar"/>
              </w:rPr>
              <w:t>3</w:t>
            </w:r>
            <w:r>
              <w:rPr>
                <w:rFonts w:hint="default" w:ascii="Times New Roman" w:hAnsi="Times New Roman" w:eastAsia="宋体" w:cs="Times New Roman"/>
                <w:b w:val="0"/>
                <w:bCs w:val="0"/>
                <w:color w:val="auto"/>
                <w:kern w:val="0"/>
                <w:sz w:val="21"/>
                <w:szCs w:val="21"/>
                <w:vertAlign w:val="baseline"/>
                <w:lang w:val="en-US" w:eastAsia="zh-CN" w:bidi="ar"/>
              </w:rPr>
              <w:t>）</w:t>
            </w:r>
            <w:r>
              <w:rPr>
                <w:rFonts w:hint="default" w:ascii="Times New Roman" w:hAnsi="Times New Roman" w:cs="Times New Roman"/>
                <w:b w:val="0"/>
                <w:color w:val="auto"/>
                <w:highlight w:val="none"/>
              </w:rPr>
              <w:t>。猪舍配有食槽、猪用自动饮水器、抽排风系统、电加热供暖装置、水帘降温加湿系统等。</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8A945">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3D47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C4A8C">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7F54E5">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highlight w:val="none"/>
              </w:rPr>
            </w:pPr>
            <w:r>
              <w:rPr>
                <w:rFonts w:hint="default" w:ascii="Times New Roman" w:hAnsi="Times New Roman" w:cs="Times New Roman"/>
                <w:b w:val="0"/>
                <w:color w:val="auto"/>
                <w:highlight w:val="none"/>
              </w:rPr>
              <w:t>隔离区</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C0BA">
            <w:pPr>
              <w:keepNext w:val="0"/>
              <w:keepLines w:val="0"/>
              <w:suppressLineNumbers w:val="0"/>
              <w:spacing w:before="0" w:beforeAutospacing="0" w:after="0" w:afterAutospacing="0"/>
              <w:ind w:left="0" w:right="0" w:firstLine="210" w:firstLineChars="100"/>
              <w:rPr>
                <w:rFonts w:hint="default" w:ascii="Times New Roman" w:hAnsi="Times New Roman" w:cs="Times New Roman"/>
                <w:b w:val="0"/>
                <w:color w:val="auto"/>
                <w:highlight w:val="none"/>
              </w:rPr>
            </w:pPr>
            <w:r>
              <w:rPr>
                <w:rFonts w:hint="default" w:ascii="Times New Roman" w:hAnsi="Times New Roman" w:cs="Times New Roman"/>
                <w:b w:val="0"/>
                <w:color w:val="auto"/>
                <w:highlight w:val="none"/>
              </w:rPr>
              <w:t>根据设计，项目不设置单独的隔离舍，每栋猪舍分8个单元，每个单元之间都是封闭的，猪需要隔离时分别在每区调出单独的一间作为隔离区。</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D5BF3">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1A54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7D4A20">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辅助工程</w:t>
            </w: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DF9A91">
            <w:pPr>
              <w:spacing w:line="240" w:lineRule="auto"/>
              <w:jc w:val="center"/>
              <w:rPr>
                <w:rFonts w:hint="default" w:ascii="Times New Roman" w:hAnsi="Times New Roman" w:cs="Times New Roman"/>
                <w:b w:val="0"/>
                <w:color w:val="auto"/>
                <w:szCs w:val="21"/>
                <w:highlight w:val="none"/>
              </w:rPr>
            </w:pPr>
            <w:r>
              <w:rPr>
                <w:rFonts w:hint="default" w:ascii="Times New Roman" w:hAnsi="Times New Roman" w:cs="Times New Roman"/>
                <w:color w:val="auto"/>
                <w:sz w:val="21"/>
                <w:szCs w:val="21"/>
              </w:rPr>
              <w:t>办公生活区</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44975">
            <w:pPr>
              <w:spacing w:line="240" w:lineRule="auto"/>
              <w:ind w:firstLine="420" w:firstLineChars="200"/>
              <w:rPr>
                <w:rFonts w:hint="default" w:ascii="Times New Roman" w:hAnsi="Times New Roman" w:cs="Times New Roman"/>
                <w:b w:val="0"/>
                <w:color w:val="auto"/>
                <w:szCs w:val="21"/>
                <w:highlight w:val="none"/>
              </w:rPr>
            </w:pPr>
            <w:r>
              <w:rPr>
                <w:rFonts w:hint="default" w:ascii="Times New Roman" w:hAnsi="Times New Roman" w:cs="Times New Roman"/>
                <w:color w:val="auto"/>
                <w:sz w:val="21"/>
                <w:szCs w:val="21"/>
                <w:lang w:val="en-US" w:eastAsia="zh-CN"/>
              </w:rPr>
              <w:t>位于养殖区西南侧，2栋建筑，均为1层砖混结构建筑，1#职工宿舍，</w:t>
            </w:r>
            <w:r>
              <w:rPr>
                <w:rFonts w:hint="default" w:ascii="Times New Roman" w:hAnsi="Times New Roman" w:cs="Times New Roman"/>
                <w:color w:val="auto"/>
                <w:sz w:val="21"/>
                <w:szCs w:val="21"/>
              </w:rPr>
              <w:t>建筑面积</w:t>
            </w:r>
            <w:r>
              <w:rPr>
                <w:rFonts w:hint="default" w:ascii="Times New Roman" w:hAnsi="Times New Roman" w:cs="Times New Roman"/>
                <w:color w:val="auto"/>
                <w:sz w:val="21"/>
                <w:szCs w:val="21"/>
                <w:lang w:val="en-US" w:eastAsia="zh-CN"/>
              </w:rPr>
              <w:t>215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lang w:val="en-US" w:eastAsia="zh-CN"/>
              </w:rPr>
              <w:t>。2#外勤区，</w:t>
            </w:r>
            <w:r>
              <w:rPr>
                <w:rFonts w:hint="default" w:ascii="Times New Roman" w:hAnsi="Times New Roman" w:cs="Times New Roman"/>
                <w:color w:val="auto"/>
                <w:sz w:val="21"/>
                <w:szCs w:val="21"/>
              </w:rPr>
              <w:t>建筑面积</w:t>
            </w:r>
            <w:r>
              <w:rPr>
                <w:rFonts w:hint="default" w:ascii="Times New Roman" w:hAnsi="Times New Roman" w:cs="Times New Roman"/>
                <w:color w:val="auto"/>
                <w:sz w:val="21"/>
                <w:szCs w:val="21"/>
                <w:lang w:val="en-US" w:eastAsia="zh-CN"/>
              </w:rPr>
              <w:t>92</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lang w:val="en-US" w:eastAsia="zh-CN"/>
              </w:rPr>
              <w:t>内部设置办公区、外勤宿舍、食堂、生活物资库房、员工洗浴、采样值班室</w:t>
            </w:r>
            <w:r>
              <w:rPr>
                <w:rFonts w:hint="default" w:ascii="Times New Roman" w:hAnsi="Times New Roman" w:cs="Times New Roman"/>
                <w:color w:val="auto"/>
                <w:sz w:val="21"/>
                <w:szCs w:val="21"/>
              </w:rPr>
              <w:t>。</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FB3D">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76BD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left w:val="single" w:color="000000" w:sz="4" w:space="0"/>
              <w:right w:val="single" w:color="000000" w:sz="4" w:space="0"/>
            </w:tcBorders>
            <w:shd w:val="clear" w:color="auto" w:fill="auto"/>
            <w:vAlign w:val="center"/>
          </w:tcPr>
          <w:p w14:paraId="521074FD">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BA863A">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物资消毒仓库</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E690">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1栋，1层砖混结构建筑</w:t>
            </w:r>
            <w:r>
              <w:rPr>
                <w:rFonts w:hint="eastAsia" w:ascii="Times New Roman" w:hAnsi="Times New Roman" w:cs="Times New Roman"/>
                <w:color w:val="auto"/>
                <w:sz w:val="21"/>
                <w:szCs w:val="21"/>
                <w:lang w:val="en-US" w:eastAsia="zh-CN"/>
              </w:rPr>
              <w:t>，建</w:t>
            </w:r>
            <w:r>
              <w:rPr>
                <w:rFonts w:hint="default" w:ascii="Times New Roman" w:hAnsi="Times New Roman" w:cs="Times New Roman"/>
                <w:color w:val="auto"/>
                <w:sz w:val="21"/>
                <w:szCs w:val="21"/>
              </w:rPr>
              <w:t>筑面积</w:t>
            </w:r>
            <w:r>
              <w:rPr>
                <w:rFonts w:hint="default" w:ascii="Times New Roman" w:hAnsi="Times New Roman" w:cs="Times New Roman"/>
                <w:color w:val="auto"/>
                <w:sz w:val="21"/>
                <w:szCs w:val="21"/>
                <w:lang w:val="en-US" w:eastAsia="zh-CN"/>
              </w:rPr>
              <w:t>155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vertAlign w:val="baseline"/>
                <w:lang w:eastAsia="zh-CN"/>
              </w:rPr>
              <w:t>，</w:t>
            </w:r>
            <w:r>
              <w:rPr>
                <w:rFonts w:hint="default" w:ascii="Times New Roman" w:hAnsi="Times New Roman" w:eastAsia="宋体" w:cs="Times New Roman"/>
                <w:b w:val="0"/>
                <w:bCs w:val="0"/>
                <w:color w:val="auto"/>
                <w:kern w:val="0"/>
                <w:sz w:val="21"/>
                <w:szCs w:val="21"/>
                <w:vertAlign w:val="baseline"/>
                <w:lang w:val="en-US" w:eastAsia="zh-CN" w:bidi="ar"/>
              </w:rPr>
              <w:t>用于</w:t>
            </w:r>
            <w:r>
              <w:rPr>
                <w:rFonts w:hint="default" w:ascii="Times New Roman" w:hAnsi="Times New Roman" w:cs="Times New Roman"/>
                <w:b w:val="0"/>
                <w:bCs w:val="0"/>
                <w:color w:val="auto"/>
                <w:kern w:val="0"/>
                <w:sz w:val="21"/>
                <w:szCs w:val="21"/>
                <w:vertAlign w:val="baseline"/>
                <w:lang w:val="en-US" w:eastAsia="zh-CN" w:bidi="ar"/>
              </w:rPr>
              <w:t>员工</w:t>
            </w:r>
            <w:r>
              <w:rPr>
                <w:rFonts w:hint="default" w:ascii="Times New Roman" w:hAnsi="Times New Roman" w:eastAsia="宋体" w:cs="Times New Roman"/>
                <w:b w:val="0"/>
                <w:bCs w:val="0"/>
                <w:color w:val="auto"/>
                <w:kern w:val="0"/>
                <w:sz w:val="21"/>
                <w:szCs w:val="21"/>
                <w:vertAlign w:val="baseline"/>
                <w:lang w:val="en-US" w:eastAsia="zh-CN" w:bidi="ar"/>
              </w:rPr>
              <w:t>淋浴和进场物资消毒，</w:t>
            </w:r>
            <w:r>
              <w:rPr>
                <w:rFonts w:hint="default" w:ascii="Times New Roman" w:hAnsi="Times New Roman" w:cs="Times New Roman"/>
                <w:color w:val="auto"/>
                <w:sz w:val="21"/>
                <w:szCs w:val="21"/>
                <w:vertAlign w:val="baseline"/>
                <w:lang w:val="en-US" w:eastAsia="zh-CN"/>
              </w:rPr>
              <w:t>内设浸泡池、擦拭台、烘干间、污区仓库、仓库。</w:t>
            </w:r>
            <w:r>
              <w:rPr>
                <w:rFonts w:hint="default" w:ascii="Times New Roman" w:hAnsi="Times New Roman" w:cs="Times New Roman"/>
                <w:color w:val="auto"/>
                <w:sz w:val="21"/>
                <w:szCs w:val="21"/>
              </w:rPr>
              <w:t>物资主要通过消毒液浸泡消毒、高温消毒等方式，人员主要通过喷雾消毒。</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BAD5C">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1FC6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DE4A7">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481D5E">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饲料塔</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1654">
            <w:pPr>
              <w:keepNext w:val="0"/>
              <w:keepLines w:val="0"/>
              <w:suppressLineNumbers w:val="0"/>
              <w:spacing w:before="0" w:beforeAutospacing="0" w:after="0" w:afterAutospacing="0"/>
              <w:ind w:left="0" w:right="0" w:firstLine="210" w:firstLineChars="100"/>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lang w:val="en-US" w:eastAsia="zh-CN"/>
              </w:rPr>
              <w:t>3</w:t>
            </w:r>
            <w:r>
              <w:rPr>
                <w:rFonts w:hint="default" w:ascii="Times New Roman" w:hAnsi="Times New Roman" w:cs="Times New Roman"/>
                <w:b w:val="0"/>
                <w:color w:val="auto"/>
                <w:szCs w:val="21"/>
                <w:highlight w:val="none"/>
              </w:rPr>
              <w:t>个，</w:t>
            </w:r>
            <w:r>
              <w:rPr>
                <w:rFonts w:hint="default" w:ascii="Times New Roman" w:hAnsi="Times New Roman" w:cs="Times New Roman"/>
                <w:b w:val="0"/>
                <w:bCs/>
                <w:color w:val="auto"/>
                <w:szCs w:val="21"/>
                <w:highlight w:val="none"/>
              </w:rPr>
              <w:t>每个猪舍旁设置1个，</w:t>
            </w:r>
            <w:r>
              <w:rPr>
                <w:rFonts w:hint="default" w:ascii="Times New Roman" w:hAnsi="Times New Roman" w:cs="Times New Roman"/>
                <w:b w:val="0"/>
                <w:color w:val="auto"/>
                <w:szCs w:val="21"/>
                <w:highlight w:val="none"/>
              </w:rPr>
              <w:t>为不锈钢结构，用于储存猪只饲料。项目猪只所需饲料</w:t>
            </w:r>
            <w:r>
              <w:rPr>
                <w:rFonts w:hint="default" w:ascii="Times New Roman" w:hAnsi="Times New Roman" w:cs="Times New Roman"/>
                <w:b w:val="0"/>
                <w:color w:val="auto"/>
                <w:szCs w:val="21"/>
                <w:highlight w:val="none"/>
                <w:lang w:val="en-US" w:eastAsia="zh-CN"/>
              </w:rPr>
              <w:t>由集团饲料厂提供。</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0F76">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4F01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4F44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CF550D">
            <w:pPr>
              <w:spacing w:line="240" w:lineRule="auto"/>
              <w:jc w:val="center"/>
              <w:rPr>
                <w:rFonts w:hint="default" w:ascii="Times New Roman" w:hAnsi="Times New Roman" w:cs="Times New Roman"/>
                <w:b w:val="0"/>
                <w:color w:val="auto"/>
                <w:szCs w:val="21"/>
                <w:highlight w:val="none"/>
              </w:rPr>
            </w:pPr>
            <w:r>
              <w:rPr>
                <w:rFonts w:hint="default" w:ascii="Times New Roman" w:hAnsi="Times New Roman" w:cs="Times New Roman"/>
                <w:color w:val="auto"/>
                <w:sz w:val="21"/>
                <w:szCs w:val="21"/>
              </w:rPr>
              <w:t>车辆</w:t>
            </w:r>
            <w:r>
              <w:rPr>
                <w:rFonts w:hint="default" w:ascii="Times New Roman" w:hAnsi="Times New Roman" w:cs="Times New Roman"/>
                <w:color w:val="auto"/>
                <w:sz w:val="21"/>
                <w:szCs w:val="21"/>
                <w:lang w:val="en-US" w:eastAsia="zh-CN"/>
              </w:rPr>
              <w:t>洗消棚</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8655">
            <w:pPr>
              <w:spacing w:line="240" w:lineRule="auto"/>
              <w:rPr>
                <w:rFonts w:hint="default" w:ascii="Times New Roman" w:hAnsi="Times New Roman" w:cs="Times New Roman"/>
                <w:b w:val="0"/>
                <w:color w:val="auto"/>
                <w:szCs w:val="21"/>
                <w:highlight w:val="none"/>
                <w:lang w:val="en-US" w:eastAsia="zh-CN"/>
              </w:rPr>
            </w:pPr>
            <w:r>
              <w:rPr>
                <w:rFonts w:hint="default" w:ascii="Times New Roman" w:hAnsi="Times New Roman" w:eastAsia="宋体" w:cs="Times New Roman"/>
                <w:b w:val="0"/>
                <w:bCs w:val="0"/>
                <w:color w:val="auto"/>
                <w:kern w:val="0"/>
                <w:sz w:val="21"/>
                <w:szCs w:val="21"/>
                <w:vertAlign w:val="baseline"/>
                <w:lang w:val="en-US" w:eastAsia="zh-CN" w:bidi="ar"/>
              </w:rPr>
              <w:t>1栋，1F，钢架结构，</w:t>
            </w:r>
            <w:r>
              <w:rPr>
                <w:rFonts w:hint="default" w:ascii="Times New Roman" w:hAnsi="Times New Roman" w:cs="Times New Roman"/>
                <w:b w:val="0"/>
                <w:bCs w:val="0"/>
                <w:color w:val="auto"/>
                <w:kern w:val="0"/>
                <w:sz w:val="21"/>
                <w:szCs w:val="21"/>
                <w:vertAlign w:val="baseline"/>
                <w:lang w:val="en-US" w:eastAsia="zh-CN" w:bidi="ar"/>
              </w:rPr>
              <w:t>高6m，</w:t>
            </w:r>
            <w:r>
              <w:rPr>
                <w:rFonts w:hint="default" w:ascii="Times New Roman" w:hAnsi="Times New Roman" w:eastAsia="宋体" w:cs="Times New Roman"/>
                <w:b w:val="0"/>
                <w:bCs w:val="0"/>
                <w:color w:val="auto"/>
                <w:kern w:val="0"/>
                <w:sz w:val="21"/>
                <w:szCs w:val="21"/>
                <w:vertAlign w:val="baseline"/>
                <w:lang w:val="en-US" w:eastAsia="zh-CN" w:bidi="ar"/>
              </w:rPr>
              <w:t>总建筑面积</w:t>
            </w:r>
            <w:r>
              <w:rPr>
                <w:rFonts w:hint="default" w:ascii="Times New Roman" w:hAnsi="Times New Roman" w:cs="Times New Roman"/>
                <w:b w:val="0"/>
                <w:bCs w:val="0"/>
                <w:color w:val="auto"/>
                <w:kern w:val="0"/>
                <w:sz w:val="21"/>
                <w:szCs w:val="21"/>
                <w:vertAlign w:val="baseline"/>
                <w:lang w:val="en-US" w:eastAsia="zh-CN" w:bidi="ar"/>
              </w:rPr>
              <w:t>150</w:t>
            </w:r>
            <w:r>
              <w:rPr>
                <w:rFonts w:hint="default" w:ascii="Times New Roman" w:hAnsi="Times New Roman" w:eastAsia="宋体" w:cs="Times New Roman"/>
                <w:b w:val="0"/>
                <w:bCs w:val="0"/>
                <w:color w:val="auto"/>
                <w:kern w:val="0"/>
                <w:sz w:val="21"/>
                <w:szCs w:val="21"/>
                <w:vertAlign w:val="baseline"/>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2</w:t>
            </w:r>
            <w:r>
              <w:rPr>
                <w:rFonts w:hint="default" w:ascii="Times New Roman" w:hAnsi="Times New Roman" w:eastAsia="宋体" w:cs="Times New Roman"/>
                <w:b w:val="0"/>
                <w:bCs w:val="0"/>
                <w:color w:val="auto"/>
                <w:kern w:val="0"/>
                <w:sz w:val="21"/>
                <w:szCs w:val="21"/>
                <w:vertAlign w:val="baseline"/>
                <w:lang w:val="en-US" w:eastAsia="zh-CN" w:bidi="ar"/>
              </w:rPr>
              <w:t>，位于项目区出入口北侧</w:t>
            </w:r>
            <w:r>
              <w:rPr>
                <w:rFonts w:hint="default" w:ascii="Times New Roman" w:hAnsi="Times New Roman" w:cs="Times New Roman"/>
                <w:b w:val="0"/>
                <w:bCs w:val="0"/>
                <w:color w:val="auto"/>
                <w:kern w:val="0"/>
                <w:sz w:val="21"/>
                <w:szCs w:val="21"/>
                <w:vertAlign w:val="baseline"/>
                <w:lang w:val="en-US" w:eastAsia="zh-CN" w:bidi="ar"/>
              </w:rPr>
              <w:t>，</w:t>
            </w:r>
            <w:r>
              <w:rPr>
                <w:rFonts w:hint="default" w:ascii="Times New Roman" w:hAnsi="Times New Roman" w:eastAsia="宋体" w:cs="Times New Roman"/>
                <w:color w:val="auto"/>
                <w:sz w:val="21"/>
                <w:szCs w:val="21"/>
                <w:lang w:eastAsia="zh-CN"/>
              </w:rPr>
              <w:t>用于进出车辆清洗及消毒，</w:t>
            </w:r>
            <w:r>
              <w:rPr>
                <w:rFonts w:hint="default" w:ascii="Times New Roman" w:hAnsi="Times New Roman" w:cs="Times New Roman"/>
                <w:color w:val="auto"/>
                <w:sz w:val="21"/>
                <w:szCs w:val="21"/>
                <w:lang w:val="en-US" w:eastAsia="zh-CN"/>
              </w:rPr>
              <w:t>设置一个5m³车辆废水沉淀池。</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735A6">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76A3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A2042">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7B7C90">
            <w:pPr>
              <w:spacing w:line="240" w:lineRule="auto"/>
              <w:jc w:val="center"/>
              <w:rPr>
                <w:rFonts w:hint="default" w:ascii="Times New Roman" w:hAnsi="Times New Roman" w:cs="Times New Roman"/>
                <w:b w:val="0"/>
                <w:color w:val="auto"/>
                <w:szCs w:val="21"/>
                <w:highlight w:val="none"/>
              </w:rPr>
            </w:pPr>
            <w:r>
              <w:rPr>
                <w:rFonts w:hint="default" w:ascii="Times New Roman" w:hAnsi="Times New Roman" w:cs="Times New Roman"/>
                <w:color w:val="auto"/>
                <w:sz w:val="21"/>
                <w:szCs w:val="21"/>
                <w:lang w:val="en-US" w:eastAsia="zh-CN"/>
              </w:rPr>
              <w:t>烘干棚</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299B">
            <w:pPr>
              <w:spacing w:line="240" w:lineRule="auto"/>
              <w:rPr>
                <w:rFonts w:hint="default" w:ascii="Times New Roman" w:hAnsi="Times New Roman" w:cs="Times New Roman"/>
                <w:b w:val="0"/>
                <w:color w:val="auto"/>
                <w:szCs w:val="21"/>
                <w:highlight w:val="none"/>
                <w:lang w:val="en-US" w:eastAsia="zh-CN"/>
              </w:rPr>
            </w:pPr>
            <w:r>
              <w:rPr>
                <w:rFonts w:hint="default" w:ascii="Times New Roman" w:hAnsi="Times New Roman" w:eastAsia="宋体" w:cs="Times New Roman"/>
                <w:b w:val="0"/>
                <w:bCs w:val="0"/>
                <w:color w:val="auto"/>
                <w:kern w:val="0"/>
                <w:sz w:val="21"/>
                <w:szCs w:val="21"/>
                <w:vertAlign w:val="baseline"/>
                <w:lang w:val="en-US" w:eastAsia="zh-CN" w:bidi="ar"/>
              </w:rPr>
              <w:t>1栋，1F，钢架结构，</w:t>
            </w:r>
            <w:r>
              <w:rPr>
                <w:rFonts w:hint="default" w:ascii="Times New Roman" w:hAnsi="Times New Roman" w:cs="Times New Roman"/>
                <w:b w:val="0"/>
                <w:bCs w:val="0"/>
                <w:color w:val="auto"/>
                <w:kern w:val="0"/>
                <w:sz w:val="21"/>
                <w:szCs w:val="21"/>
                <w:vertAlign w:val="baseline"/>
                <w:lang w:val="en-US" w:eastAsia="zh-CN" w:bidi="ar"/>
              </w:rPr>
              <w:t>高6m，</w:t>
            </w:r>
            <w:r>
              <w:rPr>
                <w:rFonts w:hint="default" w:ascii="Times New Roman" w:hAnsi="Times New Roman" w:eastAsia="宋体" w:cs="Times New Roman"/>
                <w:b w:val="0"/>
                <w:bCs w:val="0"/>
                <w:color w:val="auto"/>
                <w:kern w:val="0"/>
                <w:sz w:val="21"/>
                <w:szCs w:val="21"/>
                <w:vertAlign w:val="baseline"/>
                <w:lang w:val="en-US" w:eastAsia="zh-CN" w:bidi="ar"/>
              </w:rPr>
              <w:t>总建筑面积</w:t>
            </w:r>
            <w:r>
              <w:rPr>
                <w:rFonts w:hint="default" w:ascii="Times New Roman" w:hAnsi="Times New Roman" w:cs="Times New Roman"/>
                <w:b w:val="0"/>
                <w:bCs w:val="0"/>
                <w:color w:val="auto"/>
                <w:kern w:val="0"/>
                <w:sz w:val="21"/>
                <w:szCs w:val="21"/>
                <w:vertAlign w:val="baseline"/>
                <w:lang w:val="en-US" w:eastAsia="zh-CN" w:bidi="ar"/>
              </w:rPr>
              <w:t>200</w:t>
            </w:r>
            <w:r>
              <w:rPr>
                <w:rFonts w:hint="default" w:ascii="Times New Roman" w:hAnsi="Times New Roman" w:eastAsia="宋体" w:cs="Times New Roman"/>
                <w:b w:val="0"/>
                <w:bCs w:val="0"/>
                <w:color w:val="auto"/>
                <w:kern w:val="0"/>
                <w:sz w:val="21"/>
                <w:szCs w:val="21"/>
                <w:vertAlign w:val="baseline"/>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2</w:t>
            </w:r>
            <w:r>
              <w:rPr>
                <w:rFonts w:hint="default" w:ascii="Times New Roman" w:hAnsi="Times New Roman" w:eastAsia="宋体" w:cs="Times New Roman"/>
                <w:b w:val="0"/>
                <w:bCs w:val="0"/>
                <w:color w:val="auto"/>
                <w:kern w:val="0"/>
                <w:sz w:val="21"/>
                <w:szCs w:val="21"/>
                <w:vertAlign w:val="baseline"/>
                <w:lang w:val="en-US" w:eastAsia="zh-CN" w:bidi="ar"/>
              </w:rPr>
              <w:t>，位于洗消棚北侧</w:t>
            </w:r>
            <w:r>
              <w:rPr>
                <w:rFonts w:hint="default" w:ascii="Times New Roman" w:hAnsi="Times New Roman" w:cs="Times New Roman"/>
                <w:b w:val="0"/>
                <w:bCs w:val="0"/>
                <w:color w:val="auto"/>
                <w:kern w:val="0"/>
                <w:sz w:val="21"/>
                <w:szCs w:val="21"/>
                <w:vertAlign w:val="baseline"/>
                <w:lang w:val="en-US" w:eastAsia="zh-CN" w:bidi="ar"/>
              </w:rPr>
              <w:t>，</w:t>
            </w:r>
            <w:r>
              <w:rPr>
                <w:rFonts w:hint="default" w:ascii="Times New Roman" w:hAnsi="Times New Roman" w:eastAsia="宋体" w:cs="Times New Roman"/>
                <w:color w:val="auto"/>
                <w:sz w:val="21"/>
                <w:szCs w:val="21"/>
                <w:lang w:eastAsia="zh-CN"/>
              </w:rPr>
              <w:t>用于</w:t>
            </w:r>
            <w:r>
              <w:rPr>
                <w:rFonts w:hint="default" w:ascii="Times New Roman" w:hAnsi="Times New Roman" w:cs="Times New Roman"/>
                <w:color w:val="auto"/>
                <w:sz w:val="21"/>
                <w:szCs w:val="21"/>
                <w:lang w:eastAsia="zh-CN"/>
              </w:rPr>
              <w:t>洗消后</w:t>
            </w:r>
            <w:r>
              <w:rPr>
                <w:rFonts w:hint="default" w:ascii="Times New Roman" w:hAnsi="Times New Roman" w:eastAsia="宋体" w:cs="Times New Roman"/>
                <w:color w:val="auto"/>
                <w:sz w:val="21"/>
                <w:szCs w:val="21"/>
                <w:lang w:eastAsia="zh-CN"/>
              </w:rPr>
              <w:t>车辆烘干</w:t>
            </w:r>
            <w:r>
              <w:rPr>
                <w:rFonts w:hint="default" w:ascii="Times New Roman" w:hAnsi="Times New Roman" w:cs="Times New Roman"/>
                <w:b w:val="0"/>
                <w:bCs w:val="0"/>
                <w:color w:val="auto"/>
                <w:kern w:val="0"/>
                <w:sz w:val="21"/>
                <w:szCs w:val="21"/>
                <w:vertAlign w:val="baseline"/>
                <w:lang w:val="en-US" w:eastAsia="zh-CN" w:bidi="ar"/>
              </w:rPr>
              <w:t>。烘干棚两侧各放置3台天然气燃烧器进行供热，共设置6台。项目区连通市政天然气管道。</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9516">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4DE2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10932">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7E667B">
            <w:pPr>
              <w:spacing w:line="240" w:lineRule="auto"/>
              <w:jc w:val="center"/>
              <w:rPr>
                <w:rFonts w:hint="default" w:ascii="Times New Roman" w:hAnsi="Times New Roman" w:cs="Times New Roman"/>
                <w:b w:val="0"/>
                <w:color w:val="auto"/>
                <w:szCs w:val="21"/>
                <w:highlight w:val="none"/>
              </w:rPr>
            </w:pPr>
            <w:r>
              <w:rPr>
                <w:rFonts w:hint="default" w:ascii="Times New Roman" w:hAnsi="Times New Roman" w:cs="Times New Roman"/>
                <w:color w:val="auto"/>
                <w:sz w:val="21"/>
                <w:szCs w:val="21"/>
                <w:lang w:val="en-US" w:eastAsia="zh-CN"/>
              </w:rPr>
              <w:t>配电室</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B8B9">
            <w:pPr>
              <w:spacing w:line="240" w:lineRule="auto"/>
              <w:rPr>
                <w:rFonts w:hint="default" w:ascii="Times New Roman" w:hAnsi="Times New Roman" w:cs="Times New Roman"/>
                <w:b w:val="0"/>
                <w:color w:val="auto"/>
                <w:highlight w:val="none"/>
              </w:rPr>
            </w:pPr>
            <w:r>
              <w:rPr>
                <w:rFonts w:hint="default" w:ascii="Times New Roman" w:hAnsi="Times New Roman" w:eastAsia="宋体" w:cs="Times New Roman"/>
                <w:b w:val="0"/>
                <w:bCs w:val="0"/>
                <w:color w:val="auto"/>
                <w:kern w:val="0"/>
                <w:sz w:val="21"/>
                <w:szCs w:val="21"/>
                <w:vertAlign w:val="baseline"/>
                <w:lang w:val="en-US" w:eastAsia="zh-CN" w:bidi="ar"/>
              </w:rPr>
              <w:t>1间，</w:t>
            </w:r>
            <w:r>
              <w:rPr>
                <w:rFonts w:hint="default" w:ascii="Times New Roman" w:hAnsi="Times New Roman" w:cs="Times New Roman"/>
                <w:color w:val="auto"/>
                <w:sz w:val="21"/>
                <w:szCs w:val="21"/>
              </w:rPr>
              <w:t>1F，</w:t>
            </w:r>
            <w:r>
              <w:rPr>
                <w:rFonts w:hint="default" w:ascii="Times New Roman" w:hAnsi="Times New Roman" w:cs="Times New Roman"/>
                <w:b w:val="0"/>
                <w:color w:val="auto"/>
                <w:sz w:val="21"/>
                <w:szCs w:val="21"/>
                <w:highlight w:val="none"/>
                <w:lang w:val="en-US" w:eastAsia="zh-CN"/>
              </w:rPr>
              <w:t>钢架</w:t>
            </w:r>
            <w:r>
              <w:rPr>
                <w:rFonts w:hint="default" w:ascii="Times New Roman" w:hAnsi="Times New Roman" w:cs="Times New Roman"/>
                <w:b w:val="0"/>
                <w:color w:val="auto"/>
                <w:sz w:val="21"/>
                <w:szCs w:val="21"/>
                <w:highlight w:val="none"/>
              </w:rPr>
              <w:t>结构，建筑面积</w:t>
            </w:r>
            <w:r>
              <w:rPr>
                <w:rFonts w:hint="default" w:ascii="Times New Roman" w:hAnsi="Times New Roman" w:cs="Times New Roman"/>
                <w:b w:val="0"/>
                <w:color w:val="auto"/>
                <w:sz w:val="21"/>
                <w:szCs w:val="21"/>
                <w:highlight w:val="none"/>
                <w:lang w:val="en-US" w:eastAsia="zh-CN"/>
              </w:rPr>
              <w:t>250</w:t>
            </w:r>
            <w:r>
              <w:rPr>
                <w:rFonts w:hint="default" w:ascii="Times New Roman" w:hAnsi="Times New Roman" w:cs="Times New Roman"/>
                <w:b w:val="0"/>
                <w:color w:val="auto"/>
                <w:sz w:val="21"/>
                <w:szCs w:val="21"/>
                <w:highlight w:val="none"/>
              </w:rPr>
              <w:t>m</w:t>
            </w:r>
            <w:r>
              <w:rPr>
                <w:rFonts w:hint="default" w:ascii="Times New Roman" w:hAnsi="Times New Roman" w:cs="Times New Roman"/>
                <w:b w:val="0"/>
                <w:color w:val="auto"/>
                <w:sz w:val="21"/>
                <w:szCs w:val="21"/>
                <w:highlight w:val="none"/>
                <w:vertAlign w:val="superscript"/>
              </w:rPr>
              <w:t>2</w:t>
            </w:r>
            <w:r>
              <w:rPr>
                <w:rFonts w:hint="default" w:ascii="Times New Roman" w:hAnsi="Times New Roman" w:cs="Times New Roman"/>
                <w:b w:val="0"/>
                <w:color w:val="auto"/>
                <w:sz w:val="21"/>
                <w:szCs w:val="21"/>
                <w:highlight w:val="none"/>
              </w:rPr>
              <w:t>，位于</w:t>
            </w:r>
            <w:r>
              <w:rPr>
                <w:rFonts w:hint="default" w:ascii="Times New Roman" w:hAnsi="Times New Roman" w:cs="Times New Roman"/>
                <w:b w:val="0"/>
                <w:color w:val="auto"/>
                <w:sz w:val="21"/>
                <w:szCs w:val="21"/>
                <w:highlight w:val="none"/>
                <w:lang w:val="en-US" w:eastAsia="zh-CN"/>
              </w:rPr>
              <w:t>项目南</w:t>
            </w:r>
            <w:r>
              <w:rPr>
                <w:rFonts w:hint="default" w:ascii="Times New Roman" w:hAnsi="Times New Roman" w:cs="Times New Roman"/>
                <w:b w:val="0"/>
                <w:color w:val="auto"/>
                <w:sz w:val="21"/>
                <w:szCs w:val="21"/>
                <w:highlight w:val="none"/>
              </w:rPr>
              <w:t>侧，</w:t>
            </w:r>
            <w:r>
              <w:rPr>
                <w:rFonts w:hint="default" w:ascii="Times New Roman" w:hAnsi="Times New Roman" w:cs="Times New Roman"/>
                <w:b w:val="0"/>
                <w:color w:val="auto"/>
                <w:sz w:val="21"/>
                <w:szCs w:val="21"/>
                <w:highlight w:val="none"/>
                <w:lang w:bidi="zh-CN"/>
              </w:rPr>
              <w:t>布置配电设备等，</w:t>
            </w:r>
            <w:r>
              <w:rPr>
                <w:rFonts w:hint="default" w:ascii="Times New Roman" w:hAnsi="Times New Roman" w:cs="Times New Roman"/>
                <w:color w:val="auto"/>
                <w:sz w:val="21"/>
                <w:szCs w:val="21"/>
              </w:rPr>
              <w:t>同时设置</w:t>
            </w:r>
            <w:r>
              <w:rPr>
                <w:rFonts w:hint="default" w:ascii="Times New Roman" w:hAnsi="Times New Roman" w:cs="Times New Roman"/>
                <w:bCs/>
                <w:color w:val="auto"/>
                <w:sz w:val="21"/>
                <w:szCs w:val="21"/>
              </w:rPr>
              <w:t>0.4kV的1台柴油发电机作为应急电源</w:t>
            </w:r>
            <w:r>
              <w:rPr>
                <w:rFonts w:hint="default" w:ascii="Times New Roman" w:hAnsi="Times New Roman" w:cs="Times New Roman"/>
                <w:bCs/>
                <w:color w:val="auto"/>
                <w:sz w:val="21"/>
                <w:szCs w:val="21"/>
                <w:lang w:eastAsia="zh-CN"/>
              </w:rPr>
              <w:t>。</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7180B">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472D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3FCCAD">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公用工程</w:t>
            </w: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EAB1F7">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给水</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F63D">
            <w:pPr>
              <w:keepNext w:val="0"/>
              <w:keepLines w:val="0"/>
              <w:suppressLineNumbers w:val="0"/>
              <w:spacing w:before="0" w:beforeAutospacing="0" w:after="0" w:afterAutospacing="0"/>
              <w:ind w:left="0" w:right="0" w:firstLine="210" w:firstLineChars="100"/>
              <w:textAlignment w:val="baseline"/>
              <w:rPr>
                <w:rFonts w:hint="default" w:ascii="Times New Roman" w:hAnsi="Times New Roman" w:eastAsia="宋体" w:cs="Times New Roman"/>
                <w:b w:val="0"/>
                <w:color w:val="auto"/>
                <w:szCs w:val="21"/>
                <w:highlight w:val="none"/>
                <w:lang w:val="en-US" w:eastAsia="zh-CN"/>
              </w:rPr>
            </w:pPr>
            <w:r>
              <w:rPr>
                <w:rFonts w:hint="default" w:ascii="Times New Roman" w:hAnsi="Times New Roman" w:cs="Times New Roman"/>
                <w:b w:val="0"/>
                <w:color w:val="auto"/>
                <w:szCs w:val="21"/>
                <w:highlight w:val="none"/>
              </w:rPr>
              <w:t>项目生产、生活用水来自项目周边</w:t>
            </w:r>
            <w:r>
              <w:rPr>
                <w:rFonts w:hint="default" w:ascii="Times New Roman" w:hAnsi="Times New Roman" w:cs="Times New Roman"/>
                <w:b w:val="0"/>
                <w:color w:val="auto"/>
                <w:szCs w:val="21"/>
                <w:highlight w:val="none"/>
                <w:lang w:val="en-US" w:eastAsia="zh-CN"/>
              </w:rPr>
              <w:t>猴街村</w:t>
            </w:r>
            <w:r>
              <w:rPr>
                <w:rFonts w:hint="default" w:ascii="Times New Roman" w:hAnsi="Times New Roman" w:cs="Times New Roman"/>
                <w:b w:val="0"/>
                <w:color w:val="auto"/>
                <w:szCs w:val="21"/>
                <w:highlight w:val="none"/>
              </w:rPr>
              <w:t>委会自来水</w:t>
            </w:r>
            <w:r>
              <w:rPr>
                <w:rFonts w:hint="default" w:ascii="Times New Roman" w:hAnsi="Times New Roman" w:cs="Times New Roman"/>
                <w:b w:val="0"/>
                <w:color w:val="auto"/>
                <w:szCs w:val="21"/>
                <w:highlight w:val="none"/>
                <w:lang w:eastAsia="zh-CN"/>
              </w:rPr>
              <w:t>，</w:t>
            </w:r>
            <w:r>
              <w:rPr>
                <w:rFonts w:hint="default" w:ascii="Times New Roman" w:hAnsi="Times New Roman" w:cs="Times New Roman"/>
                <w:b w:val="0"/>
                <w:color w:val="auto"/>
                <w:szCs w:val="21"/>
                <w:highlight w:val="none"/>
                <w:lang w:val="en-US" w:eastAsia="zh-CN"/>
              </w:rPr>
              <w:t>采用1500立方水塔暂存。</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8CCCB">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7FF8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F6605">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81F3AC">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排水</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3B0BD">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项目实行雨污分流，建设雨水沟渠，对项目场地硬化。</w:t>
            </w:r>
          </w:p>
          <w:p w14:paraId="1943FF94">
            <w:pPr>
              <w:keepNext w:val="0"/>
              <w:keepLines w:val="0"/>
              <w:suppressLineNumbers w:val="0"/>
              <w:spacing w:before="0" w:beforeAutospacing="0" w:after="0" w:afterAutospacing="0"/>
              <w:ind w:right="0"/>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项目区初期雨水经雨水沟收集后流入初期雨水收集池沉淀处理后用于晴天绿化，</w:t>
            </w:r>
            <w:r>
              <w:rPr>
                <w:rFonts w:hint="default"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lang w:eastAsia="zh-CN"/>
              </w:rPr>
              <w:t>min</w:t>
            </w:r>
            <w:r>
              <w:rPr>
                <w:rFonts w:hint="default" w:ascii="Times New Roman" w:hAnsi="Times New Roman" w:cs="Times New Roman"/>
                <w:color w:val="auto"/>
                <w:sz w:val="21"/>
                <w:szCs w:val="21"/>
              </w:rPr>
              <w:t>之后雨水</w:t>
            </w:r>
            <w:r>
              <w:rPr>
                <w:rFonts w:hint="default" w:ascii="Times New Roman" w:hAnsi="Times New Roman" w:cs="Times New Roman"/>
                <w:color w:val="auto"/>
                <w:sz w:val="21"/>
                <w:szCs w:val="21"/>
                <w:lang w:val="en-US" w:eastAsia="zh-CN"/>
              </w:rPr>
              <w:t>经</w:t>
            </w:r>
            <w:r>
              <w:rPr>
                <w:rFonts w:hint="default" w:ascii="Times New Roman" w:hAnsi="Times New Roman" w:cs="Times New Roman"/>
                <w:color w:val="auto"/>
                <w:sz w:val="21"/>
                <w:szCs w:val="21"/>
              </w:rPr>
              <w:t>雨水沟排入场区周边雨水沟渠。</w:t>
            </w:r>
          </w:p>
          <w:p w14:paraId="14A0EBC3">
            <w:pPr>
              <w:keepNext w:val="0"/>
              <w:keepLines w:val="0"/>
              <w:suppressLineNumbers w:val="0"/>
              <w:spacing w:before="0" w:beforeAutospacing="0" w:after="0" w:afterAutospacing="0"/>
              <w:ind w:left="0" w:right="0" w:firstLine="105" w:firstLineChars="50"/>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污水：</w:t>
            </w:r>
            <w:r>
              <w:rPr>
                <w:rFonts w:hint="default" w:ascii="Times New Roman" w:hAnsi="Times New Roman" w:cs="Times New Roman"/>
                <w:b w:val="0"/>
                <w:color w:val="auto"/>
                <w:szCs w:val="21"/>
                <w:highlight w:val="none"/>
                <w:lang w:bidi="zh-CN"/>
              </w:rPr>
              <w:t>食堂废水经过隔油池处理后与其他生活污水排入化粪池处理后</w:t>
            </w:r>
            <w:r>
              <w:rPr>
                <w:rFonts w:hint="default" w:ascii="Times New Roman" w:hAnsi="Times New Roman" w:cs="Times New Roman"/>
                <w:b w:val="0"/>
                <w:color w:val="auto"/>
                <w:szCs w:val="21"/>
                <w:highlight w:val="none"/>
                <w:lang w:val="en-US" w:bidi="zh-CN"/>
              </w:rPr>
              <w:t>进入污水收集池；</w:t>
            </w: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val="en-US" w:eastAsia="zh-CN"/>
              </w:rPr>
              <w:t>综合</w:t>
            </w:r>
            <w:r>
              <w:rPr>
                <w:rFonts w:hint="default" w:ascii="Times New Roman" w:hAnsi="Times New Roman" w:cs="Times New Roman"/>
                <w:color w:val="auto"/>
                <w:sz w:val="21"/>
                <w:szCs w:val="21"/>
              </w:rPr>
              <w:t>养殖废水经</w:t>
            </w:r>
            <w:r>
              <w:rPr>
                <w:rFonts w:hint="default" w:ascii="Times New Roman" w:hAnsi="Times New Roman" w:cs="Times New Roman"/>
                <w:bCs/>
                <w:color w:val="auto"/>
                <w:sz w:val="21"/>
                <w:szCs w:val="21"/>
                <w:lang w:val="en-US" w:eastAsia="zh-CN"/>
              </w:rPr>
              <w:t>粪尿收集池收集，固液分离后废水进入污水收集池，与生活污水一起</w:t>
            </w:r>
            <w:r>
              <w:rPr>
                <w:rFonts w:hint="default" w:ascii="Times New Roman" w:hAnsi="Times New Roman" w:cs="Times New Roman"/>
                <w:b w:val="0"/>
                <w:bCs/>
                <w:color w:val="auto"/>
                <w:szCs w:val="21"/>
                <w:highlight w:val="none"/>
                <w:lang w:val="en-US" w:eastAsia="zh-CN" w:bidi="zh-CN"/>
              </w:rPr>
              <w:t>依托弥勒温氏畜牧有限公司新哨种猪场建设项目</w:t>
            </w:r>
            <w:r>
              <w:rPr>
                <w:rFonts w:hint="default" w:ascii="Times New Roman" w:hAnsi="Times New Roman" w:cs="Times New Roman"/>
                <w:b w:val="0"/>
                <w:bCs/>
                <w:color w:val="auto"/>
                <w:szCs w:val="21"/>
                <w:highlight w:val="none"/>
                <w:lang w:val="en-US" w:bidi="zh-CN"/>
              </w:rPr>
              <w:t>污水处理站处理后用于绿化</w:t>
            </w:r>
            <w:r>
              <w:rPr>
                <w:rFonts w:hint="default" w:ascii="Times New Roman" w:hAnsi="Times New Roman" w:cs="Times New Roman"/>
                <w:b w:val="0"/>
                <w:bCs/>
                <w:color w:val="auto"/>
                <w:szCs w:val="21"/>
                <w:highlight w:val="none"/>
                <w:lang w:bidi="zh-CN"/>
              </w:rPr>
              <w:t>。</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3A1E">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4DEF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F5E5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992B6B">
            <w:pPr>
              <w:spacing w:line="240" w:lineRule="auto"/>
              <w:jc w:val="center"/>
              <w:rPr>
                <w:rFonts w:hint="default" w:ascii="Times New Roman" w:hAnsi="Times New Roman" w:cs="Times New Roman"/>
                <w:b w:val="0"/>
                <w:color w:val="auto"/>
                <w:szCs w:val="21"/>
                <w:highlight w:val="none"/>
              </w:rPr>
            </w:pPr>
            <w:r>
              <w:rPr>
                <w:rFonts w:hint="default" w:ascii="Times New Roman" w:hAnsi="Times New Roman" w:cs="Times New Roman"/>
                <w:color w:val="auto"/>
                <w:sz w:val="21"/>
                <w:szCs w:val="21"/>
              </w:rPr>
              <w:t>供电</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31FA">
            <w:pPr>
              <w:spacing w:line="240" w:lineRule="auto"/>
              <w:rPr>
                <w:rFonts w:hint="default" w:ascii="Times New Roman" w:hAnsi="Times New Roman" w:cs="Times New Roman"/>
                <w:b w:val="0"/>
                <w:color w:val="auto"/>
                <w:szCs w:val="21"/>
                <w:highlight w:val="none"/>
              </w:rPr>
            </w:pPr>
            <w:r>
              <w:rPr>
                <w:rFonts w:hint="default" w:ascii="Times New Roman" w:hAnsi="Times New Roman" w:cs="Times New Roman"/>
                <w:color w:val="auto"/>
                <w:sz w:val="21"/>
                <w:szCs w:val="21"/>
              </w:rPr>
              <w:t>项目用电由新哨镇猴街村供电系统供给，通过就近的</w:t>
            </w:r>
            <w:r>
              <w:rPr>
                <w:rFonts w:hint="eastAsia" w:ascii="Times New Roman" w:hAnsi="Times New Roman" w:cs="Times New Roman"/>
                <w:color w:val="auto"/>
                <w:sz w:val="21"/>
                <w:szCs w:val="21"/>
                <w:lang w:eastAsia="zh-CN"/>
              </w:rPr>
              <w:t>电缆线路</w:t>
            </w:r>
            <w:r>
              <w:rPr>
                <w:rFonts w:hint="default" w:ascii="Times New Roman" w:hAnsi="Times New Roman" w:cs="Times New Roman"/>
                <w:color w:val="auto"/>
                <w:sz w:val="21"/>
                <w:szCs w:val="21"/>
              </w:rPr>
              <w:t>引入，区内采用220/380V 低压三相供电引至个用电单元</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同时设置</w:t>
            </w:r>
            <w:r>
              <w:rPr>
                <w:rFonts w:hint="default" w:ascii="Times New Roman" w:hAnsi="Times New Roman" w:cs="Times New Roman"/>
                <w:bCs/>
                <w:color w:val="auto"/>
                <w:sz w:val="21"/>
                <w:szCs w:val="21"/>
              </w:rPr>
              <w:t>1台0.4kV的柴油发电机作为应急电源</w:t>
            </w:r>
            <w:r>
              <w:rPr>
                <w:rFonts w:hint="default" w:ascii="Times New Roman" w:hAnsi="Times New Roman" w:cs="Times New Roman"/>
                <w:color w:val="auto"/>
                <w:sz w:val="21"/>
                <w:szCs w:val="21"/>
              </w:rPr>
              <w:t>。</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4E24">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48A3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54EDD">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DF2FE1">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供热</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DDC9A">
            <w:pPr>
              <w:keepNext w:val="0"/>
              <w:keepLines w:val="0"/>
              <w:suppressLineNumbers w:val="0"/>
              <w:spacing w:before="0" w:beforeAutospacing="0" w:after="0" w:afterAutospacing="0"/>
              <w:ind w:left="0" w:right="0"/>
              <w:textAlignment w:val="baseline"/>
              <w:rPr>
                <w:rFonts w:hint="default" w:ascii="Times New Roman" w:hAnsi="Times New Roman" w:cs="Times New Roman"/>
                <w:b w:val="0"/>
                <w:bCs/>
                <w:snapToGrid w:val="0"/>
                <w:color w:val="auto"/>
                <w:szCs w:val="21"/>
                <w:highlight w:val="none"/>
              </w:rPr>
            </w:pPr>
            <w:r>
              <w:rPr>
                <w:rFonts w:hint="default" w:ascii="Times New Roman" w:hAnsi="Times New Roman" w:cs="Times New Roman"/>
                <w:b w:val="0"/>
                <w:bCs/>
                <w:snapToGrid w:val="0"/>
                <w:color w:val="auto"/>
                <w:szCs w:val="21"/>
                <w:highlight w:val="none"/>
                <w:lang w:bidi="zh-CN"/>
              </w:rPr>
              <w:t>项目区供热主要为电、太阳能、</w:t>
            </w:r>
            <w:r>
              <w:rPr>
                <w:rFonts w:hint="default" w:ascii="Times New Roman" w:hAnsi="Times New Roman" w:cs="Times New Roman"/>
                <w:b w:val="0"/>
                <w:bCs/>
                <w:snapToGrid w:val="0"/>
                <w:color w:val="auto"/>
                <w:szCs w:val="21"/>
                <w:highlight w:val="none"/>
                <w:lang w:val="en-US" w:bidi="zh-CN"/>
              </w:rPr>
              <w:t>天然气</w:t>
            </w:r>
            <w:r>
              <w:rPr>
                <w:rFonts w:hint="default" w:ascii="Times New Roman" w:hAnsi="Times New Roman" w:cs="Times New Roman"/>
                <w:b w:val="0"/>
                <w:bCs/>
                <w:snapToGrid w:val="0"/>
                <w:color w:val="auto"/>
                <w:szCs w:val="21"/>
                <w:highlight w:val="none"/>
                <w:lang w:bidi="zh-CN"/>
              </w:rPr>
              <w:t>供热。</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D664">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6632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258E8">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D4DEC3">
            <w:pPr>
              <w:spacing w:line="240" w:lineRule="auto"/>
              <w:jc w:val="center"/>
              <w:rPr>
                <w:rFonts w:hint="default" w:ascii="Times New Roman" w:hAnsi="Times New Roman" w:cs="Times New Roman"/>
                <w:b w:val="0"/>
                <w:color w:val="auto"/>
                <w:szCs w:val="21"/>
                <w:highlight w:val="none"/>
              </w:rPr>
            </w:pPr>
            <w:r>
              <w:rPr>
                <w:rFonts w:hint="default" w:ascii="Times New Roman" w:hAnsi="Times New Roman" w:cs="Times New Roman"/>
                <w:bCs/>
                <w:color w:val="auto"/>
                <w:sz w:val="21"/>
                <w:szCs w:val="21"/>
              </w:rPr>
              <w:t>供暖系统</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7D66F">
            <w:pPr>
              <w:spacing w:line="240" w:lineRule="auto"/>
              <w:rPr>
                <w:rFonts w:hint="default" w:ascii="Times New Roman" w:hAnsi="Times New Roman" w:cs="Times New Roman"/>
                <w:b w:val="0"/>
                <w:bCs/>
                <w:snapToGrid w:val="0"/>
                <w:color w:val="auto"/>
                <w:szCs w:val="21"/>
                <w:highlight w:val="none"/>
                <w:lang w:bidi="zh-CN"/>
              </w:rPr>
            </w:pPr>
            <w:r>
              <w:rPr>
                <w:rFonts w:hint="default" w:ascii="Times New Roman" w:hAnsi="Times New Roman" w:cs="Times New Roman"/>
                <w:bCs/>
                <w:color w:val="auto"/>
                <w:sz w:val="21"/>
                <w:szCs w:val="21"/>
              </w:rPr>
              <w:t>项目冬季猪舍取暖主要是通过猪舍墙体保温材料与外部断绝热交换；对于刚进场的仔猪，由于其适应能力差，采用红外灯供暖；生活区冬季取暖采用电热供暖。</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29AD">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2B79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126AB">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A5664C">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 w:val="0"/>
                <w:color w:val="auto"/>
                <w:szCs w:val="21"/>
                <w:highlight w:val="none"/>
                <w:lang w:val="en-US" w:eastAsia="zh-CN"/>
              </w:rPr>
            </w:pPr>
            <w:r>
              <w:rPr>
                <w:rFonts w:hint="default" w:ascii="Times New Roman" w:hAnsi="Times New Roman" w:cs="Times New Roman"/>
                <w:b w:val="0"/>
                <w:color w:val="auto"/>
                <w:szCs w:val="21"/>
                <w:highlight w:val="none"/>
              </w:rPr>
              <w:t>降温</w:t>
            </w:r>
            <w:r>
              <w:rPr>
                <w:rFonts w:hint="default" w:ascii="Times New Roman" w:hAnsi="Times New Roman" w:cs="Times New Roman"/>
                <w:b w:val="0"/>
                <w:color w:val="auto"/>
                <w:szCs w:val="21"/>
                <w:highlight w:val="none"/>
                <w:lang w:val="en-US" w:eastAsia="zh-CN"/>
              </w:rPr>
              <w:t>系统</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706C">
            <w:pPr>
              <w:keepNext w:val="0"/>
              <w:keepLines w:val="0"/>
              <w:suppressLineNumbers w:val="0"/>
              <w:spacing w:before="0" w:beforeAutospacing="0" w:after="0" w:afterAutospacing="0"/>
              <w:ind w:left="0" w:right="0"/>
              <w:textAlignment w:val="baseline"/>
              <w:rPr>
                <w:rFonts w:hint="default" w:ascii="Times New Roman" w:hAnsi="Times New Roman" w:cs="Times New Roman"/>
                <w:b w:val="0"/>
                <w:bCs/>
                <w:snapToGrid w:val="0"/>
                <w:color w:val="auto"/>
                <w:szCs w:val="21"/>
                <w:highlight w:val="none"/>
                <w:lang w:bidi="zh-CN"/>
              </w:rPr>
            </w:pPr>
            <w:r>
              <w:rPr>
                <w:rFonts w:hint="default" w:ascii="Times New Roman" w:hAnsi="Times New Roman" w:eastAsia="宋体" w:cs="Times New Roman"/>
                <w:b w:val="0"/>
                <w:bCs w:val="0"/>
                <w:color w:val="auto"/>
                <w:kern w:val="0"/>
                <w:sz w:val="21"/>
                <w:szCs w:val="21"/>
                <w:vertAlign w:val="baseline"/>
                <w:lang w:val="en-US" w:eastAsia="zh-CN" w:bidi="ar"/>
              </w:rPr>
              <w:t>猪舍内降温采用</w:t>
            </w:r>
            <w:r>
              <w:rPr>
                <w:rFonts w:hint="default" w:ascii="Times New Roman" w:hAnsi="Times New Roman" w:cs="Times New Roman"/>
                <w:b w:val="0"/>
                <w:bCs/>
                <w:color w:val="auto"/>
                <w:sz w:val="21"/>
                <w:szCs w:val="21"/>
                <w:highlight w:val="none"/>
              </w:rPr>
              <w:t>水帘降温增湿系统</w:t>
            </w:r>
            <w:r>
              <w:rPr>
                <w:rFonts w:hint="default" w:ascii="Times New Roman" w:hAnsi="Times New Roman" w:eastAsia="宋体" w:cs="Times New Roman"/>
                <w:b w:val="0"/>
                <w:bCs w:val="0"/>
                <w:color w:val="auto"/>
                <w:kern w:val="0"/>
                <w:sz w:val="21"/>
                <w:szCs w:val="21"/>
                <w:vertAlign w:val="baseline"/>
                <w:lang w:val="en-US" w:eastAsia="zh-CN" w:bidi="ar"/>
              </w:rPr>
              <w:t>，每栋育肥舍设置</w:t>
            </w:r>
            <w:r>
              <w:rPr>
                <w:rFonts w:hint="default" w:ascii="Times New Roman" w:hAnsi="Times New Roman" w:cs="Times New Roman"/>
                <w:b w:val="0"/>
                <w:bCs w:val="0"/>
                <w:color w:val="auto"/>
                <w:kern w:val="0"/>
                <w:sz w:val="21"/>
                <w:szCs w:val="21"/>
                <w:vertAlign w:val="baseline"/>
                <w:lang w:val="en-US" w:eastAsia="zh-CN" w:bidi="ar"/>
              </w:rPr>
              <w:t>4</w:t>
            </w:r>
            <w:r>
              <w:rPr>
                <w:rFonts w:hint="default" w:ascii="Times New Roman" w:hAnsi="Times New Roman" w:eastAsia="宋体" w:cs="Times New Roman"/>
                <w:b w:val="0"/>
                <w:bCs w:val="0"/>
                <w:color w:val="auto"/>
                <w:kern w:val="0"/>
                <w:sz w:val="21"/>
                <w:szCs w:val="21"/>
                <w:vertAlign w:val="baseline"/>
                <w:lang w:val="en-US" w:eastAsia="zh-CN" w:bidi="ar"/>
              </w:rPr>
              <w:t>个水帘，每栋保育舍设置</w:t>
            </w:r>
            <w:r>
              <w:rPr>
                <w:rFonts w:hint="default" w:ascii="Times New Roman" w:hAnsi="Times New Roman" w:cs="Times New Roman"/>
                <w:b w:val="0"/>
                <w:bCs w:val="0"/>
                <w:color w:val="auto"/>
                <w:kern w:val="0"/>
                <w:sz w:val="21"/>
                <w:szCs w:val="21"/>
                <w:vertAlign w:val="baseline"/>
                <w:lang w:val="en-US" w:eastAsia="zh-CN" w:bidi="ar"/>
              </w:rPr>
              <w:t>2</w:t>
            </w:r>
            <w:r>
              <w:rPr>
                <w:rFonts w:hint="default" w:ascii="Times New Roman" w:hAnsi="Times New Roman" w:eastAsia="宋体" w:cs="Times New Roman"/>
                <w:b w:val="0"/>
                <w:bCs w:val="0"/>
                <w:color w:val="auto"/>
                <w:kern w:val="0"/>
                <w:sz w:val="21"/>
                <w:szCs w:val="21"/>
                <w:vertAlign w:val="baseline"/>
                <w:lang w:val="en-US" w:eastAsia="zh-CN" w:bidi="ar"/>
              </w:rPr>
              <w:t>个水帘，</w:t>
            </w:r>
            <w:r>
              <w:rPr>
                <w:rFonts w:hint="default" w:ascii="Times New Roman" w:hAnsi="Times New Roman" w:cs="Times New Roman"/>
                <w:b w:val="0"/>
                <w:bCs/>
                <w:color w:val="auto"/>
                <w:sz w:val="21"/>
                <w:szCs w:val="21"/>
                <w:highlight w:val="none"/>
              </w:rPr>
              <w:t>每个水帘降温增湿系统设置1套自动加湿器（水泵），</w:t>
            </w:r>
            <w:r>
              <w:rPr>
                <w:rFonts w:hint="default" w:ascii="Times New Roman" w:hAnsi="Times New Roman" w:cs="Times New Roman"/>
                <w:b w:val="0"/>
                <w:bCs/>
                <w:color w:val="auto"/>
                <w:sz w:val="21"/>
                <w:szCs w:val="21"/>
                <w:highlight w:val="none"/>
                <w:lang w:val="en-US" w:eastAsia="zh-CN"/>
              </w:rPr>
              <w:t>每个水帘</w:t>
            </w:r>
            <w:r>
              <w:rPr>
                <w:rFonts w:hint="default" w:ascii="Times New Roman" w:hAnsi="Times New Roman" w:cs="Times New Roman"/>
                <w:b w:val="0"/>
                <w:bCs/>
                <w:color w:val="auto"/>
                <w:sz w:val="21"/>
                <w:szCs w:val="21"/>
                <w:highlight w:val="none"/>
              </w:rPr>
              <w:t>各配置1个容积为</w:t>
            </w:r>
            <w:r>
              <w:rPr>
                <w:rFonts w:hint="default" w:ascii="Times New Roman" w:hAnsi="Times New Roman" w:cs="Times New Roman"/>
                <w:b w:val="0"/>
                <w:bCs/>
                <w:color w:val="auto"/>
                <w:sz w:val="21"/>
                <w:szCs w:val="21"/>
                <w:highlight w:val="none"/>
                <w:lang w:val="en-US" w:eastAsia="zh-CN"/>
              </w:rPr>
              <w:t>1</w:t>
            </w:r>
            <w:r>
              <w:rPr>
                <w:rFonts w:hint="default" w:ascii="Times New Roman" w:hAnsi="Times New Roman" w:cs="Times New Roman"/>
                <w:b w:val="0"/>
                <w:bCs/>
                <w:color w:val="auto"/>
                <w:sz w:val="21"/>
                <w:szCs w:val="21"/>
                <w:highlight w:val="none"/>
              </w:rPr>
              <w:t>m</w:t>
            </w:r>
            <w:r>
              <w:rPr>
                <w:rFonts w:hint="default" w:ascii="Times New Roman" w:hAnsi="Times New Roman" w:cs="Times New Roman"/>
                <w:b w:val="0"/>
                <w:bCs/>
                <w:color w:val="auto"/>
                <w:sz w:val="21"/>
                <w:szCs w:val="21"/>
                <w:highlight w:val="none"/>
                <w:vertAlign w:val="superscript"/>
              </w:rPr>
              <w:t>3</w:t>
            </w:r>
            <w:r>
              <w:rPr>
                <w:rFonts w:hint="default" w:ascii="Times New Roman" w:hAnsi="Times New Roman" w:cs="Times New Roman"/>
                <w:b w:val="0"/>
                <w:bCs/>
                <w:color w:val="auto"/>
                <w:sz w:val="21"/>
                <w:szCs w:val="21"/>
                <w:highlight w:val="none"/>
              </w:rPr>
              <w:t>循环水池，</w:t>
            </w:r>
            <w:r>
              <w:rPr>
                <w:rFonts w:hint="default" w:ascii="Times New Roman" w:hAnsi="Times New Roman" w:cs="Times New Roman"/>
                <w:b w:val="0"/>
                <w:bCs/>
                <w:color w:val="auto"/>
                <w:sz w:val="21"/>
                <w:szCs w:val="21"/>
                <w:highlight w:val="none"/>
                <w:lang w:val="en-US" w:eastAsia="zh-CN"/>
              </w:rPr>
              <w:t>总共设置10个</w:t>
            </w:r>
            <w:r>
              <w:rPr>
                <w:rFonts w:hint="default" w:ascii="Times New Roman" w:hAnsi="Times New Roman" w:cs="Times New Roman"/>
                <w:b w:val="0"/>
                <w:bCs/>
                <w:color w:val="auto"/>
                <w:sz w:val="21"/>
                <w:szCs w:val="21"/>
                <w:highlight w:val="none"/>
              </w:rPr>
              <w:t>循环水池</w:t>
            </w:r>
            <w:r>
              <w:rPr>
                <w:rFonts w:hint="default" w:ascii="Times New Roman" w:hAnsi="Times New Roman"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用于夏季气温高于35℃时猪舍内调节温度。</w:t>
            </w:r>
            <w:r>
              <w:rPr>
                <w:rFonts w:hint="default" w:ascii="Times New Roman" w:hAnsi="Times New Roman" w:eastAsia="宋体" w:cs="Times New Roman"/>
                <w:b w:val="0"/>
                <w:bCs w:val="0"/>
                <w:color w:val="auto"/>
                <w:kern w:val="0"/>
                <w:sz w:val="21"/>
                <w:szCs w:val="21"/>
                <w:vertAlign w:val="baseline"/>
                <w:lang w:val="en-US" w:eastAsia="zh-CN" w:bidi="ar"/>
              </w:rPr>
              <w:t>水帘使用过程水循环使用，定时补充损耗量，使用周期结束后循环水池内的废水与其他养殖废水一并进入依托污水处理站。</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C0E3A">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63C9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18165">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1BEDB8">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 w:val="0"/>
                <w:color w:val="auto"/>
                <w:szCs w:val="21"/>
                <w:highlight w:val="none"/>
                <w:lang w:eastAsia="zh-CN"/>
              </w:rPr>
            </w:pPr>
            <w:r>
              <w:rPr>
                <w:rFonts w:hint="default" w:ascii="Times New Roman" w:hAnsi="Times New Roman" w:cs="Times New Roman"/>
                <w:b w:val="0"/>
                <w:color w:val="auto"/>
                <w:szCs w:val="21"/>
                <w:highlight w:val="none"/>
                <w:lang w:eastAsia="zh-CN"/>
              </w:rPr>
              <w:t>防疫</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6A56">
            <w:pPr>
              <w:keepNext w:val="0"/>
              <w:keepLines w:val="0"/>
              <w:suppressLineNumbers w:val="0"/>
              <w:spacing w:before="0" w:beforeAutospacing="0" w:after="0" w:afterAutospacing="0"/>
              <w:ind w:left="0" w:right="0" w:firstLine="210" w:firstLineChars="100"/>
              <w:textAlignment w:val="baseline"/>
              <w:rPr>
                <w:rFonts w:hint="default" w:ascii="Times New Roman" w:hAnsi="Times New Roman" w:cs="Times New Roman"/>
                <w:b w:val="0"/>
                <w:bCs/>
                <w:snapToGrid w:val="0"/>
                <w:color w:val="auto"/>
                <w:sz w:val="21"/>
                <w:szCs w:val="21"/>
                <w:highlight w:val="none"/>
                <w:lang w:bidi="zh-CN"/>
              </w:rPr>
            </w:pPr>
            <w:r>
              <w:rPr>
                <w:rFonts w:hint="default" w:ascii="Times New Roman" w:hAnsi="Times New Roman" w:cs="Times New Roman"/>
                <w:color w:val="auto"/>
                <w:sz w:val="21"/>
                <w:szCs w:val="21"/>
                <w:highlight w:val="none"/>
                <w:lang w:bidi="zh-CN"/>
              </w:rPr>
              <w:t>在项目仓库内设置防疫室暂存疫苗，由专业技术人员按照免疫流程进行疫苗注射。</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3DA6">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Cs w:val="20"/>
                <w:highlight w:val="none"/>
                <w:lang w:val="en-US" w:eastAsia="zh-CN"/>
              </w:rPr>
              <w:t>新建</w:t>
            </w:r>
          </w:p>
        </w:tc>
      </w:tr>
      <w:tr w14:paraId="0440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DC495">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7296EA">
            <w:pPr>
              <w:spacing w:line="240" w:lineRule="auto"/>
              <w:jc w:val="center"/>
              <w:rPr>
                <w:rFonts w:hint="default" w:ascii="Times New Roman" w:hAnsi="Times New Roman" w:cs="Times New Roman"/>
                <w:b w:val="0"/>
                <w:color w:val="auto"/>
                <w:szCs w:val="21"/>
                <w:highlight w:val="none"/>
              </w:rPr>
            </w:pPr>
            <w:r>
              <w:rPr>
                <w:rFonts w:hint="default" w:ascii="Times New Roman" w:hAnsi="Times New Roman" w:cs="Times New Roman"/>
                <w:color w:val="auto"/>
                <w:sz w:val="21"/>
                <w:szCs w:val="21"/>
              </w:rPr>
              <w:t>通风</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39A3">
            <w:pPr>
              <w:spacing w:line="240" w:lineRule="auto"/>
              <w:jc w:val="left"/>
              <w:rPr>
                <w:rFonts w:hint="default" w:ascii="Times New Roman" w:hAnsi="Times New Roman" w:cs="Times New Roman"/>
                <w:b w:val="0"/>
                <w:bCs/>
                <w:snapToGrid w:val="0"/>
                <w:color w:val="auto"/>
                <w:szCs w:val="21"/>
                <w:highlight w:val="none"/>
                <w:lang w:bidi="zh-CN"/>
              </w:rPr>
            </w:pPr>
            <w:r>
              <w:rPr>
                <w:rFonts w:hint="default" w:ascii="Times New Roman" w:hAnsi="Times New Roman" w:eastAsia="宋体" w:cs="Times New Roman"/>
                <w:color w:val="auto"/>
                <w:sz w:val="21"/>
                <w:szCs w:val="21"/>
                <w:lang w:val="en-US" w:eastAsia="zh-CN"/>
              </w:rPr>
              <w:t>为保证猪舍及猪舍底部粪尿收集池空气流通，降</w:t>
            </w:r>
            <w:r>
              <w:rPr>
                <w:rFonts w:hint="default" w:ascii="Times New Roman" w:hAnsi="Times New Roman" w:eastAsia="宋体" w:cs="Times New Roman"/>
                <w:color w:val="auto"/>
                <w:sz w:val="21"/>
                <w:szCs w:val="21"/>
                <w:highlight w:val="none"/>
                <w:lang w:val="en-US" w:eastAsia="zh-CN"/>
              </w:rPr>
              <w:t>低猪舍臭气；每栋育肥舍</w:t>
            </w:r>
            <w:r>
              <w:rPr>
                <w:rFonts w:hint="eastAsia" w:ascii="Times New Roman" w:hAnsi="Times New Roman" w:cs="Times New Roman"/>
                <w:color w:val="auto"/>
                <w:sz w:val="21"/>
                <w:szCs w:val="21"/>
                <w:highlight w:val="none"/>
                <w:lang w:val="en-US" w:eastAsia="zh-CN"/>
              </w:rPr>
              <w:t>设置</w:t>
            </w:r>
            <w:r>
              <w:rPr>
                <w:rFonts w:hint="default" w:ascii="Times New Roman" w:hAnsi="Times New Roman" w:eastAsia="宋体" w:cs="Times New Roman"/>
                <w:color w:val="auto"/>
                <w:sz w:val="21"/>
                <w:szCs w:val="21"/>
                <w:highlight w:val="none"/>
                <w:lang w:val="en-US" w:eastAsia="zh-CN"/>
              </w:rPr>
              <w:t>4组换气风机，每组4个换气扇；保育舍设置2组换气风机，每组4个换气扇。猪舍内部设置监控系统，当需要通风时，开启风机实现猪舍通风，</w:t>
            </w:r>
            <w:r>
              <w:rPr>
                <w:rFonts w:hint="default" w:ascii="Times New Roman" w:hAnsi="Times New Roman" w:eastAsia="宋体" w:cs="Times New Roman"/>
                <w:color w:val="auto"/>
                <w:sz w:val="21"/>
                <w:szCs w:val="21"/>
                <w:highlight w:val="none"/>
              </w:rPr>
              <w:t>以满足生猪养殖要求。</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153B">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4AD0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CEEAA">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F37A55">
            <w:pPr>
              <w:spacing w:line="240" w:lineRule="auto"/>
              <w:jc w:val="center"/>
              <w:rPr>
                <w:rFonts w:hint="default" w:ascii="Times New Roman" w:hAnsi="Times New Roman" w:cs="Times New Roman"/>
                <w:b w:val="0"/>
                <w:color w:val="auto"/>
                <w:szCs w:val="21"/>
                <w:highlight w:val="none"/>
              </w:rPr>
            </w:pPr>
            <w:r>
              <w:rPr>
                <w:rFonts w:hint="default" w:ascii="Times New Roman" w:hAnsi="Times New Roman" w:cs="Times New Roman"/>
                <w:color w:val="auto"/>
                <w:sz w:val="21"/>
                <w:szCs w:val="21"/>
              </w:rPr>
              <w:t>交通</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669B">
            <w:pPr>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（1）场外运输道路：项目养殖所需的原辅材料、生猪等通过项目区周边现有的乡村道路进行运输。</w:t>
            </w:r>
          </w:p>
          <w:p w14:paraId="34B16CB7">
            <w:pPr>
              <w:spacing w:line="240" w:lineRule="auto"/>
              <w:rPr>
                <w:rFonts w:hint="default" w:ascii="Times New Roman" w:hAnsi="Times New Roman" w:cs="Times New Roman"/>
                <w:b w:val="0"/>
                <w:bCs/>
                <w:snapToGrid w:val="0"/>
                <w:color w:val="auto"/>
                <w:szCs w:val="21"/>
                <w:highlight w:val="none"/>
              </w:rPr>
            </w:pPr>
            <w:r>
              <w:rPr>
                <w:rFonts w:hint="default" w:ascii="Times New Roman" w:hAnsi="Times New Roman" w:cs="Times New Roman"/>
                <w:color w:val="auto"/>
                <w:sz w:val="21"/>
                <w:szCs w:val="21"/>
              </w:rPr>
              <w:t>（2）场内道路：项目区场内道路均为水泥硬化道路，路面宽3.5~6m，占地面积</w:t>
            </w:r>
            <w:r>
              <w:rPr>
                <w:rFonts w:hint="default" w:ascii="Times New Roman" w:hAnsi="Times New Roman" w:cs="Times New Roman"/>
                <w:color w:val="auto"/>
                <w:sz w:val="21"/>
                <w:szCs w:val="21"/>
                <w:lang w:val="en-US" w:eastAsia="zh-CN"/>
              </w:rPr>
              <w:t>2800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，与场外运输道路连接。</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852BE">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1AC8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FB8DC4">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环保工程</w:t>
            </w:r>
          </w:p>
        </w:tc>
        <w:tc>
          <w:tcPr>
            <w:tcW w:w="426" w:type="dxa"/>
            <w:vMerge w:val="restart"/>
            <w:tcBorders>
              <w:top w:val="single" w:color="000000" w:sz="4" w:space="0"/>
              <w:left w:val="single" w:color="000000" w:sz="4" w:space="0"/>
              <w:right w:val="single" w:color="000000" w:sz="4" w:space="0"/>
            </w:tcBorders>
            <w:shd w:val="clear" w:color="auto" w:fill="auto"/>
            <w:vAlign w:val="center"/>
          </w:tcPr>
          <w:p w14:paraId="1ABE6998">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废水治理</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FB4A">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养殖废水</w:t>
            </w:r>
            <w:r>
              <w:rPr>
                <w:rFonts w:hint="default" w:ascii="Times New Roman" w:hAnsi="Times New Roman" w:cs="Times New Roman"/>
                <w:b w:val="0"/>
                <w:color w:val="auto"/>
                <w:szCs w:val="21"/>
                <w:highlight w:val="none"/>
                <w:lang w:val="en-US" w:eastAsia="zh-CN"/>
              </w:rPr>
              <w:t>收集</w:t>
            </w:r>
            <w:r>
              <w:rPr>
                <w:rFonts w:hint="default" w:ascii="Times New Roman" w:hAnsi="Times New Roman" w:cs="Times New Roman"/>
                <w:b w:val="0"/>
                <w:color w:val="auto"/>
                <w:szCs w:val="21"/>
                <w:highlight w:val="none"/>
              </w:rPr>
              <w:t>系统</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E85D9">
            <w:pPr>
              <w:keepNext w:val="0"/>
              <w:keepLines w:val="0"/>
              <w:suppressLineNumbers w:val="0"/>
              <w:spacing w:before="0" w:beforeAutospacing="0" w:after="0" w:afterAutospacing="0"/>
              <w:ind w:left="0" w:right="0" w:firstLine="180" w:firstLineChars="100"/>
              <w:textAlignment w:val="baseline"/>
              <w:rPr>
                <w:rFonts w:hint="default" w:ascii="Times New Roman" w:hAnsi="Times New Roman" w:cs="Times New Roman"/>
                <w:b w:val="0"/>
                <w:color w:val="auto"/>
                <w:szCs w:val="21"/>
                <w:highlight w:val="none"/>
                <w:lang w:val="en-US"/>
              </w:rPr>
            </w:pPr>
            <w:r>
              <w:rPr>
                <w:rFonts w:hint="default" w:ascii="Times New Roman" w:hAnsi="Times New Roman" w:cs="Times New Roman"/>
                <w:color w:val="auto"/>
                <w:sz w:val="18"/>
                <w:szCs w:val="18"/>
                <w:lang w:bidi="zh-CN"/>
              </w:rPr>
              <w:t>本项目</w:t>
            </w:r>
            <w:r>
              <w:rPr>
                <w:rFonts w:hint="default" w:ascii="Times New Roman" w:hAnsi="Times New Roman" w:cs="Times New Roman"/>
                <w:color w:val="auto"/>
                <w:sz w:val="18"/>
                <w:szCs w:val="18"/>
                <w:highlight w:val="none"/>
                <w:lang w:bidi="zh-CN"/>
              </w:rPr>
              <w:t>猪舍内设置漏粪地板，孔径约20mm，猪粪和尿液通过漏粪地板进入猪舍下方设置的粪尿收集池</w:t>
            </w:r>
            <w:r>
              <w:rPr>
                <w:rFonts w:hint="default" w:ascii="Times New Roman" w:hAnsi="Times New Roman" w:cs="Times New Roman"/>
                <w:color w:val="auto"/>
                <w:sz w:val="18"/>
                <w:szCs w:val="18"/>
                <w:highlight w:val="none"/>
                <w:lang w:val="en-US" w:bidi="zh-CN"/>
              </w:rPr>
              <w:t>，</w:t>
            </w:r>
            <w:r>
              <w:rPr>
                <w:rFonts w:hint="default" w:ascii="Times New Roman" w:hAnsi="Times New Roman" w:cs="Times New Roman"/>
                <w:color w:val="auto"/>
                <w:sz w:val="18"/>
                <w:szCs w:val="18"/>
                <w:highlight w:val="none"/>
                <w:lang w:bidi="zh-CN"/>
              </w:rPr>
              <w:t>粪尿收集池</w:t>
            </w:r>
            <w:r>
              <w:rPr>
                <w:rFonts w:hint="default" w:ascii="Times New Roman" w:hAnsi="Times New Roman" w:eastAsia="宋体" w:cs="Times New Roman"/>
                <w:color w:val="auto"/>
                <w:kern w:val="0"/>
                <w:sz w:val="18"/>
                <w:szCs w:val="18"/>
                <w:highlight w:val="none"/>
                <w:lang w:val="en-US" w:eastAsia="zh-CN" w:bidi="ar"/>
              </w:rPr>
              <w:t>底部设计成一端高一端低的倾斜结构，排污阀最低端，</w:t>
            </w:r>
            <w:r>
              <w:rPr>
                <w:rFonts w:hint="default" w:ascii="Times New Roman" w:hAnsi="Times New Roman" w:cs="Times New Roman"/>
                <w:color w:val="auto"/>
                <w:sz w:val="18"/>
                <w:szCs w:val="18"/>
                <w:highlight w:val="none"/>
                <w:lang w:bidi="zh-CN"/>
              </w:rPr>
              <w:t>连接PVC排污管，</w:t>
            </w:r>
            <w:r>
              <w:rPr>
                <w:rFonts w:hint="default" w:ascii="Times New Roman" w:hAnsi="Times New Roman" w:eastAsia="宋体" w:cs="Times New Roman"/>
                <w:color w:val="auto"/>
                <w:kern w:val="0"/>
                <w:sz w:val="18"/>
                <w:szCs w:val="18"/>
                <w:lang w:val="en-US" w:eastAsia="zh-CN" w:bidi="ar"/>
              </w:rPr>
              <w:t>排空时粪尿依靠储存池底部坡度排入污水输送管网</w:t>
            </w:r>
            <w:r>
              <w:rPr>
                <w:rFonts w:hint="default" w:ascii="Times New Roman" w:hAnsi="Times New Roman" w:eastAsia="宋体" w:cs="Times New Roman"/>
                <w:color w:val="auto"/>
                <w:sz w:val="18"/>
                <w:szCs w:val="18"/>
                <w:lang w:eastAsia="zh-CN"/>
              </w:rPr>
              <w:t>，</w:t>
            </w:r>
            <w:r>
              <w:rPr>
                <w:rFonts w:hint="default" w:ascii="Times New Roman" w:hAnsi="Times New Roman" w:cs="Times New Roman"/>
                <w:color w:val="auto"/>
                <w:sz w:val="18"/>
                <w:szCs w:val="18"/>
                <w:lang w:bidi="zh-CN"/>
              </w:rPr>
              <w:t>尿液和粪便混合物</w:t>
            </w:r>
            <w:r>
              <w:rPr>
                <w:rFonts w:hint="default" w:ascii="Times New Roman" w:hAnsi="Times New Roman" w:cs="Times New Roman"/>
                <w:color w:val="auto"/>
                <w:sz w:val="18"/>
                <w:szCs w:val="18"/>
                <w:lang w:val="en-US" w:bidi="zh-CN"/>
              </w:rPr>
              <w:t>经污水管道输送</w:t>
            </w:r>
            <w:r>
              <w:rPr>
                <w:rFonts w:hint="default" w:ascii="Times New Roman" w:hAnsi="Times New Roman" w:cs="Times New Roman"/>
                <w:color w:val="auto"/>
                <w:sz w:val="18"/>
                <w:szCs w:val="18"/>
                <w:lang w:bidi="zh-CN"/>
              </w:rPr>
              <w:t>至固液分离设备进行固液分离，</w:t>
            </w:r>
            <w:r>
              <w:rPr>
                <w:rFonts w:hint="default" w:ascii="Times New Roman" w:hAnsi="Times New Roman" w:cs="Times New Roman"/>
                <w:bCs/>
                <w:color w:val="auto"/>
                <w:sz w:val="18"/>
                <w:szCs w:val="18"/>
              </w:rPr>
              <w:t>固液分离后的固体粪便</w:t>
            </w:r>
            <w:r>
              <w:rPr>
                <w:rFonts w:hint="default" w:ascii="Times New Roman" w:hAnsi="Times New Roman" w:cs="Times New Roman"/>
                <w:bCs/>
                <w:color w:val="auto"/>
                <w:sz w:val="18"/>
                <w:szCs w:val="18"/>
                <w:lang w:val="en-US" w:eastAsia="zh-CN"/>
              </w:rPr>
              <w:t>进入堆粪棚堆肥发酵</w:t>
            </w:r>
            <w:r>
              <w:rPr>
                <w:rFonts w:hint="default" w:ascii="Times New Roman" w:hAnsi="Times New Roman" w:cs="Times New Roman"/>
                <w:bCs/>
                <w:color w:val="auto"/>
                <w:sz w:val="18"/>
                <w:szCs w:val="18"/>
              </w:rPr>
              <w:t>，尿液则通过</w:t>
            </w:r>
            <w:r>
              <w:rPr>
                <w:rFonts w:hint="default" w:ascii="Times New Roman" w:hAnsi="Times New Roman" w:cs="Times New Roman"/>
                <w:bCs/>
                <w:color w:val="auto"/>
                <w:sz w:val="18"/>
                <w:szCs w:val="18"/>
                <w:lang w:val="en-US" w:eastAsia="zh-CN"/>
              </w:rPr>
              <w:t>污水</w:t>
            </w:r>
            <w:r>
              <w:rPr>
                <w:rFonts w:hint="default" w:ascii="Times New Roman" w:hAnsi="Times New Roman" w:cs="Times New Roman"/>
                <w:bCs/>
                <w:color w:val="auto"/>
                <w:sz w:val="18"/>
                <w:szCs w:val="18"/>
              </w:rPr>
              <w:t>管道进入</w:t>
            </w:r>
            <w:r>
              <w:rPr>
                <w:rFonts w:hint="default" w:ascii="Times New Roman" w:hAnsi="Times New Roman" w:cs="Times New Roman"/>
                <w:bCs/>
                <w:color w:val="auto"/>
                <w:sz w:val="18"/>
                <w:szCs w:val="18"/>
                <w:lang w:val="en-US" w:eastAsia="zh-CN"/>
              </w:rPr>
              <w:t>废水收集池，送至弥勒温氏畜牧有限公司新哨种猪场建设项目污水处理站处理后用于绿化及周边农田灌溉。</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4C10">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5BF7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left w:val="single" w:color="000000" w:sz="4" w:space="0"/>
              <w:right w:val="single" w:color="000000" w:sz="4" w:space="0"/>
            </w:tcBorders>
            <w:shd w:val="clear" w:color="auto" w:fill="auto"/>
            <w:vAlign w:val="center"/>
          </w:tcPr>
          <w:p w14:paraId="40213F95">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left w:val="single" w:color="000000" w:sz="4" w:space="0"/>
              <w:right w:val="single" w:color="000000" w:sz="4" w:space="0"/>
            </w:tcBorders>
            <w:shd w:val="clear" w:color="auto" w:fill="auto"/>
            <w:vAlign w:val="center"/>
          </w:tcPr>
          <w:p w14:paraId="3D68CEF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680F">
            <w:pPr>
              <w:spacing w:line="240" w:lineRule="auto"/>
              <w:jc w:val="center"/>
              <w:rPr>
                <w:rFonts w:hint="default" w:ascii="Times New Roman" w:hAnsi="Times New Roman" w:cs="Times New Roman"/>
                <w:b w:val="0"/>
                <w:color w:val="auto"/>
                <w:szCs w:val="21"/>
                <w:highlight w:val="none"/>
              </w:rPr>
            </w:pPr>
            <w:r>
              <w:rPr>
                <w:rFonts w:hint="default" w:ascii="Times New Roman" w:hAnsi="Times New Roman" w:cs="Times New Roman"/>
                <w:color w:val="auto"/>
                <w:sz w:val="21"/>
                <w:szCs w:val="21"/>
                <w:lang w:val="en-US" w:eastAsia="zh-CN"/>
              </w:rPr>
              <w:t>车辆清洗废水沉淀池</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24BA">
            <w:pPr>
              <w:spacing w:line="240" w:lineRule="auto"/>
              <w:rPr>
                <w:rFonts w:hint="default" w:ascii="Times New Roman" w:hAnsi="Times New Roman" w:cs="Times New Roman"/>
                <w:b w:val="0"/>
                <w:color w:val="auto"/>
                <w:szCs w:val="21"/>
                <w:highlight w:val="none"/>
                <w:lang w:bidi="zh-CN"/>
              </w:rPr>
            </w:pPr>
            <w:r>
              <w:rPr>
                <w:rFonts w:hint="default" w:ascii="Times New Roman" w:hAnsi="Times New Roman" w:cs="Times New Roman"/>
                <w:color w:val="auto"/>
                <w:sz w:val="21"/>
                <w:szCs w:val="21"/>
                <w:lang w:val="en-US" w:eastAsia="zh-CN"/>
              </w:rPr>
              <w:t>1个5m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的沉淀池，车辆清洗废水经沉淀池收集后通过水泵抽排至废水收集池。</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7666">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248F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A747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left w:val="single" w:color="000000" w:sz="4" w:space="0"/>
              <w:right w:val="single" w:color="000000" w:sz="4" w:space="0"/>
            </w:tcBorders>
            <w:shd w:val="clear" w:color="auto" w:fill="auto"/>
            <w:vAlign w:val="center"/>
          </w:tcPr>
          <w:p w14:paraId="7D29AC25">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A7B12">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隔油池</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E6DCD">
            <w:pPr>
              <w:keepNext w:val="0"/>
              <w:keepLines w:val="0"/>
              <w:suppressLineNumbers w:val="0"/>
              <w:spacing w:before="0" w:beforeAutospacing="0" w:after="0" w:afterAutospacing="0"/>
              <w:ind w:right="0"/>
              <w:jc w:val="left"/>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1个，容积为0.5m</w:t>
            </w:r>
            <w:r>
              <w:rPr>
                <w:rFonts w:hint="default" w:ascii="Times New Roman" w:hAnsi="Times New Roman" w:cs="Times New Roman"/>
                <w:b w:val="0"/>
                <w:color w:val="auto"/>
                <w:szCs w:val="21"/>
                <w:highlight w:val="none"/>
                <w:vertAlign w:val="superscript"/>
              </w:rPr>
              <w:t>3</w:t>
            </w:r>
            <w:r>
              <w:rPr>
                <w:rFonts w:hint="default" w:ascii="Times New Roman" w:hAnsi="Times New Roman" w:cs="Times New Roman"/>
                <w:b w:val="0"/>
                <w:color w:val="auto"/>
                <w:szCs w:val="21"/>
                <w:highlight w:val="none"/>
              </w:rPr>
              <w:t>，位于食堂东侧，主要对食堂含油废水进行隔油预处理。</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F60DA">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552A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49605">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left w:val="single" w:color="000000" w:sz="4" w:space="0"/>
              <w:right w:val="single" w:color="000000" w:sz="4" w:space="0"/>
            </w:tcBorders>
            <w:shd w:val="clear" w:color="auto" w:fill="auto"/>
            <w:vAlign w:val="center"/>
          </w:tcPr>
          <w:p w14:paraId="56E0A116">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63F65">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化粪池</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B6DD">
            <w:pPr>
              <w:keepNext w:val="0"/>
              <w:keepLines w:val="0"/>
              <w:suppressLineNumbers w:val="0"/>
              <w:spacing w:before="0" w:beforeAutospacing="0" w:after="0" w:afterAutospacing="0"/>
              <w:ind w:left="0" w:right="0" w:firstLine="210" w:firstLineChars="100"/>
              <w:jc w:val="left"/>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1个，位于办公生活区，容积为10m</w:t>
            </w:r>
            <w:r>
              <w:rPr>
                <w:rFonts w:hint="default" w:ascii="Times New Roman" w:hAnsi="Times New Roman" w:cs="Times New Roman"/>
                <w:b w:val="0"/>
                <w:color w:val="auto"/>
                <w:szCs w:val="21"/>
                <w:highlight w:val="none"/>
                <w:vertAlign w:val="superscript"/>
              </w:rPr>
              <w:t>3</w:t>
            </w:r>
            <w:r>
              <w:rPr>
                <w:rFonts w:hint="default" w:ascii="Times New Roman" w:hAnsi="Times New Roman" w:cs="Times New Roman"/>
                <w:b w:val="0"/>
                <w:color w:val="auto"/>
                <w:szCs w:val="21"/>
                <w:highlight w:val="none"/>
              </w:rPr>
              <w:t>，主要用于收集、处理员工产生的办公生活污水。</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9BC4">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3480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E58A4">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left w:val="single" w:color="000000" w:sz="4" w:space="0"/>
              <w:right w:val="single" w:color="000000" w:sz="4" w:space="0"/>
            </w:tcBorders>
            <w:shd w:val="clear" w:color="auto" w:fill="auto"/>
            <w:vAlign w:val="center"/>
          </w:tcPr>
          <w:p w14:paraId="32E3BD5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B1289">
            <w:pPr>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sz w:val="21"/>
                <w:szCs w:val="21"/>
              </w:rPr>
              <w:t>初期雨水收集池</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DC2A">
            <w:pPr>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sz w:val="21"/>
                <w:szCs w:val="21"/>
              </w:rPr>
              <w:t>1个，容积6</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，位于项目</w:t>
            </w:r>
            <w:r>
              <w:rPr>
                <w:rFonts w:hint="default" w:ascii="Times New Roman" w:hAnsi="Times New Roman" w:cs="Times New Roman"/>
                <w:color w:val="auto"/>
                <w:sz w:val="21"/>
                <w:szCs w:val="21"/>
                <w:lang w:val="en-US" w:eastAsia="zh-CN"/>
              </w:rPr>
              <w:t>西南</w:t>
            </w:r>
            <w:r>
              <w:rPr>
                <w:rFonts w:hint="default" w:ascii="Times New Roman" w:hAnsi="Times New Roman" w:cs="Times New Roman"/>
                <w:color w:val="auto"/>
                <w:sz w:val="21"/>
                <w:szCs w:val="21"/>
              </w:rPr>
              <w:t>侧，用于收集雨天厂区</w:t>
            </w:r>
            <w:r>
              <w:rPr>
                <w:rFonts w:hint="default" w:ascii="Times New Roman" w:hAnsi="Times New Roman" w:cs="Times New Roman"/>
                <w:color w:val="auto"/>
                <w:sz w:val="21"/>
                <w:szCs w:val="21"/>
                <w:lang w:val="en-US" w:eastAsia="zh-CN"/>
              </w:rPr>
              <w:t>前15min</w:t>
            </w:r>
            <w:r>
              <w:rPr>
                <w:rFonts w:hint="default" w:ascii="Times New Roman" w:hAnsi="Times New Roman" w:cs="Times New Roman"/>
                <w:color w:val="auto"/>
                <w:sz w:val="21"/>
                <w:szCs w:val="21"/>
              </w:rPr>
              <w:t>初期雨水。</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C2D9">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4846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8CACA">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left w:val="single" w:color="000000" w:sz="4" w:space="0"/>
              <w:bottom w:val="single" w:color="000000" w:sz="4" w:space="0"/>
              <w:right w:val="single" w:color="000000" w:sz="4" w:space="0"/>
            </w:tcBorders>
            <w:shd w:val="clear" w:color="auto" w:fill="auto"/>
            <w:vAlign w:val="center"/>
          </w:tcPr>
          <w:p w14:paraId="3CBC5BAC">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57F4B">
            <w:pPr>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sz w:val="21"/>
                <w:szCs w:val="21"/>
              </w:rPr>
              <w:t>污水</w:t>
            </w:r>
            <w:r>
              <w:rPr>
                <w:rFonts w:hint="default" w:ascii="Times New Roman" w:hAnsi="Times New Roman" w:cs="Times New Roman"/>
                <w:color w:val="auto"/>
                <w:sz w:val="21"/>
                <w:szCs w:val="21"/>
                <w:lang w:val="en-US" w:eastAsia="zh-CN"/>
              </w:rPr>
              <w:t>管道</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F322">
            <w:pPr>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sz w:val="21"/>
                <w:szCs w:val="21"/>
              </w:rPr>
              <w:t>各区域按设计布设污水管网，与</w:t>
            </w:r>
            <w:r>
              <w:rPr>
                <w:rFonts w:hint="default" w:ascii="Times New Roman" w:hAnsi="Times New Roman" w:cs="Times New Roman"/>
                <w:color w:val="auto"/>
                <w:sz w:val="21"/>
                <w:szCs w:val="21"/>
                <w:lang w:val="en-US" w:eastAsia="zh-CN"/>
              </w:rPr>
              <w:t>猪舍底部粪尿收集池、</w:t>
            </w:r>
            <w:r>
              <w:rPr>
                <w:rFonts w:hint="default" w:ascii="Times New Roman" w:hAnsi="Times New Roman" w:cs="Times New Roman"/>
                <w:color w:val="auto"/>
                <w:sz w:val="21"/>
                <w:szCs w:val="21"/>
              </w:rPr>
              <w:t>化粪池、隔油池、堆粪棚等连接，并最后接入</w:t>
            </w:r>
            <w:r>
              <w:rPr>
                <w:rFonts w:hint="default" w:ascii="Times New Roman" w:hAnsi="Times New Roman" w:cs="Times New Roman"/>
                <w:color w:val="auto"/>
                <w:sz w:val="21"/>
                <w:szCs w:val="21"/>
                <w:lang w:val="en-US" w:eastAsia="zh-CN"/>
              </w:rPr>
              <w:t>废水收集池</w:t>
            </w:r>
            <w:r>
              <w:rPr>
                <w:rFonts w:hint="default" w:ascii="Times New Roman" w:hAnsi="Times New Roman" w:cs="Times New Roman"/>
                <w:color w:val="auto"/>
                <w:sz w:val="21"/>
                <w:szCs w:val="21"/>
              </w:rPr>
              <w:t>。</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BDE7">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4C15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10D4B">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E4CA0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废气治理</w:t>
            </w:r>
          </w:p>
        </w:tc>
        <w:tc>
          <w:tcPr>
            <w:tcW w:w="1247" w:type="dxa"/>
            <w:tcBorders>
              <w:top w:val="single" w:color="000000" w:sz="4" w:space="0"/>
              <w:left w:val="single" w:color="000000" w:sz="4" w:space="0"/>
              <w:right w:val="single" w:color="000000" w:sz="4" w:space="0"/>
            </w:tcBorders>
            <w:shd w:val="clear" w:color="auto" w:fill="auto"/>
            <w:vAlign w:val="center"/>
          </w:tcPr>
          <w:p w14:paraId="61C1891C">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lang w:bidi="zh-CN"/>
              </w:rPr>
            </w:pPr>
            <w:r>
              <w:rPr>
                <w:rFonts w:hint="default" w:ascii="Times New Roman" w:hAnsi="Times New Roman" w:cs="Times New Roman"/>
                <w:b w:val="0"/>
                <w:color w:val="auto"/>
                <w:szCs w:val="21"/>
                <w:highlight w:val="none"/>
                <w:lang w:bidi="zh-CN"/>
              </w:rPr>
              <w:t>猪舍</w:t>
            </w:r>
            <w:r>
              <w:rPr>
                <w:rFonts w:hint="default" w:ascii="Times New Roman" w:hAnsi="Times New Roman" w:cs="Times New Roman"/>
                <w:b w:val="0"/>
                <w:color w:val="auto"/>
                <w:szCs w:val="21"/>
                <w:highlight w:val="none"/>
                <w:lang w:val="en-US" w:bidi="zh-CN"/>
              </w:rPr>
              <w:t>恶臭</w:t>
            </w:r>
          </w:p>
        </w:tc>
        <w:tc>
          <w:tcPr>
            <w:tcW w:w="5887" w:type="dxa"/>
            <w:tcBorders>
              <w:top w:val="single" w:color="000000" w:sz="4" w:space="0"/>
              <w:left w:val="single" w:color="000000" w:sz="4" w:space="0"/>
              <w:right w:val="single" w:color="000000" w:sz="4" w:space="0"/>
            </w:tcBorders>
            <w:shd w:val="clear" w:color="auto" w:fill="auto"/>
            <w:vAlign w:val="center"/>
          </w:tcPr>
          <w:p w14:paraId="1AB74FAF">
            <w:pPr>
              <w:keepNext w:val="0"/>
              <w:keepLines w:val="0"/>
              <w:suppressLineNumbers w:val="0"/>
              <w:spacing w:before="0" w:beforeAutospacing="0" w:after="0" w:afterAutospacing="0"/>
              <w:ind w:left="0" w:right="0"/>
              <w:textAlignment w:val="baseline"/>
              <w:rPr>
                <w:rFonts w:hint="default" w:ascii="Times New Roman" w:hAnsi="Times New Roman" w:cs="Times New Roman"/>
                <w:b w:val="0"/>
                <w:color w:val="auto"/>
                <w:szCs w:val="21"/>
                <w:highlight w:val="none"/>
              </w:rPr>
            </w:pPr>
            <w:r>
              <w:rPr>
                <w:rFonts w:hint="default" w:ascii="Times New Roman" w:hAnsi="Times New Roman" w:cs="Times New Roman"/>
                <w:color w:val="auto"/>
              </w:rPr>
              <w:t>饲料中添加EM微生物制剂、并喷洒稀释500倍的EM液，喷洒大力克、万洁芬等，猪舍采用密闭构造，并设抽排风机，加强通风换气、绿化吸收等</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A4941">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2C9B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F7B81">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0438B">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2D0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lang w:val="en-US" w:bidi="zh-CN"/>
              </w:rPr>
              <w:t>堆粪棚恶臭</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4A3F">
            <w:pPr>
              <w:keepNext w:val="0"/>
              <w:keepLines w:val="0"/>
              <w:suppressLineNumbers w:val="0"/>
              <w:spacing w:before="0" w:beforeAutospacing="0" w:after="0" w:afterAutospacing="0"/>
              <w:ind w:right="0"/>
              <w:textAlignment w:val="baseline"/>
              <w:rPr>
                <w:rFonts w:hint="default" w:ascii="Times New Roman" w:hAnsi="Times New Roman" w:eastAsia="宋体" w:cs="Times New Roman"/>
                <w:b w:val="0"/>
                <w:color w:val="auto"/>
                <w:szCs w:val="21"/>
                <w:highlight w:val="none"/>
                <w:lang w:val="en-US" w:eastAsia="zh-CN"/>
              </w:rPr>
            </w:pPr>
            <w:r>
              <w:rPr>
                <w:rFonts w:hint="default" w:ascii="Times New Roman" w:hAnsi="Times New Roman" w:cs="Times New Roman"/>
                <w:b w:val="0"/>
                <w:color w:val="auto"/>
                <w:szCs w:val="21"/>
                <w:highlight w:val="none"/>
              </w:rPr>
              <w:t>堆粪棚三面墙体，并设顶棚，周围进行植被绿化，定期喷洒微生物除臭剂。</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48AEC">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61E0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ADA2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9FA2B">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9312">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 w:val="0"/>
                <w:color w:val="auto"/>
                <w:szCs w:val="21"/>
                <w:highlight w:val="none"/>
                <w:lang w:val="en-US" w:eastAsia="zh-CN"/>
              </w:rPr>
            </w:pPr>
            <w:r>
              <w:rPr>
                <w:rFonts w:hint="default" w:ascii="Times New Roman" w:hAnsi="Times New Roman" w:cs="Times New Roman"/>
                <w:b w:val="0"/>
                <w:color w:val="auto"/>
                <w:szCs w:val="21"/>
                <w:highlight w:val="none"/>
                <w:lang w:val="en-US" w:eastAsia="zh-CN"/>
              </w:rPr>
              <w:t>废水收集池恶臭</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E5DD">
            <w:pPr>
              <w:keepNext w:val="0"/>
              <w:keepLines w:val="0"/>
              <w:suppressLineNumbers w:val="0"/>
              <w:spacing w:before="0" w:beforeAutospacing="0" w:after="0" w:afterAutospacing="0"/>
              <w:ind w:right="0"/>
              <w:textAlignment w:val="baseline"/>
              <w:rPr>
                <w:rFonts w:hint="default" w:ascii="Times New Roman" w:hAnsi="Times New Roman" w:eastAsia="宋体" w:cs="Times New Roman"/>
                <w:b w:val="0"/>
                <w:color w:val="auto"/>
                <w:szCs w:val="21"/>
                <w:highlight w:val="none"/>
                <w:lang w:val="en-US" w:eastAsia="zh-CN"/>
              </w:rPr>
            </w:pPr>
            <w:r>
              <w:rPr>
                <w:rFonts w:hint="default" w:ascii="Times New Roman" w:hAnsi="Times New Roman" w:cs="Times New Roman"/>
                <w:b w:val="0"/>
                <w:color w:val="auto"/>
                <w:szCs w:val="21"/>
                <w:highlight w:val="none"/>
                <w:lang w:val="en-US" w:eastAsia="zh-CN"/>
              </w:rPr>
              <w:t>废水收集池加盖，</w:t>
            </w:r>
            <w:r>
              <w:rPr>
                <w:rFonts w:hint="default" w:ascii="Times New Roman" w:hAnsi="Times New Roman" w:cs="Times New Roman"/>
                <w:b w:val="0"/>
                <w:color w:val="auto"/>
                <w:szCs w:val="21"/>
                <w:highlight w:val="none"/>
              </w:rPr>
              <w:t>周围进行植被绿化，定期喷洒微生物除臭剂</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D28E2">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32D7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C52F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9E603">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0B07">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食堂油烟</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1485">
            <w:pPr>
              <w:keepNext w:val="0"/>
              <w:keepLines w:val="0"/>
              <w:suppressLineNumbers w:val="0"/>
              <w:spacing w:before="0" w:beforeAutospacing="0" w:after="0" w:afterAutospacing="0"/>
              <w:ind w:right="0"/>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厨房内设置1台抽油烟机，厨房油烟经抽油烟机抽吸后通过食堂楼顶1.5m排气筒外排。</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7320D">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69F9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47B76">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6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1FF8A6">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噪声防治</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3804F">
            <w:pPr>
              <w:keepNext w:val="0"/>
              <w:keepLines w:val="0"/>
              <w:suppressLineNumbers w:val="0"/>
              <w:spacing w:before="0" w:beforeAutospacing="0" w:after="0" w:afterAutospacing="0"/>
              <w:ind w:right="0"/>
              <w:jc w:val="both"/>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水泵、风机、固液分离机底部安装减震垫，并设置于室内；项目区内设置“减缓行驶</w:t>
            </w:r>
            <w:r>
              <w:rPr>
                <w:rFonts w:hint="eastAsia" w:ascii="Times New Roman" w:hAnsi="Times New Roman" w:cs="Times New Roman"/>
                <w:b w:val="0"/>
                <w:color w:val="auto"/>
                <w:szCs w:val="21"/>
                <w:highlight w:val="none"/>
                <w:lang w:eastAsia="zh-CN"/>
              </w:rPr>
              <w:t>”“</w:t>
            </w:r>
            <w:r>
              <w:rPr>
                <w:rFonts w:hint="default" w:ascii="Times New Roman" w:hAnsi="Times New Roman" w:cs="Times New Roman"/>
                <w:b w:val="0"/>
                <w:color w:val="auto"/>
                <w:szCs w:val="21"/>
                <w:highlight w:val="none"/>
              </w:rPr>
              <w:t>禁止鸣笛”等警示牌。</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2E4C">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4F38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C47CA">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F33C0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固废处置</w:t>
            </w:r>
          </w:p>
        </w:tc>
        <w:tc>
          <w:tcPr>
            <w:tcW w:w="1247" w:type="dxa"/>
            <w:tcBorders>
              <w:top w:val="single" w:color="000000" w:sz="4" w:space="0"/>
              <w:left w:val="single" w:color="000000" w:sz="4" w:space="0"/>
              <w:right w:val="single" w:color="000000" w:sz="4" w:space="0"/>
            </w:tcBorders>
            <w:shd w:val="clear" w:color="auto" w:fill="auto"/>
            <w:vAlign w:val="center"/>
          </w:tcPr>
          <w:p w14:paraId="4063107A">
            <w:pPr>
              <w:spacing w:line="240" w:lineRule="auto"/>
              <w:jc w:val="center"/>
              <w:rPr>
                <w:rFonts w:hint="default" w:ascii="Times New Roman" w:hAnsi="Times New Roman" w:eastAsia="宋体" w:cs="Times New Roman"/>
                <w:b w:val="0"/>
                <w:color w:val="auto"/>
                <w:szCs w:val="21"/>
                <w:highlight w:val="none"/>
                <w:lang w:val="en-US" w:eastAsia="zh-CN"/>
              </w:rPr>
            </w:pPr>
            <w:r>
              <w:rPr>
                <w:rFonts w:hint="default" w:ascii="Times New Roman" w:hAnsi="Times New Roman" w:cs="Times New Roman"/>
                <w:color w:val="auto"/>
                <w:sz w:val="21"/>
                <w:szCs w:val="21"/>
                <w:highlight w:val="none"/>
                <w:shd w:val="clear"/>
              </w:rPr>
              <w:t>堆粪棚</w:t>
            </w:r>
          </w:p>
        </w:tc>
        <w:tc>
          <w:tcPr>
            <w:tcW w:w="5887" w:type="dxa"/>
            <w:tcBorders>
              <w:top w:val="single" w:color="000000" w:sz="4" w:space="0"/>
              <w:left w:val="single" w:color="000000" w:sz="4" w:space="0"/>
              <w:right w:val="single" w:color="000000" w:sz="4" w:space="0"/>
            </w:tcBorders>
            <w:shd w:val="clear" w:color="auto" w:fill="auto"/>
            <w:vAlign w:val="center"/>
          </w:tcPr>
          <w:p w14:paraId="6FC4D1A7">
            <w:pPr>
              <w:spacing w:line="240" w:lineRule="auto"/>
              <w:rPr>
                <w:rFonts w:hint="default" w:ascii="Times New Roman" w:hAnsi="Times New Roman" w:eastAsia="宋体" w:cs="Times New Roman"/>
                <w:b w:val="0"/>
                <w:color w:val="auto"/>
                <w:szCs w:val="21"/>
                <w:highlight w:val="none"/>
                <w:lang w:val="en-US" w:eastAsia="zh-CN"/>
              </w:rPr>
            </w:pPr>
            <w:r>
              <w:rPr>
                <w:rFonts w:hint="default" w:ascii="Times New Roman" w:hAnsi="Times New Roman" w:cs="Times New Roman"/>
                <w:color w:val="auto"/>
                <w:sz w:val="21"/>
                <w:szCs w:val="21"/>
                <w:highlight w:val="none"/>
                <w:shd w:val="clear"/>
                <w:lang w:val="en-US" w:eastAsia="zh-CN"/>
              </w:rPr>
              <w:t>位于项目区西侧</w:t>
            </w:r>
            <w:r>
              <w:rPr>
                <w:rFonts w:hint="default" w:ascii="Times New Roman" w:hAnsi="Times New Roman" w:cs="Times New Roman"/>
                <w:color w:val="auto"/>
                <w:sz w:val="21"/>
                <w:szCs w:val="21"/>
                <w:highlight w:val="none"/>
                <w:shd w:val="clear"/>
              </w:rPr>
              <w:t>，1F，建筑面积</w:t>
            </w:r>
            <w:r>
              <w:rPr>
                <w:rFonts w:hint="default" w:ascii="Times New Roman" w:hAnsi="Times New Roman" w:cs="Times New Roman"/>
                <w:color w:val="auto"/>
                <w:sz w:val="21"/>
                <w:szCs w:val="21"/>
                <w:highlight w:val="none"/>
                <w:shd w:val="clear"/>
                <w:lang w:val="en-US" w:eastAsia="zh-CN"/>
              </w:rPr>
              <w:t>300</w:t>
            </w:r>
            <w:r>
              <w:rPr>
                <w:rFonts w:hint="default" w:ascii="Times New Roman" w:hAnsi="Times New Roman" w:cs="Times New Roman"/>
                <w:color w:val="auto"/>
                <w:sz w:val="21"/>
                <w:szCs w:val="21"/>
                <w:highlight w:val="none"/>
                <w:shd w:val="clear"/>
              </w:rPr>
              <w:t>m</w:t>
            </w:r>
            <w:r>
              <w:rPr>
                <w:rFonts w:hint="default" w:ascii="Times New Roman" w:hAnsi="Times New Roman" w:cs="Times New Roman"/>
                <w:color w:val="auto"/>
                <w:sz w:val="21"/>
                <w:szCs w:val="21"/>
                <w:highlight w:val="none"/>
                <w:shd w:val="clear"/>
                <w:vertAlign w:val="superscript"/>
              </w:rPr>
              <w:t>2</w:t>
            </w:r>
            <w:r>
              <w:rPr>
                <w:rFonts w:hint="default" w:ascii="Times New Roman" w:hAnsi="Times New Roman" w:cs="Times New Roman"/>
                <w:color w:val="auto"/>
                <w:sz w:val="21"/>
                <w:szCs w:val="21"/>
                <w:highlight w:val="none"/>
                <w:shd w:val="clear"/>
              </w:rPr>
              <w:t>，钢架结构，三面围挡，搭建顶棚，高</w:t>
            </w:r>
            <w:r>
              <w:rPr>
                <w:rFonts w:hint="default" w:ascii="Times New Roman" w:hAnsi="Times New Roman" w:cs="Times New Roman"/>
                <w:color w:val="auto"/>
                <w:sz w:val="21"/>
                <w:szCs w:val="21"/>
                <w:highlight w:val="none"/>
                <w:shd w:val="clear"/>
                <w:lang w:val="en-US" w:eastAsia="zh-CN"/>
              </w:rPr>
              <w:t>6</w:t>
            </w:r>
            <w:r>
              <w:rPr>
                <w:rFonts w:hint="default" w:ascii="Times New Roman" w:hAnsi="Times New Roman" w:cs="Times New Roman"/>
                <w:color w:val="auto"/>
                <w:sz w:val="21"/>
                <w:szCs w:val="21"/>
                <w:highlight w:val="none"/>
                <w:shd w:val="clear"/>
              </w:rPr>
              <w:t>m，用于固液分离后的粪便、饲料残渣</w:t>
            </w:r>
            <w:r>
              <w:rPr>
                <w:rFonts w:hint="default" w:ascii="Times New Roman" w:hAnsi="Times New Roman" w:cs="Times New Roman"/>
                <w:color w:val="auto"/>
                <w:sz w:val="21"/>
                <w:szCs w:val="21"/>
                <w:highlight w:val="none"/>
                <w:shd w:val="clear"/>
                <w:lang w:val="en-US" w:eastAsia="zh-CN"/>
              </w:rPr>
              <w:t>堆肥发酵</w:t>
            </w:r>
            <w:r>
              <w:rPr>
                <w:rFonts w:hint="default" w:ascii="Times New Roman" w:hAnsi="Times New Roman" w:cs="Times New Roman"/>
                <w:color w:val="auto"/>
                <w:sz w:val="21"/>
                <w:szCs w:val="21"/>
                <w:highlight w:val="none"/>
                <w:shd w:val="clear"/>
              </w:rPr>
              <w:t>。</w:t>
            </w:r>
            <w:r>
              <w:rPr>
                <w:rFonts w:hint="eastAsia" w:cs="Times New Roman"/>
                <w:color w:val="auto"/>
                <w:sz w:val="21"/>
                <w:szCs w:val="21"/>
                <w:highlight w:val="none"/>
                <w:shd w:val="clear"/>
                <w:lang w:eastAsia="zh-CN"/>
              </w:rPr>
              <w:t>项目最近的地表水体为西侧3.8km甸溪河</w:t>
            </w:r>
            <w:r>
              <w:rPr>
                <w:rFonts w:hint="default" w:ascii="Times New Roman" w:hAnsi="Times New Roman" w:cs="Times New Roman"/>
                <w:color w:val="auto"/>
                <w:sz w:val="21"/>
                <w:szCs w:val="21"/>
                <w:highlight w:val="none"/>
                <w:shd w:val="clear"/>
              </w:rPr>
              <w:t>，堆粪棚</w:t>
            </w:r>
            <w:r>
              <w:rPr>
                <w:rFonts w:hint="default" w:ascii="Times New Roman" w:hAnsi="Times New Roman" w:cs="Times New Roman"/>
                <w:color w:val="auto"/>
                <w:sz w:val="21"/>
                <w:szCs w:val="21"/>
                <w:highlight w:val="none"/>
                <w:shd w:val="clear"/>
                <w:lang w:val="en-US" w:eastAsia="zh-CN"/>
              </w:rPr>
              <w:t>距</w:t>
            </w:r>
            <w:r>
              <w:rPr>
                <w:rFonts w:hint="eastAsia" w:cs="Times New Roman"/>
                <w:color w:val="auto"/>
                <w:sz w:val="21"/>
                <w:szCs w:val="21"/>
                <w:highlight w:val="none"/>
                <w:shd w:val="clear"/>
                <w:lang w:val="en-US" w:eastAsia="zh-CN"/>
              </w:rPr>
              <w:t>甸溪河38</w:t>
            </w:r>
            <w:r>
              <w:rPr>
                <w:rFonts w:hint="default" w:ascii="Times New Roman" w:hAnsi="Times New Roman" w:cs="Times New Roman"/>
                <w:color w:val="auto"/>
                <w:sz w:val="21"/>
                <w:szCs w:val="21"/>
                <w:highlight w:val="none"/>
                <w:shd w:val="clear"/>
                <w:lang w:val="en-US" w:eastAsia="zh-CN"/>
              </w:rPr>
              <w:t>80m，</w:t>
            </w:r>
            <w:r>
              <w:rPr>
                <w:rFonts w:hint="default" w:ascii="Times New Roman" w:hAnsi="Times New Roman" w:cs="Times New Roman"/>
                <w:color w:val="auto"/>
                <w:sz w:val="21"/>
                <w:szCs w:val="21"/>
                <w:highlight w:val="none"/>
                <w:shd w:val="clear"/>
              </w:rPr>
              <w:t>满足《畜禽养殖业污染防治技术规范》5.2，畜禽粪便贮存设施与各类地表水体距离不得小于400m距离要求。</w:t>
            </w:r>
            <w:r>
              <w:rPr>
                <w:rFonts w:hint="default" w:ascii="Times New Roman" w:hAnsi="Times New Roman" w:cs="Times New Roman"/>
                <w:color w:val="auto"/>
                <w:sz w:val="21"/>
                <w:szCs w:val="21"/>
                <w:highlight w:val="none"/>
                <w:shd w:val="clear"/>
                <w:lang w:val="en-US" w:eastAsia="zh-CN"/>
              </w:rPr>
              <w:t>四周设置渗滤液收集沟。</w:t>
            </w:r>
            <w:r>
              <w:rPr>
                <w:rFonts w:hint="default" w:ascii="Times New Roman" w:hAnsi="Times New Roman" w:cs="Times New Roman"/>
                <w:b w:val="0"/>
                <w:color w:val="auto"/>
                <w:szCs w:val="21"/>
                <w:highlight w:val="none"/>
                <w:shd w:val="clear"/>
              </w:rPr>
              <w:t>采用槽式好氧堆肥，堆槽高4m</w:t>
            </w:r>
            <w:r>
              <w:rPr>
                <w:rFonts w:hint="default" w:ascii="Times New Roman" w:hAnsi="Times New Roman" w:cs="Times New Roman"/>
                <w:b w:val="0"/>
                <w:color w:val="auto"/>
                <w:sz w:val="21"/>
                <w:szCs w:val="21"/>
                <w:highlight w:val="none"/>
                <w:shd w:val="clear"/>
              </w:rPr>
              <w:t>，</w:t>
            </w:r>
            <w:r>
              <w:rPr>
                <w:rFonts w:hint="default" w:ascii="Times New Roman" w:hAnsi="Times New Roman" w:cs="Times New Roman"/>
                <w:color w:val="auto"/>
                <w:sz w:val="21"/>
                <w:szCs w:val="21"/>
                <w:highlight w:val="none"/>
                <w:shd w:val="clear"/>
                <w:lang w:val="en-US" w:eastAsia="zh-CN"/>
              </w:rPr>
              <w:t>2格式，2个堆槽交替使用，</w:t>
            </w:r>
            <w:r>
              <w:rPr>
                <w:rFonts w:hint="default" w:ascii="Times New Roman" w:hAnsi="Times New Roman" w:cs="Times New Roman"/>
                <w:color w:val="auto"/>
                <w:sz w:val="21"/>
                <w:szCs w:val="21"/>
                <w:highlight w:val="none"/>
                <w:shd w:val="clear"/>
                <w:lang w:eastAsia="zh-CN"/>
              </w:rPr>
              <w:t>以满足不同入场批次的物料堆肥时间要求</w:t>
            </w:r>
            <w:r>
              <w:rPr>
                <w:rFonts w:hint="default" w:ascii="Times New Roman" w:hAnsi="Times New Roman" w:cs="Times New Roman"/>
                <w:color w:val="auto"/>
                <w:sz w:val="21"/>
                <w:szCs w:val="21"/>
                <w:highlight w:val="none"/>
                <w:shd w:val="clear"/>
                <w:lang w:val="en-US" w:eastAsia="zh-CN"/>
              </w:rPr>
              <w:t>。</w:t>
            </w:r>
            <w:r>
              <w:rPr>
                <w:rFonts w:hint="default" w:ascii="Times New Roman" w:hAnsi="Times New Roman" w:cs="Times New Roman"/>
                <w:b w:val="0"/>
                <w:color w:val="auto"/>
                <w:sz w:val="21"/>
                <w:szCs w:val="21"/>
                <w:highlight w:val="none"/>
                <w:shd w:val="clear"/>
              </w:rPr>
              <w:t>堆槽</w:t>
            </w:r>
            <w:r>
              <w:rPr>
                <w:rFonts w:hint="default" w:ascii="Times New Roman" w:hAnsi="Times New Roman" w:cs="Times New Roman"/>
                <w:b w:val="0"/>
                <w:color w:val="auto"/>
                <w:sz w:val="21"/>
                <w:szCs w:val="21"/>
                <w:highlight w:val="none"/>
                <w:shd w:val="clear"/>
                <w:lang w:eastAsia="zh-CN"/>
              </w:rPr>
              <w:t>总</w:t>
            </w:r>
            <w:r>
              <w:rPr>
                <w:rFonts w:hint="default" w:ascii="Times New Roman" w:hAnsi="Times New Roman" w:cs="Times New Roman"/>
                <w:b w:val="0"/>
                <w:color w:val="auto"/>
                <w:sz w:val="21"/>
                <w:szCs w:val="21"/>
                <w:highlight w:val="none"/>
                <w:shd w:val="clear"/>
              </w:rPr>
              <w:t>有效容积1</w:t>
            </w:r>
            <w:r>
              <w:rPr>
                <w:rFonts w:hint="default" w:ascii="Times New Roman" w:hAnsi="Times New Roman" w:cs="Times New Roman"/>
                <w:b w:val="0"/>
                <w:color w:val="auto"/>
                <w:sz w:val="21"/>
                <w:szCs w:val="21"/>
                <w:highlight w:val="none"/>
                <w:shd w:val="clear"/>
                <w:lang w:val="en-US" w:eastAsia="zh-CN"/>
              </w:rPr>
              <w:t>200</w:t>
            </w:r>
            <w:r>
              <w:rPr>
                <w:rFonts w:hint="default" w:ascii="Times New Roman" w:hAnsi="Times New Roman" w:cs="Times New Roman"/>
                <w:b w:val="0"/>
                <w:color w:val="auto"/>
                <w:sz w:val="21"/>
                <w:szCs w:val="21"/>
                <w:highlight w:val="none"/>
                <w:shd w:val="clear"/>
              </w:rPr>
              <w:t>m</w:t>
            </w:r>
            <w:r>
              <w:rPr>
                <w:rFonts w:hint="default" w:ascii="Times New Roman" w:hAnsi="Times New Roman" w:cs="Times New Roman"/>
                <w:b w:val="0"/>
                <w:color w:val="auto"/>
                <w:sz w:val="21"/>
                <w:szCs w:val="21"/>
                <w:highlight w:val="none"/>
                <w:shd w:val="clear"/>
                <w:vertAlign w:val="superscript"/>
              </w:rPr>
              <w:t>3</w:t>
            </w:r>
            <w:r>
              <w:rPr>
                <w:rFonts w:hint="default" w:ascii="Times New Roman" w:hAnsi="Times New Roman" w:cs="Times New Roman"/>
                <w:b w:val="0"/>
                <w:color w:val="auto"/>
                <w:sz w:val="21"/>
                <w:szCs w:val="21"/>
                <w:highlight w:val="none"/>
                <w:shd w:val="clear"/>
              </w:rPr>
              <w:t>，固体粪便堆肥发酵后粪肥需求当季用于还田施肥。</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31AB4">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57D9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AA0F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EF95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DC843">
            <w:pPr>
              <w:spacing w:line="240" w:lineRule="auto"/>
              <w:jc w:val="center"/>
              <w:rPr>
                <w:rFonts w:hint="default" w:ascii="Times New Roman" w:hAnsi="Times New Roman" w:cs="Times New Roman"/>
                <w:color w:val="auto"/>
                <w:sz w:val="21"/>
                <w:szCs w:val="21"/>
                <w:highlight w:val="green"/>
              </w:rPr>
            </w:pPr>
            <w:r>
              <w:rPr>
                <w:rFonts w:hint="default" w:ascii="Times New Roman" w:hAnsi="Times New Roman" w:cs="Times New Roman"/>
                <w:color w:val="auto"/>
                <w:sz w:val="21"/>
                <w:szCs w:val="21"/>
              </w:rPr>
              <w:t>冷库</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6970">
            <w:pPr>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1栋，位于项目区</w:t>
            </w:r>
            <w:r>
              <w:rPr>
                <w:rFonts w:hint="default" w:ascii="Times New Roman" w:hAnsi="Times New Roman" w:cs="Times New Roman"/>
                <w:color w:val="auto"/>
                <w:sz w:val="21"/>
                <w:szCs w:val="21"/>
                <w:lang w:val="en-US" w:eastAsia="zh-CN"/>
              </w:rPr>
              <w:t>西侧</w:t>
            </w:r>
            <w:r>
              <w:rPr>
                <w:rFonts w:hint="default" w:ascii="Times New Roman" w:hAnsi="Times New Roman" w:cs="Times New Roman"/>
                <w:color w:val="auto"/>
                <w:sz w:val="21"/>
                <w:szCs w:val="21"/>
              </w:rPr>
              <w:t>，钢结构，建筑面积</w:t>
            </w:r>
            <w:r>
              <w:rPr>
                <w:rFonts w:hint="default"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，用于暂存病死猪，冷库采用R22环保制冷剂，制冷剂由厂家安装，定期由厂家上门更换，不落地处置。病死猪最终委托弥勒市北斗星生物科技有限公司进场清运处置。</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886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Cs w:val="20"/>
                <w:highlight w:val="none"/>
                <w:lang w:val="en-US" w:eastAsia="zh-CN"/>
              </w:rPr>
            </w:pPr>
            <w:r>
              <w:rPr>
                <w:rFonts w:hint="default" w:ascii="Times New Roman" w:hAnsi="Times New Roman" w:cs="Times New Roman"/>
                <w:b w:val="0"/>
                <w:color w:val="auto"/>
                <w:szCs w:val="20"/>
                <w:highlight w:val="none"/>
                <w:lang w:val="en-US" w:eastAsia="zh-CN"/>
              </w:rPr>
              <w:t>新建</w:t>
            </w:r>
          </w:p>
        </w:tc>
      </w:tr>
      <w:tr w14:paraId="2A25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9BE6B">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F69C6">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4988">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防疫废物暂存间</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D533">
            <w:pPr>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1间，占地面积</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设置在兽医室内部</w:t>
            </w:r>
            <w:r>
              <w:rPr>
                <w:rFonts w:hint="default" w:ascii="Times New Roman" w:hAnsi="Times New Roman" w:cs="Times New Roman"/>
                <w:color w:val="auto"/>
                <w:sz w:val="21"/>
                <w:szCs w:val="21"/>
              </w:rPr>
              <w:t>，用于暂存项目运营过程中产生的</w:t>
            </w:r>
            <w:r>
              <w:rPr>
                <w:rFonts w:hint="default" w:ascii="Times New Roman" w:hAnsi="Times New Roman" w:cs="Times New Roman"/>
                <w:color w:val="auto"/>
                <w:sz w:val="21"/>
                <w:szCs w:val="21"/>
                <w:lang w:val="en-US" w:eastAsia="zh-CN"/>
              </w:rPr>
              <w:t>防疫固废</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设置分类收集容器</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按照</w:t>
            </w:r>
            <w:r>
              <w:rPr>
                <w:rFonts w:hint="default" w:ascii="Times New Roman" w:hAnsi="Times New Roman" w:cs="Times New Roman"/>
                <w:color w:val="auto"/>
                <w:sz w:val="21"/>
                <w:szCs w:val="21"/>
                <w:lang w:val="en-US" w:eastAsia="zh-CN"/>
              </w:rPr>
              <w:t>当地动物防疫部门管理要求进行处置</w:t>
            </w:r>
            <w:r>
              <w:rPr>
                <w:rFonts w:hint="default" w:ascii="Times New Roman" w:hAnsi="Times New Roman" w:cs="Times New Roman"/>
                <w:color w:val="auto"/>
                <w:sz w:val="21"/>
                <w:szCs w:val="21"/>
              </w:rPr>
              <w:t>。</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9BAF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Cs w:val="20"/>
                <w:highlight w:val="none"/>
                <w:lang w:val="en-US" w:eastAsia="zh-CN"/>
              </w:rPr>
            </w:pPr>
            <w:r>
              <w:rPr>
                <w:rFonts w:hint="default" w:ascii="Times New Roman" w:hAnsi="Times New Roman" w:cs="Times New Roman"/>
                <w:b w:val="0"/>
                <w:color w:val="auto"/>
                <w:szCs w:val="20"/>
                <w:highlight w:val="none"/>
                <w:lang w:val="en-US" w:eastAsia="zh-CN"/>
              </w:rPr>
              <w:t>新建</w:t>
            </w:r>
          </w:p>
        </w:tc>
      </w:tr>
      <w:tr w14:paraId="0E38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F1834">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62094">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0BFDE">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b w:val="0"/>
                <w:color w:val="auto"/>
                <w:szCs w:val="21"/>
                <w:highlight w:val="none"/>
              </w:rPr>
              <w:t>危废暂存间</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E0EE">
            <w:pPr>
              <w:keepNext w:val="0"/>
              <w:keepLines w:val="0"/>
              <w:suppressLineNumbers w:val="0"/>
              <w:spacing w:before="0" w:beforeAutospacing="0" w:after="0" w:afterAutospacing="0"/>
              <w:ind w:right="0" w:rightChars="0"/>
              <w:jc w:val="both"/>
              <w:textAlignment w:val="baseline"/>
              <w:rPr>
                <w:rFonts w:hint="default" w:ascii="Times New Roman" w:hAnsi="Times New Roman" w:cs="Times New Roman"/>
                <w:color w:val="auto"/>
                <w:sz w:val="21"/>
                <w:szCs w:val="21"/>
              </w:rPr>
            </w:pPr>
            <w:r>
              <w:rPr>
                <w:rFonts w:hint="default" w:ascii="Times New Roman" w:hAnsi="Times New Roman" w:cs="Times New Roman"/>
                <w:b w:val="0"/>
                <w:color w:val="auto"/>
                <w:szCs w:val="21"/>
                <w:highlight w:val="none"/>
              </w:rPr>
              <w:t>1个，建筑面积为</w:t>
            </w:r>
            <w:r>
              <w:rPr>
                <w:rFonts w:hint="default" w:ascii="Times New Roman" w:hAnsi="Times New Roman" w:cs="Times New Roman"/>
                <w:b w:val="0"/>
                <w:color w:val="auto"/>
                <w:szCs w:val="21"/>
                <w:highlight w:val="none"/>
                <w:lang w:val="en-US" w:eastAsia="zh-CN"/>
              </w:rPr>
              <w:t>5</w:t>
            </w:r>
            <w:r>
              <w:rPr>
                <w:rFonts w:hint="default" w:ascii="Times New Roman" w:hAnsi="Times New Roman" w:cs="Times New Roman"/>
                <w:b w:val="0"/>
                <w:color w:val="auto"/>
                <w:szCs w:val="21"/>
                <w:highlight w:val="none"/>
              </w:rPr>
              <w:t>m</w:t>
            </w:r>
            <w:r>
              <w:rPr>
                <w:rFonts w:hint="default" w:ascii="Times New Roman" w:hAnsi="Times New Roman" w:cs="Times New Roman"/>
                <w:b w:val="0"/>
                <w:color w:val="auto"/>
                <w:szCs w:val="21"/>
                <w:highlight w:val="none"/>
                <w:vertAlign w:val="superscript"/>
              </w:rPr>
              <w:t>2</w:t>
            </w:r>
            <w:r>
              <w:rPr>
                <w:rFonts w:hint="default" w:ascii="Times New Roman" w:hAnsi="Times New Roman" w:cs="Times New Roman"/>
                <w:b w:val="0"/>
                <w:color w:val="auto"/>
                <w:szCs w:val="21"/>
                <w:highlight w:val="none"/>
              </w:rPr>
              <w:t>，位于项目区东侧，用于暂存项目运营过程中产生的危险废物</w:t>
            </w:r>
            <w:r>
              <w:rPr>
                <w:rFonts w:hint="default" w:ascii="Times New Roman" w:hAnsi="Times New Roman" w:cs="Times New Roman"/>
                <w:b w:val="0"/>
                <w:color w:val="auto"/>
                <w:szCs w:val="21"/>
                <w:highlight w:val="none"/>
                <w:lang w:eastAsia="zh-CN"/>
              </w:rPr>
              <w:t>（废机油、润滑油等）</w:t>
            </w:r>
            <w:r>
              <w:rPr>
                <w:rFonts w:hint="default" w:ascii="Times New Roman" w:hAnsi="Times New Roman" w:cs="Times New Roman"/>
                <w:b w:val="0"/>
                <w:color w:val="auto"/>
                <w:szCs w:val="21"/>
                <w:highlight w:val="none"/>
              </w:rPr>
              <w:t>。危废按照不同的类别设置分类收集容器。危险废物暂存间设明显标识标牌，并按照重点防渗要求建设。</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5FD7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Cs w:val="20"/>
                <w:highlight w:val="none"/>
                <w:lang w:val="en-US" w:eastAsia="zh-CN"/>
              </w:rPr>
            </w:pPr>
            <w:r>
              <w:rPr>
                <w:rFonts w:hint="default" w:ascii="Times New Roman" w:hAnsi="Times New Roman" w:cs="Times New Roman"/>
                <w:b w:val="0"/>
                <w:color w:val="auto"/>
                <w:szCs w:val="20"/>
                <w:highlight w:val="none"/>
                <w:lang w:val="en-US" w:eastAsia="zh-CN"/>
              </w:rPr>
              <w:t>新建</w:t>
            </w:r>
          </w:p>
        </w:tc>
      </w:tr>
      <w:tr w14:paraId="21DC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082D1">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A0B46">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EA8E">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 w:val="0"/>
                <w:color w:val="auto"/>
                <w:szCs w:val="21"/>
                <w:highlight w:val="none"/>
                <w:lang w:val="en-US" w:eastAsia="zh-CN"/>
              </w:rPr>
            </w:pPr>
            <w:r>
              <w:rPr>
                <w:rFonts w:hint="default" w:ascii="Times New Roman" w:hAnsi="Times New Roman" w:cs="Times New Roman"/>
                <w:b w:val="0"/>
                <w:color w:val="auto"/>
                <w:szCs w:val="21"/>
                <w:highlight w:val="none"/>
              </w:rPr>
              <w:t>生活垃圾收集</w:t>
            </w:r>
            <w:r>
              <w:rPr>
                <w:rFonts w:hint="default" w:ascii="Times New Roman" w:hAnsi="Times New Roman" w:cs="Times New Roman"/>
                <w:b w:val="0"/>
                <w:color w:val="auto"/>
                <w:szCs w:val="21"/>
                <w:highlight w:val="none"/>
                <w:lang w:val="en-US" w:eastAsia="zh-CN"/>
              </w:rPr>
              <w:t>桶</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0A59">
            <w:pPr>
              <w:keepNext w:val="0"/>
              <w:keepLines w:val="0"/>
              <w:suppressLineNumbers w:val="0"/>
              <w:spacing w:before="0" w:beforeAutospacing="0" w:after="0" w:afterAutospacing="0"/>
              <w:ind w:right="0"/>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厂内设置若干个生活垃圾收集桶，生活垃圾经收集后，</w:t>
            </w:r>
            <w:r>
              <w:rPr>
                <w:rFonts w:hint="default" w:ascii="Times New Roman" w:hAnsi="Times New Roman" w:cs="Times New Roman"/>
                <w:b w:val="0"/>
                <w:bCs/>
                <w:color w:val="auto"/>
                <w:szCs w:val="21"/>
                <w:highlight w:val="none"/>
              </w:rPr>
              <w:t>定期清运至</w:t>
            </w:r>
            <w:r>
              <w:rPr>
                <w:rFonts w:hint="default" w:ascii="Times New Roman" w:hAnsi="Times New Roman" w:cs="Times New Roman"/>
                <w:b w:val="0"/>
                <w:bCs/>
                <w:color w:val="auto"/>
                <w:szCs w:val="21"/>
                <w:highlight w:val="none"/>
                <w:lang w:val="en-US" w:eastAsia="zh-CN"/>
              </w:rPr>
              <w:t>猴街村</w:t>
            </w:r>
            <w:r>
              <w:rPr>
                <w:rFonts w:hint="default" w:ascii="Times New Roman" w:hAnsi="Times New Roman" w:cs="Times New Roman"/>
                <w:b w:val="0"/>
                <w:bCs/>
                <w:color w:val="auto"/>
                <w:szCs w:val="21"/>
                <w:highlight w:val="none"/>
              </w:rPr>
              <w:t>垃圾收集</w:t>
            </w:r>
            <w:r>
              <w:rPr>
                <w:rFonts w:hint="default" w:ascii="Times New Roman" w:hAnsi="Times New Roman" w:cs="Times New Roman"/>
                <w:b w:val="0"/>
                <w:bCs/>
                <w:color w:val="auto"/>
                <w:szCs w:val="21"/>
                <w:highlight w:val="none"/>
                <w:lang w:eastAsia="zh-CN"/>
              </w:rPr>
              <w:t>，</w:t>
            </w:r>
            <w:r>
              <w:rPr>
                <w:rFonts w:hint="default" w:ascii="Times New Roman" w:hAnsi="Times New Roman" w:cs="Times New Roman"/>
                <w:b w:val="0"/>
                <w:bCs/>
                <w:color w:val="auto"/>
                <w:szCs w:val="21"/>
                <w:highlight w:val="none"/>
                <w:lang w:val="en-US" w:eastAsia="zh-CN"/>
              </w:rPr>
              <w:t>由环卫部门</w:t>
            </w:r>
            <w:r>
              <w:rPr>
                <w:rFonts w:hint="default" w:ascii="Times New Roman" w:hAnsi="Times New Roman" w:cs="Times New Roman"/>
                <w:b w:val="0"/>
                <w:bCs/>
                <w:color w:val="auto"/>
                <w:szCs w:val="21"/>
                <w:highlight w:val="none"/>
              </w:rPr>
              <w:t>统一处置。</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45084">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1A40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4828E">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ABC54">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84B2">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泔水收集桶</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AA1D7">
            <w:pPr>
              <w:keepNext w:val="0"/>
              <w:keepLines w:val="0"/>
              <w:suppressLineNumbers w:val="0"/>
              <w:spacing w:before="0" w:beforeAutospacing="0" w:after="0" w:afterAutospacing="0"/>
              <w:ind w:right="0"/>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设置</w:t>
            </w:r>
            <w:r>
              <w:rPr>
                <w:rFonts w:hint="default" w:ascii="Times New Roman" w:hAnsi="Times New Roman" w:cs="Times New Roman"/>
                <w:b w:val="0"/>
                <w:color w:val="auto"/>
                <w:szCs w:val="21"/>
                <w:highlight w:val="none"/>
                <w:lang w:val="en-US" w:eastAsia="zh-CN"/>
              </w:rPr>
              <w:t>2个20L</w:t>
            </w:r>
            <w:r>
              <w:rPr>
                <w:rFonts w:hint="default" w:ascii="Times New Roman" w:hAnsi="Times New Roman" w:cs="Times New Roman"/>
                <w:b w:val="0"/>
                <w:color w:val="auto"/>
                <w:szCs w:val="21"/>
                <w:highlight w:val="none"/>
              </w:rPr>
              <w:t>泔水收集桶，用于收集厨房产生的泔水，泔水收集后按照住建部门相关规定处置。</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480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Cs w:val="20"/>
                <w:highlight w:val="none"/>
                <w:lang w:eastAsia="zh-CN"/>
              </w:rPr>
            </w:pPr>
            <w:r>
              <w:rPr>
                <w:rFonts w:hint="default" w:ascii="Times New Roman" w:hAnsi="Times New Roman" w:cs="Times New Roman"/>
                <w:b w:val="0"/>
                <w:color w:val="auto"/>
                <w:szCs w:val="20"/>
                <w:highlight w:val="none"/>
                <w:lang w:val="en-US" w:eastAsia="zh-CN"/>
              </w:rPr>
              <w:t>新建</w:t>
            </w:r>
          </w:p>
        </w:tc>
      </w:tr>
      <w:tr w14:paraId="36BD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C50F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46645">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BD10">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废油脂收集桶</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4E50">
            <w:pPr>
              <w:keepNext w:val="0"/>
              <w:keepLines w:val="0"/>
              <w:suppressLineNumbers w:val="0"/>
              <w:spacing w:before="0" w:beforeAutospacing="0" w:after="0" w:afterAutospacing="0"/>
              <w:ind w:right="0"/>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设置</w:t>
            </w:r>
            <w:r>
              <w:rPr>
                <w:rFonts w:hint="default" w:ascii="Times New Roman" w:hAnsi="Times New Roman" w:cs="Times New Roman"/>
                <w:b w:val="0"/>
                <w:color w:val="auto"/>
                <w:szCs w:val="21"/>
                <w:highlight w:val="none"/>
                <w:lang w:val="en-US" w:eastAsia="zh-CN"/>
              </w:rPr>
              <w:t>2个10L</w:t>
            </w:r>
            <w:r>
              <w:rPr>
                <w:rFonts w:hint="default" w:ascii="Times New Roman" w:hAnsi="Times New Roman" w:cs="Times New Roman"/>
                <w:b w:val="0"/>
                <w:color w:val="auto"/>
                <w:szCs w:val="21"/>
                <w:highlight w:val="none"/>
              </w:rPr>
              <w:t>废油脂收集桶，用于收集隔油池隔油过程中产生的废油脂，收集后按照住建部门相关规定处置。</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9ECD">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757C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0E072">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754353">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地下水污染防治</w:t>
            </w:r>
          </w:p>
        </w:tc>
        <w:tc>
          <w:tcPr>
            <w:tcW w:w="12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B3BE96">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重点防渗区</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FA22">
            <w:pPr>
              <w:keepNext w:val="0"/>
              <w:keepLines w:val="0"/>
              <w:suppressLineNumbers w:val="0"/>
              <w:spacing w:before="0" w:beforeAutospacing="0" w:after="0" w:afterAutospacing="0"/>
              <w:ind w:right="0"/>
              <w:textAlignment w:val="baseline"/>
              <w:rPr>
                <w:rFonts w:hint="default" w:ascii="Times New Roman" w:hAnsi="Times New Roman" w:eastAsia="宋体" w:cs="Times New Roman"/>
                <w:b w:val="0"/>
                <w:color w:val="auto"/>
                <w:szCs w:val="21"/>
                <w:highlight w:val="none"/>
                <w:lang w:eastAsia="zh-CN"/>
              </w:rPr>
            </w:pPr>
            <w:r>
              <w:rPr>
                <w:rFonts w:hint="default" w:ascii="Times New Roman" w:hAnsi="Times New Roman" w:cs="Times New Roman"/>
                <w:b w:val="0"/>
                <w:color w:val="auto"/>
                <w:szCs w:val="21"/>
                <w:highlight w:val="none"/>
              </w:rPr>
              <w:t>①危废暂存间按照GB18597-2023要求进行防渗：基础防渗+表面防渗。表面防渗采用抗渗混凝土、高密度聚乙烯膜、钠基膨润土防水毯或其他防渗性能等效的材料；基础防渗为2mm厚高密度聚乙烯膜（K≤1.0×10</w:t>
            </w:r>
            <w:r>
              <w:rPr>
                <w:rFonts w:hint="default" w:ascii="Times New Roman" w:hAnsi="Times New Roman" w:cs="Times New Roman"/>
                <w:b w:val="0"/>
                <w:color w:val="auto"/>
                <w:szCs w:val="21"/>
                <w:highlight w:val="none"/>
                <w:vertAlign w:val="superscript"/>
              </w:rPr>
              <w:t>-10</w:t>
            </w:r>
            <w:r>
              <w:rPr>
                <w:rFonts w:hint="default" w:ascii="Times New Roman" w:hAnsi="Times New Roman" w:cs="Times New Roman"/>
                <w:b w:val="0"/>
                <w:color w:val="auto"/>
                <w:szCs w:val="21"/>
                <w:highlight w:val="none"/>
              </w:rPr>
              <w:t>cm/s）。防渗、防腐材料应覆盖所有可能与废物及其渗滤液、渗漏液等接触的构筑物表面。可设置为：2mm厚高密度聚乙烯膜（K≤1.0×10</w:t>
            </w:r>
            <w:r>
              <w:rPr>
                <w:rFonts w:hint="default" w:ascii="Times New Roman" w:hAnsi="Times New Roman" w:cs="Times New Roman"/>
                <w:b w:val="0"/>
                <w:color w:val="auto"/>
                <w:szCs w:val="21"/>
                <w:highlight w:val="none"/>
                <w:vertAlign w:val="superscript"/>
              </w:rPr>
              <w:t>-10</w:t>
            </w:r>
            <w:r>
              <w:rPr>
                <w:rFonts w:hint="default" w:ascii="Times New Roman" w:hAnsi="Times New Roman" w:cs="Times New Roman"/>
                <w:b w:val="0"/>
                <w:color w:val="auto"/>
                <w:szCs w:val="21"/>
                <w:highlight w:val="none"/>
              </w:rPr>
              <w:t>cm/s）+抗渗混凝土</w:t>
            </w:r>
            <w:r>
              <w:rPr>
                <w:rFonts w:hint="default" w:ascii="Times New Roman" w:hAnsi="Times New Roman" w:cs="Times New Roman"/>
                <w:b w:val="0"/>
                <w:color w:val="auto"/>
                <w:szCs w:val="21"/>
                <w:highlight w:val="none"/>
                <w:lang w:eastAsia="zh-CN"/>
              </w:rPr>
              <w:t>。</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8160">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4B8DF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DFD9A">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CD343">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94A97">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34205">
            <w:pPr>
              <w:keepNext w:val="0"/>
              <w:keepLines w:val="0"/>
              <w:suppressLineNumbers w:val="0"/>
              <w:spacing w:before="0" w:beforeAutospacing="0" w:after="0" w:afterAutospacing="0"/>
              <w:ind w:right="0"/>
              <w:textAlignment w:val="baseline"/>
              <w:rPr>
                <w:rFonts w:hint="default" w:ascii="Times New Roman" w:hAnsi="Times New Roman" w:cs="Times New Roman"/>
                <w:b w:val="0"/>
                <w:color w:val="auto"/>
                <w:szCs w:val="21"/>
                <w:highlight w:val="none"/>
              </w:rPr>
            </w:pPr>
            <w:r>
              <w:rPr>
                <w:rFonts w:hint="default" w:ascii="Times New Roman" w:hAnsi="Times New Roman" w:cs="Times New Roman"/>
                <w:color w:val="auto"/>
                <w:sz w:val="21"/>
                <w:szCs w:val="21"/>
              </w:rPr>
              <w:t>②包括</w:t>
            </w:r>
            <w:r>
              <w:rPr>
                <w:rFonts w:hint="default" w:ascii="Times New Roman" w:hAnsi="Times New Roman" w:cs="Times New Roman"/>
                <w:color w:val="auto"/>
                <w:sz w:val="21"/>
                <w:szCs w:val="21"/>
                <w:lang w:val="en-US" w:eastAsia="zh-CN"/>
              </w:rPr>
              <w:t>2栋育肥舍（含</w:t>
            </w:r>
            <w:r>
              <w:rPr>
                <w:rFonts w:hint="default" w:ascii="Times New Roman" w:hAnsi="Times New Roman" w:cs="Times New Roman"/>
                <w:bCs/>
                <w:color w:val="auto"/>
                <w:sz w:val="21"/>
                <w:szCs w:val="21"/>
                <w:lang w:eastAsia="zh-CN"/>
              </w:rPr>
              <w:t>粪尿收集池</w:t>
            </w:r>
            <w:r>
              <w:rPr>
                <w:rFonts w:hint="default" w:ascii="Times New Roman" w:hAnsi="Times New Roman" w:cs="Times New Roman"/>
                <w:color w:val="auto"/>
                <w:sz w:val="21"/>
                <w:szCs w:val="21"/>
                <w:lang w:val="en-US" w:eastAsia="zh-CN"/>
              </w:rPr>
              <w:t>）、1栋保育舍猪舍（含</w:t>
            </w:r>
            <w:r>
              <w:rPr>
                <w:rFonts w:hint="default" w:ascii="Times New Roman" w:hAnsi="Times New Roman" w:cs="Times New Roman"/>
                <w:bCs/>
                <w:color w:val="auto"/>
                <w:sz w:val="21"/>
                <w:szCs w:val="21"/>
                <w:lang w:eastAsia="zh-CN"/>
              </w:rPr>
              <w:t>粪尿收集池</w:t>
            </w:r>
            <w:r>
              <w:rPr>
                <w:rFonts w:hint="default" w:ascii="Times New Roman" w:hAnsi="Times New Roman" w:cs="Times New Roman"/>
                <w:color w:val="auto"/>
                <w:sz w:val="21"/>
                <w:szCs w:val="21"/>
                <w:lang w:val="en-US" w:eastAsia="zh-CN"/>
              </w:rPr>
              <w:t>）、</w:t>
            </w:r>
            <w:r>
              <w:rPr>
                <w:rFonts w:hint="default" w:ascii="Times New Roman" w:hAnsi="Times New Roman" w:cs="Times New Roman"/>
                <w:bCs/>
                <w:color w:val="auto"/>
                <w:sz w:val="21"/>
                <w:szCs w:val="21"/>
                <w:lang w:val="en-US" w:eastAsia="zh-CN"/>
              </w:rPr>
              <w:t>废水收集池、</w:t>
            </w:r>
            <w:r>
              <w:rPr>
                <w:rFonts w:hint="default" w:ascii="Times New Roman" w:hAnsi="Times New Roman" w:cs="Times New Roman"/>
                <w:bCs/>
                <w:color w:val="auto"/>
                <w:sz w:val="21"/>
                <w:szCs w:val="21"/>
                <w:highlight w:val="none"/>
                <w:shd w:val="clear"/>
              </w:rPr>
              <w:t>堆粪棚</w:t>
            </w:r>
            <w:r>
              <w:rPr>
                <w:rFonts w:hint="default" w:ascii="Times New Roman" w:hAnsi="Times New Roman" w:cs="Times New Roman"/>
                <w:b w:val="0"/>
                <w:bCs/>
                <w:color w:val="auto"/>
                <w:szCs w:val="21"/>
                <w:highlight w:val="none"/>
                <w:shd w:val="clear"/>
              </w:rPr>
              <w:t>为</w:t>
            </w:r>
            <w:r>
              <w:rPr>
                <w:rFonts w:hint="default" w:ascii="Times New Roman" w:hAnsi="Times New Roman" w:cs="Times New Roman"/>
                <w:b w:val="0"/>
                <w:bCs/>
                <w:color w:val="auto"/>
                <w:szCs w:val="21"/>
                <w:highlight w:val="none"/>
              </w:rPr>
              <w:t>重点防渗区，防渗技术要求：等效黏土防渗层Mb≥6.0m，K≤1.0×10</w:t>
            </w:r>
            <w:r>
              <w:rPr>
                <w:rFonts w:hint="default" w:ascii="Times New Roman" w:hAnsi="Times New Roman" w:cs="Times New Roman"/>
                <w:b w:val="0"/>
                <w:bCs/>
                <w:color w:val="auto"/>
                <w:szCs w:val="21"/>
                <w:highlight w:val="none"/>
                <w:vertAlign w:val="superscript"/>
              </w:rPr>
              <w:t>-7</w:t>
            </w:r>
            <w:r>
              <w:rPr>
                <w:rFonts w:hint="default" w:ascii="Times New Roman" w:hAnsi="Times New Roman" w:cs="Times New Roman"/>
                <w:b w:val="0"/>
                <w:bCs/>
                <w:color w:val="auto"/>
                <w:szCs w:val="21"/>
                <w:highlight w:val="none"/>
              </w:rPr>
              <w:t>cm/s；或参照GB18598执行。</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6E6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Cs w:val="20"/>
                <w:highlight w:val="none"/>
                <w:lang w:eastAsia="zh-CN"/>
              </w:rPr>
            </w:pPr>
            <w:r>
              <w:rPr>
                <w:rFonts w:hint="default" w:ascii="Times New Roman" w:hAnsi="Times New Roman" w:cs="Times New Roman"/>
                <w:b w:val="0"/>
                <w:color w:val="auto"/>
                <w:szCs w:val="20"/>
                <w:highlight w:val="none"/>
                <w:lang w:val="en-US" w:eastAsia="zh-CN"/>
              </w:rPr>
              <w:t>新建</w:t>
            </w:r>
          </w:p>
        </w:tc>
      </w:tr>
      <w:tr w14:paraId="07EF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CC46C">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CFB9C">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C61C">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一般防渗区</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7742">
            <w:pPr>
              <w:keepNext w:val="0"/>
              <w:keepLines w:val="0"/>
              <w:suppressLineNumbers w:val="0"/>
              <w:spacing w:before="0" w:beforeAutospacing="0" w:after="0" w:afterAutospacing="0"/>
              <w:ind w:right="0"/>
              <w:textAlignment w:val="baseline"/>
              <w:rPr>
                <w:rFonts w:hint="default" w:ascii="Times New Roman" w:hAnsi="Times New Roman" w:cs="Times New Roman"/>
                <w:b w:val="0"/>
                <w:color w:val="auto"/>
                <w:szCs w:val="21"/>
                <w:highlight w:val="none"/>
              </w:rPr>
            </w:pPr>
            <w:r>
              <w:rPr>
                <w:rFonts w:hint="default" w:ascii="Times New Roman" w:hAnsi="Times New Roman" w:cs="Times New Roman"/>
                <w:color w:val="auto"/>
                <w:sz w:val="21"/>
                <w:szCs w:val="21"/>
              </w:rPr>
              <w:t>隔油池、化粪池、初期雨水收集池、</w:t>
            </w:r>
            <w:r>
              <w:rPr>
                <w:rFonts w:hint="default" w:ascii="Times New Roman" w:hAnsi="Times New Roman" w:cs="Times New Roman"/>
                <w:color w:val="auto"/>
                <w:sz w:val="21"/>
                <w:szCs w:val="21"/>
                <w:lang w:val="en-US" w:eastAsia="zh-CN"/>
              </w:rPr>
              <w:t>车辆洗消棚沉淀池</w:t>
            </w:r>
            <w:r>
              <w:rPr>
                <w:rFonts w:hint="default" w:ascii="Times New Roman" w:hAnsi="Times New Roman" w:cs="Times New Roman"/>
                <w:bCs/>
                <w:color w:val="auto"/>
                <w:sz w:val="21"/>
                <w:szCs w:val="21"/>
                <w:lang w:val="en-US" w:eastAsia="zh-CN"/>
              </w:rPr>
              <w:t>、</w:t>
            </w:r>
            <w:r>
              <w:rPr>
                <w:rFonts w:hint="default" w:ascii="Times New Roman" w:hAnsi="Times New Roman" w:cs="Times New Roman"/>
                <w:bCs/>
                <w:color w:val="auto"/>
                <w:sz w:val="21"/>
                <w:szCs w:val="21"/>
              </w:rPr>
              <w:t>柴油发电室</w:t>
            </w:r>
            <w:r>
              <w:rPr>
                <w:rFonts w:hint="default" w:ascii="Times New Roman" w:hAnsi="Times New Roman" w:cs="Times New Roman"/>
                <w:bCs/>
                <w:color w:val="auto"/>
                <w:sz w:val="21"/>
                <w:szCs w:val="21"/>
                <w:lang w:eastAsia="zh-CN"/>
              </w:rPr>
              <w:t>、</w:t>
            </w:r>
            <w:r>
              <w:rPr>
                <w:rFonts w:hint="default" w:ascii="Times New Roman" w:hAnsi="Times New Roman" w:cs="Times New Roman"/>
                <w:color w:val="auto"/>
                <w:sz w:val="21"/>
                <w:szCs w:val="21"/>
                <w:lang w:val="en-US" w:eastAsia="zh-CN"/>
              </w:rPr>
              <w:t>冷库、防疫固废暂存间</w:t>
            </w:r>
            <w:r>
              <w:rPr>
                <w:rFonts w:hint="default" w:ascii="Times New Roman" w:hAnsi="Times New Roman" w:cs="Times New Roman"/>
                <w:color w:val="auto"/>
                <w:sz w:val="21"/>
                <w:szCs w:val="21"/>
              </w:rPr>
              <w:t>参照《环境影响评价技术导则-地下水环境》（HJ610-2016）中一般防渗区的防渗要求进行防渗设计，防渗层的防渗性能应等效于厚度≥1.5m，渗透系数≤1.0×10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cm/s的黏土层的防渗性能。</w:t>
            </w:r>
            <w:r>
              <w:rPr>
                <w:rFonts w:hint="default" w:ascii="Times New Roman" w:hAnsi="Times New Roman" w:cs="Times New Roman"/>
                <w:b w:val="0"/>
                <w:bCs/>
                <w:color w:val="auto"/>
                <w:szCs w:val="21"/>
                <w:highlight w:val="none"/>
              </w:rPr>
              <w:t>要求等效黏土防渗层厚度Mb≥1.5m，渗透系数K≤1.0×10</w:t>
            </w:r>
            <w:r>
              <w:rPr>
                <w:rFonts w:hint="default" w:ascii="Times New Roman" w:hAnsi="Times New Roman" w:cs="Times New Roman"/>
                <w:b w:val="0"/>
                <w:bCs/>
                <w:color w:val="auto"/>
                <w:szCs w:val="21"/>
                <w:highlight w:val="none"/>
                <w:vertAlign w:val="superscript"/>
              </w:rPr>
              <w:t>-7</w:t>
            </w:r>
            <w:r>
              <w:rPr>
                <w:rFonts w:hint="default" w:ascii="Times New Roman" w:hAnsi="Times New Roman" w:cs="Times New Roman"/>
                <w:b w:val="0"/>
                <w:bCs/>
                <w:color w:val="auto"/>
                <w:szCs w:val="21"/>
                <w:highlight w:val="none"/>
              </w:rPr>
              <w:t>cm/s；或参照16889执行。</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F0947">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328E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4D583">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FC024">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BE5F1">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简单防渗区</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C763">
            <w:pPr>
              <w:keepNext w:val="0"/>
              <w:keepLines w:val="0"/>
              <w:suppressLineNumbers w:val="0"/>
              <w:spacing w:before="0" w:beforeAutospacing="0" w:after="0" w:afterAutospacing="0"/>
              <w:ind w:left="0" w:right="0" w:firstLine="210" w:firstLineChars="100"/>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包括</w:t>
            </w:r>
            <w:r>
              <w:rPr>
                <w:rFonts w:hint="default" w:ascii="Times New Roman" w:hAnsi="Times New Roman" w:cs="Times New Roman"/>
                <w:color w:val="auto"/>
                <w:szCs w:val="21"/>
                <w:highlight w:val="none"/>
                <w:lang w:val="en-US" w:eastAsia="zh-CN"/>
              </w:rPr>
              <w:t>办公生活区</w:t>
            </w:r>
            <w:r>
              <w:rPr>
                <w:rFonts w:hint="default" w:ascii="Times New Roman" w:hAnsi="Times New Roman" w:cs="Times New Roman"/>
                <w:color w:val="auto"/>
                <w:szCs w:val="21"/>
                <w:highlight w:val="none"/>
              </w:rPr>
              <w:t>、配电房、</w:t>
            </w:r>
            <w:r>
              <w:rPr>
                <w:rFonts w:hint="default" w:ascii="Times New Roman" w:hAnsi="Times New Roman" w:cs="Times New Roman"/>
                <w:color w:val="auto"/>
                <w:szCs w:val="21"/>
                <w:highlight w:val="none"/>
                <w:lang w:val="en-US" w:eastAsia="zh-CN"/>
              </w:rPr>
              <w:t>物资消毒</w:t>
            </w:r>
            <w:r>
              <w:rPr>
                <w:rFonts w:hint="default" w:ascii="Times New Roman" w:hAnsi="Times New Roman" w:cs="Times New Roman"/>
                <w:color w:val="auto"/>
                <w:szCs w:val="21"/>
                <w:highlight w:val="none"/>
              </w:rPr>
              <w:t>仓库、厂区道路</w:t>
            </w:r>
            <w:r>
              <w:rPr>
                <w:rFonts w:hint="default" w:ascii="Times New Roman" w:hAnsi="Times New Roman" w:cs="Times New Roman"/>
                <w:color w:val="auto"/>
                <w:szCs w:val="21"/>
                <w:highlight w:val="none"/>
                <w:lang w:eastAsia="zh-CN"/>
              </w:rPr>
              <w:t>等</w:t>
            </w:r>
            <w:r>
              <w:rPr>
                <w:rFonts w:hint="default" w:ascii="Times New Roman" w:hAnsi="Times New Roman" w:cs="Times New Roman"/>
                <w:b w:val="0"/>
                <w:bCs/>
                <w:color w:val="auto"/>
                <w:szCs w:val="21"/>
                <w:highlight w:val="none"/>
              </w:rPr>
              <w:t>，采取一般水泥地面硬化。</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8FDB">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215C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DAF4D">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8CCC5">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296CA">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监测井</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D9AEE">
            <w:pPr>
              <w:spacing w:line="240" w:lineRule="auto"/>
              <w:rPr>
                <w:rFonts w:hint="default" w:ascii="Times New Roman" w:hAnsi="Times New Roman" w:cs="Times New Roman"/>
                <w:b w:val="0"/>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在项目区</w:t>
            </w:r>
            <w:r>
              <w:rPr>
                <w:rFonts w:hint="default" w:ascii="Times New Roman" w:hAnsi="Times New Roman" w:cs="Times New Roman"/>
                <w:b w:val="0"/>
                <w:bCs w:val="0"/>
                <w:color w:val="auto"/>
                <w:sz w:val="21"/>
                <w:szCs w:val="21"/>
                <w:highlight w:val="none"/>
                <w:lang w:val="en-US" w:eastAsia="zh-CN"/>
              </w:rPr>
              <w:t>废水收集池</w:t>
            </w:r>
            <w:r>
              <w:rPr>
                <w:rFonts w:hint="default" w:ascii="Times New Roman" w:hAnsi="Times New Roman" w:eastAsia="宋体" w:cs="Times New Roman"/>
                <w:b w:val="0"/>
                <w:bCs w:val="0"/>
                <w:color w:val="auto"/>
                <w:sz w:val="21"/>
                <w:szCs w:val="21"/>
                <w:highlight w:val="none"/>
                <w:lang w:val="en-US" w:eastAsia="zh-CN"/>
              </w:rPr>
              <w:t>下游</w:t>
            </w:r>
            <w:r>
              <w:rPr>
                <w:rFonts w:hint="eastAsia" w:cs="Times New Roman"/>
                <w:b w:val="0"/>
                <w:bCs w:val="0"/>
                <w:color w:val="auto"/>
                <w:sz w:val="21"/>
                <w:szCs w:val="21"/>
                <w:highlight w:val="none"/>
                <w:lang w:val="en-US" w:eastAsia="zh-CN"/>
              </w:rPr>
              <w:t>25</w:t>
            </w:r>
            <w:r>
              <w:rPr>
                <w:rFonts w:hint="default" w:ascii="Times New Roman" w:hAnsi="Times New Roman" w:eastAsia="宋体" w:cs="Times New Roman"/>
                <w:b w:val="0"/>
                <w:bCs w:val="0"/>
                <w:color w:val="auto"/>
                <w:sz w:val="21"/>
                <w:szCs w:val="21"/>
                <w:highlight w:val="none"/>
                <w:lang w:val="en-US" w:eastAsia="zh-CN"/>
              </w:rPr>
              <w:t>m处设置1个地下水跟踪监测井，用于</w:t>
            </w:r>
            <w:r>
              <w:rPr>
                <w:rFonts w:hint="default" w:ascii="Times New Roman" w:hAnsi="Times New Roman" w:cs="Times New Roman"/>
                <w:color w:val="auto"/>
                <w:sz w:val="21"/>
                <w:szCs w:val="21"/>
              </w:rPr>
              <w:t>地下水环境影响跟踪监测点</w:t>
            </w:r>
            <w:r>
              <w:rPr>
                <w:rFonts w:hint="default" w:ascii="Times New Roman" w:hAnsi="Times New Roman" w:eastAsia="宋体" w:cs="Times New Roman"/>
                <w:b w:val="0"/>
                <w:bCs w:val="0"/>
                <w:color w:val="auto"/>
                <w:sz w:val="21"/>
                <w:szCs w:val="21"/>
                <w:highlight w:val="none"/>
                <w:lang w:val="en-US" w:eastAsia="zh-CN"/>
              </w:rPr>
              <w:t>；</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14AB">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1323D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3DE9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ECFFBD">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其他</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CC8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标识、标牌</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3D81">
            <w:pPr>
              <w:keepNext w:val="0"/>
              <w:keepLines w:val="0"/>
              <w:suppressLineNumbers w:val="0"/>
              <w:spacing w:before="0" w:beforeAutospacing="0" w:after="0" w:afterAutospacing="0"/>
              <w:ind w:right="0"/>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Cs/>
                <w:color w:val="auto"/>
                <w:sz w:val="21"/>
                <w:szCs w:val="21"/>
              </w:rPr>
              <w:t>危废暂存间、</w:t>
            </w:r>
            <w:r>
              <w:rPr>
                <w:rFonts w:hint="default" w:ascii="Times New Roman" w:hAnsi="Times New Roman" w:cs="Times New Roman"/>
                <w:color w:val="auto"/>
                <w:sz w:val="21"/>
                <w:szCs w:val="21"/>
                <w:lang w:val="en-US" w:eastAsia="zh-CN"/>
              </w:rPr>
              <w:t>防疫废物暂存间、</w:t>
            </w:r>
            <w:r>
              <w:rPr>
                <w:rFonts w:hint="default" w:ascii="Times New Roman" w:hAnsi="Times New Roman" w:cs="Times New Roman"/>
                <w:bCs/>
                <w:color w:val="auto"/>
                <w:sz w:val="21"/>
                <w:szCs w:val="21"/>
                <w:lang w:val="en-US" w:eastAsia="zh-CN"/>
              </w:rPr>
              <w:t>污水收集池</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粪尿收集池、</w:t>
            </w:r>
            <w:r>
              <w:rPr>
                <w:rFonts w:hint="default" w:ascii="Times New Roman" w:hAnsi="Times New Roman" w:cs="Times New Roman"/>
                <w:bCs/>
                <w:color w:val="auto"/>
                <w:sz w:val="21"/>
                <w:szCs w:val="21"/>
              </w:rPr>
              <w:t>堆粪棚、化粪池、隔油池、冷库</w:t>
            </w:r>
            <w:r>
              <w:rPr>
                <w:rFonts w:hint="default" w:ascii="Times New Roman" w:hAnsi="Times New Roman" w:cs="Times New Roman"/>
                <w:bCs/>
                <w:color w:val="auto"/>
                <w:sz w:val="21"/>
                <w:szCs w:val="21"/>
                <w:lang w:val="en-US" w:eastAsia="zh-CN"/>
              </w:rPr>
              <w:t>等环保设施</w:t>
            </w:r>
            <w:r>
              <w:rPr>
                <w:rFonts w:hint="default" w:ascii="Times New Roman" w:hAnsi="Times New Roman" w:cs="Times New Roman"/>
                <w:bCs/>
                <w:color w:val="auto"/>
                <w:sz w:val="21"/>
                <w:szCs w:val="21"/>
              </w:rPr>
              <w:t>设置对应的标识标牌。</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A782">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r w14:paraId="4442C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9942F1">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3EEF7">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578D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绿化</w:t>
            </w:r>
          </w:p>
        </w:tc>
        <w:tc>
          <w:tcPr>
            <w:tcW w:w="5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6D4B">
            <w:pPr>
              <w:keepNext w:val="0"/>
              <w:keepLines w:val="0"/>
              <w:suppressLineNumbers w:val="0"/>
              <w:spacing w:before="0" w:beforeAutospacing="0" w:after="0" w:afterAutospacing="0"/>
              <w:ind w:right="0"/>
              <w:textAlignment w:val="baseline"/>
              <w:rPr>
                <w:rFonts w:hint="default" w:ascii="Times New Roman" w:hAnsi="Times New Roman" w:cs="Times New Roman"/>
                <w:b w:val="0"/>
                <w:color w:val="auto"/>
                <w:szCs w:val="21"/>
                <w:highlight w:val="none"/>
              </w:rPr>
            </w:pPr>
            <w:r>
              <w:rPr>
                <w:rFonts w:hint="default" w:ascii="Times New Roman" w:hAnsi="Times New Roman" w:cs="Times New Roman"/>
                <w:b w:val="0"/>
                <w:color w:val="auto"/>
                <w:highlight w:val="none"/>
              </w:rPr>
              <w:t>项目区设置绿化防护带，以种植乔木、灌木以及绿化草坪为主，绿化面积为</w:t>
            </w:r>
            <w:r>
              <w:rPr>
                <w:rFonts w:hint="default" w:ascii="Times New Roman" w:hAnsi="Times New Roman" w:cs="Times New Roman"/>
                <w:b w:val="0"/>
                <w:color w:val="auto"/>
                <w:highlight w:val="none"/>
                <w:lang w:val="en-US" w:eastAsia="zh-CN"/>
              </w:rPr>
              <w:t>1000</w:t>
            </w:r>
            <w:r>
              <w:rPr>
                <w:rFonts w:hint="default" w:ascii="Times New Roman" w:hAnsi="Times New Roman" w:cs="Times New Roman"/>
                <w:b w:val="0"/>
                <w:color w:val="auto"/>
                <w:highlight w:val="none"/>
              </w:rPr>
              <w:t>m</w:t>
            </w:r>
            <w:r>
              <w:rPr>
                <w:rFonts w:hint="default" w:ascii="Times New Roman" w:hAnsi="Times New Roman" w:cs="Times New Roman"/>
                <w:b w:val="0"/>
                <w:color w:val="auto"/>
                <w:highlight w:val="none"/>
                <w:vertAlign w:val="superscript"/>
              </w:rPr>
              <w:t>2</w:t>
            </w:r>
            <w:r>
              <w:rPr>
                <w:rFonts w:hint="default" w:ascii="Times New Roman" w:hAnsi="Times New Roman" w:cs="Times New Roman"/>
                <w:b w:val="0"/>
                <w:color w:val="auto"/>
                <w:highlight w:val="none"/>
              </w:rPr>
              <w:t>。</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74303">
            <w:pPr>
              <w:keepNext w:val="0"/>
              <w:keepLines w:val="0"/>
              <w:suppressLineNumbers w:val="0"/>
              <w:spacing w:before="0" w:beforeAutospacing="0" w:after="0" w:afterAutospacing="0"/>
              <w:ind w:left="0" w:right="0"/>
              <w:jc w:val="center"/>
              <w:rPr>
                <w:rFonts w:hint="default" w:ascii="Times New Roman" w:hAnsi="Times New Roman" w:cs="Times New Roman"/>
                <w:b w:val="0"/>
                <w:color w:val="auto"/>
                <w:szCs w:val="20"/>
                <w:highlight w:val="none"/>
              </w:rPr>
            </w:pPr>
            <w:r>
              <w:rPr>
                <w:rFonts w:hint="default" w:ascii="Times New Roman" w:hAnsi="Times New Roman" w:cs="Times New Roman"/>
                <w:b w:val="0"/>
                <w:color w:val="auto"/>
                <w:szCs w:val="20"/>
                <w:highlight w:val="none"/>
                <w:lang w:val="en-US" w:eastAsia="zh-CN"/>
              </w:rPr>
              <w:t>新建</w:t>
            </w:r>
          </w:p>
        </w:tc>
      </w:tr>
    </w:tbl>
    <w:p w14:paraId="3A2C803F">
      <w:pPr>
        <w:rPr>
          <w:rFonts w:hint="default" w:ascii="Times New Roman" w:hAnsi="Times New Roman" w:cs="Times New Roman"/>
          <w:color w:val="auto"/>
          <w:szCs w:val="20"/>
          <w:highlight w:val="none"/>
        </w:rPr>
      </w:pPr>
    </w:p>
    <w:p w14:paraId="19E6125B">
      <w:pPr>
        <w:pStyle w:val="15"/>
        <w:rPr>
          <w:rFonts w:hint="default" w:ascii="Times New Roman" w:hAnsi="Times New Roman" w:cs="Times New Roman"/>
          <w:color w:val="auto"/>
          <w:szCs w:val="20"/>
          <w:highlight w:val="none"/>
        </w:rPr>
        <w:sectPr>
          <w:pgSz w:w="11907" w:h="16840"/>
          <w:pgMar w:top="1531" w:right="1797" w:bottom="1440"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F3D96BA">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174" w:name="_Toc21198"/>
      <w:r>
        <w:rPr>
          <w:rStyle w:val="35"/>
          <w:rFonts w:hint="default" w:ascii="Times New Roman" w:hAnsi="Times New Roman" w:eastAsia="宋体" w:cs="Times New Roman"/>
          <w:color w:val="auto"/>
          <w:sz w:val="24"/>
          <w:szCs w:val="24"/>
          <w:highlight w:val="none"/>
        </w:rPr>
        <w:t>2.</w:t>
      </w:r>
      <w:r>
        <w:rPr>
          <w:rStyle w:val="35"/>
          <w:rFonts w:hint="default" w:ascii="Times New Roman" w:hAnsi="Times New Roman" w:eastAsia="宋体" w:cs="Times New Roman"/>
          <w:color w:val="auto"/>
          <w:sz w:val="24"/>
          <w:szCs w:val="24"/>
          <w:highlight w:val="none"/>
          <w:lang w:val="en-US" w:eastAsia="zh-CN"/>
        </w:rPr>
        <w:t>1</w:t>
      </w:r>
      <w:r>
        <w:rPr>
          <w:rStyle w:val="35"/>
          <w:rFonts w:hint="default" w:ascii="Times New Roman" w:hAnsi="Times New Roman" w:eastAsia="宋体" w:cs="Times New Roman"/>
          <w:color w:val="auto"/>
          <w:sz w:val="24"/>
          <w:szCs w:val="24"/>
          <w:highlight w:val="none"/>
        </w:rPr>
        <w:t>.4总平面布置</w:t>
      </w:r>
      <w:bookmarkEnd w:id="174"/>
    </w:p>
    <w:p w14:paraId="2C4EF1D1">
      <w:pPr>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项目区总体不规则多边形，地势</w:t>
      </w:r>
      <w:r>
        <w:rPr>
          <w:rFonts w:hint="default" w:ascii="Times New Roman" w:hAnsi="Times New Roman" w:cs="Times New Roman"/>
          <w:color w:val="auto"/>
          <w:sz w:val="24"/>
          <w:highlight w:val="none"/>
          <w:lang w:val="en-US" w:eastAsia="zh-CN"/>
        </w:rPr>
        <w:t>东</w:t>
      </w:r>
      <w:r>
        <w:rPr>
          <w:rFonts w:hint="default" w:ascii="Times New Roman" w:hAnsi="Times New Roman" w:cs="Times New Roman"/>
          <w:color w:val="auto"/>
          <w:sz w:val="24"/>
          <w:highlight w:val="none"/>
        </w:rPr>
        <w:t>高</w:t>
      </w:r>
      <w:r>
        <w:rPr>
          <w:rFonts w:hint="default" w:ascii="Times New Roman" w:hAnsi="Times New Roman" w:cs="Times New Roman"/>
          <w:color w:val="auto"/>
          <w:sz w:val="24"/>
          <w:highlight w:val="none"/>
          <w:lang w:val="en-US" w:eastAsia="zh-CN"/>
        </w:rPr>
        <w:t>西</w:t>
      </w:r>
      <w:r>
        <w:rPr>
          <w:rFonts w:hint="default" w:ascii="Times New Roman" w:hAnsi="Times New Roman" w:cs="Times New Roman"/>
          <w:color w:val="auto"/>
          <w:sz w:val="24"/>
          <w:highlight w:val="none"/>
        </w:rPr>
        <w:t>低，场地最大高差为</w:t>
      </w:r>
      <w:r>
        <w:rPr>
          <w:rFonts w:hint="default" w:ascii="Times New Roman" w:hAnsi="Times New Roman" w:cs="Times New Roman"/>
          <w:color w:val="auto"/>
          <w:sz w:val="24"/>
          <w:highlight w:val="none"/>
          <w:lang w:val="en-US" w:eastAsia="zh-CN"/>
        </w:rPr>
        <w:t>12</w:t>
      </w:r>
      <w:r>
        <w:rPr>
          <w:rFonts w:hint="default" w:ascii="Times New Roman" w:hAnsi="Times New Roman" w:cs="Times New Roman"/>
          <w:color w:val="auto"/>
          <w:sz w:val="24"/>
          <w:highlight w:val="none"/>
        </w:rPr>
        <w:t>m，按照地形布置，分为养殖区</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办公</w:t>
      </w:r>
      <w:r>
        <w:rPr>
          <w:rFonts w:hint="default" w:ascii="Times New Roman" w:hAnsi="Times New Roman" w:cs="Times New Roman"/>
          <w:color w:val="auto"/>
          <w:sz w:val="24"/>
          <w:highlight w:val="none"/>
        </w:rPr>
        <w:t>生活区</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环保区</w:t>
      </w:r>
      <w:r>
        <w:rPr>
          <w:rFonts w:hint="default" w:ascii="Times New Roman" w:hAnsi="Times New Roman" w:cs="Times New Roman"/>
          <w:color w:val="auto"/>
          <w:sz w:val="24"/>
          <w:highlight w:val="none"/>
        </w:rPr>
        <w:t>。项目设置1个厂区出入口接现有乡村公路，位于</w:t>
      </w:r>
      <w:r>
        <w:rPr>
          <w:rFonts w:hint="default" w:ascii="Times New Roman" w:hAnsi="Times New Roman" w:cs="Times New Roman"/>
          <w:color w:val="auto"/>
          <w:sz w:val="24"/>
          <w:highlight w:val="none"/>
          <w:lang w:val="en-US" w:eastAsia="zh-CN"/>
        </w:rPr>
        <w:t>西</w:t>
      </w:r>
      <w:r>
        <w:rPr>
          <w:rFonts w:hint="default" w:ascii="Times New Roman" w:hAnsi="Times New Roman" w:cs="Times New Roman"/>
          <w:color w:val="auto"/>
          <w:sz w:val="24"/>
          <w:highlight w:val="none"/>
        </w:rPr>
        <w:t>南侧。</w:t>
      </w:r>
      <w:r>
        <w:rPr>
          <w:rFonts w:hint="default" w:ascii="Times New Roman" w:hAnsi="Times New Roman" w:cs="Times New Roman"/>
          <w:color w:val="auto"/>
          <w:sz w:val="24"/>
          <w:highlight w:val="none"/>
          <w:lang w:val="en-US" w:eastAsia="zh-CN"/>
        </w:rPr>
        <w:t>进场后</w:t>
      </w:r>
      <w:r>
        <w:rPr>
          <w:rFonts w:hint="default" w:ascii="Times New Roman" w:hAnsi="Times New Roman" w:cs="Times New Roman"/>
          <w:color w:val="auto"/>
          <w:sz w:val="24"/>
          <w:highlight w:val="none"/>
        </w:rPr>
        <w:t>依次设置</w:t>
      </w:r>
      <w:r>
        <w:rPr>
          <w:rFonts w:hint="default" w:ascii="Times New Roman" w:hAnsi="Times New Roman" w:cs="Times New Roman"/>
          <w:color w:val="auto"/>
          <w:sz w:val="24"/>
          <w:highlight w:val="none"/>
          <w:lang w:val="en-US" w:eastAsia="zh-CN"/>
        </w:rPr>
        <w:t>车辆洗消棚、车辆烘干棚</w:t>
      </w:r>
      <w:r>
        <w:rPr>
          <w:rFonts w:hint="default" w:ascii="Times New Roman" w:hAnsi="Times New Roman" w:cs="Times New Roman"/>
          <w:color w:val="auto"/>
          <w:sz w:val="24"/>
          <w:highlight w:val="none"/>
        </w:rPr>
        <w:t>、电子磅秤。整个养殖区和生活区进行封闭式管理，并在生活区和养殖区主出入口处设1个</w:t>
      </w:r>
      <w:r>
        <w:rPr>
          <w:rFonts w:hint="default" w:ascii="Times New Roman" w:hAnsi="Times New Roman" w:cs="Times New Roman"/>
          <w:color w:val="auto"/>
          <w:sz w:val="24"/>
          <w:highlight w:val="none"/>
          <w:lang w:val="en-US" w:eastAsia="zh-CN"/>
        </w:rPr>
        <w:t>物资消毒仓库</w:t>
      </w:r>
      <w:r>
        <w:rPr>
          <w:rFonts w:hint="default" w:ascii="Times New Roman" w:hAnsi="Times New Roman" w:cs="Times New Roman"/>
          <w:color w:val="auto"/>
          <w:sz w:val="24"/>
          <w:highlight w:val="none"/>
        </w:rPr>
        <w:t>，供进入养殖区人员及物资消毒。</w:t>
      </w:r>
    </w:p>
    <w:p w14:paraId="1E9061DF">
      <w:pPr>
        <w:snapToGrid w:val="0"/>
        <w:spacing w:line="360" w:lineRule="auto"/>
        <w:ind w:firstLine="480" w:firstLineChars="200"/>
        <w:textAlignment w:val="baseline"/>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生活区位于</w:t>
      </w:r>
      <w:r>
        <w:rPr>
          <w:rFonts w:hint="default" w:ascii="Times New Roman" w:hAnsi="Times New Roman" w:cs="Times New Roman"/>
          <w:color w:val="auto"/>
          <w:sz w:val="24"/>
          <w:highlight w:val="none"/>
          <w:lang w:val="en-US" w:eastAsia="zh-CN"/>
        </w:rPr>
        <w:t>东</w:t>
      </w:r>
      <w:r>
        <w:rPr>
          <w:rFonts w:hint="default" w:ascii="Times New Roman" w:hAnsi="Times New Roman" w:cs="Times New Roman"/>
          <w:color w:val="auto"/>
          <w:sz w:val="24"/>
          <w:highlight w:val="none"/>
        </w:rPr>
        <w:t>南侧，处于整个厂区</w:t>
      </w:r>
      <w:r>
        <w:rPr>
          <w:rFonts w:hint="default" w:ascii="Times New Roman" w:hAnsi="Times New Roman" w:cs="Times New Roman"/>
          <w:color w:val="auto"/>
          <w:sz w:val="24"/>
          <w:highlight w:val="none"/>
          <w:lang w:val="en-US" w:eastAsia="zh-CN"/>
        </w:rPr>
        <w:t>侧</w:t>
      </w:r>
      <w:r>
        <w:rPr>
          <w:rFonts w:hint="default" w:ascii="Times New Roman" w:hAnsi="Times New Roman" w:cs="Times New Roman"/>
          <w:color w:val="auto"/>
          <w:sz w:val="24"/>
          <w:highlight w:val="none"/>
        </w:rPr>
        <w:t>风向，生活区布置有办公、宿舍、食堂等；</w:t>
      </w:r>
      <w:r>
        <w:rPr>
          <w:rFonts w:hint="default" w:ascii="Times New Roman" w:hAnsi="Times New Roman" w:cs="Times New Roman"/>
          <w:bCs/>
          <w:color w:val="auto"/>
          <w:sz w:val="24"/>
          <w:highlight w:val="none"/>
        </w:rPr>
        <w:t>整个养殖区主要构筑物为</w:t>
      </w:r>
      <w:r>
        <w:rPr>
          <w:rFonts w:hint="default" w:ascii="Times New Roman" w:hAnsi="Times New Roman" w:cs="Times New Roman"/>
          <w:bCs/>
          <w:color w:val="auto"/>
          <w:sz w:val="24"/>
          <w:highlight w:val="none"/>
          <w:lang w:val="en-US" w:eastAsia="zh-CN"/>
        </w:rPr>
        <w:t>3</w:t>
      </w:r>
      <w:r>
        <w:rPr>
          <w:rFonts w:hint="default" w:ascii="Times New Roman" w:hAnsi="Times New Roman" w:cs="Times New Roman"/>
          <w:bCs/>
          <w:color w:val="auto"/>
          <w:sz w:val="24"/>
          <w:highlight w:val="none"/>
        </w:rPr>
        <w:t>幢猪舍，保育舍位于</w:t>
      </w:r>
      <w:r>
        <w:rPr>
          <w:rFonts w:hint="default" w:ascii="Times New Roman" w:hAnsi="Times New Roman" w:cs="Times New Roman"/>
          <w:bCs/>
          <w:color w:val="auto"/>
          <w:sz w:val="24"/>
          <w:highlight w:val="none"/>
          <w:lang w:val="en-US" w:eastAsia="zh-CN"/>
        </w:rPr>
        <w:t>东</w:t>
      </w:r>
      <w:r>
        <w:rPr>
          <w:rFonts w:hint="default" w:ascii="Times New Roman" w:hAnsi="Times New Roman" w:cs="Times New Roman"/>
          <w:bCs/>
          <w:color w:val="auto"/>
          <w:sz w:val="24"/>
          <w:highlight w:val="none"/>
        </w:rPr>
        <w:t>北侧，从北到南依次布置</w:t>
      </w:r>
      <w:r>
        <w:rPr>
          <w:rFonts w:hint="default"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rPr>
        <w:t>幢育肥舍，生产区按照保育和育肥分区饲养，便于生猪饲养及其生长管理。同时为满足养殖场区</w:t>
      </w:r>
      <w:r>
        <w:rPr>
          <w:rFonts w:hint="default" w:ascii="Times New Roman" w:hAnsi="Times New Roman" w:cs="Times New Roman"/>
          <w:bCs/>
          <w:color w:val="auto"/>
          <w:sz w:val="24"/>
          <w:highlight w:val="none"/>
          <w:lang w:eastAsia="zh-CN"/>
        </w:rPr>
        <w:t>粪污</w:t>
      </w:r>
      <w:r>
        <w:rPr>
          <w:rFonts w:hint="default" w:ascii="Times New Roman" w:hAnsi="Times New Roman" w:cs="Times New Roman"/>
          <w:bCs/>
          <w:color w:val="auto"/>
          <w:sz w:val="24"/>
          <w:highlight w:val="none"/>
        </w:rPr>
        <w:t>处理需求，结合场地高差因素，在厂区地势最低处设置</w:t>
      </w:r>
      <w:r>
        <w:rPr>
          <w:rFonts w:hint="default" w:ascii="Times New Roman" w:hAnsi="Times New Roman" w:cs="Times New Roman"/>
          <w:bCs/>
          <w:color w:val="auto"/>
          <w:sz w:val="24"/>
          <w:highlight w:val="none"/>
          <w:lang w:val="en-US" w:eastAsia="zh-CN"/>
        </w:rPr>
        <w:t>环保区</w:t>
      </w:r>
      <w:r>
        <w:rPr>
          <w:rFonts w:hint="default" w:ascii="Times New Roman" w:hAnsi="Times New Roman" w:cs="Times New Roman"/>
          <w:bCs/>
          <w:color w:val="auto"/>
          <w:sz w:val="24"/>
          <w:highlight w:val="none"/>
        </w:rPr>
        <w:t>，设置有</w:t>
      </w:r>
      <w:r>
        <w:rPr>
          <w:rFonts w:hint="default" w:ascii="Times New Roman" w:hAnsi="Times New Roman" w:cs="Times New Roman"/>
          <w:bCs/>
          <w:color w:val="auto"/>
          <w:sz w:val="24"/>
          <w:highlight w:val="none"/>
          <w:lang w:val="en-US" w:eastAsia="zh-CN"/>
        </w:rPr>
        <w:t>废水收集池</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堆粪棚</w:t>
      </w:r>
      <w:r>
        <w:rPr>
          <w:rFonts w:hint="default" w:ascii="Times New Roman" w:hAnsi="Times New Roman" w:cs="Times New Roman"/>
          <w:bCs/>
          <w:color w:val="auto"/>
          <w:sz w:val="24"/>
          <w:highlight w:val="none"/>
        </w:rPr>
        <w:t>等，便于</w:t>
      </w:r>
      <w:r>
        <w:rPr>
          <w:rFonts w:hint="default" w:ascii="Times New Roman" w:hAnsi="Times New Roman" w:cs="Times New Roman"/>
          <w:bCs/>
          <w:color w:val="auto"/>
          <w:sz w:val="24"/>
          <w:highlight w:val="none"/>
          <w:lang w:val="en-US" w:eastAsia="zh-CN"/>
        </w:rPr>
        <w:t>粪污</w:t>
      </w:r>
      <w:r>
        <w:rPr>
          <w:rFonts w:hint="default" w:ascii="Times New Roman" w:hAnsi="Times New Roman" w:cs="Times New Roman"/>
          <w:bCs/>
          <w:color w:val="auto"/>
          <w:sz w:val="24"/>
          <w:highlight w:val="none"/>
        </w:rPr>
        <w:t>收集处理。</w:t>
      </w:r>
    </w:p>
    <w:p w14:paraId="375E5BB3">
      <w:pPr>
        <w:snapToGrid w:val="0"/>
        <w:spacing w:line="360" w:lineRule="auto"/>
        <w:ind w:firstLine="480" w:firstLineChars="200"/>
        <w:textAlignment w:val="baseline"/>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厂址四周及厂内空地处布置绿化带，主要以种植乔木、灌木以及绿化草坪为主；厂区沿边坡种植爬藤类植物进一步加强绿化隔离。整个厂区外围</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养殖区、办公生活区、环保区均连接</w:t>
      </w:r>
      <w:r>
        <w:rPr>
          <w:rFonts w:hint="default" w:ascii="Times New Roman" w:hAnsi="Times New Roman" w:cs="Times New Roman"/>
          <w:bCs/>
          <w:color w:val="auto"/>
          <w:sz w:val="24"/>
          <w:highlight w:val="none"/>
        </w:rPr>
        <w:t>厂内道路，便于日常</w:t>
      </w:r>
      <w:r>
        <w:rPr>
          <w:rFonts w:hint="default" w:ascii="Times New Roman" w:hAnsi="Times New Roman" w:cs="Times New Roman"/>
          <w:bCs/>
          <w:color w:val="auto"/>
          <w:sz w:val="24"/>
          <w:highlight w:val="none"/>
          <w:lang w:eastAsia="zh-CN"/>
        </w:rPr>
        <w:t>粪污</w:t>
      </w:r>
      <w:r>
        <w:rPr>
          <w:rFonts w:hint="default" w:ascii="Times New Roman" w:hAnsi="Times New Roman" w:cs="Times New Roman"/>
          <w:bCs/>
          <w:color w:val="auto"/>
          <w:sz w:val="24"/>
          <w:highlight w:val="none"/>
        </w:rPr>
        <w:t>清运。</w:t>
      </w:r>
    </w:p>
    <w:p w14:paraId="65F3AF48">
      <w:pPr>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项目总平面布置具体见附图3。</w:t>
      </w:r>
    </w:p>
    <w:p w14:paraId="3A221413">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rPr>
      </w:pPr>
      <w:bookmarkStart w:id="175" w:name="_Toc6725"/>
      <w:r>
        <w:rPr>
          <w:rStyle w:val="35"/>
          <w:rFonts w:hint="default" w:ascii="Times New Roman" w:hAnsi="Times New Roman" w:eastAsia="宋体" w:cs="Times New Roman"/>
          <w:color w:val="auto"/>
          <w:sz w:val="24"/>
          <w:szCs w:val="24"/>
          <w:highlight w:val="none"/>
        </w:rPr>
        <w:t>2.</w:t>
      </w:r>
      <w:r>
        <w:rPr>
          <w:rStyle w:val="35"/>
          <w:rFonts w:hint="default" w:ascii="Times New Roman" w:hAnsi="Times New Roman" w:eastAsia="宋体" w:cs="Times New Roman"/>
          <w:color w:val="auto"/>
          <w:sz w:val="24"/>
          <w:szCs w:val="24"/>
          <w:highlight w:val="none"/>
          <w:lang w:val="en-US" w:eastAsia="zh-CN"/>
        </w:rPr>
        <w:t>1</w:t>
      </w:r>
      <w:r>
        <w:rPr>
          <w:rStyle w:val="35"/>
          <w:rFonts w:hint="default" w:ascii="Times New Roman" w:hAnsi="Times New Roman" w:eastAsia="宋体" w:cs="Times New Roman"/>
          <w:color w:val="auto"/>
          <w:sz w:val="24"/>
          <w:szCs w:val="24"/>
          <w:highlight w:val="none"/>
        </w:rPr>
        <w:t>.5</w:t>
      </w:r>
      <w:r>
        <w:rPr>
          <w:rFonts w:hint="default" w:ascii="Times New Roman" w:hAnsi="Times New Roman" w:eastAsia="宋体" w:cs="Times New Roman"/>
          <w:color w:val="auto"/>
          <w:sz w:val="24"/>
          <w:szCs w:val="24"/>
          <w:highlight w:val="none"/>
        </w:rPr>
        <w:t>主要生产设备</w:t>
      </w:r>
      <w:bookmarkEnd w:id="175"/>
    </w:p>
    <w:p w14:paraId="4AA1D624">
      <w:pPr>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根据项目生产需要，项目主要生产设备见表2.</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p>
    <w:p w14:paraId="3C91B8E2">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表2.</w:t>
      </w:r>
      <w:r>
        <w:rPr>
          <w:rFonts w:hint="default" w:ascii="Times New Roman" w:hAnsi="Times New Roman" w:cs="Times New Roman"/>
          <w:b/>
          <w:color w:val="auto"/>
          <w:szCs w:val="21"/>
          <w:highlight w:val="none"/>
          <w:lang w:val="en-US" w:eastAsia="zh-CN"/>
        </w:rPr>
        <w:t>1-4</w:t>
      </w:r>
      <w:r>
        <w:rPr>
          <w:rFonts w:hint="default" w:ascii="Times New Roman" w:hAnsi="Times New Roman" w:cs="Times New Roman"/>
          <w:b/>
          <w:color w:val="auto"/>
          <w:szCs w:val="21"/>
          <w:highlight w:val="none"/>
        </w:rPr>
        <w:t xml:space="preserve">     项目主要生产设备一览表</w:t>
      </w:r>
    </w:p>
    <w:tbl>
      <w:tblPr>
        <w:tblStyle w:val="23"/>
        <w:tblW w:w="8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465"/>
        <w:gridCol w:w="3551"/>
        <w:gridCol w:w="869"/>
        <w:gridCol w:w="973"/>
        <w:gridCol w:w="1077"/>
      </w:tblGrid>
      <w:tr w14:paraId="4222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0A34C5F5">
            <w:pPr>
              <w:adjustRightInd w:val="0"/>
              <w:snapToGrid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465" w:type="dxa"/>
            <w:vAlign w:val="center"/>
          </w:tcPr>
          <w:p w14:paraId="3EBA2860">
            <w:pPr>
              <w:adjustRightInd w:val="0"/>
              <w:snapToGrid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使用区域</w:t>
            </w:r>
          </w:p>
        </w:tc>
        <w:tc>
          <w:tcPr>
            <w:tcW w:w="3551" w:type="dxa"/>
            <w:vAlign w:val="center"/>
          </w:tcPr>
          <w:p w14:paraId="0B99B950">
            <w:pPr>
              <w:adjustRightInd w:val="0"/>
              <w:snapToGrid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设备名称</w:t>
            </w:r>
          </w:p>
        </w:tc>
        <w:tc>
          <w:tcPr>
            <w:tcW w:w="869" w:type="dxa"/>
            <w:vAlign w:val="center"/>
          </w:tcPr>
          <w:p w14:paraId="5B218B06">
            <w:pPr>
              <w:adjustRightInd w:val="0"/>
              <w:snapToGrid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973" w:type="dxa"/>
            <w:vAlign w:val="center"/>
          </w:tcPr>
          <w:p w14:paraId="5C14224F">
            <w:pPr>
              <w:adjustRightInd w:val="0"/>
              <w:snapToGrid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p>
        </w:tc>
        <w:tc>
          <w:tcPr>
            <w:tcW w:w="1077" w:type="dxa"/>
            <w:vAlign w:val="center"/>
          </w:tcPr>
          <w:p w14:paraId="71099FF8">
            <w:pPr>
              <w:adjustRightInd w:val="0"/>
              <w:snapToGrid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14:paraId="7DB1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0B0164AE">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465" w:type="dxa"/>
            <w:vMerge w:val="restart"/>
            <w:vAlign w:val="center"/>
          </w:tcPr>
          <w:p w14:paraId="7D5F2D8D">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养殖区</w:t>
            </w:r>
          </w:p>
        </w:tc>
        <w:tc>
          <w:tcPr>
            <w:tcW w:w="3551" w:type="dxa"/>
            <w:vAlign w:val="center"/>
          </w:tcPr>
          <w:p w14:paraId="4B19C737">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自动料线系统（料塔+绞龙+塞链）</w:t>
            </w:r>
          </w:p>
        </w:tc>
        <w:tc>
          <w:tcPr>
            <w:tcW w:w="869" w:type="dxa"/>
            <w:vAlign w:val="center"/>
          </w:tcPr>
          <w:p w14:paraId="183389EC">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973" w:type="dxa"/>
            <w:vAlign w:val="center"/>
          </w:tcPr>
          <w:p w14:paraId="44A2C0C7">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1077" w:type="dxa"/>
            <w:vAlign w:val="center"/>
          </w:tcPr>
          <w:p w14:paraId="0C7EEBA1">
            <w:pPr>
              <w:adjustRightInd w:val="0"/>
              <w:snapToGrid w:val="0"/>
              <w:spacing w:line="240" w:lineRule="auto"/>
              <w:jc w:val="center"/>
              <w:rPr>
                <w:rFonts w:hint="default" w:ascii="Times New Roman" w:hAnsi="Times New Roman" w:eastAsia="宋体" w:cs="Times New Roman"/>
                <w:color w:val="auto"/>
                <w:sz w:val="21"/>
                <w:szCs w:val="21"/>
                <w:lang w:eastAsia="zh-CN"/>
              </w:rPr>
            </w:pPr>
          </w:p>
        </w:tc>
      </w:tr>
      <w:tr w14:paraId="00B6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3E6C44D7">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2</w:t>
            </w:r>
          </w:p>
        </w:tc>
        <w:tc>
          <w:tcPr>
            <w:tcW w:w="1465" w:type="dxa"/>
            <w:vMerge w:val="continue"/>
            <w:vAlign w:val="center"/>
          </w:tcPr>
          <w:p w14:paraId="5E3AA462">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077A60FC">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自动饲喂设备</w:t>
            </w:r>
          </w:p>
        </w:tc>
        <w:tc>
          <w:tcPr>
            <w:tcW w:w="869" w:type="dxa"/>
            <w:vAlign w:val="center"/>
          </w:tcPr>
          <w:p w14:paraId="37E0A0AB">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张</w:t>
            </w:r>
          </w:p>
        </w:tc>
        <w:tc>
          <w:tcPr>
            <w:tcW w:w="973" w:type="dxa"/>
            <w:vAlign w:val="center"/>
          </w:tcPr>
          <w:p w14:paraId="04F8E35D">
            <w:pPr>
              <w:adjustRightInd w:val="0"/>
              <w:snapToGrid w:val="0"/>
              <w:spacing w:line="240" w:lineRule="auto"/>
              <w:jc w:val="center"/>
              <w:rPr>
                <w:rStyle w:val="61"/>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w:t>
            </w:r>
          </w:p>
        </w:tc>
        <w:tc>
          <w:tcPr>
            <w:tcW w:w="1077" w:type="dxa"/>
            <w:vAlign w:val="center"/>
          </w:tcPr>
          <w:p w14:paraId="589849CE">
            <w:pPr>
              <w:adjustRightInd w:val="0"/>
              <w:snapToGrid w:val="0"/>
              <w:spacing w:line="240" w:lineRule="auto"/>
              <w:jc w:val="center"/>
              <w:rPr>
                <w:rStyle w:val="61"/>
                <w:rFonts w:hint="default" w:ascii="Times New Roman" w:hAnsi="Times New Roman" w:cs="Times New Roman"/>
                <w:color w:val="auto"/>
                <w:sz w:val="21"/>
                <w:szCs w:val="21"/>
              </w:rPr>
            </w:pPr>
          </w:p>
        </w:tc>
      </w:tr>
      <w:tr w14:paraId="6C65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552CDE03">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3</w:t>
            </w:r>
          </w:p>
        </w:tc>
        <w:tc>
          <w:tcPr>
            <w:tcW w:w="1465" w:type="dxa"/>
            <w:vMerge w:val="continue"/>
            <w:vAlign w:val="center"/>
          </w:tcPr>
          <w:p w14:paraId="447E119F">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28E30237">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全自动</w:t>
            </w:r>
            <w:r>
              <w:rPr>
                <w:rStyle w:val="61"/>
                <w:rFonts w:hint="default" w:ascii="Times New Roman" w:hAnsi="Times New Roman" w:cs="Times New Roman"/>
                <w:color w:val="auto"/>
                <w:sz w:val="21"/>
                <w:szCs w:val="21"/>
              </w:rPr>
              <w:t>投料系统</w:t>
            </w:r>
          </w:p>
        </w:tc>
        <w:tc>
          <w:tcPr>
            <w:tcW w:w="869" w:type="dxa"/>
            <w:vAlign w:val="center"/>
          </w:tcPr>
          <w:p w14:paraId="48B7408D">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rPr>
              <w:t>套</w:t>
            </w:r>
          </w:p>
        </w:tc>
        <w:tc>
          <w:tcPr>
            <w:tcW w:w="973" w:type="dxa"/>
            <w:vAlign w:val="center"/>
          </w:tcPr>
          <w:p w14:paraId="54C7BCE1">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3</w:t>
            </w:r>
          </w:p>
        </w:tc>
        <w:tc>
          <w:tcPr>
            <w:tcW w:w="1077" w:type="dxa"/>
            <w:vAlign w:val="center"/>
          </w:tcPr>
          <w:p w14:paraId="11A7F6BE">
            <w:pPr>
              <w:adjustRightInd w:val="0"/>
              <w:snapToGrid w:val="0"/>
              <w:spacing w:line="240" w:lineRule="auto"/>
              <w:jc w:val="center"/>
              <w:rPr>
                <w:rStyle w:val="61"/>
                <w:rFonts w:hint="default" w:ascii="Times New Roman" w:hAnsi="Times New Roman" w:cs="Times New Roman"/>
                <w:color w:val="auto"/>
                <w:sz w:val="21"/>
                <w:szCs w:val="21"/>
              </w:rPr>
            </w:pPr>
          </w:p>
        </w:tc>
      </w:tr>
      <w:tr w14:paraId="30F6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07889422">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4</w:t>
            </w:r>
          </w:p>
        </w:tc>
        <w:tc>
          <w:tcPr>
            <w:tcW w:w="1465" w:type="dxa"/>
            <w:vMerge w:val="continue"/>
            <w:vAlign w:val="center"/>
          </w:tcPr>
          <w:p w14:paraId="2DEDF66A">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3D00B5BD">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rPr>
              <w:t>自动干湿料槽</w:t>
            </w:r>
          </w:p>
        </w:tc>
        <w:tc>
          <w:tcPr>
            <w:tcW w:w="869" w:type="dxa"/>
            <w:vAlign w:val="center"/>
          </w:tcPr>
          <w:p w14:paraId="46893825">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rPr>
              <w:t>个</w:t>
            </w:r>
          </w:p>
        </w:tc>
        <w:tc>
          <w:tcPr>
            <w:tcW w:w="973" w:type="dxa"/>
            <w:vAlign w:val="center"/>
          </w:tcPr>
          <w:p w14:paraId="3C7A9645">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120</w:t>
            </w:r>
          </w:p>
        </w:tc>
        <w:tc>
          <w:tcPr>
            <w:tcW w:w="1077" w:type="dxa"/>
            <w:vAlign w:val="center"/>
          </w:tcPr>
          <w:p w14:paraId="539D1A05">
            <w:pPr>
              <w:adjustRightInd w:val="0"/>
              <w:snapToGrid w:val="0"/>
              <w:spacing w:line="240" w:lineRule="auto"/>
              <w:jc w:val="center"/>
              <w:rPr>
                <w:rStyle w:val="61"/>
                <w:rFonts w:hint="default" w:ascii="Times New Roman" w:hAnsi="Times New Roman" w:cs="Times New Roman"/>
                <w:color w:val="auto"/>
                <w:sz w:val="21"/>
                <w:szCs w:val="21"/>
              </w:rPr>
            </w:pPr>
          </w:p>
        </w:tc>
      </w:tr>
      <w:tr w14:paraId="1990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0F1662E1">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5</w:t>
            </w:r>
          </w:p>
        </w:tc>
        <w:tc>
          <w:tcPr>
            <w:tcW w:w="1465" w:type="dxa"/>
            <w:vMerge w:val="continue"/>
            <w:vAlign w:val="center"/>
          </w:tcPr>
          <w:p w14:paraId="545BCC4A">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3A65E31C">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rPr>
              <w:t>自动饮水器</w:t>
            </w:r>
          </w:p>
        </w:tc>
        <w:tc>
          <w:tcPr>
            <w:tcW w:w="869" w:type="dxa"/>
            <w:vAlign w:val="center"/>
          </w:tcPr>
          <w:p w14:paraId="1F48E073">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rPr>
              <w:t>个</w:t>
            </w:r>
          </w:p>
        </w:tc>
        <w:tc>
          <w:tcPr>
            <w:tcW w:w="973" w:type="dxa"/>
            <w:vAlign w:val="center"/>
          </w:tcPr>
          <w:p w14:paraId="437238D1">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120</w:t>
            </w:r>
          </w:p>
        </w:tc>
        <w:tc>
          <w:tcPr>
            <w:tcW w:w="1077" w:type="dxa"/>
            <w:vAlign w:val="center"/>
          </w:tcPr>
          <w:p w14:paraId="3EB04097">
            <w:pPr>
              <w:adjustRightInd w:val="0"/>
              <w:snapToGrid w:val="0"/>
              <w:spacing w:line="240" w:lineRule="auto"/>
              <w:jc w:val="center"/>
              <w:rPr>
                <w:rStyle w:val="61"/>
                <w:rFonts w:hint="default" w:ascii="Times New Roman" w:hAnsi="Times New Roman" w:cs="Times New Roman"/>
                <w:color w:val="auto"/>
                <w:sz w:val="21"/>
                <w:szCs w:val="21"/>
              </w:rPr>
            </w:pPr>
          </w:p>
        </w:tc>
      </w:tr>
      <w:tr w14:paraId="24C6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2B737B3C">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1465" w:type="dxa"/>
            <w:vMerge w:val="continue"/>
            <w:vAlign w:val="center"/>
          </w:tcPr>
          <w:p w14:paraId="41D42D04">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7675BCE6">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饲料塔</w:t>
            </w:r>
          </w:p>
        </w:tc>
        <w:tc>
          <w:tcPr>
            <w:tcW w:w="869" w:type="dxa"/>
            <w:vAlign w:val="center"/>
          </w:tcPr>
          <w:p w14:paraId="30DCCEE4">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个</w:t>
            </w:r>
          </w:p>
        </w:tc>
        <w:tc>
          <w:tcPr>
            <w:tcW w:w="973" w:type="dxa"/>
            <w:vAlign w:val="center"/>
          </w:tcPr>
          <w:p w14:paraId="2BD57F7E">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3</w:t>
            </w:r>
          </w:p>
        </w:tc>
        <w:tc>
          <w:tcPr>
            <w:tcW w:w="1077" w:type="dxa"/>
            <w:vAlign w:val="center"/>
          </w:tcPr>
          <w:p w14:paraId="5AEDAFB7">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20m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val="en-US" w:eastAsia="zh-CN"/>
              </w:rPr>
              <w:t>/个</w:t>
            </w:r>
          </w:p>
        </w:tc>
      </w:tr>
      <w:tr w14:paraId="1758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38E9539A">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1465" w:type="dxa"/>
            <w:vMerge w:val="continue"/>
            <w:vAlign w:val="center"/>
          </w:tcPr>
          <w:p w14:paraId="738CB72E">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4D92B77F">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猪舍喷雾消毒系统</w:t>
            </w:r>
          </w:p>
        </w:tc>
        <w:tc>
          <w:tcPr>
            <w:tcW w:w="869" w:type="dxa"/>
            <w:vAlign w:val="center"/>
          </w:tcPr>
          <w:p w14:paraId="2BF86400">
            <w:pPr>
              <w:adjustRightInd w:val="0"/>
              <w:snapToGrid w:val="0"/>
              <w:spacing w:line="240" w:lineRule="auto"/>
              <w:jc w:val="center"/>
              <w:rPr>
                <w:rStyle w:val="61"/>
                <w:rFonts w:hint="default" w:ascii="Times New Roman" w:hAnsi="Times New Roman" w:cs="Times New Roman"/>
                <w:color w:val="auto"/>
                <w:sz w:val="21"/>
                <w:szCs w:val="21"/>
              </w:rPr>
            </w:pPr>
            <w:r>
              <w:rPr>
                <w:rStyle w:val="61"/>
                <w:rFonts w:hint="default" w:ascii="Times New Roman" w:hAnsi="Times New Roman" w:cs="Times New Roman"/>
                <w:color w:val="auto"/>
                <w:sz w:val="21"/>
                <w:szCs w:val="21"/>
              </w:rPr>
              <w:t>套</w:t>
            </w:r>
          </w:p>
        </w:tc>
        <w:tc>
          <w:tcPr>
            <w:tcW w:w="973" w:type="dxa"/>
            <w:vAlign w:val="center"/>
          </w:tcPr>
          <w:p w14:paraId="0AB0E4E1">
            <w:pPr>
              <w:adjustRightInd w:val="0"/>
              <w:snapToGrid w:val="0"/>
              <w:spacing w:line="240" w:lineRule="auto"/>
              <w:jc w:val="center"/>
              <w:rPr>
                <w:rStyle w:val="61"/>
                <w:rFonts w:hint="default" w:ascii="Times New Roman" w:hAnsi="Times New Roman" w:cs="Times New Roman"/>
                <w:color w:val="auto"/>
                <w:sz w:val="21"/>
                <w:szCs w:val="21"/>
              </w:rPr>
            </w:pPr>
            <w:r>
              <w:rPr>
                <w:rStyle w:val="61"/>
                <w:rFonts w:hint="default" w:ascii="Times New Roman" w:hAnsi="Times New Roman" w:cs="Times New Roman"/>
                <w:color w:val="auto"/>
                <w:sz w:val="21"/>
                <w:szCs w:val="21"/>
                <w:lang w:val="en-US"/>
              </w:rPr>
              <w:t>8</w:t>
            </w:r>
          </w:p>
        </w:tc>
        <w:tc>
          <w:tcPr>
            <w:tcW w:w="1077" w:type="dxa"/>
            <w:vAlign w:val="center"/>
          </w:tcPr>
          <w:p w14:paraId="6A1261E1">
            <w:pPr>
              <w:widowControl/>
              <w:spacing w:line="240" w:lineRule="auto"/>
              <w:jc w:val="center"/>
              <w:textAlignment w:val="bottom"/>
              <w:rPr>
                <w:rStyle w:val="61"/>
                <w:rFonts w:hint="default" w:ascii="Times New Roman" w:hAnsi="Times New Roman" w:cs="Times New Roman"/>
                <w:color w:val="auto"/>
                <w:sz w:val="21"/>
                <w:szCs w:val="21"/>
                <w:lang w:val="en-US"/>
              </w:rPr>
            </w:pPr>
          </w:p>
        </w:tc>
      </w:tr>
      <w:tr w14:paraId="34A6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67DCFC9F">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1465" w:type="dxa"/>
            <w:vMerge w:val="continue"/>
            <w:vAlign w:val="center"/>
          </w:tcPr>
          <w:p w14:paraId="2194D353">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0FCA5387">
            <w:pPr>
              <w:widowControl/>
              <w:spacing w:line="240" w:lineRule="auto"/>
              <w:jc w:val="center"/>
              <w:textAlignment w:val="bottom"/>
              <w:rPr>
                <w:rStyle w:val="61"/>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保温灯</w:t>
            </w:r>
          </w:p>
        </w:tc>
        <w:tc>
          <w:tcPr>
            <w:tcW w:w="869" w:type="dxa"/>
            <w:vAlign w:val="center"/>
          </w:tcPr>
          <w:p w14:paraId="4711FC2C">
            <w:pPr>
              <w:adjustRightInd w:val="0"/>
              <w:snapToGrid w:val="0"/>
              <w:spacing w:line="240" w:lineRule="auto"/>
              <w:jc w:val="center"/>
              <w:rPr>
                <w:rStyle w:val="61"/>
                <w:rFonts w:hint="default" w:ascii="Times New Roman" w:hAnsi="Times New Roman" w:cs="Times New Roman"/>
                <w:color w:val="auto"/>
                <w:sz w:val="21"/>
                <w:szCs w:val="21"/>
                <w:highlight w:val="none"/>
              </w:rPr>
            </w:pPr>
            <w:r>
              <w:rPr>
                <w:rStyle w:val="61"/>
                <w:rFonts w:hint="default" w:ascii="Times New Roman" w:hAnsi="Times New Roman" w:cs="Times New Roman"/>
                <w:color w:val="auto"/>
                <w:sz w:val="21"/>
                <w:szCs w:val="21"/>
                <w:highlight w:val="none"/>
              </w:rPr>
              <w:t>盏</w:t>
            </w:r>
          </w:p>
        </w:tc>
        <w:tc>
          <w:tcPr>
            <w:tcW w:w="973" w:type="dxa"/>
            <w:vAlign w:val="center"/>
          </w:tcPr>
          <w:p w14:paraId="28FC10E9">
            <w:pPr>
              <w:adjustRightInd w:val="0"/>
              <w:snapToGrid w:val="0"/>
              <w:spacing w:line="240" w:lineRule="auto"/>
              <w:jc w:val="center"/>
              <w:rPr>
                <w:rStyle w:val="61"/>
                <w:rFonts w:hint="default" w:ascii="Times New Roman" w:hAnsi="Times New Roman" w:cs="Times New Roman"/>
                <w:color w:val="auto"/>
                <w:sz w:val="21"/>
                <w:szCs w:val="21"/>
                <w:highlight w:val="none"/>
                <w:lang w:val="en-US"/>
              </w:rPr>
            </w:pPr>
            <w:r>
              <w:rPr>
                <w:rStyle w:val="61"/>
                <w:rFonts w:hint="default" w:ascii="Times New Roman" w:hAnsi="Times New Roman" w:cs="Times New Roman"/>
                <w:color w:val="auto"/>
                <w:sz w:val="21"/>
                <w:szCs w:val="21"/>
                <w:highlight w:val="none"/>
                <w:lang w:val="en-US"/>
              </w:rPr>
              <w:t>600</w:t>
            </w:r>
          </w:p>
        </w:tc>
        <w:tc>
          <w:tcPr>
            <w:tcW w:w="1077" w:type="dxa"/>
            <w:vAlign w:val="center"/>
          </w:tcPr>
          <w:p w14:paraId="0D253F2A">
            <w:pPr>
              <w:adjustRightInd w:val="0"/>
              <w:snapToGrid w:val="0"/>
              <w:spacing w:line="240" w:lineRule="auto"/>
              <w:jc w:val="center"/>
              <w:rPr>
                <w:rStyle w:val="61"/>
                <w:rFonts w:hint="default" w:ascii="Times New Roman" w:hAnsi="Times New Roman" w:cs="Times New Roman"/>
                <w:color w:val="auto"/>
                <w:sz w:val="21"/>
                <w:szCs w:val="21"/>
                <w:highlight w:val="none"/>
                <w:lang w:val="en-US"/>
              </w:rPr>
            </w:pPr>
          </w:p>
        </w:tc>
      </w:tr>
      <w:tr w14:paraId="0F17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7E064E71">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9</w:t>
            </w:r>
          </w:p>
        </w:tc>
        <w:tc>
          <w:tcPr>
            <w:tcW w:w="1465" w:type="dxa"/>
            <w:vMerge w:val="continue"/>
            <w:vAlign w:val="center"/>
          </w:tcPr>
          <w:p w14:paraId="720BCFAB">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543C751F">
            <w:pPr>
              <w:widowControl/>
              <w:spacing w:line="240" w:lineRule="auto"/>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高压冲洗设备</w:t>
            </w:r>
          </w:p>
        </w:tc>
        <w:tc>
          <w:tcPr>
            <w:tcW w:w="869" w:type="dxa"/>
            <w:vAlign w:val="center"/>
          </w:tcPr>
          <w:p w14:paraId="67B84F22">
            <w:pPr>
              <w:adjustRightInd w:val="0"/>
              <w:snapToGrid w:val="0"/>
              <w:spacing w:line="240" w:lineRule="auto"/>
              <w:jc w:val="center"/>
              <w:rPr>
                <w:rStyle w:val="61"/>
                <w:rFonts w:hint="default" w:ascii="Times New Roman" w:hAnsi="Times New Roman" w:cs="Times New Roman"/>
                <w:color w:val="auto"/>
                <w:sz w:val="21"/>
                <w:szCs w:val="21"/>
                <w:highlight w:val="none"/>
                <w:lang w:val="en-US"/>
              </w:rPr>
            </w:pPr>
            <w:r>
              <w:rPr>
                <w:rStyle w:val="61"/>
                <w:rFonts w:hint="default" w:ascii="Times New Roman" w:hAnsi="Times New Roman" w:cs="Times New Roman"/>
                <w:color w:val="auto"/>
                <w:sz w:val="21"/>
                <w:szCs w:val="21"/>
                <w:highlight w:val="none"/>
                <w:lang w:val="en-US"/>
              </w:rPr>
              <w:t>套</w:t>
            </w:r>
          </w:p>
        </w:tc>
        <w:tc>
          <w:tcPr>
            <w:tcW w:w="973" w:type="dxa"/>
            <w:vAlign w:val="center"/>
          </w:tcPr>
          <w:p w14:paraId="592284FD">
            <w:pPr>
              <w:adjustRightInd w:val="0"/>
              <w:snapToGrid w:val="0"/>
              <w:spacing w:line="240" w:lineRule="auto"/>
              <w:jc w:val="center"/>
              <w:rPr>
                <w:rStyle w:val="61"/>
                <w:rFonts w:hint="default" w:ascii="Times New Roman" w:hAnsi="Times New Roman" w:cs="Times New Roman"/>
                <w:color w:val="auto"/>
                <w:sz w:val="21"/>
                <w:szCs w:val="21"/>
                <w:highlight w:val="none"/>
                <w:lang w:val="en-US"/>
              </w:rPr>
            </w:pPr>
            <w:r>
              <w:rPr>
                <w:rStyle w:val="61"/>
                <w:rFonts w:hint="default" w:ascii="Times New Roman" w:hAnsi="Times New Roman" w:cs="Times New Roman"/>
                <w:color w:val="auto"/>
                <w:sz w:val="21"/>
                <w:szCs w:val="21"/>
                <w:highlight w:val="none"/>
                <w:lang w:val="en-US"/>
              </w:rPr>
              <w:t>2</w:t>
            </w:r>
          </w:p>
        </w:tc>
        <w:tc>
          <w:tcPr>
            <w:tcW w:w="1077" w:type="dxa"/>
            <w:vAlign w:val="center"/>
          </w:tcPr>
          <w:p w14:paraId="5FD4CAF5">
            <w:pPr>
              <w:adjustRightInd w:val="0"/>
              <w:snapToGrid w:val="0"/>
              <w:spacing w:line="240" w:lineRule="auto"/>
              <w:jc w:val="center"/>
              <w:rPr>
                <w:rStyle w:val="61"/>
                <w:rFonts w:hint="default" w:ascii="Times New Roman" w:hAnsi="Times New Roman" w:cs="Times New Roman"/>
                <w:color w:val="auto"/>
                <w:sz w:val="21"/>
                <w:szCs w:val="21"/>
                <w:highlight w:val="none"/>
                <w:lang w:val="en-US"/>
              </w:rPr>
            </w:pPr>
          </w:p>
        </w:tc>
      </w:tr>
      <w:tr w14:paraId="169B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5F1D154B">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465" w:type="dxa"/>
            <w:vMerge w:val="continue"/>
            <w:vAlign w:val="center"/>
          </w:tcPr>
          <w:p w14:paraId="500DE2AB">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504341EB">
            <w:pPr>
              <w:adjustRightInd w:val="0"/>
              <w:snapToGrid w:val="0"/>
              <w:spacing w:line="240" w:lineRule="auto"/>
              <w:jc w:val="center"/>
              <w:rPr>
                <w:rStyle w:val="61"/>
                <w:rFonts w:hint="default" w:ascii="Times New Roman" w:hAnsi="Times New Roman" w:cs="Times New Roman"/>
                <w:color w:val="auto"/>
                <w:sz w:val="21"/>
                <w:szCs w:val="21"/>
                <w:highlight w:val="none"/>
                <w:lang w:val="en-US"/>
              </w:rPr>
            </w:pPr>
            <w:r>
              <w:rPr>
                <w:rStyle w:val="61"/>
                <w:rFonts w:hint="default" w:ascii="Times New Roman" w:hAnsi="Times New Roman" w:cs="Times New Roman"/>
                <w:color w:val="auto"/>
                <w:sz w:val="21"/>
                <w:szCs w:val="21"/>
                <w:highlight w:val="none"/>
                <w:lang w:val="en-US"/>
              </w:rPr>
              <w:t>粪污泵</w:t>
            </w:r>
          </w:p>
        </w:tc>
        <w:tc>
          <w:tcPr>
            <w:tcW w:w="869" w:type="dxa"/>
            <w:vAlign w:val="center"/>
          </w:tcPr>
          <w:p w14:paraId="28DF2732">
            <w:pPr>
              <w:adjustRightInd w:val="0"/>
              <w:snapToGrid w:val="0"/>
              <w:spacing w:line="240" w:lineRule="auto"/>
              <w:jc w:val="center"/>
              <w:rPr>
                <w:rStyle w:val="61"/>
                <w:rFonts w:hint="default" w:ascii="Times New Roman" w:hAnsi="Times New Roman" w:cs="Times New Roman"/>
                <w:color w:val="auto"/>
                <w:sz w:val="21"/>
                <w:szCs w:val="21"/>
                <w:highlight w:val="none"/>
              </w:rPr>
            </w:pPr>
            <w:r>
              <w:rPr>
                <w:rStyle w:val="61"/>
                <w:rFonts w:hint="default" w:ascii="Times New Roman" w:hAnsi="Times New Roman" w:cs="Times New Roman"/>
                <w:color w:val="auto"/>
                <w:sz w:val="21"/>
                <w:szCs w:val="21"/>
                <w:highlight w:val="none"/>
              </w:rPr>
              <w:t>台</w:t>
            </w:r>
          </w:p>
        </w:tc>
        <w:tc>
          <w:tcPr>
            <w:tcW w:w="973" w:type="dxa"/>
            <w:vAlign w:val="center"/>
          </w:tcPr>
          <w:p w14:paraId="4E8536C3">
            <w:pPr>
              <w:adjustRightInd w:val="0"/>
              <w:snapToGrid w:val="0"/>
              <w:spacing w:line="240" w:lineRule="auto"/>
              <w:jc w:val="center"/>
              <w:rPr>
                <w:rStyle w:val="61"/>
                <w:rFonts w:hint="default" w:ascii="Times New Roman" w:hAnsi="Times New Roman" w:cs="Times New Roman"/>
                <w:color w:val="auto"/>
                <w:sz w:val="21"/>
                <w:szCs w:val="21"/>
                <w:highlight w:val="none"/>
              </w:rPr>
            </w:pPr>
            <w:r>
              <w:rPr>
                <w:rStyle w:val="61"/>
                <w:rFonts w:hint="default" w:ascii="Times New Roman" w:hAnsi="Times New Roman" w:cs="Times New Roman"/>
                <w:color w:val="auto"/>
                <w:sz w:val="21"/>
                <w:szCs w:val="21"/>
                <w:highlight w:val="none"/>
                <w:lang w:val="en-US"/>
              </w:rPr>
              <w:t>3</w:t>
            </w:r>
          </w:p>
        </w:tc>
        <w:tc>
          <w:tcPr>
            <w:tcW w:w="1077" w:type="dxa"/>
            <w:vAlign w:val="center"/>
          </w:tcPr>
          <w:p w14:paraId="182449B8">
            <w:pPr>
              <w:adjustRightInd w:val="0"/>
              <w:snapToGrid w:val="0"/>
              <w:spacing w:line="240" w:lineRule="auto"/>
              <w:jc w:val="center"/>
              <w:rPr>
                <w:rStyle w:val="61"/>
                <w:rFonts w:hint="default" w:ascii="Times New Roman" w:hAnsi="Times New Roman" w:cs="Times New Roman"/>
                <w:color w:val="auto"/>
                <w:sz w:val="21"/>
                <w:szCs w:val="21"/>
                <w:highlight w:val="none"/>
                <w:lang w:val="en-US"/>
              </w:rPr>
            </w:pPr>
          </w:p>
        </w:tc>
      </w:tr>
      <w:tr w14:paraId="642E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5E9787BB">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w:t>
            </w:r>
          </w:p>
        </w:tc>
        <w:tc>
          <w:tcPr>
            <w:tcW w:w="1465" w:type="dxa"/>
            <w:vMerge w:val="continue"/>
            <w:vAlign w:val="center"/>
          </w:tcPr>
          <w:p w14:paraId="4B2583C7">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53E36567">
            <w:pPr>
              <w:adjustRightInd w:val="0"/>
              <w:snapToGrid w:val="0"/>
              <w:spacing w:line="240" w:lineRule="auto"/>
              <w:jc w:val="center"/>
              <w:rPr>
                <w:rStyle w:val="61"/>
                <w:rFonts w:hint="default" w:ascii="Times New Roman" w:hAnsi="Times New Roman" w:cs="Times New Roman"/>
                <w:color w:val="auto"/>
                <w:sz w:val="21"/>
                <w:szCs w:val="21"/>
              </w:rPr>
            </w:pPr>
            <w:r>
              <w:rPr>
                <w:rStyle w:val="61"/>
                <w:rFonts w:hint="default" w:ascii="Times New Roman" w:hAnsi="Times New Roman" w:cs="Times New Roman"/>
                <w:color w:val="auto"/>
                <w:sz w:val="21"/>
                <w:szCs w:val="21"/>
              </w:rPr>
              <w:t>防疫消毒设备</w:t>
            </w:r>
          </w:p>
        </w:tc>
        <w:tc>
          <w:tcPr>
            <w:tcW w:w="869" w:type="dxa"/>
            <w:vAlign w:val="center"/>
          </w:tcPr>
          <w:p w14:paraId="75F4D468">
            <w:pPr>
              <w:adjustRightInd w:val="0"/>
              <w:snapToGrid w:val="0"/>
              <w:spacing w:line="240" w:lineRule="auto"/>
              <w:jc w:val="center"/>
              <w:rPr>
                <w:rStyle w:val="61"/>
                <w:rFonts w:hint="default" w:ascii="Times New Roman" w:hAnsi="Times New Roman" w:cs="Times New Roman"/>
                <w:color w:val="auto"/>
                <w:sz w:val="21"/>
                <w:szCs w:val="21"/>
              </w:rPr>
            </w:pPr>
            <w:r>
              <w:rPr>
                <w:rStyle w:val="61"/>
                <w:rFonts w:hint="default" w:ascii="Times New Roman" w:hAnsi="Times New Roman" w:cs="Times New Roman"/>
                <w:color w:val="auto"/>
                <w:sz w:val="21"/>
                <w:szCs w:val="21"/>
              </w:rPr>
              <w:t>套</w:t>
            </w:r>
          </w:p>
        </w:tc>
        <w:tc>
          <w:tcPr>
            <w:tcW w:w="973" w:type="dxa"/>
            <w:vAlign w:val="center"/>
          </w:tcPr>
          <w:p w14:paraId="49F49CDA">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3</w:t>
            </w:r>
          </w:p>
        </w:tc>
        <w:tc>
          <w:tcPr>
            <w:tcW w:w="1077" w:type="dxa"/>
            <w:vAlign w:val="center"/>
          </w:tcPr>
          <w:p w14:paraId="60259686">
            <w:pPr>
              <w:adjustRightInd w:val="0"/>
              <w:snapToGrid w:val="0"/>
              <w:spacing w:line="240" w:lineRule="auto"/>
              <w:jc w:val="center"/>
              <w:rPr>
                <w:rFonts w:hint="default" w:ascii="Times New Roman" w:hAnsi="Times New Roman" w:cs="Times New Roman"/>
                <w:color w:val="auto"/>
                <w:sz w:val="21"/>
                <w:szCs w:val="21"/>
                <w:lang w:eastAsia="zh-CN"/>
              </w:rPr>
            </w:pPr>
          </w:p>
        </w:tc>
      </w:tr>
      <w:tr w14:paraId="4AC6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191A2EC0">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w:t>
            </w:r>
          </w:p>
        </w:tc>
        <w:tc>
          <w:tcPr>
            <w:tcW w:w="1465" w:type="dxa"/>
            <w:vMerge w:val="continue"/>
            <w:vAlign w:val="center"/>
          </w:tcPr>
          <w:p w14:paraId="4F8E5E48">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11ED4A65">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水帘</w:t>
            </w:r>
            <w:r>
              <w:rPr>
                <w:rFonts w:hint="default" w:ascii="Times New Roman" w:hAnsi="Times New Roman" w:eastAsia="宋体" w:cs="Times New Roman"/>
                <w:color w:val="auto"/>
                <w:sz w:val="21"/>
                <w:szCs w:val="21"/>
                <w:lang w:eastAsia="zh-CN"/>
              </w:rPr>
              <w:t>降温系统</w:t>
            </w:r>
          </w:p>
        </w:tc>
        <w:tc>
          <w:tcPr>
            <w:tcW w:w="869" w:type="dxa"/>
            <w:vAlign w:val="center"/>
          </w:tcPr>
          <w:p w14:paraId="2CD0EBF4">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套</w:t>
            </w:r>
          </w:p>
        </w:tc>
        <w:tc>
          <w:tcPr>
            <w:tcW w:w="973" w:type="dxa"/>
            <w:vAlign w:val="center"/>
          </w:tcPr>
          <w:p w14:paraId="6E8DB91C">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77" w:type="dxa"/>
            <w:vAlign w:val="center"/>
          </w:tcPr>
          <w:p w14:paraId="5D3F5542">
            <w:pPr>
              <w:adjustRightInd w:val="0"/>
              <w:snapToGrid w:val="0"/>
              <w:spacing w:line="240" w:lineRule="auto"/>
              <w:jc w:val="center"/>
              <w:rPr>
                <w:rFonts w:hint="default" w:ascii="Times New Roman" w:hAnsi="Times New Roman" w:eastAsia="宋体" w:cs="Times New Roman"/>
                <w:color w:val="auto"/>
                <w:sz w:val="21"/>
                <w:szCs w:val="21"/>
                <w:lang w:eastAsia="zh-CN"/>
              </w:rPr>
            </w:pPr>
          </w:p>
        </w:tc>
      </w:tr>
      <w:tr w14:paraId="1BB1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7238AA89">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w:t>
            </w:r>
          </w:p>
        </w:tc>
        <w:tc>
          <w:tcPr>
            <w:tcW w:w="1465" w:type="dxa"/>
            <w:vMerge w:val="continue"/>
            <w:vAlign w:val="center"/>
          </w:tcPr>
          <w:p w14:paraId="42136B5B">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0164C0D5">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换气风组</w:t>
            </w:r>
          </w:p>
        </w:tc>
        <w:tc>
          <w:tcPr>
            <w:tcW w:w="869" w:type="dxa"/>
            <w:vAlign w:val="center"/>
          </w:tcPr>
          <w:p w14:paraId="53E1B7B2">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973" w:type="dxa"/>
            <w:vAlign w:val="center"/>
          </w:tcPr>
          <w:p w14:paraId="26677211">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77" w:type="dxa"/>
            <w:vAlign w:val="center"/>
          </w:tcPr>
          <w:p w14:paraId="57CA034C">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每台4个换气扇</w:t>
            </w:r>
          </w:p>
        </w:tc>
      </w:tr>
      <w:tr w14:paraId="2212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67F63A1E">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w:t>
            </w:r>
          </w:p>
        </w:tc>
        <w:tc>
          <w:tcPr>
            <w:tcW w:w="1465" w:type="dxa"/>
            <w:vMerge w:val="continue"/>
            <w:vAlign w:val="center"/>
          </w:tcPr>
          <w:p w14:paraId="1B37C6FD">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72F9A8E9">
            <w:pPr>
              <w:pStyle w:val="43"/>
              <w:adjustRightInd w:val="0"/>
              <w:spacing w:line="240" w:lineRule="auto"/>
              <w:ind w:firstLine="0" w:firstLineChars="0"/>
              <w:jc w:val="center"/>
              <w:rPr>
                <w:rFonts w:hint="default" w:ascii="Times New Roman" w:hAnsi="Times New Roman" w:cs="Times New Roman"/>
                <w:color w:val="auto"/>
                <w:kern w:val="2"/>
                <w:sz w:val="21"/>
                <w:szCs w:val="21"/>
                <w:lang w:val="zh-CN" w:eastAsia="zh-CN" w:bidi="ar-SA"/>
              </w:rPr>
            </w:pPr>
            <w:r>
              <w:rPr>
                <w:rFonts w:hint="default" w:ascii="Times New Roman" w:hAnsi="Times New Roman" w:cs="Times New Roman"/>
                <w:color w:val="auto"/>
                <w:sz w:val="21"/>
                <w:szCs w:val="21"/>
                <w:lang w:val="zh-CN"/>
              </w:rPr>
              <w:t>电子监控设施</w:t>
            </w:r>
          </w:p>
        </w:tc>
        <w:tc>
          <w:tcPr>
            <w:tcW w:w="869" w:type="dxa"/>
            <w:vAlign w:val="center"/>
          </w:tcPr>
          <w:p w14:paraId="5114BEBD">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973" w:type="dxa"/>
            <w:vAlign w:val="center"/>
          </w:tcPr>
          <w:p w14:paraId="710ED42D">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077" w:type="dxa"/>
            <w:vAlign w:val="center"/>
          </w:tcPr>
          <w:p w14:paraId="7DA8316C">
            <w:pPr>
              <w:adjustRightInd w:val="0"/>
              <w:snapToGrid w:val="0"/>
              <w:spacing w:line="240" w:lineRule="auto"/>
              <w:jc w:val="center"/>
              <w:rPr>
                <w:rFonts w:hint="default" w:ascii="Times New Roman" w:hAnsi="Times New Roman" w:eastAsia="宋体" w:cs="Times New Roman"/>
                <w:color w:val="auto"/>
                <w:sz w:val="21"/>
                <w:szCs w:val="21"/>
                <w:lang w:eastAsia="zh-CN"/>
              </w:rPr>
            </w:pPr>
          </w:p>
        </w:tc>
      </w:tr>
      <w:tr w14:paraId="4EBC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5B495CB1">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15</w:t>
            </w:r>
          </w:p>
        </w:tc>
        <w:tc>
          <w:tcPr>
            <w:tcW w:w="1465" w:type="dxa"/>
            <w:vMerge w:val="continue"/>
            <w:vAlign w:val="center"/>
          </w:tcPr>
          <w:p w14:paraId="162D98B9">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40FED56A">
            <w:pPr>
              <w:pStyle w:val="43"/>
              <w:adjustRightInd w:val="0"/>
              <w:spacing w:line="240" w:lineRule="auto"/>
              <w:ind w:firstLine="0" w:firstLineChars="0"/>
              <w:jc w:val="center"/>
              <w:rPr>
                <w:rFonts w:hint="default" w:ascii="Times New Roman" w:hAnsi="Times New Roman" w:cs="Times New Roman"/>
                <w:color w:val="auto"/>
                <w:kern w:val="2"/>
                <w:sz w:val="21"/>
                <w:szCs w:val="21"/>
                <w:lang w:val="zh-CN" w:eastAsia="zh-CN" w:bidi="ar-SA"/>
              </w:rPr>
            </w:pPr>
            <w:r>
              <w:rPr>
                <w:rFonts w:hint="default" w:ascii="Times New Roman" w:hAnsi="Times New Roman" w:cs="Times New Roman"/>
                <w:color w:val="auto"/>
                <w:sz w:val="21"/>
                <w:szCs w:val="21"/>
                <w:lang w:val="zh-CN"/>
              </w:rPr>
              <w:t>猪舍报警系统</w:t>
            </w:r>
          </w:p>
        </w:tc>
        <w:tc>
          <w:tcPr>
            <w:tcW w:w="869" w:type="dxa"/>
            <w:vAlign w:val="center"/>
          </w:tcPr>
          <w:p w14:paraId="332D0BE9">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套</w:t>
            </w:r>
          </w:p>
        </w:tc>
        <w:tc>
          <w:tcPr>
            <w:tcW w:w="973" w:type="dxa"/>
            <w:vAlign w:val="center"/>
          </w:tcPr>
          <w:p w14:paraId="5CE829EB">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w:t>
            </w:r>
          </w:p>
        </w:tc>
        <w:tc>
          <w:tcPr>
            <w:tcW w:w="1077" w:type="dxa"/>
            <w:vAlign w:val="center"/>
          </w:tcPr>
          <w:p w14:paraId="67772D25">
            <w:pPr>
              <w:adjustRightInd w:val="0"/>
              <w:snapToGrid w:val="0"/>
              <w:spacing w:line="240" w:lineRule="auto"/>
              <w:jc w:val="center"/>
              <w:rPr>
                <w:rFonts w:hint="default" w:ascii="Times New Roman" w:hAnsi="Times New Roman" w:eastAsia="宋体" w:cs="Times New Roman"/>
                <w:color w:val="auto"/>
                <w:sz w:val="21"/>
                <w:szCs w:val="21"/>
                <w:lang w:eastAsia="zh-CN"/>
              </w:rPr>
            </w:pPr>
          </w:p>
        </w:tc>
      </w:tr>
      <w:tr w14:paraId="69316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12FF8595">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16</w:t>
            </w:r>
          </w:p>
        </w:tc>
        <w:tc>
          <w:tcPr>
            <w:tcW w:w="1465" w:type="dxa"/>
            <w:vMerge w:val="continue"/>
            <w:vAlign w:val="center"/>
          </w:tcPr>
          <w:p w14:paraId="640EA335">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228D0158">
            <w:pPr>
              <w:pStyle w:val="43"/>
              <w:adjustRightInd w:val="0"/>
              <w:spacing w:line="240" w:lineRule="auto"/>
              <w:ind w:firstLine="0" w:firstLineChars="0"/>
              <w:jc w:val="center"/>
              <w:rPr>
                <w:rFonts w:hint="default" w:ascii="Times New Roman" w:hAnsi="Times New Roman" w:cs="Times New Roman"/>
                <w:color w:val="auto"/>
                <w:kern w:val="2"/>
                <w:sz w:val="21"/>
                <w:szCs w:val="21"/>
                <w:lang w:val="zh-CN" w:eastAsia="zh-CN" w:bidi="ar-SA"/>
              </w:rPr>
            </w:pPr>
            <w:r>
              <w:rPr>
                <w:rFonts w:hint="default" w:ascii="Times New Roman" w:hAnsi="Times New Roman" w:cs="Times New Roman"/>
                <w:color w:val="auto"/>
                <w:sz w:val="21"/>
                <w:szCs w:val="21"/>
                <w:lang w:val="zh-CN"/>
              </w:rPr>
              <w:t>控温设施</w:t>
            </w:r>
          </w:p>
        </w:tc>
        <w:tc>
          <w:tcPr>
            <w:tcW w:w="869" w:type="dxa"/>
            <w:vAlign w:val="center"/>
          </w:tcPr>
          <w:p w14:paraId="54F8947F">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套</w:t>
            </w:r>
          </w:p>
        </w:tc>
        <w:tc>
          <w:tcPr>
            <w:tcW w:w="973" w:type="dxa"/>
            <w:vAlign w:val="center"/>
          </w:tcPr>
          <w:p w14:paraId="00E066D2">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p>
        </w:tc>
        <w:tc>
          <w:tcPr>
            <w:tcW w:w="1077" w:type="dxa"/>
            <w:vAlign w:val="center"/>
          </w:tcPr>
          <w:p w14:paraId="201CAC2B">
            <w:pPr>
              <w:adjustRightInd w:val="0"/>
              <w:snapToGrid w:val="0"/>
              <w:spacing w:line="240" w:lineRule="auto"/>
              <w:jc w:val="center"/>
              <w:rPr>
                <w:rFonts w:hint="default" w:ascii="Times New Roman" w:hAnsi="Times New Roman" w:eastAsia="宋体" w:cs="Times New Roman"/>
                <w:color w:val="auto"/>
                <w:sz w:val="21"/>
                <w:szCs w:val="21"/>
                <w:lang w:eastAsia="zh-CN"/>
              </w:rPr>
            </w:pPr>
          </w:p>
        </w:tc>
      </w:tr>
      <w:tr w14:paraId="74E5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1E4BE790">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17</w:t>
            </w:r>
          </w:p>
        </w:tc>
        <w:tc>
          <w:tcPr>
            <w:tcW w:w="1465" w:type="dxa"/>
            <w:vMerge w:val="continue"/>
            <w:vAlign w:val="center"/>
          </w:tcPr>
          <w:p w14:paraId="1CA36FEC">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6E512243">
            <w:pPr>
              <w:pStyle w:val="43"/>
              <w:adjustRightInd w:val="0"/>
              <w:spacing w:line="240" w:lineRule="auto"/>
              <w:ind w:firstLine="0" w:firstLineChars="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rPr>
              <w:t>除臭剂喷雾器</w:t>
            </w:r>
          </w:p>
        </w:tc>
        <w:tc>
          <w:tcPr>
            <w:tcW w:w="869" w:type="dxa"/>
            <w:vAlign w:val="center"/>
          </w:tcPr>
          <w:p w14:paraId="13D5F669">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973" w:type="dxa"/>
            <w:vAlign w:val="center"/>
          </w:tcPr>
          <w:p w14:paraId="77EFF84D">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077" w:type="dxa"/>
            <w:vAlign w:val="center"/>
          </w:tcPr>
          <w:p w14:paraId="19040A44">
            <w:pPr>
              <w:adjustRightInd w:val="0"/>
              <w:snapToGrid w:val="0"/>
              <w:spacing w:line="240" w:lineRule="auto"/>
              <w:jc w:val="center"/>
              <w:rPr>
                <w:rFonts w:hint="default" w:ascii="Times New Roman" w:hAnsi="Times New Roman" w:eastAsia="宋体" w:cs="Times New Roman"/>
                <w:color w:val="auto"/>
                <w:sz w:val="21"/>
                <w:szCs w:val="21"/>
                <w:lang w:eastAsia="zh-CN"/>
              </w:rPr>
            </w:pPr>
          </w:p>
        </w:tc>
      </w:tr>
      <w:tr w14:paraId="0FF1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6CF561EF">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18</w:t>
            </w:r>
          </w:p>
        </w:tc>
        <w:tc>
          <w:tcPr>
            <w:tcW w:w="1465" w:type="dxa"/>
            <w:vMerge w:val="continue"/>
            <w:vAlign w:val="center"/>
          </w:tcPr>
          <w:p w14:paraId="6DDAEA17">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050C1DB5">
            <w:pPr>
              <w:pStyle w:val="43"/>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淋浴消毒设备</w:t>
            </w:r>
          </w:p>
        </w:tc>
        <w:tc>
          <w:tcPr>
            <w:tcW w:w="869" w:type="dxa"/>
            <w:vAlign w:val="center"/>
          </w:tcPr>
          <w:p w14:paraId="09359EA8">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套</w:t>
            </w:r>
          </w:p>
        </w:tc>
        <w:tc>
          <w:tcPr>
            <w:tcW w:w="973" w:type="dxa"/>
            <w:vAlign w:val="center"/>
          </w:tcPr>
          <w:p w14:paraId="31DA0A72">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w:t>
            </w:r>
          </w:p>
        </w:tc>
        <w:tc>
          <w:tcPr>
            <w:tcW w:w="1077" w:type="dxa"/>
            <w:vAlign w:val="center"/>
          </w:tcPr>
          <w:p w14:paraId="77B51F09">
            <w:pPr>
              <w:adjustRightInd w:val="0"/>
              <w:snapToGrid w:val="0"/>
              <w:spacing w:line="240" w:lineRule="auto"/>
              <w:jc w:val="center"/>
              <w:rPr>
                <w:rFonts w:hint="default" w:ascii="Times New Roman" w:hAnsi="Times New Roman" w:eastAsia="宋体" w:cs="Times New Roman"/>
                <w:color w:val="auto"/>
                <w:sz w:val="21"/>
                <w:szCs w:val="21"/>
                <w:lang w:eastAsia="zh-CN"/>
              </w:rPr>
            </w:pPr>
          </w:p>
        </w:tc>
      </w:tr>
      <w:tr w14:paraId="41D6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176CD93A">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19</w:t>
            </w:r>
          </w:p>
        </w:tc>
        <w:tc>
          <w:tcPr>
            <w:tcW w:w="1465" w:type="dxa"/>
            <w:vMerge w:val="continue"/>
            <w:vAlign w:val="center"/>
          </w:tcPr>
          <w:p w14:paraId="76E3BA2E">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469A0B2C">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职工喷雾消毒设备</w:t>
            </w:r>
          </w:p>
        </w:tc>
        <w:tc>
          <w:tcPr>
            <w:tcW w:w="869" w:type="dxa"/>
            <w:vAlign w:val="center"/>
          </w:tcPr>
          <w:p w14:paraId="49D33C33">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套</w:t>
            </w:r>
          </w:p>
        </w:tc>
        <w:tc>
          <w:tcPr>
            <w:tcW w:w="973" w:type="dxa"/>
            <w:vAlign w:val="center"/>
          </w:tcPr>
          <w:p w14:paraId="086BAC9F">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3</w:t>
            </w:r>
          </w:p>
        </w:tc>
        <w:tc>
          <w:tcPr>
            <w:tcW w:w="1077" w:type="dxa"/>
            <w:vAlign w:val="center"/>
          </w:tcPr>
          <w:p w14:paraId="581329A1">
            <w:pPr>
              <w:adjustRightInd w:val="0"/>
              <w:snapToGrid w:val="0"/>
              <w:spacing w:line="240" w:lineRule="auto"/>
              <w:jc w:val="center"/>
              <w:rPr>
                <w:rFonts w:hint="default" w:ascii="Times New Roman" w:hAnsi="Times New Roman" w:eastAsia="宋体" w:cs="Times New Roman"/>
                <w:color w:val="auto"/>
                <w:sz w:val="21"/>
                <w:szCs w:val="21"/>
                <w:lang w:eastAsia="zh-CN"/>
              </w:rPr>
            </w:pPr>
          </w:p>
        </w:tc>
      </w:tr>
      <w:tr w14:paraId="7653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55" w:type="dxa"/>
            <w:vAlign w:val="center"/>
          </w:tcPr>
          <w:p w14:paraId="21968D6A">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r>
              <w:rPr>
                <w:rFonts w:hint="default" w:ascii="Times New Roman" w:hAnsi="Times New Roman" w:cs="Times New Roman"/>
                <w:color w:val="auto"/>
                <w:kern w:val="2"/>
                <w:sz w:val="21"/>
                <w:szCs w:val="21"/>
                <w:lang w:val="en-US" w:eastAsia="zh-CN" w:bidi="ar-SA"/>
              </w:rPr>
              <w:t>0</w:t>
            </w:r>
          </w:p>
        </w:tc>
        <w:tc>
          <w:tcPr>
            <w:tcW w:w="1465" w:type="dxa"/>
            <w:vMerge w:val="restart"/>
            <w:vAlign w:val="center"/>
          </w:tcPr>
          <w:p w14:paraId="6EAF8D10">
            <w:pPr>
              <w:adjustRightInd w:val="0"/>
              <w:snapToGrid w:val="0"/>
              <w:spacing w:line="240" w:lineRule="auto"/>
              <w:jc w:val="center"/>
              <w:rPr>
                <w:rStyle w:val="61"/>
                <w:rFonts w:hint="default" w:ascii="Times New Roman" w:hAnsi="Times New Roman" w:cs="Times New Roman"/>
                <w:color w:val="auto"/>
                <w:sz w:val="21"/>
                <w:szCs w:val="21"/>
              </w:rPr>
            </w:pPr>
            <w:r>
              <w:rPr>
                <w:rStyle w:val="61"/>
                <w:rFonts w:hint="default" w:ascii="Times New Roman" w:hAnsi="Times New Roman" w:cs="Times New Roman"/>
                <w:color w:val="auto"/>
                <w:sz w:val="21"/>
                <w:szCs w:val="21"/>
              </w:rPr>
              <w:t>环保设备</w:t>
            </w:r>
          </w:p>
        </w:tc>
        <w:tc>
          <w:tcPr>
            <w:tcW w:w="3551" w:type="dxa"/>
            <w:vAlign w:val="center"/>
          </w:tcPr>
          <w:p w14:paraId="1AF9EB83">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全自动高效固液分离机</w:t>
            </w:r>
          </w:p>
        </w:tc>
        <w:tc>
          <w:tcPr>
            <w:tcW w:w="869" w:type="dxa"/>
            <w:vAlign w:val="center"/>
          </w:tcPr>
          <w:p w14:paraId="3CD34547">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rPr>
              <w:t>台</w:t>
            </w:r>
          </w:p>
        </w:tc>
        <w:tc>
          <w:tcPr>
            <w:tcW w:w="973" w:type="dxa"/>
            <w:vAlign w:val="center"/>
          </w:tcPr>
          <w:p w14:paraId="0257B5AB">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1</w:t>
            </w:r>
          </w:p>
        </w:tc>
        <w:tc>
          <w:tcPr>
            <w:tcW w:w="1077" w:type="dxa"/>
            <w:vAlign w:val="center"/>
          </w:tcPr>
          <w:p w14:paraId="7E33AC20">
            <w:pPr>
              <w:adjustRightInd w:val="0"/>
              <w:snapToGrid w:val="0"/>
              <w:spacing w:line="240" w:lineRule="auto"/>
              <w:jc w:val="center"/>
              <w:rPr>
                <w:rStyle w:val="61"/>
                <w:rFonts w:hint="default" w:ascii="Times New Roman" w:hAnsi="Times New Roman" w:eastAsia="宋体" w:cs="Times New Roman"/>
                <w:color w:val="auto"/>
                <w:sz w:val="21"/>
                <w:szCs w:val="21"/>
                <w:lang w:val="en-US" w:eastAsia="zh-CN"/>
              </w:rPr>
            </w:pPr>
          </w:p>
        </w:tc>
      </w:tr>
      <w:tr w14:paraId="4241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5504B4D6">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r>
              <w:rPr>
                <w:rFonts w:hint="default" w:ascii="Times New Roman" w:hAnsi="Times New Roman" w:cs="Times New Roman"/>
                <w:color w:val="auto"/>
                <w:kern w:val="2"/>
                <w:sz w:val="21"/>
                <w:szCs w:val="21"/>
                <w:lang w:val="en-US" w:eastAsia="zh-CN" w:bidi="ar-SA"/>
              </w:rPr>
              <w:t>1</w:t>
            </w:r>
          </w:p>
        </w:tc>
        <w:tc>
          <w:tcPr>
            <w:tcW w:w="1465" w:type="dxa"/>
            <w:vMerge w:val="continue"/>
            <w:vAlign w:val="center"/>
          </w:tcPr>
          <w:p w14:paraId="0263D689">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79C8F173">
            <w:pPr>
              <w:adjustRightInd w:val="0"/>
              <w:snapToGrid w:val="0"/>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lang w:val="zh-CN"/>
              </w:rPr>
              <w:t>清粪手推车</w:t>
            </w:r>
          </w:p>
        </w:tc>
        <w:tc>
          <w:tcPr>
            <w:tcW w:w="869" w:type="dxa"/>
            <w:vAlign w:val="center"/>
          </w:tcPr>
          <w:p w14:paraId="608887CB">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辆</w:t>
            </w:r>
          </w:p>
        </w:tc>
        <w:tc>
          <w:tcPr>
            <w:tcW w:w="973" w:type="dxa"/>
            <w:vAlign w:val="center"/>
          </w:tcPr>
          <w:p w14:paraId="003BB0E7">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5</w:t>
            </w:r>
          </w:p>
        </w:tc>
        <w:tc>
          <w:tcPr>
            <w:tcW w:w="1077" w:type="dxa"/>
            <w:vAlign w:val="center"/>
          </w:tcPr>
          <w:p w14:paraId="285BE813">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r>
      <w:tr w14:paraId="0F6F6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4122B5BA">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r>
              <w:rPr>
                <w:rFonts w:hint="default" w:ascii="Times New Roman" w:hAnsi="Times New Roman" w:cs="Times New Roman"/>
                <w:color w:val="auto"/>
                <w:kern w:val="2"/>
                <w:sz w:val="21"/>
                <w:szCs w:val="21"/>
                <w:lang w:val="en-US" w:eastAsia="zh-CN" w:bidi="ar-SA"/>
              </w:rPr>
              <w:t>2</w:t>
            </w:r>
          </w:p>
        </w:tc>
        <w:tc>
          <w:tcPr>
            <w:tcW w:w="1465" w:type="dxa"/>
            <w:vMerge w:val="continue"/>
            <w:vAlign w:val="center"/>
          </w:tcPr>
          <w:p w14:paraId="298D3778">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1B929769">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污水泵</w:t>
            </w:r>
          </w:p>
        </w:tc>
        <w:tc>
          <w:tcPr>
            <w:tcW w:w="869" w:type="dxa"/>
            <w:vAlign w:val="center"/>
          </w:tcPr>
          <w:p w14:paraId="56A678EA">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rPr>
              <w:t>台</w:t>
            </w:r>
          </w:p>
        </w:tc>
        <w:tc>
          <w:tcPr>
            <w:tcW w:w="973" w:type="dxa"/>
            <w:vAlign w:val="center"/>
          </w:tcPr>
          <w:p w14:paraId="4289408D">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2</w:t>
            </w:r>
          </w:p>
        </w:tc>
        <w:tc>
          <w:tcPr>
            <w:tcW w:w="1077" w:type="dxa"/>
            <w:vAlign w:val="center"/>
          </w:tcPr>
          <w:p w14:paraId="79A4F450">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r>
      <w:tr w14:paraId="3524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17979549">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r>
              <w:rPr>
                <w:rFonts w:hint="default" w:ascii="Times New Roman" w:hAnsi="Times New Roman" w:cs="Times New Roman"/>
                <w:color w:val="auto"/>
                <w:kern w:val="2"/>
                <w:sz w:val="21"/>
                <w:szCs w:val="21"/>
                <w:lang w:val="en-US" w:eastAsia="zh-CN" w:bidi="ar-SA"/>
              </w:rPr>
              <w:t>3</w:t>
            </w:r>
          </w:p>
        </w:tc>
        <w:tc>
          <w:tcPr>
            <w:tcW w:w="1465" w:type="dxa"/>
            <w:vMerge w:val="continue"/>
            <w:vAlign w:val="center"/>
          </w:tcPr>
          <w:p w14:paraId="64C42466">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60C1EC88">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粪污泵</w:t>
            </w:r>
          </w:p>
        </w:tc>
        <w:tc>
          <w:tcPr>
            <w:tcW w:w="869" w:type="dxa"/>
            <w:vAlign w:val="center"/>
          </w:tcPr>
          <w:p w14:paraId="013838E0">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rPr>
              <w:t>台</w:t>
            </w:r>
          </w:p>
        </w:tc>
        <w:tc>
          <w:tcPr>
            <w:tcW w:w="973" w:type="dxa"/>
            <w:vAlign w:val="center"/>
          </w:tcPr>
          <w:p w14:paraId="597D8851">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1</w:t>
            </w:r>
          </w:p>
        </w:tc>
        <w:tc>
          <w:tcPr>
            <w:tcW w:w="1077" w:type="dxa"/>
            <w:vAlign w:val="center"/>
          </w:tcPr>
          <w:p w14:paraId="7C02BF20">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p>
        </w:tc>
      </w:tr>
      <w:tr w14:paraId="4A19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55" w:type="dxa"/>
            <w:vAlign w:val="center"/>
          </w:tcPr>
          <w:p w14:paraId="7C43C776">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24</w:t>
            </w:r>
          </w:p>
        </w:tc>
        <w:tc>
          <w:tcPr>
            <w:tcW w:w="1465" w:type="dxa"/>
            <w:vMerge w:val="continue"/>
            <w:vAlign w:val="center"/>
          </w:tcPr>
          <w:p w14:paraId="280C4913">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036E4513">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厨房油烟机</w:t>
            </w:r>
          </w:p>
        </w:tc>
        <w:tc>
          <w:tcPr>
            <w:tcW w:w="869" w:type="dxa"/>
            <w:vAlign w:val="center"/>
          </w:tcPr>
          <w:p w14:paraId="1D66724C">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套</w:t>
            </w:r>
          </w:p>
        </w:tc>
        <w:tc>
          <w:tcPr>
            <w:tcW w:w="973" w:type="dxa"/>
            <w:vAlign w:val="center"/>
          </w:tcPr>
          <w:p w14:paraId="40E6853C">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1</w:t>
            </w:r>
          </w:p>
        </w:tc>
        <w:tc>
          <w:tcPr>
            <w:tcW w:w="1077" w:type="dxa"/>
            <w:vAlign w:val="center"/>
          </w:tcPr>
          <w:p w14:paraId="52E4519F">
            <w:pPr>
              <w:adjustRightInd w:val="0"/>
              <w:snapToGrid w:val="0"/>
              <w:spacing w:line="240" w:lineRule="auto"/>
              <w:jc w:val="center"/>
              <w:rPr>
                <w:rStyle w:val="61"/>
                <w:rFonts w:hint="default" w:ascii="Times New Roman" w:hAnsi="Times New Roman" w:cs="Times New Roman"/>
                <w:color w:val="auto"/>
                <w:sz w:val="21"/>
                <w:szCs w:val="21"/>
                <w:lang w:val="en-US"/>
              </w:rPr>
            </w:pPr>
          </w:p>
        </w:tc>
      </w:tr>
      <w:tr w14:paraId="6467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418BDE68">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25</w:t>
            </w:r>
          </w:p>
        </w:tc>
        <w:tc>
          <w:tcPr>
            <w:tcW w:w="1465" w:type="dxa"/>
            <w:vMerge w:val="restart"/>
            <w:vAlign w:val="center"/>
          </w:tcPr>
          <w:p w14:paraId="57EEE7D7">
            <w:pPr>
              <w:adjustRightInd w:val="0"/>
              <w:snapToGrid w:val="0"/>
              <w:spacing w:line="240" w:lineRule="auto"/>
              <w:jc w:val="center"/>
              <w:rPr>
                <w:rStyle w:val="61"/>
                <w:rFonts w:hint="default" w:ascii="Times New Roman" w:hAnsi="Times New Roman" w:cs="Times New Roman"/>
                <w:color w:val="auto"/>
                <w:sz w:val="21"/>
                <w:szCs w:val="21"/>
              </w:rPr>
            </w:pPr>
            <w:r>
              <w:rPr>
                <w:rStyle w:val="61"/>
                <w:rFonts w:hint="default" w:ascii="Times New Roman" w:hAnsi="Times New Roman" w:cs="Times New Roman"/>
                <w:color w:val="auto"/>
                <w:sz w:val="21"/>
                <w:szCs w:val="21"/>
              </w:rPr>
              <w:t>其他设备</w:t>
            </w:r>
          </w:p>
        </w:tc>
        <w:tc>
          <w:tcPr>
            <w:tcW w:w="3551" w:type="dxa"/>
            <w:vAlign w:val="center"/>
          </w:tcPr>
          <w:p w14:paraId="38410D66">
            <w:pPr>
              <w:adjustRightInd w:val="0"/>
              <w:snapToGrid w:val="0"/>
              <w:spacing w:line="240" w:lineRule="auto"/>
              <w:jc w:val="center"/>
              <w:rPr>
                <w:rStyle w:val="61"/>
                <w:rFonts w:hint="default" w:ascii="Times New Roman" w:hAnsi="Times New Roman" w:cs="Times New Roman"/>
                <w:color w:val="auto"/>
                <w:sz w:val="21"/>
                <w:szCs w:val="21"/>
              </w:rPr>
            </w:pPr>
            <w:r>
              <w:rPr>
                <w:rStyle w:val="61"/>
                <w:rFonts w:hint="default" w:ascii="Times New Roman" w:hAnsi="Times New Roman" w:cs="Times New Roman"/>
                <w:color w:val="auto"/>
                <w:sz w:val="21"/>
                <w:szCs w:val="21"/>
              </w:rPr>
              <w:t>10KV专用变压器</w:t>
            </w:r>
          </w:p>
        </w:tc>
        <w:tc>
          <w:tcPr>
            <w:tcW w:w="869" w:type="dxa"/>
            <w:vAlign w:val="center"/>
          </w:tcPr>
          <w:p w14:paraId="2EEA01B1">
            <w:pPr>
              <w:adjustRightInd w:val="0"/>
              <w:snapToGrid w:val="0"/>
              <w:spacing w:line="240" w:lineRule="auto"/>
              <w:jc w:val="center"/>
              <w:rPr>
                <w:rStyle w:val="61"/>
                <w:rFonts w:hint="default" w:ascii="Times New Roman" w:hAnsi="Times New Roman" w:cs="Times New Roman"/>
                <w:color w:val="auto"/>
                <w:sz w:val="21"/>
                <w:szCs w:val="21"/>
              </w:rPr>
            </w:pPr>
            <w:r>
              <w:rPr>
                <w:rStyle w:val="61"/>
                <w:rFonts w:hint="default" w:ascii="Times New Roman" w:hAnsi="Times New Roman" w:cs="Times New Roman"/>
                <w:color w:val="auto"/>
                <w:sz w:val="21"/>
                <w:szCs w:val="21"/>
              </w:rPr>
              <w:t>台</w:t>
            </w:r>
          </w:p>
        </w:tc>
        <w:tc>
          <w:tcPr>
            <w:tcW w:w="973" w:type="dxa"/>
            <w:vAlign w:val="center"/>
          </w:tcPr>
          <w:p w14:paraId="1BC73E35">
            <w:pPr>
              <w:adjustRightInd w:val="0"/>
              <w:snapToGrid w:val="0"/>
              <w:spacing w:line="240" w:lineRule="auto"/>
              <w:jc w:val="center"/>
              <w:rPr>
                <w:rStyle w:val="61"/>
                <w:rFonts w:hint="default" w:ascii="Times New Roman" w:hAnsi="Times New Roman" w:cs="Times New Roman"/>
                <w:color w:val="auto"/>
                <w:sz w:val="21"/>
                <w:szCs w:val="21"/>
              </w:rPr>
            </w:pPr>
            <w:r>
              <w:rPr>
                <w:rStyle w:val="61"/>
                <w:rFonts w:hint="default" w:ascii="Times New Roman" w:hAnsi="Times New Roman" w:cs="Times New Roman"/>
                <w:color w:val="auto"/>
                <w:sz w:val="21"/>
                <w:szCs w:val="21"/>
                <w:lang w:val="en-US"/>
              </w:rPr>
              <w:t>1</w:t>
            </w:r>
          </w:p>
        </w:tc>
        <w:tc>
          <w:tcPr>
            <w:tcW w:w="1077" w:type="dxa"/>
            <w:vAlign w:val="center"/>
          </w:tcPr>
          <w:p w14:paraId="27D3A334">
            <w:pPr>
              <w:adjustRightInd w:val="0"/>
              <w:snapToGrid w:val="0"/>
              <w:spacing w:line="240" w:lineRule="auto"/>
              <w:jc w:val="center"/>
              <w:rPr>
                <w:rStyle w:val="61"/>
                <w:rFonts w:hint="default" w:ascii="Times New Roman" w:hAnsi="Times New Roman" w:cs="Times New Roman"/>
                <w:color w:val="auto"/>
                <w:sz w:val="21"/>
                <w:szCs w:val="21"/>
              </w:rPr>
            </w:pPr>
          </w:p>
        </w:tc>
      </w:tr>
      <w:tr w14:paraId="29EC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36EA1429">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26</w:t>
            </w:r>
          </w:p>
        </w:tc>
        <w:tc>
          <w:tcPr>
            <w:tcW w:w="1465" w:type="dxa"/>
            <w:vMerge w:val="continue"/>
            <w:vAlign w:val="center"/>
          </w:tcPr>
          <w:p w14:paraId="4E04EB22">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22F88C04">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车辆冲洗设备</w:t>
            </w:r>
          </w:p>
        </w:tc>
        <w:tc>
          <w:tcPr>
            <w:tcW w:w="869" w:type="dxa"/>
            <w:vAlign w:val="center"/>
          </w:tcPr>
          <w:p w14:paraId="4527620D">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套</w:t>
            </w:r>
          </w:p>
        </w:tc>
        <w:tc>
          <w:tcPr>
            <w:tcW w:w="973" w:type="dxa"/>
            <w:vAlign w:val="center"/>
          </w:tcPr>
          <w:p w14:paraId="3EFD6EDD">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1</w:t>
            </w:r>
          </w:p>
        </w:tc>
        <w:tc>
          <w:tcPr>
            <w:tcW w:w="1077" w:type="dxa"/>
            <w:vAlign w:val="center"/>
          </w:tcPr>
          <w:p w14:paraId="5F29C996">
            <w:pPr>
              <w:adjustRightInd w:val="0"/>
              <w:snapToGrid w:val="0"/>
              <w:spacing w:line="240" w:lineRule="auto"/>
              <w:jc w:val="center"/>
              <w:rPr>
                <w:rFonts w:hint="default" w:ascii="Times New Roman" w:hAnsi="Times New Roman" w:cs="Times New Roman"/>
                <w:color w:val="auto"/>
                <w:sz w:val="21"/>
                <w:szCs w:val="21"/>
                <w:lang w:eastAsia="zh-CN"/>
              </w:rPr>
            </w:pPr>
          </w:p>
        </w:tc>
      </w:tr>
      <w:tr w14:paraId="6863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1D498A92">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27</w:t>
            </w:r>
          </w:p>
        </w:tc>
        <w:tc>
          <w:tcPr>
            <w:tcW w:w="1465" w:type="dxa"/>
            <w:vMerge w:val="continue"/>
            <w:vAlign w:val="center"/>
          </w:tcPr>
          <w:p w14:paraId="07511ACE">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5033C1B6">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车辆喷雾消毒系统</w:t>
            </w:r>
          </w:p>
        </w:tc>
        <w:tc>
          <w:tcPr>
            <w:tcW w:w="869" w:type="dxa"/>
            <w:vAlign w:val="center"/>
          </w:tcPr>
          <w:p w14:paraId="5AC25BA6">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套</w:t>
            </w:r>
          </w:p>
        </w:tc>
        <w:tc>
          <w:tcPr>
            <w:tcW w:w="973" w:type="dxa"/>
            <w:vAlign w:val="center"/>
          </w:tcPr>
          <w:p w14:paraId="5661CFD1">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1</w:t>
            </w:r>
          </w:p>
        </w:tc>
        <w:tc>
          <w:tcPr>
            <w:tcW w:w="1077" w:type="dxa"/>
            <w:vAlign w:val="center"/>
          </w:tcPr>
          <w:p w14:paraId="36C210F5">
            <w:pPr>
              <w:adjustRightInd w:val="0"/>
              <w:snapToGrid w:val="0"/>
              <w:spacing w:line="240" w:lineRule="auto"/>
              <w:jc w:val="center"/>
              <w:rPr>
                <w:rFonts w:hint="default" w:ascii="Times New Roman" w:hAnsi="Times New Roman" w:cs="Times New Roman"/>
                <w:color w:val="auto"/>
                <w:kern w:val="2"/>
                <w:sz w:val="21"/>
                <w:szCs w:val="21"/>
                <w:lang w:val="en-US" w:eastAsia="zh-CN" w:bidi="ar-SA"/>
              </w:rPr>
            </w:pPr>
          </w:p>
        </w:tc>
      </w:tr>
      <w:tr w14:paraId="6135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6D00FEB8">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28</w:t>
            </w:r>
          </w:p>
        </w:tc>
        <w:tc>
          <w:tcPr>
            <w:tcW w:w="1465" w:type="dxa"/>
            <w:vMerge w:val="continue"/>
            <w:vAlign w:val="center"/>
          </w:tcPr>
          <w:p w14:paraId="1DBDB6F4">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2203AD56">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0.4kV</w:t>
            </w:r>
            <w:r>
              <w:rPr>
                <w:rStyle w:val="61"/>
                <w:rFonts w:hint="default" w:ascii="Times New Roman" w:hAnsi="Times New Roman" w:cs="Times New Roman"/>
                <w:color w:val="auto"/>
                <w:sz w:val="21"/>
                <w:szCs w:val="21"/>
                <w:lang w:val="en-US"/>
              </w:rPr>
              <w:t>备用柴油发电机</w:t>
            </w:r>
          </w:p>
        </w:tc>
        <w:tc>
          <w:tcPr>
            <w:tcW w:w="869" w:type="dxa"/>
            <w:vAlign w:val="center"/>
          </w:tcPr>
          <w:p w14:paraId="557C4A9F">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rPr>
              <w:t>台</w:t>
            </w:r>
          </w:p>
        </w:tc>
        <w:tc>
          <w:tcPr>
            <w:tcW w:w="973" w:type="dxa"/>
            <w:vAlign w:val="center"/>
          </w:tcPr>
          <w:p w14:paraId="4EA690AF">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1</w:t>
            </w:r>
          </w:p>
        </w:tc>
        <w:tc>
          <w:tcPr>
            <w:tcW w:w="1077" w:type="dxa"/>
            <w:vAlign w:val="center"/>
          </w:tcPr>
          <w:p w14:paraId="3ACB2552">
            <w:pPr>
              <w:adjustRightInd w:val="0"/>
              <w:snapToGrid w:val="0"/>
              <w:spacing w:line="240" w:lineRule="auto"/>
              <w:jc w:val="center"/>
              <w:rPr>
                <w:rFonts w:hint="default" w:ascii="Times New Roman" w:hAnsi="Times New Roman" w:cs="Times New Roman"/>
                <w:color w:val="auto"/>
                <w:sz w:val="21"/>
                <w:szCs w:val="21"/>
                <w:lang w:eastAsia="zh-CN"/>
              </w:rPr>
            </w:pPr>
          </w:p>
        </w:tc>
      </w:tr>
      <w:tr w14:paraId="3A06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566E3387">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29</w:t>
            </w:r>
          </w:p>
        </w:tc>
        <w:tc>
          <w:tcPr>
            <w:tcW w:w="1465" w:type="dxa"/>
            <w:vMerge w:val="continue"/>
            <w:vAlign w:val="center"/>
          </w:tcPr>
          <w:p w14:paraId="16417BFF">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067307B1">
            <w:pPr>
              <w:adjustRightInd w:val="0"/>
              <w:snapToGrid w:val="0"/>
              <w:spacing w:line="240" w:lineRule="auto"/>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天然气燃烧烘干器</w:t>
            </w:r>
          </w:p>
        </w:tc>
        <w:tc>
          <w:tcPr>
            <w:tcW w:w="869" w:type="dxa"/>
            <w:vAlign w:val="center"/>
          </w:tcPr>
          <w:p w14:paraId="623422CA">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rPr>
              <w:t>台</w:t>
            </w:r>
          </w:p>
        </w:tc>
        <w:tc>
          <w:tcPr>
            <w:tcW w:w="973" w:type="dxa"/>
            <w:vAlign w:val="center"/>
          </w:tcPr>
          <w:p w14:paraId="0295FD64">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6</w:t>
            </w:r>
          </w:p>
        </w:tc>
        <w:tc>
          <w:tcPr>
            <w:tcW w:w="1077" w:type="dxa"/>
            <w:vAlign w:val="center"/>
          </w:tcPr>
          <w:p w14:paraId="57DE5202">
            <w:pPr>
              <w:adjustRightInd w:val="0"/>
              <w:snapToGrid w:val="0"/>
              <w:spacing w:line="240" w:lineRule="auto"/>
              <w:jc w:val="center"/>
              <w:rPr>
                <w:rFonts w:hint="default" w:ascii="Times New Roman" w:hAnsi="Times New Roman" w:cs="Times New Roman"/>
                <w:color w:val="auto"/>
                <w:sz w:val="21"/>
                <w:szCs w:val="21"/>
                <w:lang w:eastAsia="zh-CN"/>
              </w:rPr>
            </w:pPr>
          </w:p>
        </w:tc>
      </w:tr>
      <w:tr w14:paraId="6333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29F12FBC">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c>
          <w:tcPr>
            <w:tcW w:w="1465" w:type="dxa"/>
            <w:vMerge w:val="continue"/>
            <w:vAlign w:val="center"/>
          </w:tcPr>
          <w:p w14:paraId="33855C60">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25C7ADEF">
            <w:pPr>
              <w:adjustRightInd w:val="0"/>
              <w:snapToGrid w:val="0"/>
              <w:spacing w:line="240" w:lineRule="auto"/>
              <w:jc w:val="center"/>
              <w:rPr>
                <w:rStyle w:val="61"/>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highlight w:val="none"/>
                <w:lang w:val="en-US" w:eastAsia="zh-CN"/>
              </w:rPr>
              <w:t>90m</w:t>
            </w:r>
            <w:r>
              <w:rPr>
                <w:rFonts w:hint="default" w:ascii="Times New Roman" w:hAnsi="Times New Roman" w:cs="Times New Roman"/>
                <w:color w:val="auto"/>
                <w:sz w:val="21"/>
                <w:szCs w:val="21"/>
                <w:highlight w:val="none"/>
                <w:vertAlign w:val="superscript"/>
                <w:lang w:val="en-US" w:eastAsia="zh-CN"/>
              </w:rPr>
              <w:t>3</w:t>
            </w:r>
            <w:r>
              <w:rPr>
                <w:rStyle w:val="61"/>
                <w:rFonts w:hint="default" w:ascii="Times New Roman" w:hAnsi="Times New Roman" w:cs="Times New Roman"/>
                <w:color w:val="auto"/>
                <w:sz w:val="21"/>
                <w:szCs w:val="21"/>
                <w:highlight w:val="none"/>
                <w:lang w:val="en-US"/>
              </w:rPr>
              <w:t>冷库</w:t>
            </w:r>
          </w:p>
        </w:tc>
        <w:tc>
          <w:tcPr>
            <w:tcW w:w="869" w:type="dxa"/>
            <w:vAlign w:val="center"/>
          </w:tcPr>
          <w:p w14:paraId="11D707DB">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个</w:t>
            </w:r>
          </w:p>
        </w:tc>
        <w:tc>
          <w:tcPr>
            <w:tcW w:w="973" w:type="dxa"/>
            <w:vAlign w:val="center"/>
          </w:tcPr>
          <w:p w14:paraId="5BD79C76">
            <w:pPr>
              <w:adjustRightInd w:val="0"/>
              <w:snapToGrid w:val="0"/>
              <w:spacing w:line="240" w:lineRule="auto"/>
              <w:jc w:val="center"/>
              <w:rPr>
                <w:rStyle w:val="61"/>
                <w:rFonts w:hint="default" w:ascii="Times New Roman" w:hAnsi="Times New Roman" w:cs="Times New Roman"/>
                <w:color w:val="auto"/>
                <w:sz w:val="21"/>
                <w:szCs w:val="21"/>
                <w:lang w:val="en-US"/>
              </w:rPr>
            </w:pPr>
            <w:r>
              <w:rPr>
                <w:rStyle w:val="61"/>
                <w:rFonts w:hint="default" w:ascii="Times New Roman" w:hAnsi="Times New Roman" w:cs="Times New Roman"/>
                <w:color w:val="auto"/>
                <w:sz w:val="21"/>
                <w:szCs w:val="21"/>
                <w:lang w:val="en-US"/>
              </w:rPr>
              <w:t>1</w:t>
            </w:r>
          </w:p>
        </w:tc>
        <w:tc>
          <w:tcPr>
            <w:tcW w:w="1077" w:type="dxa"/>
            <w:vAlign w:val="center"/>
          </w:tcPr>
          <w:p w14:paraId="72CEDE61">
            <w:pPr>
              <w:adjustRightInd w:val="0"/>
              <w:snapToGrid w:val="0"/>
              <w:spacing w:line="240" w:lineRule="auto"/>
              <w:jc w:val="center"/>
              <w:rPr>
                <w:rFonts w:hint="default" w:ascii="Times New Roman" w:hAnsi="Times New Roman" w:cs="Times New Roman"/>
                <w:color w:val="auto"/>
                <w:sz w:val="21"/>
                <w:szCs w:val="21"/>
                <w:lang w:val="en-US" w:eastAsia="zh-CN"/>
              </w:rPr>
            </w:pPr>
          </w:p>
        </w:tc>
      </w:tr>
      <w:tr w14:paraId="34E3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3802553B">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w:t>
            </w:r>
          </w:p>
        </w:tc>
        <w:tc>
          <w:tcPr>
            <w:tcW w:w="1465" w:type="dxa"/>
            <w:vMerge w:val="continue"/>
            <w:vAlign w:val="center"/>
          </w:tcPr>
          <w:p w14:paraId="27B41029">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192CC05B">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臭氧消毒设备</w:t>
            </w:r>
          </w:p>
        </w:tc>
        <w:tc>
          <w:tcPr>
            <w:tcW w:w="869" w:type="dxa"/>
            <w:vAlign w:val="center"/>
          </w:tcPr>
          <w:p w14:paraId="566271F7">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套</w:t>
            </w:r>
          </w:p>
        </w:tc>
        <w:tc>
          <w:tcPr>
            <w:tcW w:w="973" w:type="dxa"/>
            <w:vAlign w:val="center"/>
          </w:tcPr>
          <w:p w14:paraId="5AA014F3">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1</w:t>
            </w:r>
          </w:p>
        </w:tc>
        <w:tc>
          <w:tcPr>
            <w:tcW w:w="1077" w:type="dxa"/>
            <w:vAlign w:val="center"/>
          </w:tcPr>
          <w:p w14:paraId="4BF79058">
            <w:pPr>
              <w:adjustRightInd w:val="0"/>
              <w:snapToGrid w:val="0"/>
              <w:spacing w:line="240" w:lineRule="auto"/>
              <w:jc w:val="center"/>
              <w:rPr>
                <w:rFonts w:hint="default" w:ascii="Times New Roman" w:hAnsi="Times New Roman" w:cs="Times New Roman"/>
                <w:color w:val="auto"/>
                <w:kern w:val="2"/>
                <w:sz w:val="21"/>
                <w:szCs w:val="21"/>
                <w:lang w:val="en-US" w:eastAsia="zh-CN" w:bidi="ar-SA"/>
              </w:rPr>
            </w:pPr>
          </w:p>
        </w:tc>
      </w:tr>
      <w:tr w14:paraId="4B6B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6334AF05">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32</w:t>
            </w:r>
          </w:p>
        </w:tc>
        <w:tc>
          <w:tcPr>
            <w:tcW w:w="1465" w:type="dxa"/>
            <w:vMerge w:val="continue"/>
            <w:vAlign w:val="center"/>
          </w:tcPr>
          <w:p w14:paraId="7C885305">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784767C0">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高温消毒设备</w:t>
            </w:r>
          </w:p>
        </w:tc>
        <w:tc>
          <w:tcPr>
            <w:tcW w:w="869" w:type="dxa"/>
            <w:vAlign w:val="center"/>
          </w:tcPr>
          <w:p w14:paraId="29B5D2F1">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套</w:t>
            </w:r>
          </w:p>
        </w:tc>
        <w:tc>
          <w:tcPr>
            <w:tcW w:w="973" w:type="dxa"/>
            <w:vAlign w:val="center"/>
          </w:tcPr>
          <w:p w14:paraId="2D7322D9">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1</w:t>
            </w:r>
          </w:p>
        </w:tc>
        <w:tc>
          <w:tcPr>
            <w:tcW w:w="1077" w:type="dxa"/>
            <w:vAlign w:val="center"/>
          </w:tcPr>
          <w:p w14:paraId="0E34BE07">
            <w:pPr>
              <w:adjustRightInd w:val="0"/>
              <w:snapToGrid w:val="0"/>
              <w:spacing w:line="240" w:lineRule="auto"/>
              <w:jc w:val="center"/>
              <w:rPr>
                <w:rFonts w:hint="default" w:ascii="Times New Roman" w:hAnsi="Times New Roman" w:cs="Times New Roman"/>
                <w:color w:val="auto"/>
                <w:kern w:val="2"/>
                <w:sz w:val="21"/>
                <w:szCs w:val="21"/>
                <w:lang w:val="en-US" w:eastAsia="zh-CN" w:bidi="ar-SA"/>
              </w:rPr>
            </w:pPr>
          </w:p>
        </w:tc>
      </w:tr>
      <w:tr w14:paraId="5C46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43BA7E8B">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33</w:t>
            </w:r>
          </w:p>
        </w:tc>
        <w:tc>
          <w:tcPr>
            <w:tcW w:w="1465" w:type="dxa"/>
            <w:vMerge w:val="continue"/>
            <w:vAlign w:val="center"/>
          </w:tcPr>
          <w:p w14:paraId="7034B86A">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0BDD9821">
            <w:pPr>
              <w:adjustRightInd w:val="0"/>
              <w:snapToGrid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zh-CN"/>
              </w:rPr>
              <w:t>电子磅秤</w:t>
            </w:r>
          </w:p>
        </w:tc>
        <w:tc>
          <w:tcPr>
            <w:tcW w:w="869" w:type="dxa"/>
            <w:vAlign w:val="center"/>
          </w:tcPr>
          <w:p w14:paraId="6175E57D">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套</w:t>
            </w:r>
          </w:p>
        </w:tc>
        <w:tc>
          <w:tcPr>
            <w:tcW w:w="973" w:type="dxa"/>
            <w:vAlign w:val="center"/>
          </w:tcPr>
          <w:p w14:paraId="2B2044E9">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1</w:t>
            </w:r>
          </w:p>
        </w:tc>
        <w:tc>
          <w:tcPr>
            <w:tcW w:w="1077" w:type="dxa"/>
            <w:vAlign w:val="center"/>
          </w:tcPr>
          <w:p w14:paraId="518BD62B">
            <w:pPr>
              <w:adjustRightInd w:val="0"/>
              <w:snapToGrid w:val="0"/>
              <w:spacing w:line="240" w:lineRule="auto"/>
              <w:jc w:val="center"/>
              <w:rPr>
                <w:rFonts w:hint="default" w:ascii="Times New Roman" w:hAnsi="Times New Roman" w:cs="Times New Roman"/>
                <w:color w:val="auto"/>
                <w:sz w:val="21"/>
                <w:szCs w:val="21"/>
                <w:lang w:eastAsia="zh-CN"/>
              </w:rPr>
            </w:pPr>
          </w:p>
        </w:tc>
      </w:tr>
      <w:tr w14:paraId="254DE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Align w:val="center"/>
          </w:tcPr>
          <w:p w14:paraId="2694C58E">
            <w:pPr>
              <w:adjustRightInd w:val="0"/>
              <w:snapToGrid w:val="0"/>
              <w:spacing w:line="240" w:lineRule="auto"/>
              <w:jc w:val="center"/>
              <w:rPr>
                <w:rStyle w:val="61"/>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SA"/>
              </w:rPr>
              <w:t>34</w:t>
            </w:r>
          </w:p>
        </w:tc>
        <w:tc>
          <w:tcPr>
            <w:tcW w:w="1465" w:type="dxa"/>
            <w:vMerge w:val="continue"/>
            <w:vAlign w:val="center"/>
          </w:tcPr>
          <w:p w14:paraId="0245FA62">
            <w:pPr>
              <w:adjustRightInd w:val="0"/>
              <w:snapToGrid w:val="0"/>
              <w:spacing w:line="240" w:lineRule="auto"/>
              <w:jc w:val="center"/>
              <w:rPr>
                <w:rStyle w:val="61"/>
                <w:rFonts w:hint="default" w:ascii="Times New Roman" w:hAnsi="Times New Roman" w:cs="Times New Roman"/>
                <w:color w:val="auto"/>
                <w:sz w:val="21"/>
                <w:szCs w:val="21"/>
              </w:rPr>
            </w:pPr>
          </w:p>
        </w:tc>
        <w:tc>
          <w:tcPr>
            <w:tcW w:w="3551" w:type="dxa"/>
            <w:vAlign w:val="center"/>
          </w:tcPr>
          <w:p w14:paraId="32AB29CA">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职工喷雾消毒设备</w:t>
            </w:r>
          </w:p>
        </w:tc>
        <w:tc>
          <w:tcPr>
            <w:tcW w:w="869" w:type="dxa"/>
            <w:vAlign w:val="center"/>
          </w:tcPr>
          <w:p w14:paraId="488A7FD9">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套</w:t>
            </w:r>
          </w:p>
        </w:tc>
        <w:tc>
          <w:tcPr>
            <w:tcW w:w="973" w:type="dxa"/>
            <w:vAlign w:val="center"/>
          </w:tcPr>
          <w:p w14:paraId="552D8B7C">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Style w:val="61"/>
                <w:rFonts w:hint="default" w:ascii="Times New Roman" w:hAnsi="Times New Roman" w:cs="Times New Roman"/>
                <w:color w:val="auto"/>
                <w:sz w:val="21"/>
                <w:szCs w:val="21"/>
                <w:lang w:val="en-US"/>
              </w:rPr>
              <w:t>2</w:t>
            </w:r>
          </w:p>
        </w:tc>
        <w:tc>
          <w:tcPr>
            <w:tcW w:w="1077" w:type="dxa"/>
            <w:vAlign w:val="center"/>
          </w:tcPr>
          <w:p w14:paraId="01864780">
            <w:pPr>
              <w:adjustRightInd w:val="0"/>
              <w:snapToGrid w:val="0"/>
              <w:spacing w:line="240" w:lineRule="auto"/>
              <w:jc w:val="center"/>
              <w:rPr>
                <w:rFonts w:hint="default" w:ascii="Times New Roman" w:hAnsi="Times New Roman" w:cs="Times New Roman"/>
                <w:color w:val="auto"/>
                <w:sz w:val="21"/>
                <w:szCs w:val="21"/>
                <w:lang w:eastAsia="zh-CN"/>
              </w:rPr>
            </w:pPr>
          </w:p>
        </w:tc>
      </w:tr>
    </w:tbl>
    <w:p w14:paraId="34835A77">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176" w:name="_Toc9741"/>
      <w:r>
        <w:rPr>
          <w:rStyle w:val="35"/>
          <w:rFonts w:hint="default" w:ascii="Times New Roman" w:hAnsi="Times New Roman" w:eastAsia="宋体" w:cs="Times New Roman"/>
          <w:color w:val="auto"/>
          <w:sz w:val="24"/>
          <w:szCs w:val="24"/>
          <w:highlight w:val="none"/>
        </w:rPr>
        <w:t>2.</w:t>
      </w:r>
      <w:r>
        <w:rPr>
          <w:rStyle w:val="35"/>
          <w:rFonts w:hint="default" w:ascii="Times New Roman" w:hAnsi="Times New Roman" w:eastAsia="宋体" w:cs="Times New Roman"/>
          <w:color w:val="auto"/>
          <w:sz w:val="24"/>
          <w:szCs w:val="24"/>
          <w:highlight w:val="none"/>
          <w:lang w:val="en-US" w:eastAsia="zh-CN"/>
        </w:rPr>
        <w:t>1</w:t>
      </w:r>
      <w:r>
        <w:rPr>
          <w:rStyle w:val="35"/>
          <w:rFonts w:hint="default" w:ascii="Times New Roman" w:hAnsi="Times New Roman" w:eastAsia="宋体" w:cs="Times New Roman"/>
          <w:color w:val="auto"/>
          <w:sz w:val="24"/>
          <w:szCs w:val="24"/>
          <w:highlight w:val="none"/>
        </w:rPr>
        <w:t>.6主要原辅料、资源及能源消耗</w:t>
      </w:r>
      <w:bookmarkEnd w:id="176"/>
    </w:p>
    <w:p w14:paraId="3480B03E">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本</w:t>
      </w:r>
      <w:r>
        <w:rPr>
          <w:rFonts w:hint="default" w:ascii="Times New Roman" w:hAnsi="Times New Roman" w:eastAsia="宋体" w:cs="Times New Roman"/>
          <w:color w:val="auto"/>
          <w:kern w:val="0"/>
          <w:sz w:val="24"/>
          <w:szCs w:val="24"/>
          <w:lang w:val="en-US" w:eastAsia="zh-CN" w:bidi="ar"/>
        </w:rPr>
        <w:t>项目养殖需要的饲料均由集团饲料厂提供，厂区内不设置饲料加工车间，饲料运至厂区后，储存于饲料仓库，配套全自动配送料系统和限位猪槽，机械化操作，定时定量供应饲料，保证猪只饮食需要。</w:t>
      </w:r>
    </w:p>
    <w:p w14:paraId="791901FB">
      <w:pPr>
        <w:spacing w:line="360" w:lineRule="auto"/>
        <w:ind w:firstLine="480"/>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饲料主要成分为玉米、豆粕等，其中还包含少量维生素添加剂、微量元素添加剂、微生物饲料添加剂等，饲料含水率为8%</w:t>
      </w:r>
      <w:r>
        <w:rPr>
          <w:rFonts w:hint="eastAsia"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10%，粗蛋白含量10</w:t>
      </w:r>
      <w:r>
        <w:rPr>
          <w:rFonts w:hint="eastAsia"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w:t>
      </w:r>
    </w:p>
    <w:p w14:paraId="2244ABF0">
      <w:pPr>
        <w:spacing w:line="360" w:lineRule="auto"/>
        <w:ind w:firstLine="480"/>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结合生产规模，本项目原辅料、资源及能源消耗见表2.</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p>
    <w:p w14:paraId="4C2BF2B9">
      <w:pPr>
        <w:tabs>
          <w:tab w:val="left" w:pos="1680"/>
        </w:tabs>
        <w:spacing w:line="276" w:lineRule="auto"/>
        <w:ind w:right="499"/>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表2.</w:t>
      </w:r>
      <w:r>
        <w:rPr>
          <w:rFonts w:hint="default" w:ascii="Times New Roman" w:hAnsi="Times New Roman" w:cs="Times New Roman"/>
          <w:b/>
          <w:color w:val="auto"/>
          <w:sz w:val="21"/>
          <w:szCs w:val="21"/>
          <w:lang w:val="en-US" w:eastAsia="zh-CN"/>
        </w:rPr>
        <w:t>1</w:t>
      </w:r>
      <w:r>
        <w:rPr>
          <w:rFonts w:hint="default" w:ascii="Times New Roman" w:hAnsi="Times New Roman" w:cs="Times New Roman"/>
          <w:b/>
          <w:color w:val="auto"/>
          <w:sz w:val="21"/>
          <w:szCs w:val="21"/>
        </w:rPr>
        <w:t>-</w:t>
      </w:r>
      <w:r>
        <w:rPr>
          <w:rFonts w:hint="default" w:ascii="Times New Roman" w:hAnsi="Times New Roman" w:cs="Times New Roman"/>
          <w:b/>
          <w:color w:val="auto"/>
          <w:sz w:val="21"/>
          <w:szCs w:val="21"/>
          <w:lang w:val="en-US" w:eastAsia="zh-CN"/>
        </w:rPr>
        <w:t>5</w:t>
      </w:r>
      <w:r>
        <w:rPr>
          <w:rFonts w:hint="default" w:ascii="Times New Roman" w:hAnsi="Times New Roman" w:cs="Times New Roman"/>
          <w:b/>
          <w:color w:val="auto"/>
          <w:sz w:val="21"/>
          <w:szCs w:val="21"/>
        </w:rPr>
        <w:t xml:space="preserve">  项目原辅料及能源使用情况一览表</w:t>
      </w:r>
    </w:p>
    <w:tbl>
      <w:tblPr>
        <w:tblStyle w:val="23"/>
        <w:tblW w:w="8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61"/>
        <w:gridCol w:w="915"/>
        <w:gridCol w:w="1307"/>
        <w:gridCol w:w="1122"/>
        <w:gridCol w:w="1124"/>
        <w:gridCol w:w="2961"/>
      </w:tblGrid>
      <w:tr w14:paraId="752F3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61" w:type="dxa"/>
            <w:vAlign w:val="center"/>
          </w:tcPr>
          <w:p w14:paraId="5AE1D8C2">
            <w:pPr>
              <w:spacing w:line="240" w:lineRule="auto"/>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原辅材料</w:t>
            </w:r>
          </w:p>
        </w:tc>
        <w:tc>
          <w:tcPr>
            <w:tcW w:w="915" w:type="dxa"/>
            <w:vAlign w:val="center"/>
          </w:tcPr>
          <w:p w14:paraId="6FE919B0">
            <w:pPr>
              <w:spacing w:line="240" w:lineRule="auto"/>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单位</w:t>
            </w:r>
          </w:p>
        </w:tc>
        <w:tc>
          <w:tcPr>
            <w:tcW w:w="1307" w:type="dxa"/>
            <w:tcBorders>
              <w:right w:val="single" w:color="auto" w:sz="4" w:space="0"/>
            </w:tcBorders>
            <w:vAlign w:val="center"/>
          </w:tcPr>
          <w:p w14:paraId="5EEE9AB8">
            <w:pPr>
              <w:spacing w:line="240" w:lineRule="auto"/>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消耗量</w:t>
            </w:r>
          </w:p>
        </w:tc>
        <w:tc>
          <w:tcPr>
            <w:tcW w:w="1122" w:type="dxa"/>
            <w:vAlign w:val="center"/>
          </w:tcPr>
          <w:p w14:paraId="310AC2EE">
            <w:pPr>
              <w:spacing w:line="240" w:lineRule="auto"/>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最大储存量</w:t>
            </w:r>
          </w:p>
        </w:tc>
        <w:tc>
          <w:tcPr>
            <w:tcW w:w="1124" w:type="dxa"/>
            <w:vAlign w:val="center"/>
          </w:tcPr>
          <w:p w14:paraId="4AD5FF5A">
            <w:pPr>
              <w:spacing w:line="240" w:lineRule="auto"/>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暂存方式</w:t>
            </w:r>
          </w:p>
        </w:tc>
        <w:tc>
          <w:tcPr>
            <w:tcW w:w="2961" w:type="dxa"/>
            <w:vAlign w:val="center"/>
          </w:tcPr>
          <w:p w14:paraId="76D3AF09">
            <w:pPr>
              <w:spacing w:line="240" w:lineRule="auto"/>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备注</w:t>
            </w:r>
          </w:p>
        </w:tc>
      </w:tr>
      <w:tr w14:paraId="6F76C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61" w:type="dxa"/>
            <w:vAlign w:val="center"/>
          </w:tcPr>
          <w:p w14:paraId="66E2AE4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生猪</w:t>
            </w:r>
          </w:p>
        </w:tc>
        <w:tc>
          <w:tcPr>
            <w:tcW w:w="915" w:type="dxa"/>
            <w:vAlign w:val="center"/>
          </w:tcPr>
          <w:p w14:paraId="15C038C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头</w:t>
            </w:r>
          </w:p>
        </w:tc>
        <w:tc>
          <w:tcPr>
            <w:tcW w:w="1307" w:type="dxa"/>
            <w:tcBorders>
              <w:right w:val="single" w:color="auto" w:sz="4" w:space="0"/>
            </w:tcBorders>
            <w:vAlign w:val="center"/>
          </w:tcPr>
          <w:p w14:paraId="24D2F7FE">
            <w:pPr>
              <w:spacing w:line="240" w:lineRule="auto"/>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8000</w:t>
            </w:r>
          </w:p>
        </w:tc>
        <w:tc>
          <w:tcPr>
            <w:tcW w:w="1122" w:type="dxa"/>
            <w:vAlign w:val="center"/>
          </w:tcPr>
          <w:p w14:paraId="52CE7088">
            <w:pPr>
              <w:spacing w:line="240" w:lineRule="auto"/>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4000</w:t>
            </w:r>
          </w:p>
        </w:tc>
        <w:tc>
          <w:tcPr>
            <w:tcW w:w="1124" w:type="dxa"/>
            <w:vAlign w:val="center"/>
          </w:tcPr>
          <w:p w14:paraId="6E592A9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猪舍</w:t>
            </w:r>
          </w:p>
        </w:tc>
        <w:tc>
          <w:tcPr>
            <w:tcW w:w="2961" w:type="dxa"/>
            <w:vAlign w:val="center"/>
          </w:tcPr>
          <w:p w14:paraId="5F2F4D8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弥勒温氏畜牧有限公司新哨种猪场</w:t>
            </w:r>
          </w:p>
        </w:tc>
      </w:tr>
      <w:tr w14:paraId="77BFC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61" w:type="dxa"/>
            <w:vAlign w:val="center"/>
          </w:tcPr>
          <w:p w14:paraId="07C1E8E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饲料</w:t>
            </w:r>
          </w:p>
        </w:tc>
        <w:tc>
          <w:tcPr>
            <w:tcW w:w="915" w:type="dxa"/>
            <w:vAlign w:val="center"/>
          </w:tcPr>
          <w:p w14:paraId="07483E3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307" w:type="dxa"/>
            <w:vAlign w:val="center"/>
          </w:tcPr>
          <w:p w14:paraId="16647B60">
            <w:pPr>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2800</w:t>
            </w:r>
          </w:p>
        </w:tc>
        <w:tc>
          <w:tcPr>
            <w:tcW w:w="1122" w:type="dxa"/>
            <w:vAlign w:val="center"/>
          </w:tcPr>
          <w:p w14:paraId="42C3F64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1124" w:type="dxa"/>
            <w:vAlign w:val="center"/>
          </w:tcPr>
          <w:p w14:paraId="33AE300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饲料塔</w:t>
            </w:r>
          </w:p>
        </w:tc>
        <w:tc>
          <w:tcPr>
            <w:tcW w:w="2961" w:type="dxa"/>
            <w:vAlign w:val="center"/>
          </w:tcPr>
          <w:p w14:paraId="74BB1E2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由集团饲料厂提供</w:t>
            </w:r>
          </w:p>
        </w:tc>
      </w:tr>
      <w:tr w14:paraId="7A6F4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61" w:type="dxa"/>
            <w:vAlign w:val="center"/>
          </w:tcPr>
          <w:p w14:paraId="3780FA0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益生菌和EM活菌剂</w:t>
            </w:r>
          </w:p>
        </w:tc>
        <w:tc>
          <w:tcPr>
            <w:tcW w:w="915" w:type="dxa"/>
            <w:vAlign w:val="center"/>
          </w:tcPr>
          <w:p w14:paraId="03443D8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307" w:type="dxa"/>
            <w:vAlign w:val="center"/>
          </w:tcPr>
          <w:p w14:paraId="25133AD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w:t>
            </w:r>
          </w:p>
        </w:tc>
        <w:tc>
          <w:tcPr>
            <w:tcW w:w="1122" w:type="dxa"/>
            <w:vAlign w:val="center"/>
          </w:tcPr>
          <w:p w14:paraId="6A55F97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124" w:type="dxa"/>
            <w:vAlign w:val="center"/>
          </w:tcPr>
          <w:p w14:paraId="0B8E6AE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袋装</w:t>
            </w:r>
          </w:p>
        </w:tc>
        <w:tc>
          <w:tcPr>
            <w:tcW w:w="2961" w:type="dxa"/>
            <w:vAlign w:val="center"/>
          </w:tcPr>
          <w:p w14:paraId="6471F79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由集团饲料厂提供</w:t>
            </w:r>
          </w:p>
        </w:tc>
      </w:tr>
      <w:tr w14:paraId="2864B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61" w:type="dxa"/>
            <w:vAlign w:val="center"/>
          </w:tcPr>
          <w:p w14:paraId="4C013C1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消毒剂</w:t>
            </w:r>
          </w:p>
        </w:tc>
        <w:tc>
          <w:tcPr>
            <w:tcW w:w="915" w:type="dxa"/>
            <w:vAlign w:val="center"/>
          </w:tcPr>
          <w:p w14:paraId="1D69DEF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307" w:type="dxa"/>
            <w:vAlign w:val="center"/>
          </w:tcPr>
          <w:p w14:paraId="747582E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4.6</w:t>
            </w:r>
          </w:p>
        </w:tc>
        <w:tc>
          <w:tcPr>
            <w:tcW w:w="1122" w:type="dxa"/>
            <w:vAlign w:val="center"/>
          </w:tcPr>
          <w:p w14:paraId="4603869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1124" w:type="dxa"/>
            <w:vAlign w:val="center"/>
          </w:tcPr>
          <w:p w14:paraId="099B051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桶装</w:t>
            </w:r>
          </w:p>
        </w:tc>
        <w:tc>
          <w:tcPr>
            <w:tcW w:w="2961" w:type="dxa"/>
            <w:vAlign w:val="center"/>
          </w:tcPr>
          <w:p w14:paraId="18DE922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烧碱、卫可、疫灭佳</w:t>
            </w:r>
          </w:p>
        </w:tc>
      </w:tr>
      <w:tr w14:paraId="137B0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61" w:type="dxa"/>
            <w:vAlign w:val="center"/>
          </w:tcPr>
          <w:p w14:paraId="098FEA6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生物除臭剂</w:t>
            </w:r>
          </w:p>
        </w:tc>
        <w:tc>
          <w:tcPr>
            <w:tcW w:w="915" w:type="dxa"/>
            <w:vAlign w:val="center"/>
          </w:tcPr>
          <w:p w14:paraId="3CAA1DA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307" w:type="dxa"/>
            <w:vAlign w:val="center"/>
          </w:tcPr>
          <w:p w14:paraId="7202892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1122" w:type="dxa"/>
            <w:vAlign w:val="center"/>
          </w:tcPr>
          <w:p w14:paraId="660F62F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w:t>
            </w:r>
          </w:p>
        </w:tc>
        <w:tc>
          <w:tcPr>
            <w:tcW w:w="1124" w:type="dxa"/>
            <w:vAlign w:val="center"/>
          </w:tcPr>
          <w:p w14:paraId="07B7B86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桶装</w:t>
            </w:r>
          </w:p>
        </w:tc>
        <w:tc>
          <w:tcPr>
            <w:tcW w:w="2961" w:type="dxa"/>
            <w:vAlign w:val="center"/>
          </w:tcPr>
          <w:p w14:paraId="5E979F8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外购，包含光合菌、酵母菌、乳酸菌等多种有益微生物菌群和生物活性酶等，用于猪舍、粪污区喷洒除臭</w:t>
            </w:r>
          </w:p>
        </w:tc>
      </w:tr>
      <w:tr w14:paraId="5E563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 w:hRule="atLeast"/>
          <w:jc w:val="center"/>
        </w:trPr>
        <w:tc>
          <w:tcPr>
            <w:tcW w:w="1361" w:type="dxa"/>
            <w:vAlign w:val="center"/>
          </w:tcPr>
          <w:p w14:paraId="220B5D8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生石灰</w:t>
            </w:r>
          </w:p>
        </w:tc>
        <w:tc>
          <w:tcPr>
            <w:tcW w:w="915" w:type="dxa"/>
            <w:vAlign w:val="center"/>
          </w:tcPr>
          <w:p w14:paraId="2AE5F9C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307" w:type="dxa"/>
            <w:vAlign w:val="center"/>
          </w:tcPr>
          <w:p w14:paraId="13669D0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122" w:type="dxa"/>
            <w:vAlign w:val="center"/>
          </w:tcPr>
          <w:p w14:paraId="4A8F03B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124" w:type="dxa"/>
            <w:vAlign w:val="center"/>
          </w:tcPr>
          <w:p w14:paraId="3D2DF2A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袋装</w:t>
            </w:r>
          </w:p>
        </w:tc>
        <w:tc>
          <w:tcPr>
            <w:tcW w:w="2961" w:type="dxa"/>
            <w:vAlign w:val="center"/>
          </w:tcPr>
          <w:p w14:paraId="1596050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碱类消毒剂，外购</w:t>
            </w:r>
          </w:p>
        </w:tc>
      </w:tr>
      <w:tr w14:paraId="48CEC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 w:hRule="atLeast"/>
          <w:jc w:val="center"/>
        </w:trPr>
        <w:tc>
          <w:tcPr>
            <w:tcW w:w="1361" w:type="dxa"/>
            <w:vAlign w:val="center"/>
          </w:tcPr>
          <w:p w14:paraId="61F44555">
            <w:pPr>
              <w:adjustRightIn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烧碱（NaOH）</w:t>
            </w:r>
          </w:p>
        </w:tc>
        <w:tc>
          <w:tcPr>
            <w:tcW w:w="915" w:type="dxa"/>
            <w:vAlign w:val="center"/>
          </w:tcPr>
          <w:p w14:paraId="570658B3">
            <w:pPr>
              <w:adjustRightIn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307" w:type="dxa"/>
            <w:vAlign w:val="center"/>
          </w:tcPr>
          <w:p w14:paraId="6EF11827">
            <w:pPr>
              <w:adjustRightIn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w:t>
            </w:r>
          </w:p>
        </w:tc>
        <w:tc>
          <w:tcPr>
            <w:tcW w:w="1122" w:type="dxa"/>
            <w:vAlign w:val="center"/>
          </w:tcPr>
          <w:p w14:paraId="58A77DB0">
            <w:pPr>
              <w:adjustRightInd w:val="0"/>
              <w:spacing w:line="240"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0.1</w:t>
            </w:r>
          </w:p>
        </w:tc>
        <w:tc>
          <w:tcPr>
            <w:tcW w:w="1124" w:type="dxa"/>
            <w:vAlign w:val="center"/>
          </w:tcPr>
          <w:p w14:paraId="74DB7BE1">
            <w:pPr>
              <w:adjustRightInd w:val="0"/>
              <w:spacing w:line="240" w:lineRule="auto"/>
              <w:jc w:val="center"/>
              <w:rPr>
                <w:rFonts w:hint="default" w:ascii="Times New Roman" w:hAnsi="Times New Roman" w:cs="Times New Roman"/>
                <w:bCs/>
                <w:color w:val="auto"/>
                <w:sz w:val="18"/>
                <w:szCs w:val="18"/>
                <w:lang w:bidi="zh-CN"/>
              </w:rPr>
            </w:pPr>
            <w:r>
              <w:rPr>
                <w:rFonts w:hint="default" w:ascii="Times New Roman" w:hAnsi="Times New Roman" w:cs="Times New Roman"/>
                <w:bCs/>
                <w:color w:val="auto"/>
                <w:sz w:val="18"/>
                <w:szCs w:val="18"/>
                <w:lang w:bidi="zh-CN"/>
              </w:rPr>
              <w:t>袋装</w:t>
            </w:r>
          </w:p>
        </w:tc>
        <w:tc>
          <w:tcPr>
            <w:tcW w:w="2961" w:type="dxa"/>
            <w:vAlign w:val="center"/>
          </w:tcPr>
          <w:p w14:paraId="052A7E62">
            <w:pPr>
              <w:adjustRightInd w:val="0"/>
              <w:spacing w:line="240" w:lineRule="auto"/>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外购，用于进场车辆消毒</w:t>
            </w:r>
          </w:p>
        </w:tc>
      </w:tr>
      <w:tr w14:paraId="202AA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61" w:type="dxa"/>
            <w:vAlign w:val="center"/>
          </w:tcPr>
          <w:p w14:paraId="03784FB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疫苗</w:t>
            </w:r>
          </w:p>
        </w:tc>
        <w:tc>
          <w:tcPr>
            <w:tcW w:w="915" w:type="dxa"/>
            <w:vAlign w:val="center"/>
          </w:tcPr>
          <w:p w14:paraId="2284E03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307" w:type="dxa"/>
            <w:vAlign w:val="center"/>
          </w:tcPr>
          <w:p w14:paraId="6AB9A13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0.08</w:t>
            </w:r>
          </w:p>
        </w:tc>
        <w:tc>
          <w:tcPr>
            <w:tcW w:w="1122" w:type="dxa"/>
            <w:vAlign w:val="center"/>
          </w:tcPr>
          <w:p w14:paraId="57FF820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0.02</w:t>
            </w:r>
          </w:p>
        </w:tc>
        <w:tc>
          <w:tcPr>
            <w:tcW w:w="1124" w:type="dxa"/>
            <w:vAlign w:val="center"/>
          </w:tcPr>
          <w:p w14:paraId="724AD7C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盒装</w:t>
            </w:r>
          </w:p>
        </w:tc>
        <w:tc>
          <w:tcPr>
            <w:tcW w:w="2961" w:type="dxa"/>
            <w:vAlign w:val="center"/>
          </w:tcPr>
          <w:p w14:paraId="0E685C9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外购，猪霍乱沙门氏C500弱毒菌株活疫苗、猪瘟弱毒冻干疫苗、猪链球菌弱毒株冻干活疫苗、猪瘟疫苗等</w:t>
            </w:r>
          </w:p>
        </w:tc>
      </w:tr>
      <w:tr w14:paraId="5C5C7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7" w:hRule="atLeast"/>
          <w:jc w:val="center"/>
        </w:trPr>
        <w:tc>
          <w:tcPr>
            <w:tcW w:w="1361" w:type="dxa"/>
            <w:vAlign w:val="center"/>
          </w:tcPr>
          <w:p w14:paraId="0DF7C751">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rPr>
              <w:t>木糠</w:t>
            </w:r>
          </w:p>
        </w:tc>
        <w:tc>
          <w:tcPr>
            <w:tcW w:w="915" w:type="dxa"/>
            <w:vAlign w:val="center"/>
          </w:tcPr>
          <w:p w14:paraId="0DE4B03F">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bidi="zh-CN"/>
              </w:rPr>
              <w:t>t/a</w:t>
            </w:r>
          </w:p>
        </w:tc>
        <w:tc>
          <w:tcPr>
            <w:tcW w:w="1307" w:type="dxa"/>
            <w:vAlign w:val="center"/>
          </w:tcPr>
          <w:p w14:paraId="5EC58282">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bidi="zh-CN"/>
              </w:rPr>
              <w:t>40</w:t>
            </w:r>
          </w:p>
        </w:tc>
        <w:tc>
          <w:tcPr>
            <w:tcW w:w="1122" w:type="dxa"/>
            <w:vAlign w:val="center"/>
          </w:tcPr>
          <w:p w14:paraId="0449223C">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highlight w:val="none"/>
                <w:lang w:bidi="zh-CN"/>
              </w:rPr>
              <w:t>6</w:t>
            </w:r>
          </w:p>
        </w:tc>
        <w:tc>
          <w:tcPr>
            <w:tcW w:w="1124" w:type="dxa"/>
            <w:vAlign w:val="center"/>
          </w:tcPr>
          <w:p w14:paraId="508D24D0">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highlight w:val="none"/>
                <w:lang w:bidi="zh-CN"/>
              </w:rPr>
              <w:t>袋装</w:t>
            </w:r>
          </w:p>
        </w:tc>
        <w:tc>
          <w:tcPr>
            <w:tcW w:w="2961" w:type="dxa"/>
            <w:vAlign w:val="center"/>
          </w:tcPr>
          <w:p w14:paraId="2F09472C">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highlight w:val="none"/>
                <w:lang w:bidi="zh-CN"/>
              </w:rPr>
              <w:t>用于粪便堆肥发酵</w:t>
            </w:r>
          </w:p>
        </w:tc>
      </w:tr>
      <w:tr w14:paraId="185E5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7" w:hRule="atLeast"/>
          <w:jc w:val="center"/>
        </w:trPr>
        <w:tc>
          <w:tcPr>
            <w:tcW w:w="1361" w:type="dxa"/>
            <w:vAlign w:val="center"/>
          </w:tcPr>
          <w:p w14:paraId="7943F367">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eastAsia="zh-CN"/>
              </w:rPr>
              <w:t>快速发酵菌</w:t>
            </w:r>
          </w:p>
        </w:tc>
        <w:tc>
          <w:tcPr>
            <w:tcW w:w="915" w:type="dxa"/>
            <w:vAlign w:val="center"/>
          </w:tcPr>
          <w:p w14:paraId="09588B38">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bidi="zh-CN"/>
              </w:rPr>
              <w:t>t/a</w:t>
            </w:r>
          </w:p>
        </w:tc>
        <w:tc>
          <w:tcPr>
            <w:tcW w:w="1307" w:type="dxa"/>
            <w:vAlign w:val="center"/>
          </w:tcPr>
          <w:p w14:paraId="188200FB">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val="en-US" w:bidi="zh-CN"/>
              </w:rPr>
              <w:t>0.7</w:t>
            </w:r>
          </w:p>
        </w:tc>
        <w:tc>
          <w:tcPr>
            <w:tcW w:w="1122" w:type="dxa"/>
            <w:vAlign w:val="center"/>
          </w:tcPr>
          <w:p w14:paraId="6EC67A98">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highlight w:val="none"/>
                <w:lang w:bidi="zh-CN"/>
              </w:rPr>
              <w:t>0.25</w:t>
            </w:r>
          </w:p>
        </w:tc>
        <w:tc>
          <w:tcPr>
            <w:tcW w:w="1124" w:type="dxa"/>
            <w:vAlign w:val="center"/>
          </w:tcPr>
          <w:p w14:paraId="017E6316">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highlight w:val="none"/>
                <w:lang w:bidi="zh-CN"/>
              </w:rPr>
              <w:t>袋装</w:t>
            </w:r>
          </w:p>
        </w:tc>
        <w:tc>
          <w:tcPr>
            <w:tcW w:w="2961" w:type="dxa"/>
            <w:vAlign w:val="center"/>
          </w:tcPr>
          <w:p w14:paraId="0E18B9F3">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highlight w:val="none"/>
                <w:lang w:bidi="zh-CN"/>
              </w:rPr>
              <w:t>用于粪便堆肥发酵</w:t>
            </w:r>
          </w:p>
        </w:tc>
      </w:tr>
      <w:tr w14:paraId="333F0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7" w:hRule="atLeast"/>
          <w:jc w:val="center"/>
        </w:trPr>
        <w:tc>
          <w:tcPr>
            <w:tcW w:w="1361" w:type="dxa"/>
            <w:vAlign w:val="center"/>
          </w:tcPr>
          <w:p w14:paraId="5267833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R22制冷剂</w:t>
            </w:r>
          </w:p>
        </w:tc>
        <w:tc>
          <w:tcPr>
            <w:tcW w:w="915" w:type="dxa"/>
            <w:vAlign w:val="center"/>
          </w:tcPr>
          <w:p w14:paraId="4BDF1D7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307" w:type="dxa"/>
            <w:vAlign w:val="center"/>
          </w:tcPr>
          <w:p w14:paraId="060667A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1122" w:type="dxa"/>
            <w:vAlign w:val="center"/>
          </w:tcPr>
          <w:p w14:paraId="67C2680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1124" w:type="dxa"/>
            <w:vAlign w:val="center"/>
          </w:tcPr>
          <w:p w14:paraId="459C186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冷库制冷系统</w:t>
            </w:r>
          </w:p>
        </w:tc>
        <w:tc>
          <w:tcPr>
            <w:tcW w:w="2961" w:type="dxa"/>
            <w:vAlign w:val="center"/>
          </w:tcPr>
          <w:p w14:paraId="76CFB5E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11052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61" w:type="dxa"/>
            <w:vAlign w:val="center"/>
          </w:tcPr>
          <w:p w14:paraId="3988E6E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w:t>
            </w:r>
          </w:p>
        </w:tc>
        <w:tc>
          <w:tcPr>
            <w:tcW w:w="915" w:type="dxa"/>
            <w:vAlign w:val="center"/>
          </w:tcPr>
          <w:p w14:paraId="5B4D306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/a</w:t>
            </w:r>
          </w:p>
        </w:tc>
        <w:tc>
          <w:tcPr>
            <w:tcW w:w="1307" w:type="dxa"/>
            <w:vAlign w:val="center"/>
          </w:tcPr>
          <w:p w14:paraId="4FA58F71">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15305.14</w:t>
            </w:r>
          </w:p>
        </w:tc>
        <w:tc>
          <w:tcPr>
            <w:tcW w:w="1122" w:type="dxa"/>
            <w:vAlign w:val="center"/>
          </w:tcPr>
          <w:p w14:paraId="425D89F8">
            <w:pPr>
              <w:spacing w:line="240" w:lineRule="auto"/>
              <w:jc w:val="center"/>
              <w:rPr>
                <w:rFonts w:hint="default" w:ascii="Times New Roman" w:hAnsi="Times New Roman" w:cs="Times New Roman"/>
                <w:color w:val="auto"/>
                <w:sz w:val="18"/>
                <w:szCs w:val="18"/>
              </w:rPr>
            </w:pPr>
          </w:p>
        </w:tc>
        <w:tc>
          <w:tcPr>
            <w:tcW w:w="1124" w:type="dxa"/>
            <w:vAlign w:val="center"/>
          </w:tcPr>
          <w:p w14:paraId="7EC6F152">
            <w:pPr>
              <w:spacing w:line="240" w:lineRule="auto"/>
              <w:jc w:val="center"/>
              <w:rPr>
                <w:rFonts w:hint="default" w:ascii="Times New Roman" w:hAnsi="Times New Roman" w:cs="Times New Roman"/>
                <w:color w:val="auto"/>
                <w:sz w:val="18"/>
                <w:szCs w:val="18"/>
              </w:rPr>
            </w:pPr>
          </w:p>
        </w:tc>
        <w:tc>
          <w:tcPr>
            <w:tcW w:w="2961" w:type="dxa"/>
            <w:vAlign w:val="center"/>
          </w:tcPr>
          <w:p w14:paraId="39E947D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地下水供给</w:t>
            </w:r>
          </w:p>
        </w:tc>
      </w:tr>
      <w:tr w14:paraId="74995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61" w:type="dxa"/>
            <w:vAlign w:val="center"/>
          </w:tcPr>
          <w:p w14:paraId="3928353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w:t>
            </w:r>
          </w:p>
        </w:tc>
        <w:tc>
          <w:tcPr>
            <w:tcW w:w="915" w:type="dxa"/>
            <w:vAlign w:val="center"/>
          </w:tcPr>
          <w:p w14:paraId="02CB9D2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万kW.h/a</w:t>
            </w:r>
          </w:p>
        </w:tc>
        <w:tc>
          <w:tcPr>
            <w:tcW w:w="1307" w:type="dxa"/>
            <w:vAlign w:val="center"/>
          </w:tcPr>
          <w:p w14:paraId="2842DC4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7.1</w:t>
            </w:r>
          </w:p>
        </w:tc>
        <w:tc>
          <w:tcPr>
            <w:tcW w:w="1122" w:type="dxa"/>
            <w:vAlign w:val="center"/>
          </w:tcPr>
          <w:p w14:paraId="14BA7B8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124" w:type="dxa"/>
            <w:vAlign w:val="center"/>
          </w:tcPr>
          <w:p w14:paraId="5227FCEC">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2961" w:type="dxa"/>
            <w:vAlign w:val="center"/>
          </w:tcPr>
          <w:p w14:paraId="066A1E3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市政电网供给</w:t>
            </w:r>
          </w:p>
        </w:tc>
      </w:tr>
      <w:tr w14:paraId="35CC4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61" w:type="dxa"/>
            <w:vAlign w:val="center"/>
          </w:tcPr>
          <w:p w14:paraId="38E8A03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柴油</w:t>
            </w:r>
          </w:p>
        </w:tc>
        <w:tc>
          <w:tcPr>
            <w:tcW w:w="915" w:type="dxa"/>
            <w:vAlign w:val="center"/>
          </w:tcPr>
          <w:p w14:paraId="06E7562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307" w:type="dxa"/>
            <w:vAlign w:val="center"/>
          </w:tcPr>
          <w:p w14:paraId="41619F7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w:t>
            </w:r>
          </w:p>
        </w:tc>
        <w:tc>
          <w:tcPr>
            <w:tcW w:w="1122" w:type="dxa"/>
            <w:vAlign w:val="center"/>
          </w:tcPr>
          <w:p w14:paraId="1EA98E55">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0.03</w:t>
            </w:r>
          </w:p>
        </w:tc>
        <w:tc>
          <w:tcPr>
            <w:tcW w:w="1124" w:type="dxa"/>
            <w:vAlign w:val="center"/>
          </w:tcPr>
          <w:p w14:paraId="6AAB3C54">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highlight w:val="none"/>
                <w:lang w:bidi="zh-CN"/>
              </w:rPr>
              <w:t>备用柴油发电机油箱暂存</w:t>
            </w:r>
          </w:p>
        </w:tc>
        <w:tc>
          <w:tcPr>
            <w:tcW w:w="2961" w:type="dxa"/>
            <w:vAlign w:val="center"/>
          </w:tcPr>
          <w:p w14:paraId="4A166064">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highlight w:val="none"/>
                <w:lang w:bidi="zh-CN"/>
              </w:rPr>
              <w:t>设备自带</w:t>
            </w:r>
          </w:p>
        </w:tc>
      </w:tr>
      <w:tr w14:paraId="0D4F4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61" w:type="dxa"/>
            <w:vAlign w:val="center"/>
          </w:tcPr>
          <w:p w14:paraId="06BD9F34">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天然气</w:t>
            </w:r>
          </w:p>
        </w:tc>
        <w:tc>
          <w:tcPr>
            <w:tcW w:w="915" w:type="dxa"/>
            <w:vAlign w:val="center"/>
          </w:tcPr>
          <w:p w14:paraId="5B16B6D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en-US"/>
              </w:rPr>
              <w:t>m</w:t>
            </w:r>
            <w:r>
              <w:rPr>
                <w:rFonts w:hint="default" w:ascii="Times New Roman" w:hAnsi="Times New Roman" w:cs="Times New Roman"/>
                <w:color w:val="auto"/>
                <w:kern w:val="0"/>
                <w:sz w:val="18"/>
                <w:szCs w:val="18"/>
                <w:vertAlign w:val="superscript"/>
                <w:lang w:bidi="en-US"/>
              </w:rPr>
              <w:t>3</w:t>
            </w:r>
            <w:r>
              <w:rPr>
                <w:rFonts w:hint="default" w:ascii="Times New Roman" w:hAnsi="Times New Roman" w:cs="Times New Roman"/>
                <w:color w:val="auto"/>
                <w:kern w:val="0"/>
                <w:sz w:val="18"/>
                <w:szCs w:val="18"/>
                <w:lang w:bidi="en-US"/>
              </w:rPr>
              <w:t>/a</w:t>
            </w:r>
          </w:p>
        </w:tc>
        <w:tc>
          <w:tcPr>
            <w:tcW w:w="1307" w:type="dxa"/>
            <w:vAlign w:val="center"/>
          </w:tcPr>
          <w:p w14:paraId="2B45F53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val="en-US" w:eastAsia="zh-CN" w:bidi="en-US"/>
              </w:rPr>
              <w:t>765.5</w:t>
            </w:r>
          </w:p>
        </w:tc>
        <w:tc>
          <w:tcPr>
            <w:tcW w:w="1122" w:type="dxa"/>
            <w:vAlign w:val="center"/>
          </w:tcPr>
          <w:p w14:paraId="643C917A">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124" w:type="dxa"/>
            <w:vAlign w:val="center"/>
          </w:tcPr>
          <w:p w14:paraId="37B71A53">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2961" w:type="dxa"/>
            <w:vAlign w:val="center"/>
          </w:tcPr>
          <w:p w14:paraId="27B40F2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市政</w:t>
            </w:r>
            <w:r>
              <w:rPr>
                <w:rFonts w:hint="default" w:ascii="Times New Roman" w:hAnsi="Times New Roman" w:cs="Times New Roman"/>
                <w:color w:val="auto"/>
                <w:sz w:val="18"/>
                <w:szCs w:val="18"/>
                <w:lang w:val="en-US" w:eastAsia="zh-CN"/>
              </w:rPr>
              <w:t>天然气管网</w:t>
            </w:r>
            <w:r>
              <w:rPr>
                <w:rFonts w:hint="default" w:ascii="Times New Roman" w:hAnsi="Times New Roman" w:cs="Times New Roman"/>
                <w:color w:val="auto"/>
                <w:sz w:val="18"/>
                <w:szCs w:val="18"/>
              </w:rPr>
              <w:t>供给</w:t>
            </w:r>
          </w:p>
        </w:tc>
      </w:tr>
    </w:tbl>
    <w:p w14:paraId="5D978EDF">
      <w:pPr>
        <w:adjustRightInd w:val="0"/>
        <w:snapToGrid w:val="0"/>
        <w:spacing w:before="120" w:beforeLines="5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原辅料主要理化性质及危险特性见表2</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w:t>
      </w:r>
    </w:p>
    <w:p w14:paraId="511A254B">
      <w:pPr>
        <w:adjustRightInd w:val="0"/>
        <w:snapToGrid w:val="0"/>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表2.</w:t>
      </w:r>
      <w:r>
        <w:rPr>
          <w:rFonts w:hint="default" w:ascii="Times New Roman" w:hAnsi="Times New Roman" w:cs="Times New Roman"/>
          <w:b/>
          <w:bCs/>
          <w:color w:val="auto"/>
          <w:sz w:val="21"/>
          <w:szCs w:val="21"/>
          <w:lang w:val="en-US" w:eastAsia="zh-CN"/>
        </w:rPr>
        <w:t>1</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6</w:t>
      </w:r>
      <w:r>
        <w:rPr>
          <w:rFonts w:hint="default" w:ascii="Times New Roman" w:hAnsi="Times New Roman" w:cs="Times New Roman"/>
          <w:b/>
          <w:bCs/>
          <w:color w:val="auto"/>
          <w:sz w:val="21"/>
          <w:szCs w:val="21"/>
        </w:rPr>
        <w:t xml:space="preserve">  原辅料主要理化性质及危险特性</w:t>
      </w:r>
    </w:p>
    <w:tbl>
      <w:tblPr>
        <w:tblStyle w:val="23"/>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3827"/>
        <w:gridCol w:w="3606"/>
      </w:tblGrid>
      <w:tr w14:paraId="376D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top"/>
          </w:tcPr>
          <w:p w14:paraId="16D76AC1">
            <w:pPr>
              <w:adjustRightInd w:val="0"/>
              <w:snapToGrid w:val="0"/>
              <w:spacing w:line="240" w:lineRule="auto"/>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名称</w:t>
            </w:r>
          </w:p>
        </w:tc>
        <w:tc>
          <w:tcPr>
            <w:tcW w:w="3827" w:type="dxa"/>
            <w:vAlign w:val="top"/>
          </w:tcPr>
          <w:p w14:paraId="44118927">
            <w:pPr>
              <w:adjustRightInd w:val="0"/>
              <w:snapToGrid w:val="0"/>
              <w:spacing w:line="240" w:lineRule="auto"/>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理化性质</w:t>
            </w:r>
          </w:p>
        </w:tc>
        <w:tc>
          <w:tcPr>
            <w:tcW w:w="3606" w:type="dxa"/>
            <w:vAlign w:val="top"/>
          </w:tcPr>
          <w:p w14:paraId="0C065EA6">
            <w:pPr>
              <w:adjustRightInd w:val="0"/>
              <w:snapToGrid w:val="0"/>
              <w:spacing w:line="240" w:lineRule="auto"/>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危险特性</w:t>
            </w:r>
          </w:p>
        </w:tc>
      </w:tr>
      <w:tr w14:paraId="61C8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C7985A4">
            <w:pPr>
              <w:adjustRightInd w:val="0"/>
              <w:snapToGrid w:val="0"/>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rPr>
              <w:t>R22制冷剂</w:t>
            </w:r>
          </w:p>
        </w:tc>
        <w:tc>
          <w:tcPr>
            <w:tcW w:w="3827" w:type="dxa"/>
            <w:vAlign w:val="center"/>
          </w:tcPr>
          <w:p w14:paraId="5A9E5DB9">
            <w:pPr>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物化性质：R22(Freon22，二氟一氯甲烷Chlorodifuoromethane)，分子式CHCIF</w:t>
            </w:r>
            <w:r>
              <w:rPr>
                <w:rFonts w:hint="default" w:ascii="Times New Roman" w:hAnsi="Times New Roman" w:eastAsia="宋体" w:cs="Times New Roman"/>
                <w:color w:val="auto"/>
                <w:sz w:val="18"/>
                <w:szCs w:val="18"/>
                <w:vertAlign w:val="subscript"/>
              </w:rPr>
              <w:t>2</w:t>
            </w:r>
            <w:r>
              <w:rPr>
                <w:rFonts w:hint="default" w:ascii="Times New Roman" w:hAnsi="Times New Roman" w:eastAsia="宋体" w:cs="Times New Roman"/>
                <w:color w:val="auto"/>
                <w:sz w:val="18"/>
                <w:szCs w:val="18"/>
              </w:rPr>
              <w:t>，分子量86.47。R-22在常温下为无色，近似无味的气体，不燃烧、无腐蚀、毒性极微，加压可液化为无色透明的液体，为HCFC型制冷剂。R-22的化学稳定性和热稳定性均很高，特别是在没有水分存在的情况下，在200摄氏度以下与一般金属不起反应。在水存在时仅与碱缓慢起作用。但是在高温下会发生裂解。</w:t>
            </w:r>
          </w:p>
        </w:tc>
        <w:tc>
          <w:tcPr>
            <w:tcW w:w="3606" w:type="dxa"/>
            <w:vAlign w:val="center"/>
          </w:tcPr>
          <w:p w14:paraId="0E71FB9A">
            <w:pPr>
              <w:adjustRightInd w:val="0"/>
              <w:snapToGrid w:val="0"/>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具有一定的毒性，长期接触或吸入R22会对人体造成伤害，如头痛、头晕、恶心、呕吐等。</w:t>
            </w:r>
          </w:p>
        </w:tc>
      </w:tr>
      <w:tr w14:paraId="1D31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E6152A7">
            <w:pPr>
              <w:adjustRightInd w:val="0"/>
              <w:snapToGri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bCs/>
                <w:color w:val="auto"/>
                <w:sz w:val="18"/>
                <w:szCs w:val="18"/>
              </w:rPr>
              <w:t>烧碱（消毒剂）</w:t>
            </w:r>
          </w:p>
        </w:tc>
        <w:tc>
          <w:tcPr>
            <w:tcW w:w="3827" w:type="dxa"/>
            <w:vAlign w:val="center"/>
          </w:tcPr>
          <w:p w14:paraId="6A0D0A54">
            <w:pPr>
              <w:adjustRightInd w:val="0"/>
              <w:snapToGrid w:val="0"/>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氢氧化钠(又称苛性钠、烧碱或火碱)：化学式NaOH，碱类消毒剂，粗制品为白色不透明固体，有块、片、粒、棒等形状；成溶液状态的俗称液碱，主要用于场地、栏舍等消毒。2--4%溶液可杀死病毒和繁殖型细菌，30%溶液10分钟可杀死芽孢，4%溶液45分钟杀死芽孢，如加入10%食盐能增强杀芽孢能力。实践中常以2%的溶液用于消毒，消毒1-2小时后，用清水冲洗干净。</w:t>
            </w:r>
          </w:p>
        </w:tc>
        <w:tc>
          <w:tcPr>
            <w:tcW w:w="3606" w:type="dxa"/>
            <w:vAlign w:val="center"/>
          </w:tcPr>
          <w:p w14:paraId="005B19C1">
            <w:pPr>
              <w:adjustRightInd w:val="0"/>
              <w:snapToGrid w:val="0"/>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烧碱带有的杂质残渣通常有铁、氧化钠、硅酸盐材料、碳酸盐等，属中等水平致毒性。危险特性为遇水后和水蒸气大量的放热，出现腐蚀性水溶液；与酸出现中和反应并放热，具备强腐蚀性；燃烧转化生成物有可能出现有毒的致毒性浓烟。</w:t>
            </w:r>
          </w:p>
        </w:tc>
      </w:tr>
      <w:tr w14:paraId="7246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FF0B661">
            <w:pPr>
              <w:adjustRightInd w:val="0"/>
              <w:snapToGri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卫可（消毒剂）</w:t>
            </w:r>
          </w:p>
        </w:tc>
        <w:tc>
          <w:tcPr>
            <w:tcW w:w="3827" w:type="dxa"/>
            <w:vAlign w:val="center"/>
          </w:tcPr>
          <w:p w14:paraId="017C9C3A">
            <w:pPr>
              <w:adjustRightInd w:val="0"/>
              <w:snapToGrid w:val="0"/>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卫可消毒剂的主要成分是过硫酸氢钾复合盐，气味是淡柠檬味，可对细菌、病毒具有穿透性杀灭作用，直接进入病原微生物内部，破坏细胞核及遗传物质，迅速杀灭病原体，不会因长期使用而产生耐药性，无需定期更换消毒剂。</w:t>
            </w:r>
          </w:p>
        </w:tc>
        <w:tc>
          <w:tcPr>
            <w:tcW w:w="3606" w:type="dxa"/>
            <w:vAlign w:val="center"/>
          </w:tcPr>
          <w:p w14:paraId="7B2F1753">
            <w:pPr>
              <w:adjustRightInd w:val="0"/>
              <w:snapToGrid w:val="0"/>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对人类毒性极低，主要是对人类及动物有影响细菌，霉菌等具有杀灭作用，对人类基本上没有影响。</w:t>
            </w:r>
          </w:p>
        </w:tc>
      </w:tr>
      <w:tr w14:paraId="7CF6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77B7F84A">
            <w:pPr>
              <w:adjustRightInd w:val="0"/>
              <w:snapToGrid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rPr>
              <w:t>疫灭佳（</w:t>
            </w:r>
            <w:r>
              <w:rPr>
                <w:rFonts w:hint="default" w:ascii="Times New Roman" w:hAnsi="Times New Roman" w:eastAsia="宋体" w:cs="Times New Roman"/>
                <w:color w:val="auto"/>
                <w:sz w:val="18"/>
                <w:szCs w:val="18"/>
              </w:rPr>
              <w:t>消毒剂</w:t>
            </w:r>
            <w:r>
              <w:rPr>
                <w:rFonts w:hint="default" w:ascii="Times New Roman" w:hAnsi="Times New Roman" w:eastAsia="宋体" w:cs="Times New Roman"/>
                <w:color w:val="auto"/>
                <w:kern w:val="0"/>
                <w:sz w:val="18"/>
                <w:szCs w:val="18"/>
              </w:rPr>
              <w:t>）</w:t>
            </w:r>
          </w:p>
        </w:tc>
        <w:tc>
          <w:tcPr>
            <w:tcW w:w="3827" w:type="dxa"/>
            <w:vAlign w:val="center"/>
          </w:tcPr>
          <w:p w14:paraId="0F26B5A8">
            <w:pPr>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zh-CN"/>
              </w:rPr>
              <w:t>主要成分：戊二醛、邻苯二甲醛、季铵盐等。为无色至微黄色的澄清液体；有特臭。</w:t>
            </w:r>
            <w:r>
              <w:rPr>
                <w:rFonts w:hint="default" w:ascii="Times New Roman" w:hAnsi="Times New Roman" w:eastAsia="宋体" w:cs="Times New Roman"/>
                <w:color w:val="auto"/>
                <w:sz w:val="18"/>
                <w:szCs w:val="18"/>
              </w:rPr>
              <w:t>为</w:t>
            </w:r>
            <w:r>
              <w:rPr>
                <w:rFonts w:hint="default" w:ascii="Times New Roman" w:hAnsi="Times New Roman" w:eastAsia="宋体" w:cs="Times New Roman"/>
                <w:color w:val="auto"/>
                <w:sz w:val="18"/>
                <w:szCs w:val="18"/>
                <w:lang w:val="zh-CN"/>
              </w:rPr>
              <w:t>复方消毒剂，具有广谱和的消毒作用，其消毒能力比甲醛强5～10倍，比戊二醛、季铵盐强6-8倍，消毒有效时间比其它消毒药长3-5倍。能迅速杀灭口蹄疫病毒、猪瘟病毒、禽流感病毒、鸡新城疫病毒、大肠杆菌、沙门氏菌等病毒、细菌繁殖体、结核分枝杆菌和真菌，尤其对芽孢、球虫虫卵有迅速穿透与杀灭作用。</w:t>
            </w:r>
          </w:p>
        </w:tc>
        <w:tc>
          <w:tcPr>
            <w:tcW w:w="3606" w:type="dxa"/>
            <w:vAlign w:val="center"/>
          </w:tcPr>
          <w:p w14:paraId="12BC2247">
            <w:pPr>
              <w:adjustRightInd w:val="0"/>
              <w:snapToGrid w:val="0"/>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zh-CN"/>
              </w:rPr>
              <w:t>消毒液具有一定的毒性，当消毒液浓度太高时，会对皮肤黏膜产生刺激，甚至会灼伤皮肤，当室内消毒时，呼吸道就会受到刺激，导致支气管炎、肺炎、肺水肿等情况，还会对环境造成污染。妇女经期、孕期、产乳期、婴儿时期的衣服都不能用消毒液清洗，用消毒液洗衣服后要用清水冲洗，要把衣物浸水后用水冲洗，放在太阳下晒干。</w:t>
            </w:r>
          </w:p>
        </w:tc>
      </w:tr>
      <w:tr w14:paraId="5699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A5562F9">
            <w:pPr>
              <w:adjustRightInd w:val="0"/>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烧碱（NaOH）</w:t>
            </w:r>
          </w:p>
        </w:tc>
        <w:tc>
          <w:tcPr>
            <w:tcW w:w="3827" w:type="dxa"/>
            <w:vAlign w:val="center"/>
          </w:tcPr>
          <w:p w14:paraId="355438C4">
            <w:pPr>
              <w:spacing w:line="240" w:lineRule="auto"/>
              <w:rPr>
                <w:rFonts w:hint="default" w:ascii="Times New Roman" w:hAnsi="Times New Roman" w:eastAsia="宋体" w:cs="Times New Roman"/>
                <w:color w:val="auto"/>
                <w:sz w:val="18"/>
                <w:szCs w:val="18"/>
                <w:lang w:val="zh-CN"/>
              </w:rPr>
            </w:pPr>
            <w:r>
              <w:rPr>
                <w:rFonts w:hint="default" w:ascii="Times New Roman" w:hAnsi="Times New Roman" w:eastAsia="宋体" w:cs="Times New Roman"/>
                <w:color w:val="auto"/>
                <w:sz w:val="18"/>
                <w:szCs w:val="18"/>
              </w:rPr>
              <w:t>俗称烧碱、火碱、苛性钠，常温下是一种白色晶体，具有强腐蚀性。易溶于水，其水溶液呈强碱性，能使酚酞变红。氢氧化钠是一种极常用的碱，是化学实验室的必备药品之一。它的溶液可以用作洗涤液。有强烈的腐蚀性，有吸水性，可用作干燥剂，但是，不能干燥二氧化硫、二氧化碳、二氧化氮和氯化氢等酸性气体。且在空气中易潮解（因吸水而溶解的现象，属于物理变化）；溶于水，同时放出大量热。其熔点为318.4℃。除溶于水之外，氢氧化钠还易溶于乙醇、甘油；但不溶于乙醚、丙酮、液氨。</w:t>
            </w:r>
          </w:p>
        </w:tc>
        <w:tc>
          <w:tcPr>
            <w:tcW w:w="3606" w:type="dxa"/>
            <w:vAlign w:val="center"/>
          </w:tcPr>
          <w:p w14:paraId="5A4B3EAD">
            <w:pPr>
              <w:pStyle w:val="15"/>
              <w:spacing w:after="0" w:line="240" w:lineRule="auto"/>
              <w:ind w:left="0" w:left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健康危害：本品有强烈刺激和腐蚀性。粉尘或烟雾会刺激眼和呼吸道，腐蚀鼻中隔；皮肤和眼与NaOH直接接触会引起灼伤；误服可造成消化道灼伤，粘膜糜烂、出血和休克。</w:t>
            </w:r>
          </w:p>
          <w:p w14:paraId="70353556">
            <w:pPr>
              <w:pStyle w:val="15"/>
              <w:spacing w:after="0" w:line="240" w:lineRule="auto"/>
              <w:ind w:left="0" w:leftChars="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危险特性：本品不会燃烧，遇水和水蒸气大量放热，形成腐蚀性溶液。与酸发生中和反应并放热。具有强腐蚀性。</w:t>
            </w:r>
          </w:p>
          <w:p w14:paraId="28744B39">
            <w:pPr>
              <w:adjustRightInd w:val="0"/>
              <w:snapToGrid w:val="0"/>
              <w:spacing w:line="240" w:lineRule="auto"/>
              <w:rPr>
                <w:rFonts w:hint="default" w:ascii="Times New Roman" w:hAnsi="Times New Roman" w:eastAsia="宋体" w:cs="Times New Roman"/>
                <w:color w:val="auto"/>
                <w:sz w:val="18"/>
                <w:szCs w:val="18"/>
                <w:lang w:val="zh-CN"/>
              </w:rPr>
            </w:pPr>
          </w:p>
        </w:tc>
      </w:tr>
      <w:tr w14:paraId="35E3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19E18FA">
            <w:pPr>
              <w:adjustRightInd w:val="0"/>
              <w:snapToGrid w:val="0"/>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rPr>
              <w:t>生物除臭剂</w:t>
            </w:r>
          </w:p>
        </w:tc>
        <w:tc>
          <w:tcPr>
            <w:tcW w:w="3827" w:type="dxa"/>
            <w:vAlign w:val="center"/>
          </w:tcPr>
          <w:p w14:paraId="74C2A5A5">
            <w:pPr>
              <w:adjustRightInd w:val="0"/>
              <w:snapToGrid w:val="0"/>
              <w:spacing w:line="240" w:lineRule="auto"/>
              <w:rPr>
                <w:rFonts w:hint="default" w:ascii="Times New Roman" w:hAnsi="Times New Roman" w:eastAsia="宋体" w:cs="Times New Roman"/>
                <w:color w:val="auto"/>
                <w:sz w:val="18"/>
                <w:szCs w:val="18"/>
                <w:shd w:val="clear" w:color="auto" w:fill="FFFFFF"/>
              </w:rPr>
            </w:pPr>
            <w:r>
              <w:rPr>
                <w:rFonts w:hint="default" w:ascii="Times New Roman" w:hAnsi="Times New Roman" w:eastAsia="宋体" w:cs="Times New Roman"/>
                <w:color w:val="auto"/>
                <w:sz w:val="18"/>
                <w:szCs w:val="18"/>
                <w:shd w:val="clear" w:color="auto" w:fill="FFFFFF"/>
              </w:rPr>
              <w:t>生物除臭剂是由乳酸菌、光合菌、酵母菌、放线菌、醋酸杆菌、芽孢杆菌等复合微生物菌群经过按一定比例混合、发酵、驯化而成。</w:t>
            </w:r>
          </w:p>
          <w:p w14:paraId="65A22642">
            <w:pPr>
              <w:adjustRightInd w:val="0"/>
              <w:snapToGrid w:val="0"/>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shd w:val="clear" w:color="auto" w:fill="FFFFFF"/>
              </w:rPr>
              <w:t>生物除臭剂中有益微生物通过自身生长代谢及其代谢产物快速捕捉和吸附分解恶臭气体中的NH</w:t>
            </w:r>
            <w:r>
              <w:rPr>
                <w:rFonts w:hint="default" w:ascii="Times New Roman" w:hAnsi="Times New Roman" w:eastAsia="宋体" w:cs="Times New Roman"/>
                <w:color w:val="auto"/>
                <w:sz w:val="18"/>
                <w:szCs w:val="18"/>
                <w:shd w:val="clear" w:color="auto" w:fill="FFFFFF"/>
                <w:vertAlign w:val="subscript"/>
              </w:rPr>
              <w:t>3</w:t>
            </w:r>
            <w:r>
              <w:rPr>
                <w:rFonts w:hint="default" w:ascii="Times New Roman" w:hAnsi="Times New Roman" w:eastAsia="宋体" w:cs="Times New Roman"/>
                <w:color w:val="auto"/>
                <w:sz w:val="18"/>
                <w:szCs w:val="18"/>
                <w:shd w:val="clear" w:color="auto" w:fill="FFFFFF"/>
              </w:rPr>
              <w:t>（氨气）、H</w:t>
            </w:r>
            <w:r>
              <w:rPr>
                <w:rFonts w:hint="default" w:ascii="Times New Roman" w:hAnsi="Times New Roman" w:eastAsia="宋体" w:cs="Times New Roman"/>
                <w:color w:val="auto"/>
                <w:sz w:val="18"/>
                <w:szCs w:val="18"/>
                <w:shd w:val="clear" w:color="auto" w:fill="FFFFFF"/>
                <w:vertAlign w:val="subscript"/>
              </w:rPr>
              <w:t>2</w:t>
            </w:r>
            <w:r>
              <w:rPr>
                <w:rFonts w:hint="default" w:ascii="Times New Roman" w:hAnsi="Times New Roman" w:eastAsia="宋体" w:cs="Times New Roman"/>
                <w:color w:val="auto"/>
                <w:sz w:val="18"/>
                <w:szCs w:val="18"/>
                <w:shd w:val="clear" w:color="auto" w:fill="FFFFFF"/>
              </w:rPr>
              <w:t>S(硫化氢）、CH</w:t>
            </w:r>
            <w:r>
              <w:rPr>
                <w:rFonts w:hint="default" w:ascii="Times New Roman" w:hAnsi="Times New Roman" w:eastAsia="宋体" w:cs="Times New Roman"/>
                <w:color w:val="auto"/>
                <w:sz w:val="18"/>
                <w:szCs w:val="18"/>
                <w:shd w:val="clear" w:color="auto" w:fill="FFFFFF"/>
                <w:vertAlign w:val="subscript"/>
              </w:rPr>
              <w:t>4</w:t>
            </w:r>
            <w:r>
              <w:rPr>
                <w:rFonts w:hint="default" w:ascii="Times New Roman" w:hAnsi="Times New Roman" w:eastAsia="宋体" w:cs="Times New Roman"/>
                <w:color w:val="auto"/>
                <w:sz w:val="18"/>
                <w:szCs w:val="18"/>
                <w:shd w:val="clear" w:color="auto" w:fill="FFFFFF"/>
              </w:rPr>
              <w:t>S（甲硫醇）及其他臭味分子，将其降解为H</w:t>
            </w:r>
            <w:r>
              <w:rPr>
                <w:rFonts w:hint="default" w:ascii="Times New Roman" w:hAnsi="Times New Roman" w:eastAsia="宋体" w:cs="Times New Roman"/>
                <w:color w:val="auto"/>
                <w:sz w:val="18"/>
                <w:szCs w:val="18"/>
                <w:shd w:val="clear" w:color="auto" w:fill="FFFFFF"/>
                <w:vertAlign w:val="subscript"/>
              </w:rPr>
              <w:t>2</w:t>
            </w:r>
            <w:r>
              <w:rPr>
                <w:rFonts w:hint="default" w:ascii="Times New Roman" w:hAnsi="Times New Roman" w:eastAsia="宋体" w:cs="Times New Roman"/>
                <w:color w:val="auto"/>
                <w:sz w:val="18"/>
                <w:szCs w:val="18"/>
                <w:shd w:val="clear" w:color="auto" w:fill="FFFFFF"/>
              </w:rPr>
              <w:t>O、CO</w:t>
            </w:r>
            <w:r>
              <w:rPr>
                <w:rFonts w:hint="default" w:ascii="Times New Roman" w:hAnsi="Times New Roman" w:eastAsia="宋体" w:cs="Times New Roman"/>
                <w:color w:val="auto"/>
                <w:sz w:val="18"/>
                <w:szCs w:val="18"/>
                <w:shd w:val="clear" w:color="auto" w:fill="FFFFFF"/>
                <w:vertAlign w:val="subscript"/>
              </w:rPr>
              <w:t>2</w:t>
            </w:r>
            <w:r>
              <w:rPr>
                <w:rFonts w:hint="default" w:ascii="Times New Roman" w:hAnsi="Times New Roman" w:eastAsia="宋体" w:cs="Times New Roman"/>
                <w:color w:val="auto"/>
                <w:sz w:val="18"/>
                <w:szCs w:val="18"/>
                <w:shd w:val="clear" w:color="auto" w:fill="FFFFFF"/>
              </w:rPr>
              <w:t>等无臭无毒物质或自身生长的营养物质。</w:t>
            </w:r>
          </w:p>
        </w:tc>
        <w:tc>
          <w:tcPr>
            <w:tcW w:w="3606" w:type="dxa"/>
            <w:vAlign w:val="center"/>
          </w:tcPr>
          <w:p w14:paraId="09F5294E">
            <w:pPr>
              <w:adjustRightInd w:val="0"/>
              <w:snapToGrid w:val="0"/>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食入、眼睛接触、皮肤接触等对眼睛、呼吸道</w:t>
            </w:r>
            <w:r>
              <w:rPr>
                <w:rFonts w:hint="eastAsia" w:ascii="Times New Roman" w:hAnsi="Times New Roman" w:cs="Times New Roman"/>
                <w:color w:val="auto"/>
                <w:sz w:val="18"/>
                <w:szCs w:val="18"/>
                <w:lang w:eastAsia="zh-CN"/>
              </w:rPr>
              <w:t>和</w:t>
            </w:r>
            <w:r>
              <w:rPr>
                <w:rFonts w:hint="default" w:ascii="Times New Roman" w:hAnsi="Times New Roman" w:eastAsia="宋体" w:cs="Times New Roman"/>
                <w:color w:val="auto"/>
                <w:sz w:val="18"/>
                <w:szCs w:val="18"/>
              </w:rPr>
              <w:t>皮肤有刺激性。</w:t>
            </w:r>
          </w:p>
        </w:tc>
      </w:tr>
    </w:tbl>
    <w:p w14:paraId="2AF09F10">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177" w:name="_Toc3806"/>
      <w:r>
        <w:rPr>
          <w:rStyle w:val="35"/>
          <w:rFonts w:hint="default" w:ascii="Times New Roman" w:hAnsi="Times New Roman" w:eastAsia="宋体" w:cs="Times New Roman"/>
          <w:color w:val="auto"/>
          <w:sz w:val="24"/>
          <w:szCs w:val="24"/>
          <w:highlight w:val="none"/>
        </w:rPr>
        <w:t>2.</w:t>
      </w:r>
      <w:r>
        <w:rPr>
          <w:rStyle w:val="35"/>
          <w:rFonts w:hint="default" w:ascii="Times New Roman" w:hAnsi="Times New Roman" w:eastAsia="宋体" w:cs="Times New Roman"/>
          <w:color w:val="auto"/>
          <w:sz w:val="24"/>
          <w:szCs w:val="24"/>
          <w:highlight w:val="none"/>
          <w:lang w:val="en-US" w:eastAsia="zh-CN"/>
        </w:rPr>
        <w:t>1</w:t>
      </w:r>
      <w:r>
        <w:rPr>
          <w:rStyle w:val="35"/>
          <w:rFonts w:hint="default" w:ascii="Times New Roman" w:hAnsi="Times New Roman" w:eastAsia="宋体" w:cs="Times New Roman"/>
          <w:color w:val="auto"/>
          <w:sz w:val="24"/>
          <w:szCs w:val="24"/>
          <w:highlight w:val="none"/>
        </w:rPr>
        <w:t>.7公用工程</w:t>
      </w:r>
      <w:bookmarkEnd w:id="177"/>
    </w:p>
    <w:p w14:paraId="0519B056">
      <w:pPr>
        <w:pStyle w:val="15"/>
        <w:ind w:firstLine="439" w:firstLineChars="182"/>
        <w:rPr>
          <w:rFonts w:hint="default" w:ascii="Times New Roman" w:hAnsi="Times New Roman" w:cs="Times New Roman"/>
          <w:b/>
          <w:color w:val="auto"/>
          <w:szCs w:val="20"/>
          <w:highlight w:val="none"/>
        </w:rPr>
      </w:pPr>
      <w:r>
        <w:rPr>
          <w:rFonts w:hint="default" w:ascii="Times New Roman" w:hAnsi="Times New Roman" w:cs="Times New Roman"/>
          <w:b/>
          <w:color w:val="auto"/>
          <w:szCs w:val="20"/>
          <w:highlight w:val="none"/>
        </w:rPr>
        <w:t>1、给水</w:t>
      </w:r>
    </w:p>
    <w:p w14:paraId="6A3C9ABA">
      <w:pPr>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项目生产、生活用水由</w:t>
      </w:r>
      <w:r>
        <w:rPr>
          <w:rFonts w:hint="default" w:ascii="Times New Roman" w:hAnsi="Times New Roman" w:cs="Times New Roman"/>
          <w:bCs/>
          <w:color w:val="auto"/>
          <w:sz w:val="24"/>
          <w:highlight w:val="none"/>
          <w:lang w:val="en-US" w:eastAsia="zh-CN"/>
        </w:rPr>
        <w:t>猴街</w:t>
      </w:r>
      <w:r>
        <w:rPr>
          <w:rFonts w:hint="default" w:ascii="Times New Roman" w:hAnsi="Times New Roman" w:cs="Times New Roman"/>
          <w:bCs/>
          <w:color w:val="auto"/>
          <w:sz w:val="24"/>
          <w:highlight w:val="none"/>
        </w:rPr>
        <w:t>村委会引入。</w:t>
      </w:r>
    </w:p>
    <w:p w14:paraId="534544EE">
      <w:pPr>
        <w:snapToGrid w:val="0"/>
        <w:spacing w:line="360" w:lineRule="auto"/>
        <w:ind w:firstLine="482" w:firstLineChars="200"/>
        <w:textAlignment w:val="baseline"/>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2、排水</w:t>
      </w:r>
    </w:p>
    <w:p w14:paraId="4C7033B3">
      <w:pPr>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项目区实行雨污分流排水制度。</w:t>
      </w:r>
    </w:p>
    <w:p w14:paraId="6301D60C">
      <w:pPr>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（1）雨水：初期雨水经雨水沟收集后流入初期雨水收集池沉淀处理后用于晴天绿化，15min之后雨水由雨水沟排入场区周边雨水沟渠。</w:t>
      </w:r>
    </w:p>
    <w:p w14:paraId="53B6219B">
      <w:pPr>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（2）污水</w:t>
      </w:r>
      <w:r>
        <w:rPr>
          <w:rFonts w:hint="default" w:ascii="Times New Roman" w:hAnsi="Times New Roman" w:cs="Times New Roman"/>
          <w:color w:val="auto"/>
          <w:sz w:val="24"/>
          <w:szCs w:val="24"/>
          <w:highlight w:val="none"/>
        </w:rPr>
        <w:t>：</w:t>
      </w:r>
      <w:r>
        <w:rPr>
          <w:rFonts w:hint="default" w:ascii="Times New Roman" w:hAnsi="Times New Roman" w:cs="Times New Roman"/>
          <w:b w:val="0"/>
          <w:color w:val="auto"/>
          <w:sz w:val="24"/>
          <w:szCs w:val="24"/>
          <w:highlight w:val="none"/>
          <w:lang w:bidi="zh-CN"/>
        </w:rPr>
        <w:t>食堂废水经过隔油池处理后与其他生活污水排入化粪池处理后</w:t>
      </w:r>
      <w:r>
        <w:rPr>
          <w:rFonts w:hint="default" w:ascii="Times New Roman" w:hAnsi="Times New Roman" w:cs="Times New Roman"/>
          <w:b w:val="0"/>
          <w:color w:val="auto"/>
          <w:sz w:val="24"/>
          <w:szCs w:val="24"/>
          <w:highlight w:val="none"/>
          <w:lang w:val="en-US" w:bidi="zh-CN"/>
        </w:rPr>
        <w:t>进入污水收集池；</w:t>
      </w:r>
      <w:r>
        <w:rPr>
          <w:rFonts w:hint="default" w:ascii="Times New Roman" w:hAnsi="Times New Roman" w:cs="Times New Roman"/>
          <w:color w:val="auto"/>
          <w:sz w:val="24"/>
          <w:szCs w:val="24"/>
        </w:rPr>
        <w:t>项目养殖废水经</w:t>
      </w:r>
      <w:r>
        <w:rPr>
          <w:rFonts w:hint="default" w:ascii="Times New Roman" w:hAnsi="Times New Roman" w:cs="Times New Roman"/>
          <w:bCs/>
          <w:color w:val="auto"/>
          <w:sz w:val="24"/>
          <w:szCs w:val="24"/>
          <w:lang w:val="en-US" w:eastAsia="zh-CN"/>
        </w:rPr>
        <w:t>粪尿收集池收集，固液分离后废水进入废水收集池，与生活污水一起</w:t>
      </w:r>
      <w:r>
        <w:rPr>
          <w:rFonts w:hint="default" w:ascii="Times New Roman" w:hAnsi="Times New Roman" w:cs="Times New Roman"/>
          <w:b w:val="0"/>
          <w:bCs/>
          <w:color w:val="auto"/>
          <w:sz w:val="24"/>
          <w:szCs w:val="24"/>
          <w:highlight w:val="none"/>
          <w:lang w:val="en-US" w:eastAsia="zh-CN" w:bidi="zh-CN"/>
        </w:rPr>
        <w:t>依托弥勒温氏畜牧有限公司新哨种猪场建设项目</w:t>
      </w:r>
      <w:r>
        <w:rPr>
          <w:rFonts w:hint="default" w:ascii="Times New Roman" w:hAnsi="Times New Roman" w:cs="Times New Roman"/>
          <w:b w:val="0"/>
          <w:bCs/>
          <w:color w:val="auto"/>
          <w:sz w:val="24"/>
          <w:szCs w:val="24"/>
          <w:highlight w:val="none"/>
          <w:lang w:val="en-US" w:bidi="zh-CN"/>
        </w:rPr>
        <w:t>污水处理站处理后用于绿化及农田灌溉</w:t>
      </w:r>
      <w:r>
        <w:rPr>
          <w:rFonts w:hint="default" w:ascii="Times New Roman" w:hAnsi="Times New Roman" w:cs="Times New Roman"/>
          <w:b w:val="0"/>
          <w:bCs/>
          <w:color w:val="auto"/>
          <w:sz w:val="24"/>
          <w:szCs w:val="24"/>
          <w:highlight w:val="none"/>
          <w:lang w:bidi="zh-CN"/>
        </w:rPr>
        <w:t>。</w:t>
      </w:r>
    </w:p>
    <w:p w14:paraId="0ACA4BED">
      <w:pPr>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猪舍</w:t>
      </w:r>
      <w:r>
        <w:rPr>
          <w:rFonts w:hint="default" w:ascii="Times New Roman" w:hAnsi="Times New Roman" w:cs="Times New Roman"/>
          <w:bCs/>
          <w:color w:val="auto"/>
          <w:sz w:val="24"/>
          <w:highlight w:val="none"/>
          <w:lang w:eastAsia="zh-CN"/>
        </w:rPr>
        <w:t>粪污</w:t>
      </w:r>
      <w:r>
        <w:rPr>
          <w:rFonts w:hint="default" w:ascii="Times New Roman" w:hAnsi="Times New Roman" w:cs="Times New Roman"/>
          <w:bCs/>
          <w:color w:val="auto"/>
          <w:sz w:val="24"/>
          <w:highlight w:val="none"/>
        </w:rPr>
        <w:t>收集方式：项目每栋猪舍设置漏缝地板，漏缝地板下方设置</w:t>
      </w:r>
      <w:r>
        <w:rPr>
          <w:rFonts w:hint="default" w:ascii="Times New Roman" w:hAnsi="Times New Roman" w:cs="Times New Roman"/>
          <w:bCs/>
          <w:color w:val="auto"/>
          <w:sz w:val="24"/>
          <w:highlight w:val="none"/>
          <w:lang w:eastAsia="zh-CN"/>
        </w:rPr>
        <w:t>粪尿收集池</w:t>
      </w:r>
      <w:r>
        <w:rPr>
          <w:rFonts w:hint="default" w:ascii="Times New Roman" w:hAnsi="Times New Roman" w:cs="Times New Roman"/>
          <w:bCs/>
          <w:color w:val="auto"/>
          <w:sz w:val="24"/>
          <w:highlight w:val="none"/>
        </w:rPr>
        <w:t>，粪便和尿液经过</w:t>
      </w:r>
      <w:r>
        <w:rPr>
          <w:rFonts w:hint="default" w:ascii="Times New Roman" w:hAnsi="Times New Roman" w:cs="Times New Roman"/>
          <w:bCs/>
          <w:color w:val="auto"/>
          <w:sz w:val="24"/>
          <w:highlight w:val="none"/>
          <w:lang w:eastAsia="zh-CN"/>
        </w:rPr>
        <w:t>粪尿收集池</w:t>
      </w:r>
      <w:r>
        <w:rPr>
          <w:rFonts w:hint="default" w:ascii="Times New Roman" w:hAnsi="Times New Roman" w:cs="Times New Roman"/>
          <w:bCs/>
          <w:color w:val="auto"/>
          <w:sz w:val="24"/>
          <w:highlight w:val="none"/>
        </w:rPr>
        <w:t>收集，</w:t>
      </w:r>
      <w:r>
        <w:rPr>
          <w:rFonts w:hint="default" w:ascii="Times New Roman" w:hAnsi="Times New Roman" w:cs="Times New Roman"/>
          <w:bCs/>
          <w:color w:val="auto"/>
          <w:sz w:val="24"/>
          <w:highlight w:val="none"/>
          <w:lang w:eastAsia="zh-CN"/>
        </w:rPr>
        <w:t>粪污</w:t>
      </w:r>
      <w:r>
        <w:rPr>
          <w:rFonts w:hint="default" w:ascii="Times New Roman" w:hAnsi="Times New Roman" w:cs="Times New Roman"/>
          <w:bCs/>
          <w:color w:val="auto"/>
          <w:sz w:val="24"/>
          <w:highlight w:val="none"/>
        </w:rPr>
        <w:t>进入PVC管道口处设置粗格栅进行初步过滤，通过PVC管道收集并泵至固液分离机进行固液分离，固液分离后的固体粪便进入堆肥</w:t>
      </w:r>
      <w:r>
        <w:rPr>
          <w:rFonts w:hint="default" w:ascii="Times New Roman" w:hAnsi="Times New Roman" w:cs="Times New Roman"/>
          <w:bCs/>
          <w:color w:val="auto"/>
          <w:sz w:val="24"/>
          <w:highlight w:val="none"/>
          <w:lang w:val="en-US" w:eastAsia="zh-CN"/>
        </w:rPr>
        <w:t>棚</w:t>
      </w:r>
      <w:r>
        <w:rPr>
          <w:rFonts w:hint="default" w:ascii="Times New Roman" w:hAnsi="Times New Roman" w:cs="Times New Roman"/>
          <w:bCs/>
          <w:color w:val="auto"/>
          <w:sz w:val="24"/>
          <w:highlight w:val="none"/>
        </w:rPr>
        <w:t>，尿液则通过PVC管道进入</w:t>
      </w:r>
      <w:r>
        <w:rPr>
          <w:rFonts w:hint="default" w:ascii="Times New Roman" w:hAnsi="Times New Roman" w:cs="Times New Roman"/>
          <w:bCs/>
          <w:color w:val="auto"/>
          <w:sz w:val="24"/>
          <w:highlight w:val="none"/>
          <w:lang w:val="en-US" w:eastAsia="zh-CN"/>
        </w:rPr>
        <w:t>废水收集</w:t>
      </w:r>
      <w:r>
        <w:rPr>
          <w:rFonts w:hint="default" w:ascii="Times New Roman" w:hAnsi="Times New Roman" w:cs="Times New Roman"/>
          <w:bCs/>
          <w:color w:val="auto"/>
          <w:sz w:val="24"/>
          <w:highlight w:val="none"/>
          <w:lang w:eastAsia="zh-CN"/>
        </w:rPr>
        <w:t>池</w:t>
      </w:r>
      <w:r>
        <w:rPr>
          <w:rFonts w:hint="default" w:ascii="Times New Roman" w:hAnsi="Times New Roman" w:cs="Times New Roman"/>
          <w:bCs/>
          <w:color w:val="auto"/>
          <w:sz w:val="24"/>
          <w:highlight w:val="none"/>
        </w:rPr>
        <w:t>。</w:t>
      </w:r>
    </w:p>
    <w:p w14:paraId="7C7201C1">
      <w:pPr>
        <w:snapToGrid w:val="0"/>
        <w:spacing w:line="360" w:lineRule="auto"/>
        <w:ind w:firstLine="482" w:firstLineChars="200"/>
        <w:textAlignment w:val="baseline"/>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3、供电</w:t>
      </w:r>
    </w:p>
    <w:p w14:paraId="6C0857F3">
      <w:pPr>
        <w:snapToGrid w:val="0"/>
        <w:spacing w:line="360" w:lineRule="auto"/>
        <w:ind w:firstLine="480" w:firstLineChars="200"/>
        <w:textAlignment w:val="baseline"/>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项目用电由新哨镇猴街村供电系统供给，通过就近的</w:t>
      </w:r>
      <w:r>
        <w:rPr>
          <w:rFonts w:hint="eastAsia" w:ascii="Times New Roman" w:hAnsi="Times New Roman" w:cs="Times New Roman"/>
          <w:b w:val="0"/>
          <w:bCs/>
          <w:color w:val="auto"/>
          <w:sz w:val="24"/>
          <w:highlight w:val="none"/>
          <w:lang w:eastAsia="zh-CN"/>
        </w:rPr>
        <w:t>电缆线路</w:t>
      </w:r>
      <w:r>
        <w:rPr>
          <w:rFonts w:hint="default" w:ascii="Times New Roman" w:hAnsi="Times New Roman" w:eastAsia="宋体" w:cs="Times New Roman"/>
          <w:b w:val="0"/>
          <w:bCs/>
          <w:color w:val="auto"/>
          <w:sz w:val="24"/>
          <w:highlight w:val="none"/>
        </w:rPr>
        <w:t>引入，区内采用220/380V低压三相供电引至个用电单元</w:t>
      </w:r>
      <w:r>
        <w:rPr>
          <w:rFonts w:hint="default" w:ascii="Times New Roman" w:hAnsi="Times New Roman"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同时设置1台0.4kV的柴油发电机应急电源。</w:t>
      </w:r>
    </w:p>
    <w:p w14:paraId="65265BE6">
      <w:pPr>
        <w:snapToGrid w:val="0"/>
        <w:spacing w:line="360" w:lineRule="auto"/>
        <w:ind w:firstLine="482" w:firstLineChars="200"/>
        <w:textAlignment w:val="baseline"/>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4、供热</w:t>
      </w:r>
    </w:p>
    <w:p w14:paraId="379C2DDD">
      <w:pPr>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生活区采用电能，太阳能</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天然气</w:t>
      </w:r>
      <w:r>
        <w:rPr>
          <w:rFonts w:hint="default" w:ascii="Times New Roman" w:hAnsi="Times New Roman" w:cs="Times New Roman"/>
          <w:color w:val="auto"/>
          <w:sz w:val="24"/>
          <w:highlight w:val="none"/>
        </w:rPr>
        <w:t>供热。猪舍采用电保温灯进行供暖。</w:t>
      </w:r>
    </w:p>
    <w:p w14:paraId="2E73FED5">
      <w:pPr>
        <w:pStyle w:val="15"/>
        <w:rPr>
          <w:rFonts w:hint="default" w:ascii="Times New Roman" w:hAnsi="Times New Roman" w:cs="Times New Roman"/>
          <w:b/>
          <w:bCs/>
          <w:color w:val="auto"/>
          <w:szCs w:val="20"/>
          <w:highlight w:val="none"/>
        </w:rPr>
      </w:pPr>
      <w:r>
        <w:rPr>
          <w:rFonts w:hint="default" w:ascii="Times New Roman" w:hAnsi="Times New Roman" w:cs="Times New Roman"/>
          <w:b/>
          <w:bCs/>
          <w:color w:val="auto"/>
          <w:szCs w:val="20"/>
          <w:highlight w:val="none"/>
        </w:rPr>
        <w:t>5、降温</w:t>
      </w:r>
    </w:p>
    <w:p w14:paraId="55787A7A">
      <w:pPr>
        <w:snapToGrid w:val="0"/>
        <w:spacing w:line="360" w:lineRule="auto"/>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猪舍内降温采用</w:t>
      </w:r>
      <w:r>
        <w:rPr>
          <w:rFonts w:hint="default" w:ascii="Times New Roman" w:hAnsi="Times New Roman" w:eastAsia="宋体" w:cs="Times New Roman"/>
          <w:color w:val="auto"/>
          <w:sz w:val="24"/>
          <w:highlight w:val="none"/>
        </w:rPr>
        <w:t>水帘降温增湿系统</w:t>
      </w:r>
      <w:r>
        <w:rPr>
          <w:rFonts w:hint="default" w:ascii="Times New Roman" w:hAnsi="Times New Roman" w:eastAsia="宋体" w:cs="Times New Roman"/>
          <w:color w:val="auto"/>
          <w:sz w:val="24"/>
          <w:highlight w:val="none"/>
          <w:lang w:val="en-US" w:eastAsia="zh-CN"/>
        </w:rPr>
        <w:t>，每栋育肥舍设置4个水帘，保育舍设置2个水帘，</w:t>
      </w:r>
      <w:r>
        <w:rPr>
          <w:rFonts w:hint="default" w:ascii="Times New Roman" w:hAnsi="Times New Roman" w:eastAsia="宋体" w:cs="Times New Roman"/>
          <w:color w:val="auto"/>
          <w:sz w:val="24"/>
          <w:highlight w:val="none"/>
        </w:rPr>
        <w:t>每个水帘降温增湿系统设置1套自动加湿器，</w:t>
      </w:r>
      <w:r>
        <w:rPr>
          <w:rFonts w:hint="default" w:ascii="Times New Roman" w:hAnsi="Times New Roman" w:eastAsia="宋体" w:cs="Times New Roman"/>
          <w:color w:val="auto"/>
          <w:sz w:val="24"/>
          <w:highlight w:val="none"/>
          <w:lang w:val="en-US" w:eastAsia="zh-CN"/>
        </w:rPr>
        <w:t>每个水帘</w:t>
      </w:r>
      <w:r>
        <w:rPr>
          <w:rFonts w:hint="default" w:ascii="Times New Roman" w:hAnsi="Times New Roman" w:eastAsia="宋体" w:cs="Times New Roman"/>
          <w:color w:val="auto"/>
          <w:sz w:val="24"/>
          <w:highlight w:val="none"/>
        </w:rPr>
        <w:t>各配置1个容积为</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循环水池，</w:t>
      </w:r>
      <w:r>
        <w:rPr>
          <w:rFonts w:hint="default" w:ascii="Times New Roman" w:hAnsi="Times New Roman" w:eastAsia="宋体" w:cs="Times New Roman"/>
          <w:color w:val="auto"/>
          <w:sz w:val="24"/>
          <w:highlight w:val="none"/>
          <w:lang w:val="en-US" w:eastAsia="zh-CN"/>
        </w:rPr>
        <w:t>总共设置10个</w:t>
      </w:r>
      <w:r>
        <w:rPr>
          <w:rFonts w:hint="default" w:ascii="Times New Roman" w:hAnsi="Times New Roman" w:eastAsia="宋体" w:cs="Times New Roman"/>
          <w:color w:val="auto"/>
          <w:sz w:val="24"/>
          <w:highlight w:val="none"/>
        </w:rPr>
        <w:t>循环水池</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用于夏季气温高于35℃时猪舍内调节温度。</w:t>
      </w:r>
    </w:p>
    <w:p w14:paraId="0AC337FC">
      <w:pPr>
        <w:pStyle w:val="15"/>
        <w:rPr>
          <w:rFonts w:hint="default" w:ascii="Times New Roman" w:hAnsi="Times New Roman" w:cs="Times New Roman"/>
          <w:b/>
          <w:bCs/>
          <w:color w:val="auto"/>
          <w:szCs w:val="20"/>
          <w:highlight w:val="none"/>
        </w:rPr>
      </w:pPr>
      <w:r>
        <w:rPr>
          <w:rFonts w:hint="default" w:ascii="Times New Roman" w:hAnsi="Times New Roman" w:cs="Times New Roman"/>
          <w:b/>
          <w:bCs/>
          <w:color w:val="auto"/>
          <w:szCs w:val="20"/>
          <w:highlight w:val="none"/>
        </w:rPr>
        <w:t>6、通风</w:t>
      </w:r>
    </w:p>
    <w:p w14:paraId="6A69F365">
      <w:pPr>
        <w:pStyle w:val="15"/>
        <w:rPr>
          <w:rFonts w:hint="default" w:ascii="Times New Roman" w:hAnsi="Times New Roman" w:eastAsia="宋体" w:cs="Times New Roman"/>
          <w:bCs/>
          <w:color w:val="auto"/>
          <w:szCs w:val="20"/>
          <w:highlight w:val="none"/>
          <w:lang w:val="en-US" w:eastAsia="zh-CN"/>
        </w:rPr>
      </w:pPr>
      <w:r>
        <w:rPr>
          <w:rFonts w:hint="default" w:ascii="Times New Roman" w:hAnsi="Times New Roman" w:eastAsia="宋体" w:cs="Times New Roman"/>
          <w:bCs/>
          <w:color w:val="auto"/>
          <w:szCs w:val="20"/>
          <w:highlight w:val="none"/>
          <w:lang w:val="en-US" w:eastAsia="zh-CN"/>
        </w:rPr>
        <w:t>每栋育肥舍设置4组换气风机，每组4个换气扇；保育舍设置2组换气风机，每组4个换气扇。猪舍内部设置监控系统，当需要通风时，开启风机实现猪舍通风。</w:t>
      </w:r>
    </w:p>
    <w:p w14:paraId="360BF5F6">
      <w:pPr>
        <w:snapToGrid w:val="0"/>
        <w:spacing w:line="360" w:lineRule="auto"/>
        <w:ind w:firstLine="482" w:firstLineChars="200"/>
        <w:textAlignment w:val="baseline"/>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7、交通</w:t>
      </w:r>
    </w:p>
    <w:p w14:paraId="6215F0D4">
      <w:pPr>
        <w:pStyle w:val="15"/>
        <w:rPr>
          <w:rFonts w:hint="default" w:ascii="Times New Roman" w:hAnsi="Times New Roman" w:eastAsia="宋体" w:cs="Times New Roman"/>
          <w:bCs/>
          <w:color w:val="auto"/>
          <w:szCs w:val="20"/>
          <w:highlight w:val="none"/>
          <w:lang w:val="en-US" w:eastAsia="zh-CN"/>
        </w:rPr>
      </w:pPr>
      <w:r>
        <w:rPr>
          <w:rFonts w:hint="default" w:ascii="Times New Roman" w:hAnsi="Times New Roman" w:eastAsia="宋体" w:cs="Times New Roman"/>
          <w:bCs/>
          <w:color w:val="auto"/>
          <w:szCs w:val="20"/>
          <w:highlight w:val="none"/>
          <w:lang w:val="en-US" w:eastAsia="zh-CN"/>
        </w:rPr>
        <w:t>（1）场外运输道路：项目养殖所需的原辅材料、生猪等通过项目区周边现有的乡村道路进行运输。</w:t>
      </w:r>
    </w:p>
    <w:p w14:paraId="1CE81D82">
      <w:pPr>
        <w:pStyle w:val="15"/>
        <w:rPr>
          <w:rFonts w:hint="default" w:ascii="Times New Roman" w:hAnsi="Times New Roman" w:eastAsia="宋体" w:cs="Times New Roman"/>
          <w:bCs/>
          <w:color w:val="auto"/>
          <w:szCs w:val="20"/>
          <w:highlight w:val="none"/>
          <w:lang w:val="en-US" w:eastAsia="zh-CN"/>
        </w:rPr>
      </w:pPr>
      <w:r>
        <w:rPr>
          <w:rFonts w:hint="default" w:ascii="Times New Roman" w:hAnsi="Times New Roman" w:eastAsia="宋体" w:cs="Times New Roman"/>
          <w:bCs/>
          <w:color w:val="auto"/>
          <w:szCs w:val="20"/>
          <w:highlight w:val="none"/>
          <w:lang w:val="en-US" w:eastAsia="zh-CN"/>
        </w:rPr>
        <w:t>（2）场内道路：项目区场内道路均为水泥硬化道路，路面宽3.5~6m，占地面积2800m</w:t>
      </w:r>
      <w:r>
        <w:rPr>
          <w:rFonts w:hint="default" w:ascii="Times New Roman" w:hAnsi="Times New Roman" w:eastAsia="宋体" w:cs="Times New Roman"/>
          <w:bCs/>
          <w:color w:val="auto"/>
          <w:szCs w:val="20"/>
          <w:highlight w:val="none"/>
          <w:vertAlign w:val="superscript"/>
          <w:lang w:val="en-US" w:eastAsia="zh-CN"/>
        </w:rPr>
        <w:t>2</w:t>
      </w:r>
      <w:r>
        <w:rPr>
          <w:rFonts w:hint="default" w:ascii="Times New Roman" w:hAnsi="Times New Roman" w:eastAsia="宋体" w:cs="Times New Roman"/>
          <w:bCs/>
          <w:color w:val="auto"/>
          <w:szCs w:val="20"/>
          <w:highlight w:val="none"/>
          <w:lang w:val="en-US" w:eastAsia="zh-CN"/>
        </w:rPr>
        <w:t>，与场外运输道路连接。</w:t>
      </w:r>
    </w:p>
    <w:p w14:paraId="7E3D038A">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rPr>
      </w:pPr>
      <w:bookmarkStart w:id="178" w:name="_Toc22496"/>
      <w:r>
        <w:rPr>
          <w:rStyle w:val="35"/>
          <w:rFonts w:hint="default" w:ascii="Times New Roman" w:hAnsi="Times New Roman" w:eastAsia="宋体" w:cs="Times New Roman"/>
          <w:color w:val="auto"/>
          <w:sz w:val="24"/>
          <w:szCs w:val="24"/>
          <w:highlight w:val="none"/>
        </w:rPr>
        <w:t>2.</w:t>
      </w:r>
      <w:r>
        <w:rPr>
          <w:rStyle w:val="35"/>
          <w:rFonts w:hint="default" w:ascii="Times New Roman" w:hAnsi="Times New Roman" w:eastAsia="宋体" w:cs="Times New Roman"/>
          <w:color w:val="auto"/>
          <w:sz w:val="24"/>
          <w:szCs w:val="24"/>
          <w:highlight w:val="none"/>
          <w:lang w:val="en-US" w:eastAsia="zh-CN"/>
        </w:rPr>
        <w:t>1</w:t>
      </w:r>
      <w:r>
        <w:rPr>
          <w:rStyle w:val="35"/>
          <w:rFonts w:hint="default" w:ascii="Times New Roman" w:hAnsi="Times New Roman" w:eastAsia="宋体" w:cs="Times New Roman"/>
          <w:color w:val="auto"/>
          <w:sz w:val="24"/>
          <w:szCs w:val="24"/>
          <w:highlight w:val="none"/>
        </w:rPr>
        <w:t>.8工程实施进度</w:t>
      </w:r>
      <w:bookmarkEnd w:id="178"/>
    </w:p>
    <w:p w14:paraId="2A26C647">
      <w:pPr>
        <w:snapToGrid w:val="0"/>
        <w:spacing w:line="360" w:lineRule="auto"/>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rPr>
        <w:t>项目</w:t>
      </w:r>
      <w:r>
        <w:rPr>
          <w:rFonts w:hint="default" w:ascii="Times New Roman" w:hAnsi="Times New Roman" w:cs="Times New Roman"/>
          <w:bCs/>
          <w:color w:val="auto"/>
          <w:sz w:val="24"/>
          <w:highlight w:val="none"/>
          <w:lang w:val="en-US" w:eastAsia="zh-CN"/>
        </w:rPr>
        <w:t>计划</w:t>
      </w:r>
      <w:r>
        <w:rPr>
          <w:rFonts w:hint="default" w:ascii="Times New Roman" w:hAnsi="Times New Roman" w:cs="Times New Roman"/>
          <w:bCs/>
          <w:color w:val="auto"/>
          <w:sz w:val="24"/>
          <w:highlight w:val="none"/>
        </w:rPr>
        <w:t>于202</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年</w:t>
      </w:r>
      <w:r>
        <w:rPr>
          <w:rFonts w:hint="default" w:ascii="Times New Roman" w:hAnsi="Times New Roman" w:cs="Times New Roman"/>
          <w:bCs/>
          <w:color w:val="auto"/>
          <w:sz w:val="24"/>
          <w:highlight w:val="none"/>
          <w:lang w:val="en-US" w:eastAsia="zh-CN"/>
        </w:rPr>
        <w:t>10</w:t>
      </w:r>
      <w:r>
        <w:rPr>
          <w:rFonts w:hint="default" w:ascii="Times New Roman" w:hAnsi="Times New Roman" w:cs="Times New Roman"/>
          <w:bCs/>
          <w:color w:val="auto"/>
          <w:sz w:val="24"/>
          <w:highlight w:val="none"/>
        </w:rPr>
        <w:t>月开始建设，202</w:t>
      </w:r>
      <w:r>
        <w:rPr>
          <w:rFonts w:hint="default" w:ascii="Times New Roman" w:hAnsi="Times New Roman" w:cs="Times New Roman"/>
          <w:bCs/>
          <w:color w:val="auto"/>
          <w:sz w:val="24"/>
          <w:highlight w:val="none"/>
          <w:lang w:val="en-US" w:eastAsia="zh-CN"/>
        </w:rPr>
        <w:t>6</w:t>
      </w:r>
      <w:r>
        <w:rPr>
          <w:rFonts w:hint="default" w:ascii="Times New Roman" w:hAnsi="Times New Roman" w:cs="Times New Roman"/>
          <w:bCs/>
          <w:color w:val="auto"/>
          <w:sz w:val="24"/>
          <w:highlight w:val="none"/>
        </w:rPr>
        <w:t>年</w:t>
      </w:r>
      <w:r>
        <w:rPr>
          <w:rFonts w:hint="default" w:ascii="Times New Roman" w:hAnsi="Times New Roman" w:cs="Times New Roman"/>
          <w:bCs/>
          <w:color w:val="auto"/>
          <w:sz w:val="24"/>
          <w:highlight w:val="none"/>
          <w:lang w:val="en-US" w:eastAsia="zh-CN"/>
        </w:rPr>
        <w:t>3</w:t>
      </w:r>
      <w:r>
        <w:rPr>
          <w:rFonts w:hint="default" w:ascii="Times New Roman" w:hAnsi="Times New Roman" w:cs="Times New Roman"/>
          <w:bCs/>
          <w:color w:val="auto"/>
          <w:sz w:val="24"/>
          <w:highlight w:val="none"/>
        </w:rPr>
        <w:t>月建设完成。</w:t>
      </w:r>
    </w:p>
    <w:p w14:paraId="58FB504A">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rPr>
      </w:pPr>
      <w:bookmarkStart w:id="179" w:name="_Toc15021"/>
      <w:r>
        <w:rPr>
          <w:rStyle w:val="35"/>
          <w:rFonts w:hint="default" w:ascii="Times New Roman" w:hAnsi="Times New Roman" w:eastAsia="宋体" w:cs="Times New Roman"/>
          <w:color w:val="auto"/>
          <w:sz w:val="24"/>
          <w:szCs w:val="24"/>
          <w:highlight w:val="none"/>
        </w:rPr>
        <w:t>2.</w:t>
      </w:r>
      <w:r>
        <w:rPr>
          <w:rStyle w:val="35"/>
          <w:rFonts w:hint="default" w:ascii="Times New Roman" w:hAnsi="Times New Roman" w:eastAsia="宋体" w:cs="Times New Roman"/>
          <w:color w:val="auto"/>
          <w:sz w:val="24"/>
          <w:szCs w:val="24"/>
          <w:highlight w:val="none"/>
          <w:lang w:val="en-US" w:eastAsia="zh-CN"/>
        </w:rPr>
        <w:t>1</w:t>
      </w:r>
      <w:r>
        <w:rPr>
          <w:rStyle w:val="35"/>
          <w:rFonts w:hint="default" w:ascii="Times New Roman" w:hAnsi="Times New Roman" w:eastAsia="宋体" w:cs="Times New Roman"/>
          <w:color w:val="auto"/>
          <w:sz w:val="24"/>
          <w:szCs w:val="24"/>
          <w:highlight w:val="none"/>
        </w:rPr>
        <w:t>.9劳动定员及工作制度</w:t>
      </w:r>
      <w:bookmarkEnd w:id="179"/>
    </w:p>
    <w:p w14:paraId="7A5B99FC">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（1）劳动定员</w:t>
      </w:r>
    </w:p>
    <w:p w14:paraId="7CB8EE76">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项目劳动定员为1</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人，其中管理人员1人，技术员</w:t>
      </w:r>
      <w:r>
        <w:rPr>
          <w:rFonts w:hint="default" w:ascii="Times New Roman" w:hAnsi="Times New Roman" w:cs="Times New Roman"/>
          <w:color w:val="auto"/>
          <w:sz w:val="24"/>
          <w:highlight w:val="none"/>
          <w:lang w:val="en-US" w:eastAsia="zh-CN"/>
        </w:rPr>
        <w:t>11</w:t>
      </w:r>
      <w:r>
        <w:rPr>
          <w:rFonts w:hint="default" w:ascii="Times New Roman" w:hAnsi="Times New Roman" w:cs="Times New Roman"/>
          <w:color w:val="auto"/>
          <w:sz w:val="24"/>
          <w:highlight w:val="none"/>
        </w:rPr>
        <w:t>人，全部在厂内食宿。</w:t>
      </w:r>
    </w:p>
    <w:p w14:paraId="1DCC86DA">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（2）工作制度</w:t>
      </w:r>
    </w:p>
    <w:p w14:paraId="2D9D7982">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工作制度：年工作时间365天，养殖场每天24小时运营。工作人员实行三班制，每班8h。</w:t>
      </w:r>
    </w:p>
    <w:p w14:paraId="6440E975">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rPr>
      </w:pPr>
      <w:bookmarkStart w:id="180" w:name="_Toc16443"/>
      <w:r>
        <w:rPr>
          <w:rStyle w:val="35"/>
          <w:rFonts w:hint="default" w:ascii="Times New Roman" w:hAnsi="Times New Roman" w:eastAsia="宋体" w:cs="Times New Roman"/>
          <w:color w:val="auto"/>
          <w:sz w:val="24"/>
          <w:szCs w:val="24"/>
          <w:highlight w:val="none"/>
        </w:rPr>
        <w:t>2.</w:t>
      </w:r>
      <w:r>
        <w:rPr>
          <w:rStyle w:val="35"/>
          <w:rFonts w:hint="default" w:ascii="Times New Roman" w:hAnsi="Times New Roman" w:eastAsia="宋体" w:cs="Times New Roman"/>
          <w:color w:val="auto"/>
          <w:sz w:val="24"/>
          <w:szCs w:val="24"/>
          <w:highlight w:val="none"/>
          <w:lang w:val="en-US" w:eastAsia="zh-CN"/>
        </w:rPr>
        <w:t>1</w:t>
      </w:r>
      <w:r>
        <w:rPr>
          <w:rStyle w:val="35"/>
          <w:rFonts w:hint="default" w:ascii="Times New Roman" w:hAnsi="Times New Roman" w:eastAsia="宋体" w:cs="Times New Roman"/>
          <w:color w:val="auto"/>
          <w:sz w:val="24"/>
          <w:szCs w:val="24"/>
          <w:highlight w:val="none"/>
        </w:rPr>
        <w:t>.10主要经济技术指标</w:t>
      </w:r>
      <w:bookmarkEnd w:id="180"/>
    </w:p>
    <w:p w14:paraId="7305A220">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项目主要经济技术指标见表</w:t>
      </w:r>
      <w:r>
        <w:rPr>
          <w:rFonts w:hint="default" w:ascii="Times New Roman" w:hAnsi="Times New Roman" w:cs="Times New Roman"/>
          <w:color w:val="auto"/>
          <w:sz w:val="24"/>
          <w:highlight w:val="none"/>
          <w:lang w:val="en-US" w:eastAsia="zh-CN"/>
        </w:rPr>
        <w:t>2.1-7</w:t>
      </w:r>
      <w:r>
        <w:rPr>
          <w:rFonts w:hint="default" w:ascii="Times New Roman" w:hAnsi="Times New Roman" w:cs="Times New Roman"/>
          <w:color w:val="auto"/>
          <w:sz w:val="24"/>
          <w:highlight w:val="none"/>
        </w:rPr>
        <w:t>。</w:t>
      </w:r>
    </w:p>
    <w:p w14:paraId="614531C0">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2.1-7</w:t>
      </w:r>
      <w:r>
        <w:rPr>
          <w:rFonts w:hint="default" w:ascii="Times New Roman" w:hAnsi="Times New Roman" w:cs="Times New Roman"/>
          <w:b/>
          <w:color w:val="auto"/>
          <w:szCs w:val="21"/>
          <w:highlight w:val="none"/>
        </w:rPr>
        <w:t xml:space="preserve">  主要经济技术指标一览表</w:t>
      </w:r>
    </w:p>
    <w:tbl>
      <w:tblPr>
        <w:tblStyle w:val="23"/>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2324"/>
        <w:gridCol w:w="2654"/>
        <w:gridCol w:w="3096"/>
      </w:tblGrid>
      <w:tr w14:paraId="6A66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top"/>
          </w:tcPr>
          <w:p w14:paraId="5FBE4597">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2324" w:type="dxa"/>
            <w:vAlign w:val="top"/>
          </w:tcPr>
          <w:p w14:paraId="4B37D5D8">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项目名称</w:t>
            </w:r>
          </w:p>
        </w:tc>
        <w:tc>
          <w:tcPr>
            <w:tcW w:w="2654" w:type="dxa"/>
            <w:vAlign w:val="top"/>
          </w:tcPr>
          <w:p w14:paraId="6A56A979">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指标</w:t>
            </w:r>
          </w:p>
        </w:tc>
        <w:tc>
          <w:tcPr>
            <w:tcW w:w="3096" w:type="dxa"/>
            <w:vAlign w:val="top"/>
          </w:tcPr>
          <w:p w14:paraId="53F52F67">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备注</w:t>
            </w:r>
          </w:p>
        </w:tc>
      </w:tr>
      <w:tr w14:paraId="6D5A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14:paraId="01906ECE">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324" w:type="dxa"/>
            <w:vAlign w:val="center"/>
          </w:tcPr>
          <w:p w14:paraId="644BFE42">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年存栏</w:t>
            </w:r>
          </w:p>
        </w:tc>
        <w:tc>
          <w:tcPr>
            <w:tcW w:w="2654" w:type="dxa"/>
            <w:vAlign w:val="center"/>
          </w:tcPr>
          <w:p w14:paraId="6DE1D371">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生猪</w:t>
            </w:r>
          </w:p>
        </w:tc>
        <w:tc>
          <w:tcPr>
            <w:tcW w:w="3096" w:type="dxa"/>
            <w:vAlign w:val="center"/>
          </w:tcPr>
          <w:p w14:paraId="31519B21">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4000</w:t>
            </w:r>
            <w:r>
              <w:rPr>
                <w:rFonts w:hint="default" w:ascii="Times New Roman" w:hAnsi="Times New Roman" w:cs="Times New Roman"/>
                <w:color w:val="auto"/>
                <w:sz w:val="21"/>
                <w:szCs w:val="21"/>
              </w:rPr>
              <w:t>头</w:t>
            </w:r>
          </w:p>
        </w:tc>
      </w:tr>
      <w:tr w14:paraId="72E3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14:paraId="6A10F90E">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324" w:type="dxa"/>
            <w:vAlign w:val="center"/>
          </w:tcPr>
          <w:p w14:paraId="7029C9FF">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年工作日</w:t>
            </w:r>
          </w:p>
        </w:tc>
        <w:tc>
          <w:tcPr>
            <w:tcW w:w="2654" w:type="dxa"/>
            <w:vAlign w:val="center"/>
          </w:tcPr>
          <w:p w14:paraId="3622B186">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365天</w:t>
            </w:r>
          </w:p>
        </w:tc>
        <w:tc>
          <w:tcPr>
            <w:tcW w:w="3096" w:type="dxa"/>
            <w:vAlign w:val="center"/>
          </w:tcPr>
          <w:p w14:paraId="3C526BC6">
            <w:pPr>
              <w:autoSpaceDE w:val="0"/>
              <w:autoSpaceDN w:val="0"/>
              <w:adjustRightInd w:val="0"/>
              <w:spacing w:line="240" w:lineRule="auto"/>
              <w:jc w:val="center"/>
              <w:rPr>
                <w:rFonts w:hint="default" w:ascii="Times New Roman" w:hAnsi="Times New Roman" w:cs="Times New Roman"/>
                <w:color w:val="auto"/>
                <w:sz w:val="21"/>
                <w:szCs w:val="21"/>
              </w:rPr>
            </w:pPr>
          </w:p>
        </w:tc>
      </w:tr>
      <w:tr w14:paraId="48A6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14:paraId="2FB4B01A">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324" w:type="dxa"/>
            <w:vAlign w:val="center"/>
          </w:tcPr>
          <w:p w14:paraId="4BF99586">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工作制度</w:t>
            </w:r>
          </w:p>
        </w:tc>
        <w:tc>
          <w:tcPr>
            <w:tcW w:w="2654" w:type="dxa"/>
            <w:vAlign w:val="center"/>
          </w:tcPr>
          <w:p w14:paraId="7D44ECA4">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3班/天</w:t>
            </w:r>
          </w:p>
        </w:tc>
        <w:tc>
          <w:tcPr>
            <w:tcW w:w="3096" w:type="dxa"/>
            <w:vAlign w:val="center"/>
          </w:tcPr>
          <w:p w14:paraId="4833633F">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每班8h，3班制，管理人员</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行政办公实行8h/d工作制度</w:t>
            </w:r>
          </w:p>
        </w:tc>
      </w:tr>
      <w:tr w14:paraId="5DF8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14:paraId="1A9905C7">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324" w:type="dxa"/>
            <w:vAlign w:val="top"/>
          </w:tcPr>
          <w:p w14:paraId="734B2B0A">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员工</w:t>
            </w:r>
          </w:p>
        </w:tc>
        <w:tc>
          <w:tcPr>
            <w:tcW w:w="2654" w:type="dxa"/>
            <w:vAlign w:val="top"/>
          </w:tcPr>
          <w:p w14:paraId="183A4588">
            <w:pPr>
              <w:tabs>
                <w:tab w:val="left" w:pos="449"/>
                <w:tab w:val="center" w:pos="671"/>
              </w:tabs>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12</w:t>
            </w:r>
            <w:r>
              <w:rPr>
                <w:rFonts w:hint="default" w:ascii="Times New Roman" w:hAnsi="Times New Roman" w:cs="Times New Roman"/>
                <w:color w:val="auto"/>
                <w:sz w:val="21"/>
                <w:szCs w:val="21"/>
              </w:rPr>
              <w:t>人</w:t>
            </w:r>
          </w:p>
        </w:tc>
        <w:tc>
          <w:tcPr>
            <w:tcW w:w="3096" w:type="dxa"/>
            <w:vAlign w:val="top"/>
          </w:tcPr>
          <w:p w14:paraId="5418B796">
            <w:pPr>
              <w:autoSpaceDE w:val="0"/>
              <w:autoSpaceDN w:val="0"/>
              <w:adjustRightInd w:val="0"/>
              <w:spacing w:line="240" w:lineRule="auto"/>
              <w:jc w:val="center"/>
              <w:rPr>
                <w:rFonts w:hint="default" w:ascii="Times New Roman" w:hAnsi="Times New Roman" w:cs="Times New Roman"/>
                <w:color w:val="auto"/>
                <w:sz w:val="21"/>
                <w:szCs w:val="21"/>
              </w:rPr>
            </w:pPr>
          </w:p>
        </w:tc>
      </w:tr>
      <w:tr w14:paraId="32E65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14:paraId="6BD471AC">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324" w:type="dxa"/>
            <w:vAlign w:val="top"/>
          </w:tcPr>
          <w:p w14:paraId="3E7ADCAB">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总用地面积</w:t>
            </w:r>
          </w:p>
        </w:tc>
        <w:tc>
          <w:tcPr>
            <w:tcW w:w="2654" w:type="dxa"/>
            <w:vAlign w:val="top"/>
          </w:tcPr>
          <w:p w14:paraId="46C44D67">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58665.09</w:t>
            </w: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2</w:t>
            </w:r>
          </w:p>
        </w:tc>
        <w:tc>
          <w:tcPr>
            <w:tcW w:w="3096" w:type="dxa"/>
            <w:vAlign w:val="top"/>
          </w:tcPr>
          <w:p w14:paraId="2E860101">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lang w:val="en-US" w:eastAsia="zh-CN"/>
              </w:rPr>
              <w:t>约88.08</w:t>
            </w:r>
            <w:r>
              <w:rPr>
                <w:rFonts w:hint="default" w:ascii="Times New Roman" w:hAnsi="Times New Roman" w:cs="Times New Roman"/>
                <w:color w:val="auto"/>
                <w:sz w:val="21"/>
                <w:szCs w:val="21"/>
              </w:rPr>
              <w:t>亩</w:t>
            </w:r>
          </w:p>
        </w:tc>
      </w:tr>
      <w:tr w14:paraId="5955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14:paraId="6307AE0A">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324" w:type="dxa"/>
            <w:vAlign w:val="top"/>
          </w:tcPr>
          <w:p w14:paraId="0DC8DF95">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总建筑面积</w:t>
            </w:r>
          </w:p>
        </w:tc>
        <w:tc>
          <w:tcPr>
            <w:tcW w:w="2654" w:type="dxa"/>
            <w:vAlign w:val="top"/>
          </w:tcPr>
          <w:p w14:paraId="309D6162">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7278</w:t>
            </w: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2</w:t>
            </w:r>
          </w:p>
        </w:tc>
        <w:tc>
          <w:tcPr>
            <w:tcW w:w="3096" w:type="dxa"/>
            <w:vAlign w:val="top"/>
          </w:tcPr>
          <w:p w14:paraId="1C3830F3">
            <w:pPr>
              <w:autoSpaceDE w:val="0"/>
              <w:autoSpaceDN w:val="0"/>
              <w:adjustRightInd w:val="0"/>
              <w:spacing w:line="240" w:lineRule="auto"/>
              <w:jc w:val="center"/>
              <w:rPr>
                <w:rFonts w:hint="default" w:ascii="Times New Roman" w:hAnsi="Times New Roman" w:cs="Times New Roman"/>
                <w:color w:val="auto"/>
                <w:sz w:val="21"/>
                <w:szCs w:val="21"/>
              </w:rPr>
            </w:pPr>
          </w:p>
        </w:tc>
      </w:tr>
      <w:tr w14:paraId="4115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885" w:type="dxa"/>
            <w:vAlign w:val="center"/>
          </w:tcPr>
          <w:p w14:paraId="62B1C2F4">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2324" w:type="dxa"/>
            <w:vAlign w:val="center"/>
          </w:tcPr>
          <w:p w14:paraId="58DF215B">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厂区道路</w:t>
            </w:r>
          </w:p>
        </w:tc>
        <w:tc>
          <w:tcPr>
            <w:tcW w:w="2654" w:type="dxa"/>
            <w:vAlign w:val="center"/>
          </w:tcPr>
          <w:p w14:paraId="4B69147C">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bCs/>
                <w:color w:val="auto"/>
                <w:szCs w:val="20"/>
                <w:highlight w:val="none"/>
                <w:lang w:val="en-US" w:eastAsia="zh-CN"/>
              </w:rPr>
              <w:t>2800</w:t>
            </w: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2</w:t>
            </w:r>
          </w:p>
        </w:tc>
        <w:tc>
          <w:tcPr>
            <w:tcW w:w="3096" w:type="dxa"/>
            <w:vAlign w:val="center"/>
          </w:tcPr>
          <w:p w14:paraId="0015A129">
            <w:pPr>
              <w:autoSpaceDE w:val="0"/>
              <w:autoSpaceDN w:val="0"/>
              <w:adjustRightInd w:val="0"/>
              <w:spacing w:line="240" w:lineRule="auto"/>
              <w:jc w:val="center"/>
              <w:rPr>
                <w:rFonts w:hint="default" w:ascii="Times New Roman" w:hAnsi="Times New Roman" w:cs="Times New Roman"/>
                <w:color w:val="auto"/>
                <w:sz w:val="21"/>
                <w:szCs w:val="21"/>
              </w:rPr>
            </w:pPr>
          </w:p>
        </w:tc>
      </w:tr>
      <w:tr w14:paraId="6516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14:paraId="64311DF3">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2324" w:type="dxa"/>
            <w:vAlign w:val="center"/>
          </w:tcPr>
          <w:p w14:paraId="1A7E3464">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绿化面积</w:t>
            </w:r>
          </w:p>
        </w:tc>
        <w:tc>
          <w:tcPr>
            <w:tcW w:w="2654" w:type="dxa"/>
            <w:vAlign w:val="center"/>
          </w:tcPr>
          <w:p w14:paraId="7183117A">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000m</w:t>
            </w:r>
            <w:r>
              <w:rPr>
                <w:rFonts w:hint="default" w:ascii="Times New Roman" w:hAnsi="Times New Roman" w:cs="Times New Roman"/>
                <w:color w:val="auto"/>
                <w:sz w:val="21"/>
                <w:szCs w:val="21"/>
                <w:vertAlign w:val="superscript"/>
              </w:rPr>
              <w:t>2</w:t>
            </w:r>
          </w:p>
        </w:tc>
        <w:tc>
          <w:tcPr>
            <w:tcW w:w="3096" w:type="dxa"/>
            <w:vAlign w:val="center"/>
          </w:tcPr>
          <w:p w14:paraId="1A56334D">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绿化率</w:t>
            </w:r>
            <w:r>
              <w:rPr>
                <w:rFonts w:hint="default" w:ascii="Times New Roman" w:hAnsi="Times New Roman" w:cs="Times New Roman"/>
                <w:color w:val="auto"/>
                <w:sz w:val="21"/>
                <w:szCs w:val="21"/>
                <w:lang w:val="en-US" w:eastAsia="zh-CN"/>
              </w:rPr>
              <w:t>2.92</w:t>
            </w:r>
            <w:r>
              <w:rPr>
                <w:rFonts w:hint="default" w:ascii="Times New Roman" w:hAnsi="Times New Roman" w:cs="Times New Roman"/>
                <w:color w:val="auto"/>
                <w:sz w:val="21"/>
                <w:szCs w:val="21"/>
              </w:rPr>
              <w:t>%</w:t>
            </w:r>
          </w:p>
        </w:tc>
      </w:tr>
    </w:tbl>
    <w:p w14:paraId="34897C93">
      <w:pPr>
        <w:snapToGrid w:val="0"/>
        <w:spacing w:line="360" w:lineRule="auto"/>
        <w:ind w:firstLine="480" w:firstLineChars="200"/>
        <w:textAlignment w:val="baseline"/>
        <w:rPr>
          <w:rFonts w:hint="default" w:ascii="Times New Roman" w:hAnsi="Times New Roman" w:cs="Times New Roman"/>
          <w:color w:val="auto"/>
          <w:sz w:val="24"/>
          <w:highlight w:val="none"/>
          <w:lang w:val="en-US" w:eastAsia="zh-CN"/>
        </w:rPr>
      </w:pPr>
    </w:p>
    <w:p w14:paraId="06F030EE">
      <w:pPr>
        <w:pStyle w:val="2"/>
        <w:keepNext/>
        <w:keepLines/>
        <w:pageBreakBefore/>
        <w:widowControl w:val="0"/>
        <w:kinsoku/>
        <w:wordWrap/>
        <w:overflowPunct/>
        <w:topLinePunct w:val="0"/>
        <w:autoSpaceDE/>
        <w:autoSpaceDN/>
        <w:bidi w:val="0"/>
        <w:adjustRightInd/>
        <w:snapToGrid w:val="0"/>
        <w:spacing w:before="0" w:after="0" w:afterLines="0" w:line="360" w:lineRule="auto"/>
        <w:textAlignment w:val="auto"/>
        <w:rPr>
          <w:rFonts w:hint="default" w:ascii="Times New Roman" w:hAnsi="Times New Roman" w:cs="Times New Roman"/>
          <w:color w:val="auto"/>
          <w:sz w:val="28"/>
          <w:szCs w:val="28"/>
          <w:highlight w:val="none"/>
        </w:rPr>
      </w:pPr>
      <w:bookmarkStart w:id="181" w:name="_Toc17734"/>
      <w:bookmarkStart w:id="182" w:name="_Toc12127"/>
      <w:bookmarkStart w:id="183" w:name="_Toc15661"/>
      <w:bookmarkStart w:id="184" w:name="_Toc10661"/>
      <w:r>
        <w:rPr>
          <w:rFonts w:hint="default" w:ascii="Times New Roman" w:hAnsi="Times New Roman" w:cs="Times New Roman"/>
          <w:color w:val="auto"/>
          <w:sz w:val="28"/>
          <w:szCs w:val="28"/>
          <w:highlight w:val="none"/>
        </w:rPr>
        <w:t>3工程分析</w:t>
      </w:r>
      <w:bookmarkEnd w:id="181"/>
      <w:bookmarkEnd w:id="182"/>
      <w:bookmarkEnd w:id="183"/>
      <w:bookmarkEnd w:id="184"/>
    </w:p>
    <w:p w14:paraId="2631131E">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Style w:val="34"/>
          <w:rFonts w:hint="default" w:ascii="Times New Roman" w:hAnsi="Times New Roman" w:cs="Times New Roman"/>
          <w:b w:val="0"/>
          <w:bCs w:val="0"/>
          <w:color w:val="auto"/>
          <w:sz w:val="24"/>
          <w:highlight w:val="none"/>
        </w:rPr>
      </w:pPr>
      <w:bookmarkStart w:id="185" w:name="_Toc1406"/>
      <w:bookmarkStart w:id="186" w:name="_Toc26237"/>
      <w:bookmarkStart w:id="187" w:name="_Toc15414"/>
      <w:bookmarkStart w:id="188" w:name="_Toc27085"/>
      <w:r>
        <w:rPr>
          <w:rStyle w:val="34"/>
          <w:rFonts w:hint="default" w:ascii="Times New Roman" w:hAnsi="Times New Roman" w:cs="Times New Roman"/>
          <w:b w:val="0"/>
          <w:bCs w:val="0"/>
          <w:color w:val="auto"/>
          <w:sz w:val="24"/>
          <w:highlight w:val="none"/>
        </w:rPr>
        <w:t>3.1施工期工艺流程</w:t>
      </w:r>
      <w:bookmarkEnd w:id="185"/>
      <w:bookmarkEnd w:id="186"/>
      <w:bookmarkEnd w:id="187"/>
      <w:bookmarkEnd w:id="188"/>
    </w:p>
    <w:p w14:paraId="78B24855">
      <w:pPr>
        <w:spacing w:line="360" w:lineRule="auto"/>
        <w:ind w:firstLine="480" w:firstLineChars="200"/>
        <w:rPr>
          <w:rFonts w:hint="default" w:ascii="Times New Roman" w:hAnsi="Times New Roman" w:cs="Times New Roman"/>
          <w:color w:val="auto"/>
          <w:sz w:val="24"/>
        </w:rPr>
      </w:pPr>
      <w:bookmarkStart w:id="189" w:name="_Toc11446"/>
      <w:r>
        <w:rPr>
          <w:rFonts w:hint="default" w:ascii="Times New Roman" w:hAnsi="Times New Roman" w:cs="Times New Roman"/>
          <w:color w:val="auto"/>
          <w:sz w:val="24"/>
        </w:rPr>
        <w:t>项目主要建筑结构为钢结构及砖混结构，施工工艺简单，施工设备较少，工程量较少，施工期预计约为</w:t>
      </w:r>
      <w:r>
        <w:rPr>
          <w:rFonts w:hint="eastAsia" w:cs="Times New Roman"/>
          <w:color w:val="auto"/>
          <w:sz w:val="24"/>
          <w:lang w:val="en-US" w:eastAsia="zh-CN"/>
        </w:rPr>
        <w:t>6</w:t>
      </w:r>
      <w:r>
        <w:rPr>
          <w:rFonts w:hint="default" w:ascii="Times New Roman" w:hAnsi="Times New Roman" w:cs="Times New Roman"/>
          <w:color w:val="auto"/>
          <w:sz w:val="24"/>
        </w:rPr>
        <w:t>个月，施工期工艺流程及产污环节图见图3</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-1。</w:t>
      </w:r>
    </w:p>
    <w:p w14:paraId="2260A3F1">
      <w:pPr>
        <w:bidi w:val="0"/>
        <w:rPr>
          <w:rStyle w:val="34"/>
          <w:rFonts w:hint="default" w:ascii="Times New Roman" w:hAnsi="Times New Roman" w:eastAsia="宋体" w:cs="Times New Roman"/>
          <w:b/>
          <w:bCs/>
          <w:color w:val="auto"/>
          <w:sz w:val="24"/>
          <w:szCs w:val="24"/>
          <w:highlight w:val="none"/>
        </w:rPr>
      </w:pPr>
      <w:r>
        <w:rPr>
          <w:rFonts w:hint="default" w:ascii="Times New Roman" w:hAnsi="Times New Roman" w:cs="Times New Roman"/>
          <w:color w:val="auto"/>
        </w:rPr>
        <w:object>
          <v:shape id="_x0000_i1026" o:spt="75" type="#_x0000_t75" style="height:381.8pt;width:474.1pt;" o:ole="t" filled="f" o:preferrelative="t" stroked="f" coordsize="21600,21600">
            <v:path/>
            <v:fill on="f" focussize="0,0"/>
            <v:stroke on="f"/>
            <v:imagedata r:id="rId43" o:title=""/>
            <o:lock v:ext="edit" aspectratio="t"/>
            <w10:wrap type="none"/>
            <w10:anchorlock/>
          </v:shape>
          <o:OLEObject Type="Embed" ProgID="Visio.Drawing.11" ShapeID="_x0000_i1026" DrawAspect="Content" ObjectID="_1468075726" r:id="rId42">
            <o:LockedField>false</o:LockedField>
          </o:OLEObject>
        </w:object>
      </w:r>
    </w:p>
    <w:p w14:paraId="0AD81DED">
      <w:pPr>
        <w:bidi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图3</w:t>
      </w:r>
      <w:r>
        <w:rPr>
          <w:rFonts w:hint="default" w:ascii="Times New Roman" w:hAnsi="Times New Roman" w:cs="Times New Roman"/>
          <w:b/>
          <w:bCs/>
          <w:color w:val="auto"/>
          <w:sz w:val="24"/>
          <w:szCs w:val="24"/>
          <w:lang w:val="en-US" w:eastAsia="zh-CN"/>
        </w:rPr>
        <w:t>.1</w:t>
      </w:r>
      <w:r>
        <w:rPr>
          <w:rFonts w:hint="default" w:ascii="Times New Roman" w:hAnsi="Times New Roman" w:eastAsia="宋体" w:cs="Times New Roman"/>
          <w:b/>
          <w:bCs/>
          <w:color w:val="auto"/>
          <w:sz w:val="24"/>
          <w:szCs w:val="24"/>
        </w:rPr>
        <w:t>-1  本项目施工期工艺流程及产污环节图</w:t>
      </w:r>
    </w:p>
    <w:p w14:paraId="28AC9201">
      <w:pPr>
        <w:spacing w:line="360" w:lineRule="auto"/>
        <w:ind w:firstLine="480" w:firstLineChars="200"/>
        <w:jc w:val="left"/>
        <w:rPr>
          <w:rFonts w:hint="default" w:ascii="Times New Roman" w:hAnsi="Times New Roman" w:cs="Times New Roman"/>
          <w:color w:val="auto"/>
          <w:sz w:val="24"/>
        </w:rPr>
      </w:pPr>
      <w:r>
        <w:rPr>
          <w:rFonts w:hint="eastAsia" w:cs="Times New Roman"/>
          <w:color w:val="auto"/>
          <w:sz w:val="24"/>
          <w:lang w:val="en-US" w:eastAsia="zh-CN"/>
        </w:rPr>
        <w:t>1、</w:t>
      </w:r>
      <w:r>
        <w:rPr>
          <w:rFonts w:hint="default" w:ascii="Times New Roman" w:hAnsi="Times New Roman" w:cs="Times New Roman"/>
          <w:color w:val="auto"/>
          <w:sz w:val="24"/>
        </w:rPr>
        <w:t>施工工艺流程简述：</w:t>
      </w:r>
    </w:p>
    <w:p w14:paraId="2200FCAC">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（1）场地平整</w:t>
      </w:r>
    </w:p>
    <w:p w14:paraId="5EC776BF">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项目对施工场地进行通水、通电，同时用推土机等设备对建设场地进行平整，对场地内植被进行清除，剥离表土等。</w:t>
      </w:r>
    </w:p>
    <w:p w14:paraId="3A8179FD">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（2）基础施工</w:t>
      </w:r>
    </w:p>
    <w:p w14:paraId="7011BA8B">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项目建筑物的基础施工主要包括土石方（挖方、填方）处理、防护基础、地基施工等。其中保育舍、</w:t>
      </w:r>
      <w:r>
        <w:rPr>
          <w:rFonts w:hint="default" w:ascii="Times New Roman" w:hAnsi="Times New Roman" w:cs="Times New Roman"/>
          <w:color w:val="auto"/>
          <w:sz w:val="24"/>
          <w:lang w:val="en-US" w:eastAsia="zh-CN"/>
        </w:rPr>
        <w:t>育肥</w:t>
      </w:r>
      <w:r>
        <w:rPr>
          <w:rFonts w:hint="default" w:ascii="Times New Roman" w:hAnsi="Times New Roman" w:cs="Times New Roman"/>
          <w:color w:val="auto"/>
          <w:sz w:val="24"/>
        </w:rPr>
        <w:t>舍、危废暂存间、</w:t>
      </w:r>
      <w:r>
        <w:rPr>
          <w:rFonts w:hint="default" w:ascii="Times New Roman" w:hAnsi="Times New Roman" w:cs="Times New Roman"/>
          <w:color w:val="auto"/>
          <w:sz w:val="24"/>
          <w:lang w:val="en-US" w:eastAsia="zh-CN"/>
        </w:rPr>
        <w:t>废水收集池、堆粪棚、危废暂存间</w:t>
      </w:r>
      <w:r>
        <w:rPr>
          <w:rFonts w:hint="default" w:ascii="Times New Roman" w:hAnsi="Times New Roman" w:cs="Times New Roman"/>
          <w:color w:val="auto"/>
          <w:sz w:val="24"/>
        </w:rPr>
        <w:t>等进行重点防渗；隔油池、化粪池、初期雨水收集池、</w:t>
      </w:r>
      <w:r>
        <w:rPr>
          <w:rFonts w:hint="default" w:ascii="Times New Roman" w:hAnsi="Times New Roman" w:cs="Times New Roman"/>
          <w:color w:val="auto"/>
          <w:sz w:val="24"/>
          <w:lang w:val="en-US" w:eastAsia="zh-CN"/>
        </w:rPr>
        <w:t>车辆洗消棚沉淀池、</w:t>
      </w:r>
      <w:r>
        <w:rPr>
          <w:rFonts w:hint="default" w:ascii="Times New Roman" w:hAnsi="Times New Roman" w:cs="Times New Roman"/>
          <w:color w:val="auto"/>
          <w:sz w:val="24"/>
        </w:rPr>
        <w:t>柴油发电室</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冷库、防疫固废暂存间</w:t>
      </w:r>
      <w:r>
        <w:rPr>
          <w:rFonts w:hint="default" w:ascii="Times New Roman" w:hAnsi="Times New Roman" w:cs="Times New Roman"/>
          <w:color w:val="auto"/>
          <w:sz w:val="24"/>
        </w:rPr>
        <w:t>进行一般防渗；</w:t>
      </w:r>
      <w:r>
        <w:rPr>
          <w:rFonts w:hint="default" w:ascii="Times New Roman" w:hAnsi="Times New Roman" w:cs="Times New Roman"/>
          <w:color w:val="auto"/>
          <w:sz w:val="24"/>
          <w:lang w:val="en-US" w:eastAsia="zh-CN"/>
        </w:rPr>
        <w:t>其余区域</w:t>
      </w:r>
      <w:r>
        <w:rPr>
          <w:rFonts w:hint="default" w:ascii="Times New Roman" w:hAnsi="Times New Roman" w:cs="Times New Roman"/>
          <w:color w:val="auto"/>
          <w:sz w:val="24"/>
        </w:rPr>
        <w:t>进行简单防渗，</w:t>
      </w:r>
      <w:r>
        <w:rPr>
          <w:rFonts w:hint="default" w:ascii="Times New Roman" w:hAnsi="Times New Roman" w:cs="Times New Roman"/>
          <w:b/>
          <w:color w:val="auto"/>
          <w:sz w:val="24"/>
        </w:rPr>
        <w:t>具体防渗措施委托有资质的单位进行设计、施工、建设，防渗系数应满足相关要求，并做好防渗施工的摄像、拍照记录工作</w:t>
      </w:r>
      <w:r>
        <w:rPr>
          <w:rFonts w:hint="default" w:ascii="Times New Roman" w:hAnsi="Times New Roman" w:cs="Times New Roman"/>
          <w:color w:val="auto"/>
          <w:sz w:val="24"/>
        </w:rPr>
        <w:t>。</w:t>
      </w:r>
    </w:p>
    <w:p w14:paraId="3C0970C5">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（3）主体工程、辅助工程及环保工程的建设</w:t>
      </w:r>
    </w:p>
    <w:p w14:paraId="7E76BADC">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进行项目区的主体工程（</w:t>
      </w:r>
      <w:r>
        <w:rPr>
          <w:rFonts w:hint="default" w:ascii="Times New Roman" w:hAnsi="Times New Roman" w:cs="Times New Roman"/>
          <w:color w:val="auto"/>
          <w:sz w:val="24"/>
          <w:lang w:val="en-US" w:eastAsia="zh-CN"/>
        </w:rPr>
        <w:t>育肥舍</w:t>
      </w:r>
      <w:r>
        <w:rPr>
          <w:rFonts w:hint="default" w:ascii="Times New Roman" w:hAnsi="Times New Roman" w:cs="Times New Roman"/>
          <w:color w:val="auto"/>
          <w:sz w:val="24"/>
        </w:rPr>
        <w:t>、保育舍等）、辅助工程（办公生活区</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物资消毒仓库</w:t>
      </w:r>
      <w:r>
        <w:rPr>
          <w:rFonts w:hint="default" w:ascii="Times New Roman" w:hAnsi="Times New Roman" w:cs="Times New Roman"/>
          <w:color w:val="auto"/>
          <w:sz w:val="24"/>
        </w:rPr>
        <w:t>）、环保工程（</w:t>
      </w:r>
      <w:r>
        <w:rPr>
          <w:rFonts w:hint="default" w:ascii="Times New Roman" w:hAnsi="Times New Roman" w:cs="Times New Roman"/>
          <w:color w:val="auto"/>
          <w:sz w:val="24"/>
          <w:lang w:val="en-US" w:eastAsia="zh-CN"/>
        </w:rPr>
        <w:t>堆粪棚、污水收集池</w:t>
      </w:r>
      <w:r>
        <w:rPr>
          <w:rFonts w:hint="default" w:ascii="Times New Roman" w:hAnsi="Times New Roman" w:cs="Times New Roman"/>
          <w:color w:val="auto"/>
          <w:sz w:val="24"/>
        </w:rPr>
        <w:t>等）进行施工建设，建筑结构主要为钢结构及砖混结构，采用机械与人工施工相结合的方式，这一阶段完成后项目区的主要建筑已经形成。</w:t>
      </w:r>
    </w:p>
    <w:p w14:paraId="1C4A5D4B">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（4）装修及设备安装、调试</w:t>
      </w:r>
    </w:p>
    <w:p w14:paraId="22431812">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对已建的建筑物进行装修，主要包括埋线、刷外墙漆、安装门窗等，对室内进行地面装修，墙面采用抹灰、粉刷、涂饰等多种方法进行装饰施工。同时，设置必要的通水、通风、照明等设备，并进行生产设备进行安装、调试等。</w:t>
      </w:r>
    </w:p>
    <w:p w14:paraId="0F87E4C0">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（5）道路、绿化的建设</w:t>
      </w:r>
    </w:p>
    <w:p w14:paraId="473B35F5">
      <w:pPr>
        <w:spacing w:line="360" w:lineRule="auto"/>
        <w:ind w:firstLine="480" w:firstLineChars="200"/>
        <w:jc w:val="left"/>
        <w:rPr>
          <w:rFonts w:hint="default" w:ascii="Times New Roman" w:hAnsi="Times New Roman" w:cs="Times New Roman"/>
          <w:b/>
          <w:color w:val="auto"/>
          <w:sz w:val="24"/>
        </w:rPr>
      </w:pPr>
      <w:r>
        <w:rPr>
          <w:rFonts w:hint="default" w:ascii="Times New Roman" w:hAnsi="Times New Roman" w:cs="Times New Roman"/>
          <w:color w:val="auto"/>
          <w:sz w:val="24"/>
        </w:rPr>
        <w:t>最后对项目区内的道路、绿化等辅助设施进行施工，完成后项目投入试运行阶段。</w:t>
      </w:r>
    </w:p>
    <w:p w14:paraId="70EE1B9A">
      <w:pPr>
        <w:spacing w:line="360" w:lineRule="auto"/>
        <w:ind w:firstLine="480" w:firstLineChars="200"/>
        <w:jc w:val="left"/>
        <w:rPr>
          <w:rFonts w:hint="default" w:ascii="Times New Roman" w:hAnsi="Times New Roman" w:cs="Times New Roman"/>
          <w:color w:val="auto"/>
          <w:sz w:val="24"/>
          <w:lang w:val="en-US" w:eastAsia="zh-CN"/>
        </w:rPr>
      </w:pPr>
      <w:bookmarkStart w:id="190" w:name="_Toc28590"/>
      <w:bookmarkStart w:id="191" w:name="_Toc12782"/>
      <w:r>
        <w:rPr>
          <w:rFonts w:hint="default" w:ascii="Times New Roman" w:hAnsi="Times New Roman" w:cs="Times New Roman"/>
          <w:color w:val="auto"/>
          <w:sz w:val="24"/>
          <w:lang w:val="en-US" w:eastAsia="zh-CN"/>
        </w:rPr>
        <w:t>2</w:t>
      </w:r>
      <w:r>
        <w:rPr>
          <w:rFonts w:hint="eastAsia" w:cs="Times New Roman"/>
          <w:color w:val="auto"/>
          <w:sz w:val="24"/>
          <w:lang w:val="en-US" w:eastAsia="zh-CN"/>
        </w:rPr>
        <w:t>、</w:t>
      </w:r>
      <w:r>
        <w:rPr>
          <w:rFonts w:hint="default" w:ascii="Times New Roman" w:hAnsi="Times New Roman" w:cs="Times New Roman"/>
          <w:color w:val="auto"/>
          <w:sz w:val="24"/>
        </w:rPr>
        <w:t>施工布置</w:t>
      </w:r>
    </w:p>
    <w:p w14:paraId="3C1331FF">
      <w:pPr>
        <w:spacing w:line="360" w:lineRule="auto"/>
        <w:ind w:firstLine="480" w:firstLineChars="200"/>
        <w:jc w:val="left"/>
        <w:rPr>
          <w:rFonts w:hint="default" w:ascii="Times New Roman" w:hAnsi="Times New Roman" w:cs="Times New Roman"/>
          <w:color w:val="auto"/>
          <w:sz w:val="24"/>
        </w:rPr>
      </w:pPr>
      <w:r>
        <w:rPr>
          <w:rFonts w:hint="eastAsia" w:cs="Times New Roman"/>
          <w:color w:val="auto"/>
          <w:sz w:val="24"/>
          <w:lang w:val="en-US" w:eastAsia="zh-CN"/>
        </w:rPr>
        <w:t>（1）</w:t>
      </w:r>
      <w:r>
        <w:rPr>
          <w:rFonts w:hint="default" w:ascii="Times New Roman" w:hAnsi="Times New Roman" w:cs="Times New Roman"/>
          <w:color w:val="auto"/>
          <w:sz w:val="24"/>
        </w:rPr>
        <w:t>临时施工便道及施工出入口</w:t>
      </w:r>
    </w:p>
    <w:p w14:paraId="5EC27A48">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本项目建设全部在用地范围红线内完成，</w:t>
      </w:r>
      <w:r>
        <w:rPr>
          <w:rFonts w:hint="default" w:ascii="Times New Roman" w:hAnsi="Times New Roman" w:cs="Times New Roman"/>
          <w:color w:val="auto"/>
          <w:sz w:val="24"/>
          <w:lang w:val="en-US" w:eastAsia="zh-CN"/>
        </w:rPr>
        <w:t>项目周边交通设施完善</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不需设置施工便道。</w:t>
      </w:r>
    </w:p>
    <w:p w14:paraId="4294B510">
      <w:pPr>
        <w:spacing w:line="360" w:lineRule="auto"/>
        <w:ind w:firstLine="480" w:firstLineChars="200"/>
        <w:jc w:val="left"/>
        <w:rPr>
          <w:rFonts w:hint="default" w:ascii="Times New Roman" w:hAnsi="Times New Roman" w:cs="Times New Roman"/>
          <w:color w:val="auto"/>
          <w:sz w:val="24"/>
        </w:rPr>
      </w:pPr>
      <w:r>
        <w:rPr>
          <w:rFonts w:hint="eastAsia" w:cs="Times New Roman"/>
          <w:color w:val="auto"/>
          <w:sz w:val="24"/>
          <w:lang w:val="en-US" w:eastAsia="zh-CN"/>
        </w:rPr>
        <w:t>（2）</w:t>
      </w:r>
      <w:r>
        <w:rPr>
          <w:rFonts w:hint="default" w:ascii="Times New Roman" w:hAnsi="Times New Roman" w:cs="Times New Roman"/>
          <w:color w:val="auto"/>
          <w:sz w:val="24"/>
        </w:rPr>
        <w:t>材料供应</w:t>
      </w:r>
    </w:p>
    <w:p w14:paraId="6B4F842C">
      <w:pPr>
        <w:spacing w:line="360" w:lineRule="auto"/>
        <w:ind w:firstLine="480" w:firstLineChars="200"/>
        <w:jc w:val="left"/>
        <w:rPr>
          <w:rFonts w:hint="default" w:ascii="Times New Roman" w:hAnsi="Times New Roman" w:cs="Times New Roman"/>
          <w:color w:val="auto"/>
          <w:sz w:val="24"/>
        </w:rPr>
      </w:pPr>
      <w:r>
        <w:rPr>
          <w:rFonts w:hint="eastAsia" w:cs="Times New Roman"/>
          <w:color w:val="auto"/>
          <w:sz w:val="24"/>
          <w:lang w:val="en-US" w:eastAsia="zh-CN"/>
        </w:rPr>
        <w:t>①</w:t>
      </w:r>
      <w:r>
        <w:rPr>
          <w:rFonts w:hint="default" w:ascii="Times New Roman" w:hAnsi="Times New Roman" w:cs="Times New Roman"/>
          <w:color w:val="auto"/>
          <w:sz w:val="24"/>
        </w:rPr>
        <w:t>砂石料</w:t>
      </w:r>
    </w:p>
    <w:p w14:paraId="52C336A7">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本工程施工所用砂石料全部在</w:t>
      </w:r>
      <w:r>
        <w:rPr>
          <w:rFonts w:hint="default" w:ascii="Times New Roman" w:hAnsi="Times New Roman" w:cs="Times New Roman"/>
          <w:color w:val="auto"/>
          <w:sz w:val="24"/>
          <w:lang w:val="en-US" w:eastAsia="zh-CN"/>
        </w:rPr>
        <w:t>弥勒市</w:t>
      </w:r>
      <w:r>
        <w:rPr>
          <w:rFonts w:hint="default" w:ascii="Times New Roman" w:hAnsi="Times New Roman" w:cs="Times New Roman"/>
          <w:color w:val="auto"/>
          <w:sz w:val="24"/>
        </w:rPr>
        <w:t>境内及周边具有合法开采手续的采场购买。</w:t>
      </w:r>
    </w:p>
    <w:p w14:paraId="10C47EAD">
      <w:pPr>
        <w:spacing w:line="360" w:lineRule="auto"/>
        <w:ind w:firstLine="480" w:firstLineChars="200"/>
        <w:jc w:val="left"/>
        <w:rPr>
          <w:rFonts w:hint="default" w:ascii="Times New Roman" w:hAnsi="Times New Roman" w:cs="Times New Roman"/>
          <w:color w:val="auto"/>
          <w:sz w:val="24"/>
        </w:rPr>
      </w:pPr>
      <w:r>
        <w:rPr>
          <w:rFonts w:hint="eastAsia" w:cs="Times New Roman"/>
          <w:color w:val="auto"/>
          <w:sz w:val="24"/>
          <w:lang w:val="en-US" w:eastAsia="zh-CN"/>
        </w:rPr>
        <w:t>②</w:t>
      </w:r>
      <w:r>
        <w:rPr>
          <w:rFonts w:hint="eastAsia" w:ascii="Times New Roman" w:hAnsi="Times New Roman" w:cs="Times New Roman"/>
          <w:color w:val="auto"/>
          <w:sz w:val="24"/>
          <w:lang w:eastAsia="zh-CN"/>
        </w:rPr>
        <w:t>其他</w:t>
      </w:r>
      <w:r>
        <w:rPr>
          <w:rFonts w:hint="default" w:ascii="Times New Roman" w:hAnsi="Times New Roman" w:cs="Times New Roman"/>
          <w:color w:val="auto"/>
          <w:sz w:val="24"/>
        </w:rPr>
        <w:t>材料</w:t>
      </w:r>
    </w:p>
    <w:p w14:paraId="27C8D1CC">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工程所需的</w:t>
      </w:r>
      <w:r>
        <w:rPr>
          <w:rFonts w:hint="eastAsia" w:ascii="Times New Roman" w:hAnsi="Times New Roman" w:cs="Times New Roman"/>
          <w:color w:val="auto"/>
          <w:sz w:val="24"/>
          <w:lang w:eastAsia="zh-CN"/>
        </w:rPr>
        <w:t>其他</w:t>
      </w:r>
      <w:r>
        <w:rPr>
          <w:rFonts w:hint="default" w:ascii="Times New Roman" w:hAnsi="Times New Roman" w:cs="Times New Roman"/>
          <w:color w:val="auto"/>
          <w:sz w:val="24"/>
        </w:rPr>
        <w:t>建筑材料（包括水泥、钢筋、混凝土等）均在</w:t>
      </w:r>
      <w:r>
        <w:rPr>
          <w:rFonts w:hint="default" w:ascii="Times New Roman" w:hAnsi="Times New Roman" w:cs="Times New Roman"/>
          <w:color w:val="auto"/>
          <w:sz w:val="24"/>
          <w:lang w:val="en-US" w:eastAsia="zh-CN"/>
        </w:rPr>
        <w:t>弥勒市</w:t>
      </w:r>
      <w:r>
        <w:rPr>
          <w:rFonts w:hint="default" w:ascii="Times New Roman" w:hAnsi="Times New Roman" w:cs="Times New Roman"/>
          <w:color w:val="auto"/>
          <w:sz w:val="24"/>
        </w:rPr>
        <w:t>境内购买。</w:t>
      </w:r>
    </w:p>
    <w:p w14:paraId="6DBF6FA6">
      <w:pPr>
        <w:spacing w:line="360" w:lineRule="auto"/>
        <w:ind w:firstLine="480" w:firstLineChars="200"/>
        <w:jc w:val="left"/>
        <w:rPr>
          <w:rFonts w:hint="default" w:ascii="Times New Roman" w:hAnsi="Times New Roman" w:cs="Times New Roman"/>
          <w:color w:val="auto"/>
          <w:sz w:val="24"/>
        </w:rPr>
      </w:pPr>
      <w:r>
        <w:rPr>
          <w:rFonts w:hint="eastAsia" w:cs="Times New Roman"/>
          <w:color w:val="auto"/>
          <w:sz w:val="24"/>
          <w:lang w:eastAsia="zh-CN"/>
        </w:rPr>
        <w:t>（</w:t>
      </w:r>
      <w:r>
        <w:rPr>
          <w:rFonts w:hint="eastAsia" w:cs="Times New Roman"/>
          <w:color w:val="auto"/>
          <w:sz w:val="24"/>
          <w:lang w:val="en-US" w:eastAsia="zh-CN"/>
        </w:rPr>
        <w:t>3）</w:t>
      </w:r>
      <w:r>
        <w:rPr>
          <w:rFonts w:hint="default" w:ascii="Times New Roman" w:hAnsi="Times New Roman" w:cs="Times New Roman"/>
          <w:color w:val="auto"/>
          <w:sz w:val="24"/>
        </w:rPr>
        <w:t>“三场”规划</w:t>
      </w:r>
    </w:p>
    <w:p w14:paraId="240FF3D9">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①砂石料场</w:t>
      </w:r>
    </w:p>
    <w:p w14:paraId="7D58DA86">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项目建设所需的建筑材料根据就近原则全部外购，工程建设所需的砂、石料购于具有合法开采权的砂、石料场，工程建设不设置砂、石料场。工程建设所需混凝土全部以商品的形式购入。</w:t>
      </w:r>
    </w:p>
    <w:p w14:paraId="6815E270">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②弃渣场</w:t>
      </w:r>
    </w:p>
    <w:p w14:paraId="77DA45F8">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本项目建设规模较小，施工期土石方平衡，施工期不设置弃渣场，建筑垃圾应当分类集中堆存，能回收利用的部分，回收重复利用；不能回收利用的部分须委托有资质单位清运到</w:t>
      </w:r>
      <w:r>
        <w:rPr>
          <w:rFonts w:hint="default" w:ascii="Times New Roman" w:hAnsi="Times New Roman" w:cs="Times New Roman"/>
          <w:color w:val="auto"/>
          <w:sz w:val="24"/>
          <w:lang w:val="en-US" w:eastAsia="zh-CN"/>
        </w:rPr>
        <w:t>弥勒市</w:t>
      </w:r>
      <w:r>
        <w:rPr>
          <w:rFonts w:hint="default" w:ascii="Times New Roman" w:hAnsi="Times New Roman" w:cs="Times New Roman"/>
          <w:color w:val="auto"/>
          <w:sz w:val="24"/>
        </w:rPr>
        <w:t>城建部门指定的建筑垃圾堆放场，禁止随意处置和堆放。</w:t>
      </w:r>
    </w:p>
    <w:p w14:paraId="3E3BB80C">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③临时表土堆场</w:t>
      </w:r>
    </w:p>
    <w:p w14:paraId="17971D16">
      <w:pPr>
        <w:spacing w:line="360" w:lineRule="auto"/>
        <w:ind w:firstLine="480" w:firstLineChars="200"/>
        <w:jc w:val="left"/>
        <w:rPr>
          <w:rFonts w:hint="eastAsia" w:cs="Times New Roman"/>
          <w:color w:val="auto"/>
          <w:sz w:val="24"/>
          <w:lang w:eastAsia="zh-CN"/>
        </w:rPr>
      </w:pPr>
      <w:r>
        <w:rPr>
          <w:rFonts w:hint="default" w:ascii="Times New Roman" w:hAnsi="Times New Roman" w:cs="Times New Roman"/>
          <w:color w:val="auto"/>
          <w:sz w:val="24"/>
        </w:rPr>
        <w:t>根据工程现场实际情况，本方案结合场地布置的实际情况和水保方案，厂区工程开挖土石方约</w:t>
      </w:r>
      <w:r>
        <w:rPr>
          <w:rFonts w:hint="eastAsia" w:cs="Times New Roman"/>
          <w:color w:val="auto"/>
          <w:sz w:val="24"/>
          <w:lang w:val="en-US" w:eastAsia="zh-CN"/>
        </w:rPr>
        <w:t>0.8</w:t>
      </w:r>
      <w:r>
        <w:rPr>
          <w:rFonts w:hint="default" w:ascii="Times New Roman" w:hAnsi="Times New Roman" w:cs="Times New Roman"/>
          <w:color w:val="auto"/>
          <w:sz w:val="24"/>
          <w:lang w:val="en-US" w:eastAsia="zh-CN"/>
        </w:rPr>
        <w:t>万m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项目在养殖场西侧设置一个临时堆土场，开挖表土在场内临时堆放，然后用作养殖场的</w:t>
      </w:r>
      <w:r>
        <w:rPr>
          <w:rFonts w:hint="eastAsia" w:cs="Times New Roman"/>
          <w:color w:val="auto"/>
          <w:sz w:val="24"/>
          <w:lang w:val="en-US" w:eastAsia="zh-CN"/>
        </w:rPr>
        <w:t>回填及</w:t>
      </w:r>
      <w:r>
        <w:rPr>
          <w:rFonts w:hint="default" w:ascii="Times New Roman" w:hAnsi="Times New Roman" w:cs="Times New Roman"/>
          <w:color w:val="auto"/>
          <w:sz w:val="24"/>
        </w:rPr>
        <w:t>绿化覆土</w:t>
      </w:r>
      <w:r>
        <w:rPr>
          <w:rFonts w:hint="eastAsia" w:cs="Times New Roman"/>
          <w:color w:val="auto"/>
          <w:sz w:val="24"/>
          <w:lang w:eastAsia="zh-CN"/>
        </w:rPr>
        <w:t>。</w:t>
      </w:r>
    </w:p>
    <w:p w14:paraId="15E75AD4">
      <w:pPr>
        <w:spacing w:line="360" w:lineRule="auto"/>
        <w:ind w:firstLine="480" w:firstLineChars="200"/>
        <w:jc w:val="left"/>
        <w:rPr>
          <w:rFonts w:hint="default" w:ascii="Times New Roman" w:hAnsi="Times New Roman" w:cs="Times New Roman"/>
          <w:color w:val="auto"/>
          <w:sz w:val="24"/>
        </w:rPr>
      </w:pPr>
      <w:r>
        <w:rPr>
          <w:rFonts w:hint="eastAsia" w:cs="Times New Roman"/>
          <w:color w:val="auto"/>
          <w:sz w:val="24"/>
          <w:lang w:eastAsia="zh-CN"/>
        </w:rPr>
        <w:t>（</w:t>
      </w:r>
      <w:r>
        <w:rPr>
          <w:rFonts w:hint="eastAsia" w:cs="Times New Roman"/>
          <w:color w:val="auto"/>
          <w:sz w:val="24"/>
          <w:lang w:val="en-US" w:eastAsia="zh-CN"/>
        </w:rPr>
        <w:t>4）</w:t>
      </w:r>
      <w:r>
        <w:rPr>
          <w:rFonts w:hint="default" w:ascii="Times New Roman" w:hAnsi="Times New Roman" w:cs="Times New Roman"/>
          <w:color w:val="auto"/>
          <w:sz w:val="24"/>
        </w:rPr>
        <w:t>施工营地</w:t>
      </w:r>
    </w:p>
    <w:p w14:paraId="452B0222">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项目距离</w:t>
      </w:r>
      <w:r>
        <w:rPr>
          <w:rFonts w:hint="default" w:ascii="Times New Roman" w:hAnsi="Times New Roman" w:cs="Times New Roman"/>
          <w:color w:val="auto"/>
          <w:sz w:val="24"/>
          <w:lang w:val="en-US" w:eastAsia="zh-CN"/>
        </w:rPr>
        <w:t>弥勒市</w:t>
      </w:r>
      <w:r>
        <w:rPr>
          <w:rFonts w:hint="default" w:ascii="Times New Roman" w:hAnsi="Times New Roman" w:cs="Times New Roman"/>
          <w:color w:val="auto"/>
          <w:sz w:val="24"/>
        </w:rPr>
        <w:t>主城区较近，施工人员多为城内居民或者周边村民，项目区内不设置临时施工营地，用地范围内不设食堂，施工人员由施工单位统一送餐；施工期</w:t>
      </w:r>
      <w:r>
        <w:rPr>
          <w:rFonts w:hint="default" w:ascii="Times New Roman" w:hAnsi="Times New Roman" w:cs="Times New Roman"/>
          <w:color w:val="auto"/>
          <w:sz w:val="24"/>
          <w:lang w:val="en-US" w:eastAsia="zh-CN"/>
        </w:rPr>
        <w:t>员工</w:t>
      </w:r>
      <w:r>
        <w:rPr>
          <w:rFonts w:hint="default" w:ascii="Times New Roman" w:hAnsi="Times New Roman" w:cs="Times New Roman"/>
          <w:color w:val="auto"/>
          <w:sz w:val="24"/>
        </w:rPr>
        <w:t>生活污水中粪便污水进入临时旱厕，并委托</w:t>
      </w:r>
      <w:r>
        <w:rPr>
          <w:rFonts w:hint="eastAsia" w:ascii="Times New Roman" w:hAnsi="Times New Roman" w:cs="Times New Roman"/>
          <w:color w:val="auto"/>
          <w:sz w:val="24"/>
          <w:lang w:val="en-US" w:eastAsia="zh-CN"/>
        </w:rPr>
        <w:t>环卫部门定期进行清掏</w:t>
      </w:r>
      <w:r>
        <w:rPr>
          <w:rFonts w:hint="default" w:ascii="Times New Roman" w:hAnsi="Times New Roman" w:cs="Times New Roman"/>
          <w:color w:val="auto"/>
          <w:sz w:val="24"/>
        </w:rPr>
        <w:t>，其余洗手废水等较清洁的污水经沉淀池沉淀处理后，全部回用于各工程点内洒水降尘。</w:t>
      </w:r>
    </w:p>
    <w:p w14:paraId="46126949">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Style w:val="34"/>
          <w:rFonts w:hint="default" w:ascii="Times New Roman" w:hAnsi="Times New Roman" w:cs="Times New Roman"/>
          <w:b w:val="0"/>
          <w:bCs w:val="0"/>
          <w:color w:val="auto"/>
          <w:sz w:val="24"/>
          <w:highlight w:val="none"/>
        </w:rPr>
      </w:pPr>
      <w:bookmarkStart w:id="192" w:name="_Toc3082"/>
      <w:r>
        <w:rPr>
          <w:rStyle w:val="34"/>
          <w:rFonts w:hint="default" w:ascii="Times New Roman" w:hAnsi="Times New Roman" w:cs="Times New Roman"/>
          <w:b w:val="0"/>
          <w:bCs w:val="0"/>
          <w:color w:val="auto"/>
          <w:sz w:val="24"/>
          <w:highlight w:val="none"/>
        </w:rPr>
        <w:t>3.2运营期工艺流程</w:t>
      </w:r>
      <w:bookmarkEnd w:id="189"/>
      <w:bookmarkEnd w:id="190"/>
      <w:bookmarkEnd w:id="191"/>
      <w:bookmarkEnd w:id="192"/>
    </w:p>
    <w:p w14:paraId="0E4CC539">
      <w:pPr>
        <w:adjustRightInd w:val="0"/>
        <w:snapToGrid w:val="0"/>
        <w:spacing w:line="360" w:lineRule="auto"/>
        <w:ind w:firstLine="480" w:firstLineChars="200"/>
        <w:rPr>
          <w:rFonts w:hint="default" w:ascii="Times New Roman" w:hAnsi="Times New Roman" w:cs="Times New Roman"/>
          <w:color w:val="auto"/>
          <w:sz w:val="24"/>
          <w:highlight w:val="none"/>
        </w:rPr>
        <w:sectPr>
          <w:pgSz w:w="11907" w:h="16840"/>
          <w:pgMar w:top="1531" w:right="1797" w:bottom="1440"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bCs/>
          <w:color w:val="auto"/>
          <w:sz w:val="24"/>
          <w:highlight w:val="none"/>
        </w:rPr>
        <w:t>项目仔猪全部由弥勒温氏畜牧有限公司新哨种猪场提供，本项目区内不进行繁育。项目按现代化养猪要求设计生产工艺流程，实行流水生产工艺，同一猪舍内</w:t>
      </w:r>
      <w:r>
        <w:rPr>
          <w:rFonts w:hint="default" w:ascii="Times New Roman" w:hAnsi="Times New Roman" w:cs="Times New Roman"/>
          <w:bCs/>
          <w:color w:val="auto"/>
          <w:sz w:val="24"/>
          <w:highlight w:val="none"/>
          <w:lang w:val="en-US" w:eastAsia="zh-CN"/>
        </w:rPr>
        <w:t>种</w:t>
      </w:r>
      <w:r>
        <w:rPr>
          <w:rFonts w:hint="default" w:ascii="Times New Roman" w:hAnsi="Times New Roman" w:cs="Times New Roman"/>
          <w:bCs/>
          <w:color w:val="auto"/>
          <w:sz w:val="24"/>
          <w:highlight w:val="none"/>
        </w:rPr>
        <w:t>猪采用全进全出生产方式。</w:t>
      </w:r>
      <w:r>
        <w:rPr>
          <w:rFonts w:hint="default" w:ascii="Times New Roman" w:hAnsi="Times New Roman" w:cs="Times New Roman"/>
          <w:color w:val="auto"/>
          <w:sz w:val="24"/>
          <w:highlight w:val="none"/>
        </w:rPr>
        <w:t>产生的污染物主要包括养殖区污染物、</w:t>
      </w:r>
      <w:r>
        <w:rPr>
          <w:rFonts w:hint="default" w:ascii="Times New Roman" w:hAnsi="Times New Roman" w:cs="Times New Roman"/>
          <w:color w:val="auto"/>
          <w:sz w:val="24"/>
          <w:highlight w:val="none"/>
          <w:lang w:eastAsia="zh-CN"/>
        </w:rPr>
        <w:t>粪污</w:t>
      </w:r>
      <w:r>
        <w:rPr>
          <w:rFonts w:hint="default" w:ascii="Times New Roman" w:hAnsi="Times New Roman" w:cs="Times New Roman"/>
          <w:color w:val="auto"/>
          <w:sz w:val="24"/>
          <w:highlight w:val="none"/>
        </w:rPr>
        <w:t>处理区污染物、生活办公区污染物等，全厂产污节点见图3.2.1所示。</w:t>
      </w:r>
    </w:p>
    <w:p w14:paraId="36EE52D4">
      <w:pPr>
        <w:adjustRightInd w:val="0"/>
        <w:snapToGrid w:val="0"/>
        <w:spacing w:line="360" w:lineRule="auto"/>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2"/>
          <w:sz w:val="21"/>
          <w:szCs w:val="24"/>
          <w:lang w:val="en-US" w:eastAsia="zh-CN" w:bidi="ar"/>
        </w:rPr>
        <w:object>
          <v:shape id="_x0000_i1027" o:spt="75" type="#_x0000_t75" style="height:388.5pt;width:693.8pt;" o:ole="t" filled="f" o:preferrelative="t" stroked="f" coordsize="21600,21600">
            <v:path/>
            <v:fill on="f" focussize="0,0"/>
            <v:stroke on="f"/>
            <v:imagedata r:id="rId45" o:title=""/>
            <o:lock v:ext="edit" aspectratio="t"/>
            <w10:wrap type="none"/>
            <w10:anchorlock/>
          </v:shape>
          <o:OLEObject Type="Embed" ProgID="Visio.Drawing.11" ShapeID="_x0000_i1027" DrawAspect="Content" ObjectID="_1468075727" r:id="rId44">
            <o:LockedField>false</o:LockedField>
          </o:OLEObject>
        </w:object>
      </w:r>
    </w:p>
    <w:p w14:paraId="7F690E61">
      <w:pPr>
        <w:adjustRightInd w:val="0"/>
        <w:snapToGrid w:val="0"/>
        <w:spacing w:line="360" w:lineRule="auto"/>
        <w:jc w:val="center"/>
        <w:rPr>
          <w:rFonts w:hint="default" w:ascii="Times New Roman" w:hAnsi="Times New Roman" w:cs="Times New Roman"/>
          <w:color w:val="auto"/>
          <w:szCs w:val="20"/>
          <w:highlight w:val="none"/>
        </w:rPr>
      </w:pPr>
      <w:r>
        <w:rPr>
          <w:rFonts w:hint="default" w:ascii="Times New Roman" w:hAnsi="Times New Roman" w:cs="Times New Roman"/>
          <w:b/>
          <w:color w:val="auto"/>
          <w:szCs w:val="21"/>
          <w:highlight w:val="none"/>
        </w:rPr>
        <w:t>图3.2-1  项目工艺流程及产污节点图</w:t>
      </w:r>
    </w:p>
    <w:p w14:paraId="002256E9">
      <w:pPr>
        <w:adjustRightInd w:val="0"/>
        <w:snapToGrid w:val="0"/>
        <w:spacing w:line="360" w:lineRule="auto"/>
        <w:ind w:firstLine="480" w:firstLineChars="200"/>
        <w:rPr>
          <w:rFonts w:hint="default" w:ascii="Times New Roman" w:hAnsi="Times New Roman" w:cs="Times New Roman"/>
          <w:color w:val="auto"/>
          <w:sz w:val="24"/>
          <w:highlight w:val="none"/>
        </w:rPr>
        <w:sectPr>
          <w:pgSz w:w="16840" w:h="11907" w:orient="landscape"/>
          <w:pgMar w:top="1531" w:right="1531" w:bottom="1797"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80E78D5">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rPr>
      </w:pPr>
      <w:bookmarkStart w:id="193" w:name="_Toc9706"/>
      <w:r>
        <w:rPr>
          <w:rStyle w:val="35"/>
          <w:rFonts w:hint="default" w:ascii="Times New Roman" w:hAnsi="Times New Roman" w:eastAsia="宋体" w:cs="Times New Roman"/>
          <w:color w:val="auto"/>
          <w:sz w:val="24"/>
          <w:szCs w:val="24"/>
          <w:highlight w:val="none"/>
        </w:rPr>
        <w:t>3.2.1饲养工艺</w:t>
      </w:r>
      <w:bookmarkEnd w:id="193"/>
    </w:p>
    <w:p w14:paraId="1A6E8BF7">
      <w:pPr>
        <w:adjustRightInd w:val="0"/>
        <w:snapToGrid w:val="0"/>
        <w:spacing w:line="360" w:lineRule="auto"/>
        <w:ind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rPr>
        <w:t>本项目仔猪由弥勒温氏畜牧有限公司新哨种猪场统一提供，为6kg重的优质仔猪，入场后进入保育舍保育</w:t>
      </w:r>
      <w:r>
        <w:rPr>
          <w:rFonts w:hint="default" w:ascii="Times New Roman" w:hAnsi="Times New Roman" w:cs="Times New Roman"/>
          <w:bCs/>
          <w:color w:val="auto"/>
          <w:sz w:val="24"/>
          <w:highlight w:val="none"/>
          <w:lang w:val="en-US" w:eastAsia="zh-CN"/>
        </w:rPr>
        <w:t>4</w:t>
      </w:r>
      <w:r>
        <w:rPr>
          <w:rFonts w:hint="default" w:ascii="Times New Roman" w:hAnsi="Times New Roman" w:cs="Times New Roman"/>
          <w:bCs/>
          <w:color w:val="auto"/>
          <w:sz w:val="24"/>
          <w:highlight w:val="none"/>
        </w:rPr>
        <w:t>0d左右达到约20kg重，再进入育肥舍，育肥期约1</w:t>
      </w:r>
      <w:r>
        <w:rPr>
          <w:rFonts w:hint="default"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rPr>
        <w:t>0d左右，育肥结束后成长到110~130kg重优质</w:t>
      </w:r>
      <w:r>
        <w:rPr>
          <w:rFonts w:hint="default" w:ascii="Times New Roman" w:hAnsi="Times New Roman" w:cs="Times New Roman"/>
          <w:bCs/>
          <w:color w:val="auto"/>
          <w:sz w:val="24"/>
          <w:highlight w:val="none"/>
          <w:lang w:val="en-US" w:eastAsia="zh-CN"/>
        </w:rPr>
        <w:t>后备母猪</w:t>
      </w:r>
      <w:r>
        <w:rPr>
          <w:rFonts w:hint="default" w:ascii="Times New Roman" w:hAnsi="Times New Roman" w:cs="Times New Roman"/>
          <w:bCs/>
          <w:color w:val="auto"/>
          <w:sz w:val="24"/>
          <w:highlight w:val="none"/>
        </w:rPr>
        <w:t>后，</w:t>
      </w:r>
      <w:r>
        <w:rPr>
          <w:rFonts w:hint="default" w:ascii="Times New Roman" w:hAnsi="Times New Roman" w:cs="Times New Roman"/>
          <w:bCs/>
          <w:color w:val="auto"/>
          <w:sz w:val="24"/>
          <w:highlight w:val="none"/>
          <w:lang w:val="en-US" w:eastAsia="zh-CN"/>
        </w:rPr>
        <w:t>部分外售给其他养殖场作为能繁母猪，其余部分输送给公司在云南省及相邻省份的其它能繁母猪养殖场更换淘汰的能繁母猪</w:t>
      </w:r>
      <w:r>
        <w:rPr>
          <w:rFonts w:hint="default" w:ascii="Times New Roman" w:hAnsi="Times New Roman" w:cs="Times New Roman"/>
          <w:bCs/>
          <w:color w:val="auto"/>
          <w:sz w:val="24"/>
          <w:highlight w:val="none"/>
        </w:rPr>
        <w:t>。整个生猪饲养过程需1</w:t>
      </w:r>
      <w:r>
        <w:rPr>
          <w:rFonts w:hint="default" w:ascii="Times New Roman" w:hAnsi="Times New Roman" w:cs="Times New Roman"/>
          <w:bCs/>
          <w:color w:val="auto"/>
          <w:sz w:val="24"/>
          <w:highlight w:val="none"/>
          <w:lang w:val="en-US" w:eastAsia="zh-CN"/>
        </w:rPr>
        <w:t>6</w:t>
      </w:r>
      <w:r>
        <w:rPr>
          <w:rFonts w:hint="default" w:ascii="Times New Roman" w:hAnsi="Times New Roman" w:cs="Times New Roman"/>
          <w:bCs/>
          <w:color w:val="auto"/>
          <w:sz w:val="24"/>
          <w:highlight w:val="none"/>
        </w:rPr>
        <w:t>0d左右，每栋猪舍出栏一批后进行一次清洗、消毒，空栏期约</w:t>
      </w:r>
      <w:r>
        <w:rPr>
          <w:rFonts w:hint="default" w:ascii="Times New Roman" w:hAnsi="Times New Roman" w:cs="Times New Roman"/>
          <w:bCs/>
          <w:color w:val="auto"/>
          <w:sz w:val="24"/>
          <w:highlight w:val="none"/>
          <w:lang w:val="en-US" w:eastAsia="zh-CN"/>
        </w:rPr>
        <w:t>22</w:t>
      </w:r>
      <w:r>
        <w:rPr>
          <w:rFonts w:hint="default" w:ascii="Times New Roman" w:hAnsi="Times New Roman" w:cs="Times New Roman"/>
          <w:bCs/>
          <w:color w:val="auto"/>
          <w:sz w:val="24"/>
          <w:highlight w:val="none"/>
        </w:rPr>
        <w:t>天，然后引入下一批育肥猪，每栋育肥猪舍每年两个批次总饲养天数约</w:t>
      </w:r>
      <w:r>
        <w:rPr>
          <w:rFonts w:hint="default" w:ascii="Times New Roman" w:hAnsi="Times New Roman" w:cs="Times New Roman"/>
          <w:bCs/>
          <w:color w:val="auto"/>
          <w:sz w:val="24"/>
          <w:highlight w:val="none"/>
          <w:lang w:val="en-US" w:eastAsia="zh-CN"/>
        </w:rPr>
        <w:t>320</w:t>
      </w:r>
      <w:r>
        <w:rPr>
          <w:rFonts w:hint="default" w:ascii="Times New Roman" w:hAnsi="Times New Roman" w:cs="Times New Roman"/>
          <w:bCs/>
          <w:color w:val="auto"/>
          <w:sz w:val="24"/>
          <w:highlight w:val="none"/>
        </w:rPr>
        <w:t>天。</w:t>
      </w:r>
      <w:r>
        <w:rPr>
          <w:rFonts w:hint="default" w:ascii="Times New Roman" w:hAnsi="Times New Roman" w:cs="Times New Roman"/>
          <w:bCs/>
          <w:color w:val="auto"/>
          <w:sz w:val="24"/>
          <w:highlight w:val="none"/>
          <w:lang w:val="en-US" w:eastAsia="zh-CN"/>
        </w:rPr>
        <w:t>项目区保育舍年保育4个批次，年清洗4次。</w:t>
      </w:r>
    </w:p>
    <w:p w14:paraId="006E5BA4">
      <w:pPr>
        <w:adjustRightInd w:val="0"/>
        <w:snapToGrid w:val="0"/>
        <w:spacing w:line="360" w:lineRule="auto"/>
        <w:ind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饲养过程生病猪于猪舍内单独进行隔离，病愈后送回猪栏进行饲养，期间病死猪只经冷库暂存后，委托弥勒市北斗星生物科技有限公司进厂清运，并进行无害化处理。</w:t>
      </w:r>
    </w:p>
    <w:p w14:paraId="1AE3FEC8">
      <w:pPr>
        <w:adjustRightInd w:val="0"/>
        <w:snapToGrid w:val="0"/>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1、饲料</w:t>
      </w:r>
    </w:p>
    <w:p w14:paraId="7207409B">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项目所需的饲料统一</w:t>
      </w:r>
      <w:r>
        <w:rPr>
          <w:rFonts w:hint="eastAsia" w:ascii="Times New Roman" w:hAnsi="Times New Roman" w:cs="Times New Roman"/>
          <w:color w:val="auto"/>
          <w:sz w:val="24"/>
          <w:szCs w:val="24"/>
          <w:lang w:eastAsia="zh-CN"/>
        </w:rPr>
        <w:t>由</w:t>
      </w:r>
      <w:r>
        <w:rPr>
          <w:rFonts w:hint="default" w:ascii="Times New Roman" w:hAnsi="Times New Roman" w:cs="Times New Roman"/>
          <w:color w:val="auto"/>
          <w:sz w:val="24"/>
          <w:szCs w:val="24"/>
          <w:lang w:val="en-US" w:eastAsia="zh-CN"/>
        </w:rPr>
        <w:t>集团饲料厂提供</w:t>
      </w:r>
      <w:r>
        <w:rPr>
          <w:rFonts w:hint="default" w:ascii="Times New Roman" w:hAnsi="Times New Roman" w:cs="Times New Roman"/>
          <w:color w:val="auto"/>
          <w:sz w:val="24"/>
          <w:szCs w:val="24"/>
        </w:rPr>
        <w:t>，并运至项目区内的饲料</w:t>
      </w:r>
      <w:r>
        <w:rPr>
          <w:rFonts w:hint="default" w:ascii="Times New Roman" w:hAnsi="Times New Roman" w:cs="Times New Roman"/>
          <w:color w:val="auto"/>
          <w:sz w:val="24"/>
          <w:szCs w:val="24"/>
          <w:lang w:val="en-US" w:eastAsia="zh-CN"/>
        </w:rPr>
        <w:t>中转料仓</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不在项目区进行饲料加工</w:t>
      </w:r>
      <w:r>
        <w:rPr>
          <w:rFonts w:hint="default" w:ascii="Times New Roman" w:hAnsi="Times New Roman" w:cs="Times New Roman"/>
          <w:color w:val="auto"/>
          <w:sz w:val="24"/>
          <w:szCs w:val="24"/>
        </w:rPr>
        <w:t>。</w:t>
      </w:r>
    </w:p>
    <w:p w14:paraId="1797DB54">
      <w:pPr>
        <w:adjustRightInd w:val="0"/>
        <w:snapToGrid w:val="0"/>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2、给料方式</w:t>
      </w:r>
    </w:p>
    <w:p w14:paraId="2A1C1B5F">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项目采用全自动配送上料系统和限位猪槽，机械化操作，定时定量供应饲料，保证猪只饮食需求，同时减少浪费，节约人力和饲料用量，降低生产成本，</w:t>
      </w:r>
      <w:r>
        <w:rPr>
          <w:rFonts w:hint="default" w:ascii="Times New Roman" w:hAnsi="Times New Roman" w:cs="Times New Roman"/>
          <w:color w:val="auto"/>
          <w:kern w:val="0"/>
          <w:sz w:val="24"/>
          <w:szCs w:val="24"/>
          <w:lang w:val="en-US" w:eastAsia="zh-CN" w:bidi="ar"/>
        </w:rPr>
        <w:t>通过厂区设置的饲料输送设施及</w:t>
      </w:r>
      <w:r>
        <w:rPr>
          <w:rFonts w:hint="default" w:ascii="Times New Roman" w:hAnsi="Times New Roman" w:eastAsia="宋体" w:cs="Times New Roman"/>
          <w:color w:val="auto"/>
          <w:kern w:val="0"/>
          <w:sz w:val="24"/>
          <w:szCs w:val="24"/>
          <w:lang w:val="en-US" w:eastAsia="zh-CN" w:bidi="ar"/>
        </w:rPr>
        <w:t>专用管道，</w:t>
      </w:r>
      <w:r>
        <w:rPr>
          <w:rFonts w:hint="default" w:ascii="Times New Roman" w:hAnsi="Times New Roman" w:cs="Times New Roman"/>
          <w:color w:val="auto"/>
          <w:kern w:val="0"/>
          <w:sz w:val="24"/>
          <w:szCs w:val="24"/>
          <w:lang w:val="en-US" w:eastAsia="zh-CN" w:bidi="ar"/>
        </w:rPr>
        <w:t>输送至养殖区封闭料塔内存储，</w:t>
      </w:r>
      <w:r>
        <w:rPr>
          <w:rFonts w:hint="eastAsia" w:ascii="Times New Roman" w:hAnsi="Times New Roman" w:cs="Times New Roman"/>
          <w:color w:val="auto"/>
          <w:kern w:val="0"/>
          <w:sz w:val="24"/>
          <w:szCs w:val="24"/>
          <w:lang w:val="en-US" w:eastAsia="zh-CN" w:bidi="ar"/>
        </w:rPr>
        <w:t>再</w:t>
      </w:r>
      <w:r>
        <w:rPr>
          <w:rFonts w:hint="default" w:ascii="Times New Roman" w:hAnsi="Times New Roman" w:cs="Times New Roman"/>
          <w:color w:val="auto"/>
          <w:kern w:val="0"/>
          <w:sz w:val="24"/>
          <w:szCs w:val="24"/>
          <w:lang w:val="en-US" w:eastAsia="zh-CN" w:bidi="ar"/>
        </w:rPr>
        <w:t>通过管道输送</w:t>
      </w:r>
      <w:r>
        <w:rPr>
          <w:rFonts w:hint="default" w:ascii="Times New Roman" w:hAnsi="Times New Roman" w:eastAsia="宋体" w:cs="Times New Roman"/>
          <w:color w:val="auto"/>
          <w:kern w:val="0"/>
          <w:sz w:val="24"/>
          <w:szCs w:val="24"/>
          <w:lang w:val="en-US" w:eastAsia="zh-CN" w:bidi="ar"/>
        </w:rPr>
        <w:t>到猪舍内各个圈栏的料槽中。饲料在运输、配送过程中，采用全密闭输送，无饲料粉尘产生。料罐</w:t>
      </w:r>
      <w:r>
        <w:rPr>
          <w:rFonts w:hint="default" w:ascii="Times New Roman" w:hAnsi="Times New Roman" w:cs="Times New Roman"/>
          <w:color w:val="auto"/>
          <w:kern w:val="0"/>
          <w:sz w:val="24"/>
          <w:szCs w:val="24"/>
          <w:lang w:val="en-US" w:eastAsia="zh-CN" w:bidi="ar"/>
        </w:rPr>
        <w:t>采用封闭式料罐</w:t>
      </w:r>
      <w:r>
        <w:rPr>
          <w:rFonts w:hint="default" w:ascii="Times New Roman" w:hAnsi="Times New Roman" w:eastAsia="宋体" w:cs="Times New Roman"/>
          <w:color w:val="auto"/>
          <w:kern w:val="0"/>
          <w:sz w:val="24"/>
          <w:szCs w:val="24"/>
          <w:lang w:val="en-US" w:eastAsia="zh-CN" w:bidi="ar"/>
        </w:rPr>
        <w:t>，无饲料粉尘产生。</w:t>
      </w:r>
    </w:p>
    <w:p w14:paraId="15E31973">
      <w:pPr>
        <w:adjustRightInd w:val="0"/>
        <w:snapToGrid w:val="0"/>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3、饮水方式</w:t>
      </w:r>
    </w:p>
    <w:p w14:paraId="399AF1A2">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采用鸭嘴式饮水器自动饮水。</w:t>
      </w:r>
    </w:p>
    <w:p w14:paraId="1AF57CAF">
      <w:pPr>
        <w:adjustRightInd w:val="0"/>
        <w:snapToGrid w:val="0"/>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4、采暖方式</w:t>
      </w:r>
    </w:p>
    <w:p w14:paraId="699E0912">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猪舍内采用电保温灯进行供暖。</w:t>
      </w:r>
    </w:p>
    <w:p w14:paraId="5154C59E">
      <w:pPr>
        <w:adjustRightInd w:val="0"/>
        <w:snapToGrid w:val="0"/>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5</w:t>
      </w:r>
      <w:r>
        <w:rPr>
          <w:rFonts w:hint="default" w:ascii="Times New Roman" w:hAnsi="Times New Roman" w:cs="Times New Roman"/>
          <w:b/>
          <w:color w:val="auto"/>
          <w:sz w:val="24"/>
          <w:szCs w:val="24"/>
        </w:rPr>
        <w:t>、通风方式</w:t>
      </w:r>
    </w:p>
    <w:p w14:paraId="4DAC2BC1">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highlight w:val="none"/>
          <w:lang w:val="en-US" w:eastAsia="zh-CN"/>
        </w:rPr>
        <w:t>每栋育肥舍</w:t>
      </w:r>
      <w:r>
        <w:rPr>
          <w:rFonts w:hint="eastAsia" w:ascii="Times New Roman" w:hAnsi="Times New Roman" w:cs="Times New Roman"/>
          <w:color w:val="auto"/>
          <w:sz w:val="24"/>
          <w:szCs w:val="24"/>
          <w:highlight w:val="none"/>
          <w:lang w:val="en-US" w:eastAsia="zh-CN"/>
        </w:rPr>
        <w:t>设置</w:t>
      </w:r>
      <w:r>
        <w:rPr>
          <w:rFonts w:hint="default" w:ascii="Times New Roman" w:hAnsi="Times New Roman" w:eastAsia="宋体" w:cs="Times New Roman"/>
          <w:color w:val="auto"/>
          <w:sz w:val="24"/>
          <w:szCs w:val="24"/>
          <w:highlight w:val="none"/>
          <w:lang w:val="en-US" w:eastAsia="zh-CN"/>
        </w:rPr>
        <w:t>4组换气风机，每组4个换气扇；每栋保育舍设置2组换气风机，每组4个换气扇。猪舍内部设置监控系统，当需要通风时，开启风机实现猪舍通风，</w:t>
      </w:r>
      <w:r>
        <w:rPr>
          <w:rFonts w:hint="default" w:ascii="Times New Roman" w:hAnsi="Times New Roman" w:eastAsia="宋体" w:cs="Times New Roman"/>
          <w:color w:val="auto"/>
          <w:sz w:val="24"/>
          <w:szCs w:val="24"/>
          <w:highlight w:val="none"/>
        </w:rPr>
        <w:t>以满足生猪养殖要求。</w:t>
      </w:r>
    </w:p>
    <w:p w14:paraId="52023F07">
      <w:pPr>
        <w:adjustRightInd w:val="0"/>
        <w:snapToGrid w:val="0"/>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6</w:t>
      </w:r>
      <w:r>
        <w:rPr>
          <w:rFonts w:hint="default" w:ascii="Times New Roman" w:hAnsi="Times New Roman" w:cs="Times New Roman"/>
          <w:b/>
          <w:color w:val="auto"/>
          <w:sz w:val="24"/>
          <w:szCs w:val="24"/>
        </w:rPr>
        <w:t>、光照</w:t>
      </w:r>
    </w:p>
    <w:p w14:paraId="0FF88995">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采用自然光照和辅助照明相结合。</w:t>
      </w:r>
    </w:p>
    <w:p w14:paraId="0111DA22">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lang w:val="en-US" w:eastAsia="zh-CN"/>
        </w:rPr>
      </w:pPr>
      <w:bookmarkStart w:id="194" w:name="_Toc13696"/>
      <w:r>
        <w:rPr>
          <w:rStyle w:val="35"/>
          <w:rFonts w:hint="default" w:ascii="Times New Roman" w:hAnsi="Times New Roman" w:eastAsia="宋体" w:cs="Times New Roman"/>
          <w:color w:val="auto"/>
          <w:sz w:val="24"/>
          <w:szCs w:val="24"/>
          <w:highlight w:val="none"/>
          <w:lang w:val="en-US" w:eastAsia="zh-CN"/>
        </w:rPr>
        <w:t>3.2.2消毒</w:t>
      </w:r>
      <w:bookmarkEnd w:id="194"/>
    </w:p>
    <w:p w14:paraId="1A23B4A6">
      <w:pPr>
        <w:pStyle w:val="43"/>
        <w:adjustRightInd w:val="0"/>
        <w:snapToGrid w:val="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养殖区消毒：对</w:t>
      </w:r>
      <w:r>
        <w:rPr>
          <w:rFonts w:hint="default" w:ascii="Times New Roman" w:hAnsi="Times New Roman" w:cs="Times New Roman"/>
          <w:color w:val="auto"/>
          <w:sz w:val="24"/>
          <w:szCs w:val="24"/>
          <w:lang w:val="en-US" w:eastAsia="zh-CN"/>
        </w:rPr>
        <w:t>猪舍</w:t>
      </w:r>
      <w:r>
        <w:rPr>
          <w:rFonts w:hint="default" w:ascii="Times New Roman" w:hAnsi="Times New Roman" w:cs="Times New Roman"/>
          <w:color w:val="auto"/>
          <w:sz w:val="24"/>
          <w:szCs w:val="24"/>
        </w:rPr>
        <w:t>、走道、</w:t>
      </w:r>
      <w:r>
        <w:rPr>
          <w:rFonts w:hint="default" w:ascii="Times New Roman" w:hAnsi="Times New Roman" w:cs="Times New Roman"/>
          <w:color w:val="auto"/>
          <w:sz w:val="24"/>
          <w:szCs w:val="24"/>
          <w:lang w:val="en-US" w:eastAsia="zh-CN"/>
        </w:rPr>
        <w:t>出猪走廊、厂区道路</w:t>
      </w:r>
      <w:r>
        <w:rPr>
          <w:rFonts w:hint="default" w:ascii="Times New Roman" w:hAnsi="Times New Roman" w:cs="Times New Roman"/>
          <w:color w:val="auto"/>
          <w:sz w:val="24"/>
          <w:szCs w:val="24"/>
        </w:rPr>
        <w:t>及粪便运输工具等定期清洗后喷洒消毒剂；猪舍周边采用喷雾消毒剂；定期使用消毒剂对猪体表实行喷雾消毒</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主要使用</w:t>
      </w:r>
      <w:r>
        <w:rPr>
          <w:rFonts w:hint="default" w:ascii="Times New Roman" w:hAnsi="Times New Roman" w:eastAsia="宋体" w:cs="Times New Roman"/>
          <w:b w:val="0"/>
          <w:bCs w:val="0"/>
          <w:color w:val="auto"/>
          <w:sz w:val="24"/>
          <w:szCs w:val="24"/>
          <w:lang w:val="en-US" w:eastAsia="zh-CN"/>
        </w:rPr>
        <w:t>戊二醛、</w:t>
      </w:r>
      <w:r>
        <w:rPr>
          <w:rFonts w:hint="default" w:ascii="Times New Roman" w:hAnsi="Times New Roman" w:cs="Times New Roman"/>
          <w:color w:val="auto"/>
          <w:sz w:val="24"/>
          <w:szCs w:val="24"/>
        </w:rPr>
        <w:t>卫可、疫灭佳</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生石灰、烧碱等消毒剂</w:t>
      </w:r>
      <w:r>
        <w:rPr>
          <w:rFonts w:hint="default" w:ascii="Times New Roman" w:hAnsi="Times New Roman" w:cs="Times New Roman"/>
          <w:color w:val="auto"/>
          <w:sz w:val="24"/>
          <w:szCs w:val="24"/>
        </w:rPr>
        <w:t>。</w:t>
      </w:r>
    </w:p>
    <w:p w14:paraId="26692696">
      <w:pPr>
        <w:snapToGrid w:val="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人员物资消毒：每栋猪舍出入口处设置人员消毒通道，采用雾化消毒。更衣换鞋制度：凡是进入养殖区的工作人员，一律更衣换鞋；其他物资消毒：养殖区主出入口设置主消毒室，凡进入养殖区的人员和物资都需要经过消毒，配套1个</w:t>
      </w:r>
      <w:r>
        <w:rPr>
          <w:rFonts w:hint="default" w:ascii="Times New Roman" w:hAnsi="Times New Roman" w:cs="Times New Roman"/>
          <w:color w:val="auto"/>
          <w:sz w:val="24"/>
          <w:szCs w:val="24"/>
          <w:lang w:val="en-US" w:eastAsia="zh-CN"/>
        </w:rPr>
        <w:t>喷雾消毒设施</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套高温消毒设备，1套臭氧消毒设备，物资根据不同类型进行消毒。</w:t>
      </w:r>
      <w:r>
        <w:rPr>
          <w:rFonts w:hint="default" w:ascii="Times New Roman" w:hAnsi="Times New Roman" w:cs="Times New Roman"/>
          <w:color w:val="auto"/>
          <w:sz w:val="24"/>
          <w:szCs w:val="24"/>
          <w:lang w:val="en-US" w:eastAsia="zh-CN"/>
        </w:rPr>
        <w:t>主要使用</w:t>
      </w:r>
      <w:r>
        <w:rPr>
          <w:rFonts w:hint="default" w:ascii="Times New Roman" w:hAnsi="Times New Roman" w:eastAsia="宋体" w:cs="Times New Roman"/>
          <w:color w:val="auto"/>
          <w:sz w:val="24"/>
          <w:szCs w:val="24"/>
          <w:lang w:val="en-US" w:eastAsia="zh-CN"/>
        </w:rPr>
        <w:t>75%的乙醇消毒液、卫可等消</w:t>
      </w:r>
      <w:r>
        <w:rPr>
          <w:rFonts w:hint="default" w:ascii="Times New Roman" w:hAnsi="Times New Roman" w:cs="Times New Roman"/>
          <w:color w:val="auto"/>
          <w:sz w:val="24"/>
          <w:szCs w:val="24"/>
          <w:lang w:val="en-US" w:eastAsia="zh-CN"/>
        </w:rPr>
        <w:t>毒剂</w:t>
      </w:r>
      <w:r>
        <w:rPr>
          <w:rFonts w:hint="default" w:ascii="Times New Roman" w:hAnsi="Times New Roman" w:cs="Times New Roman"/>
          <w:color w:val="auto"/>
          <w:sz w:val="24"/>
          <w:szCs w:val="24"/>
        </w:rPr>
        <w:t>。</w:t>
      </w:r>
    </w:p>
    <w:p w14:paraId="7912DAE3">
      <w:pPr>
        <w:snapToGrid w:val="0"/>
        <w:spacing w:line="360" w:lineRule="auto"/>
        <w:ind w:firstLine="480" w:firstLineChars="200"/>
        <w:rPr>
          <w:rFonts w:hint="default" w:ascii="Times New Roman" w:hAnsi="Times New Roman" w:cs="Times New Roman"/>
          <w:b/>
          <w:color w:val="auto"/>
          <w:sz w:val="24"/>
          <w:szCs w:val="24"/>
          <w:lang w:val="en-US" w:eastAsia="zh-CN"/>
        </w:rPr>
      </w:pP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车辆消毒：</w:t>
      </w:r>
      <w:r>
        <w:rPr>
          <w:rFonts w:hint="default" w:ascii="Times New Roman" w:hAnsi="Times New Roman" w:eastAsia="宋体" w:cs="Times New Roman"/>
          <w:color w:val="auto"/>
          <w:spacing w:val="-2"/>
          <w:kern w:val="2"/>
          <w:sz w:val="24"/>
          <w:szCs w:val="24"/>
          <w:lang w:val="en-US" w:eastAsia="zh-CN" w:bidi="ar-SA"/>
        </w:rPr>
        <w:t>建设单位在厂区入口处设置来往车辆洗消房和烘干房，进入养殖区车辆经</w:t>
      </w:r>
      <w:r>
        <w:rPr>
          <w:rFonts w:hint="default" w:ascii="Times New Roman" w:hAnsi="Times New Roman" w:cs="Times New Roman"/>
          <w:color w:val="auto"/>
          <w:spacing w:val="-2"/>
          <w:kern w:val="2"/>
          <w:sz w:val="24"/>
          <w:szCs w:val="24"/>
          <w:lang w:val="en-US" w:eastAsia="zh-CN" w:bidi="ar-SA"/>
        </w:rPr>
        <w:t>清洗+</w:t>
      </w:r>
      <w:r>
        <w:rPr>
          <w:rFonts w:hint="default" w:ascii="Times New Roman" w:hAnsi="Times New Roman" w:eastAsia="宋体" w:cs="Times New Roman"/>
          <w:color w:val="auto"/>
          <w:spacing w:val="-2"/>
          <w:kern w:val="2"/>
          <w:sz w:val="24"/>
          <w:szCs w:val="24"/>
          <w:lang w:val="en-US" w:eastAsia="zh-CN" w:bidi="ar-SA"/>
        </w:rPr>
        <w:t>消毒+烘干后方可进入养殖场内部。</w:t>
      </w:r>
      <w:r>
        <w:rPr>
          <w:rFonts w:hint="default" w:ascii="Times New Roman" w:hAnsi="Times New Roman" w:cs="Times New Roman"/>
          <w:color w:val="auto"/>
          <w:spacing w:val="-2"/>
          <w:kern w:val="2"/>
          <w:sz w:val="24"/>
          <w:szCs w:val="24"/>
          <w:lang w:val="en-US" w:eastAsia="zh-CN" w:bidi="ar-SA"/>
        </w:rPr>
        <w:t>车辆</w:t>
      </w:r>
      <w:r>
        <w:rPr>
          <w:rFonts w:hint="default" w:ascii="Times New Roman" w:hAnsi="Times New Roman" w:eastAsia="宋体" w:cs="Times New Roman"/>
          <w:color w:val="auto"/>
          <w:spacing w:val="-2"/>
          <w:kern w:val="2"/>
          <w:sz w:val="24"/>
          <w:szCs w:val="24"/>
          <w:lang w:val="en-US" w:eastAsia="zh-CN" w:bidi="ar-SA"/>
        </w:rPr>
        <w:t>先用高压水枪对车辆高压冲洗干净，</w:t>
      </w:r>
      <w:r>
        <w:rPr>
          <w:rFonts w:hint="eastAsia" w:ascii="Times New Roman" w:hAnsi="Times New Roman" w:cs="Times New Roman"/>
          <w:color w:val="auto"/>
          <w:spacing w:val="-2"/>
          <w:kern w:val="2"/>
          <w:sz w:val="24"/>
          <w:szCs w:val="24"/>
          <w:lang w:val="en-US" w:eastAsia="zh-CN" w:bidi="ar-SA"/>
        </w:rPr>
        <w:t>再</w:t>
      </w:r>
      <w:r>
        <w:rPr>
          <w:rFonts w:hint="default" w:ascii="Times New Roman" w:hAnsi="Times New Roman" w:eastAsia="宋体" w:cs="Times New Roman"/>
          <w:color w:val="auto"/>
          <w:spacing w:val="-2"/>
          <w:kern w:val="2"/>
          <w:sz w:val="24"/>
          <w:szCs w:val="24"/>
          <w:lang w:val="en-US" w:eastAsia="zh-CN" w:bidi="ar-SA"/>
        </w:rPr>
        <w:t>使用1:200的过硫酸氢钾溶液进行喷雾消毒</w:t>
      </w:r>
      <w:r>
        <w:rPr>
          <w:rFonts w:hint="default" w:ascii="Times New Roman" w:hAnsi="Times New Roman" w:cs="Times New Roman"/>
          <w:color w:val="auto"/>
          <w:spacing w:val="-2"/>
          <w:kern w:val="2"/>
          <w:sz w:val="24"/>
          <w:szCs w:val="24"/>
          <w:lang w:val="en-US" w:eastAsia="zh-CN" w:bidi="ar-SA"/>
        </w:rPr>
        <w:t>，</w:t>
      </w:r>
      <w:r>
        <w:rPr>
          <w:rFonts w:hint="eastAsia" w:ascii="Times New Roman" w:hAnsi="Times New Roman" w:cs="Times New Roman"/>
          <w:color w:val="auto"/>
          <w:spacing w:val="-2"/>
          <w:kern w:val="2"/>
          <w:sz w:val="24"/>
          <w:szCs w:val="24"/>
          <w:lang w:val="en-US" w:eastAsia="zh-CN" w:bidi="ar-SA"/>
        </w:rPr>
        <w:t>再</w:t>
      </w:r>
      <w:r>
        <w:rPr>
          <w:rFonts w:hint="default" w:ascii="Times New Roman" w:hAnsi="Times New Roman" w:cs="Times New Roman"/>
          <w:color w:val="auto"/>
          <w:spacing w:val="-2"/>
          <w:kern w:val="2"/>
          <w:sz w:val="24"/>
          <w:szCs w:val="24"/>
          <w:lang w:val="en-US" w:eastAsia="zh-CN" w:bidi="ar-SA"/>
        </w:rPr>
        <w:t>进行天然气烘干器烘干。车辆清洗废水收集至沉淀池后，进入废水收集池与其他生产废水一并处置。</w:t>
      </w:r>
    </w:p>
    <w:p w14:paraId="15E26C87">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195" w:name="_Toc32206"/>
      <w:r>
        <w:rPr>
          <w:rStyle w:val="35"/>
          <w:rFonts w:hint="default" w:ascii="Times New Roman" w:hAnsi="Times New Roman" w:eastAsia="宋体" w:cs="Times New Roman"/>
          <w:color w:val="auto"/>
          <w:sz w:val="24"/>
          <w:szCs w:val="24"/>
          <w:highlight w:val="none"/>
          <w:lang w:val="en-US" w:eastAsia="zh-CN"/>
        </w:rPr>
        <w:t>3.2.3</w:t>
      </w:r>
      <w:r>
        <w:rPr>
          <w:rStyle w:val="35"/>
          <w:rFonts w:hint="default" w:ascii="Times New Roman" w:hAnsi="Times New Roman" w:eastAsia="宋体" w:cs="Times New Roman"/>
          <w:color w:val="auto"/>
          <w:sz w:val="24"/>
          <w:szCs w:val="24"/>
          <w:highlight w:val="none"/>
        </w:rPr>
        <w:t>防疫</w:t>
      </w:r>
      <w:bookmarkEnd w:id="195"/>
    </w:p>
    <w:p w14:paraId="0877037E">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卫生防疫是规模化猪场的生命线，也是规模化猪场成败的关键点。因此，项目应建立完善的疫病防疫体系，做好疫病控制与净化工作。</w:t>
      </w:r>
    </w:p>
    <w:p w14:paraId="57CEE238">
      <w:pPr>
        <w:snapToGrid/>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 xml:space="preserve">1、建立完善的生物安全体系 </w:t>
      </w:r>
    </w:p>
    <w:p w14:paraId="6399879D">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 xml:space="preserve">（1）生活区、生产区、环保区严格分开。 </w:t>
      </w:r>
    </w:p>
    <w:p w14:paraId="727B9879">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（2）建立严格的防疫屏障，厂区大门入口设置消毒通道，生产区、生活区均建立喷雾消毒设施，严禁场外人员和车辆进入生产区，生产人员互不流窜，做到净污分道。</w:t>
      </w:r>
    </w:p>
    <w:p w14:paraId="079737E0">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 xml:space="preserve">（3）种猪、保育猪分点分区进行防疫工作。 </w:t>
      </w:r>
    </w:p>
    <w:p w14:paraId="5CA3F46F">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 xml:space="preserve">（4）猪舍定期进行灭蝇、灭蚊、灭鼠工作，切断疾病传播媒介。 </w:t>
      </w:r>
    </w:p>
    <w:p w14:paraId="7CE96648">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 xml:space="preserve">（5）设置隔离舍，对可疑病猪进行隔离饲养。 </w:t>
      </w:r>
    </w:p>
    <w:p w14:paraId="3C1C6C76">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（6）对病死猪严格实行无害化处理。</w:t>
      </w:r>
    </w:p>
    <w:p w14:paraId="15ABC220">
      <w:pPr>
        <w:snapToGrid/>
        <w:spacing w:line="360" w:lineRule="auto"/>
        <w:ind w:firstLine="482"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bCs/>
          <w:color w:val="auto"/>
          <w:sz w:val="24"/>
          <w:szCs w:val="24"/>
          <w:lang w:val="en-US" w:eastAsia="zh-CN"/>
        </w:rPr>
        <w:t>2、加强防疫工作</w:t>
      </w:r>
      <w:r>
        <w:rPr>
          <w:rFonts w:hint="default" w:ascii="Times New Roman" w:hAnsi="Times New Roman" w:cs="Times New Roman"/>
          <w:b w:val="0"/>
          <w:bCs w:val="0"/>
          <w:color w:val="auto"/>
          <w:sz w:val="24"/>
          <w:szCs w:val="24"/>
          <w:lang w:val="en-US" w:eastAsia="zh-CN"/>
        </w:rPr>
        <w:t xml:space="preserve"> </w:t>
      </w:r>
    </w:p>
    <w:p w14:paraId="449C5B41">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 xml:space="preserve">（1）做好消毒灭源工作，加强进入生产区人员的消毒工作；定期进行猪场环境消毒，平时做好空栏清洗和彻底消毒，空栏一周以上再进猪。 </w:t>
      </w:r>
    </w:p>
    <w:p w14:paraId="58ABA1E9">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（2）加强免疫工作，制定科学合理的免疫程序，严格按照免疫程序进行免疫接种，特别是做好猪瘟、口蹄疫、伪狂犬、蓝耳病、细小病毒、乙脑、传染性胃肠炎等病毒性疾病的免疫。</w:t>
      </w:r>
    </w:p>
    <w:p w14:paraId="769FEA9F">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（3）抓好疫病监测，严格实施主要疫病控制与净化工作实施方案，做好检测工作，对生产性能低</w:t>
      </w:r>
      <w:r>
        <w:rPr>
          <w:rFonts w:hint="eastAsia" w:ascii="Times New Roman" w:hAnsi="Times New Roman" w:cs="Times New Roman"/>
          <w:b w:val="0"/>
          <w:bCs w:val="0"/>
          <w:color w:val="auto"/>
          <w:sz w:val="24"/>
          <w:szCs w:val="24"/>
          <w:lang w:val="en-US" w:eastAsia="zh-CN"/>
        </w:rPr>
        <w:t>，或者</w:t>
      </w:r>
      <w:r>
        <w:rPr>
          <w:rFonts w:hint="default" w:ascii="Times New Roman" w:hAnsi="Times New Roman" w:cs="Times New Roman"/>
          <w:b w:val="0"/>
          <w:bCs w:val="0"/>
          <w:color w:val="auto"/>
          <w:sz w:val="24"/>
          <w:szCs w:val="24"/>
          <w:lang w:val="en-US" w:eastAsia="zh-CN"/>
        </w:rPr>
        <w:t>发病的种猪进行病原外观检查；每年定期开展抗体检测，根据抗体水平变化情况，及时制定完善合理的免疫程序。</w:t>
      </w:r>
    </w:p>
    <w:p w14:paraId="7A08683D">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（4）做好常规保健工作，根据不同季节猪病的流行情况，有针对性地进行保健投药，进一步增强猪群的抵抗力。</w:t>
      </w:r>
    </w:p>
    <w:p w14:paraId="0CA29181">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（6）做好种猪生产的档案管理。</w:t>
      </w:r>
    </w:p>
    <w:p w14:paraId="22A8C2F9">
      <w:pPr>
        <w:snapToGrid/>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3、检疫管理制度</w:t>
      </w:r>
    </w:p>
    <w:p w14:paraId="14981644">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（1）养猪场配备专业的检疫人员，负责养猪场的疫病检疫管理工作，同时按照国家和地方相关法律法规的要求，进行管理和监督，保证检疫工作的有效性和合法性。</w:t>
      </w:r>
    </w:p>
    <w:p w14:paraId="1BE1BD76">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（2）建立健全的疫病防控系统，包括定期对猪群进行体检和疫苗接种，定期对养殖设施进行消毒。</w:t>
      </w:r>
    </w:p>
    <w:p w14:paraId="084C71D0">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（3）养猪场应当建立猪群健康档案，记录猪群的生长发育情况、死亡率、患病率等信息，以便进行疫病防控和溯源管理。</w:t>
      </w:r>
    </w:p>
    <w:p w14:paraId="786DB903">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（4）加强对疫病的监测和预警，一旦发现疫情，应当立即报告相关部门，并采取有效的控制措施，确保疫情不扩散。</w:t>
      </w:r>
    </w:p>
    <w:p w14:paraId="60EEB682">
      <w:pPr>
        <w:snapToGrid/>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（5）依法定期进行疫病检疫，并及时向相关部门申报检疫结果，履行检疫手续。</w:t>
      </w:r>
    </w:p>
    <w:p w14:paraId="4E2F518B">
      <w:pPr>
        <w:snapToGrid/>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（6）严格执行动物防疫法律法规的规定，不得私自购买或运输未经检疫的猪种，不得私</w:t>
      </w:r>
      <w:r>
        <w:rPr>
          <w:rFonts w:hint="default" w:ascii="Times New Roman" w:hAnsi="Times New Roman" w:eastAsia="宋体" w:cs="Times New Roman"/>
          <w:b w:val="0"/>
          <w:bCs w:val="0"/>
          <w:color w:val="auto"/>
          <w:sz w:val="24"/>
          <w:szCs w:val="24"/>
          <w:lang w:val="en-US" w:eastAsia="zh-CN"/>
        </w:rPr>
        <w:t>自转移或销售未经检疫的猪群。</w:t>
      </w:r>
    </w:p>
    <w:p w14:paraId="49ED855C">
      <w:pPr>
        <w:snapToGrid/>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（7）建立健全的检疫档案，保留检疫记录和相关证明材料，接受政府部门的</w:t>
      </w:r>
      <w:r>
        <w:rPr>
          <w:rFonts w:hint="eastAsia" w:cs="Times New Roman"/>
          <w:b w:val="0"/>
          <w:bCs w:val="0"/>
          <w:color w:val="auto"/>
          <w:sz w:val="24"/>
          <w:szCs w:val="24"/>
          <w:lang w:val="en-US" w:eastAsia="zh-CN"/>
        </w:rPr>
        <w:t>检查和</w:t>
      </w:r>
      <w:r>
        <w:rPr>
          <w:rFonts w:hint="default" w:ascii="Times New Roman" w:hAnsi="Times New Roman" w:eastAsia="宋体" w:cs="Times New Roman"/>
          <w:b w:val="0"/>
          <w:bCs w:val="0"/>
          <w:color w:val="auto"/>
          <w:sz w:val="24"/>
          <w:szCs w:val="24"/>
          <w:lang w:val="en-US" w:eastAsia="zh-CN"/>
        </w:rPr>
        <w:t>监督。</w:t>
      </w:r>
    </w:p>
    <w:p w14:paraId="47653AC9">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196" w:name="_Toc21989"/>
      <w:r>
        <w:rPr>
          <w:rStyle w:val="35"/>
          <w:rFonts w:hint="default" w:ascii="Times New Roman" w:hAnsi="Times New Roman" w:eastAsia="宋体" w:cs="Times New Roman"/>
          <w:color w:val="auto"/>
          <w:sz w:val="24"/>
          <w:szCs w:val="24"/>
          <w:highlight w:val="none"/>
        </w:rPr>
        <w:t>3.2.</w:t>
      </w:r>
      <w:r>
        <w:rPr>
          <w:rStyle w:val="35"/>
          <w:rFonts w:hint="default" w:ascii="Times New Roman" w:hAnsi="Times New Roman" w:eastAsia="宋体" w:cs="Times New Roman"/>
          <w:color w:val="auto"/>
          <w:sz w:val="24"/>
          <w:szCs w:val="24"/>
          <w:highlight w:val="none"/>
          <w:lang w:val="en-US" w:eastAsia="zh-CN"/>
        </w:rPr>
        <w:t>4</w:t>
      </w:r>
      <w:r>
        <w:rPr>
          <w:rStyle w:val="35"/>
          <w:rFonts w:hint="default" w:ascii="Times New Roman" w:hAnsi="Times New Roman" w:eastAsia="宋体" w:cs="Times New Roman"/>
          <w:color w:val="auto"/>
          <w:sz w:val="24"/>
          <w:szCs w:val="24"/>
          <w:highlight w:val="none"/>
        </w:rPr>
        <w:t>粪污处理工艺</w:t>
      </w:r>
      <w:bookmarkEnd w:id="196"/>
    </w:p>
    <w:p w14:paraId="77349F34">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bidi="zh-CN"/>
        </w:rPr>
        <w:t>本项目</w:t>
      </w:r>
      <w:r>
        <w:rPr>
          <w:rFonts w:hint="default" w:ascii="Times New Roman" w:hAnsi="Times New Roman" w:cs="Times New Roman"/>
          <w:color w:val="auto"/>
          <w:sz w:val="24"/>
          <w:szCs w:val="24"/>
          <w:highlight w:val="none"/>
          <w:lang w:bidi="zh-CN"/>
        </w:rPr>
        <w:t>猪舍内设置漏粪地板，孔径约20mm，猪粪和尿液通过漏粪地板进入猪舍下方设置的粪尿收集池</w:t>
      </w:r>
      <w:r>
        <w:rPr>
          <w:rFonts w:hint="default" w:ascii="Times New Roman" w:hAnsi="Times New Roman" w:cs="Times New Roman"/>
          <w:color w:val="auto"/>
          <w:sz w:val="24"/>
          <w:szCs w:val="24"/>
          <w:highlight w:val="none"/>
          <w:lang w:val="en-US" w:bidi="zh-CN"/>
        </w:rPr>
        <w:t>，</w:t>
      </w:r>
      <w:r>
        <w:rPr>
          <w:rFonts w:hint="default" w:ascii="Times New Roman" w:hAnsi="Times New Roman" w:cs="Times New Roman"/>
          <w:color w:val="auto"/>
          <w:sz w:val="24"/>
          <w:szCs w:val="24"/>
          <w:lang w:bidi="zh-CN"/>
        </w:rPr>
        <w:t>猪舍日常不清洗，仅在空栏期进行冲洗，</w:t>
      </w:r>
      <w:r>
        <w:rPr>
          <w:rFonts w:hint="default" w:ascii="Times New Roman" w:hAnsi="Times New Roman" w:cs="Times New Roman"/>
          <w:color w:val="auto"/>
          <w:sz w:val="24"/>
          <w:szCs w:val="24"/>
          <w:highlight w:val="none"/>
          <w:lang w:bidi="zh-CN"/>
        </w:rPr>
        <w:t>粪尿收集池</w:t>
      </w:r>
      <w:r>
        <w:rPr>
          <w:rFonts w:hint="default" w:ascii="Times New Roman" w:hAnsi="Times New Roman" w:eastAsia="宋体" w:cs="Times New Roman"/>
          <w:color w:val="auto"/>
          <w:kern w:val="0"/>
          <w:sz w:val="24"/>
          <w:szCs w:val="24"/>
          <w:highlight w:val="none"/>
          <w:lang w:val="en-US" w:eastAsia="zh-CN" w:bidi="ar"/>
        </w:rPr>
        <w:t>底部设计成一端高一端低的倾斜结构，排污阀最低端，</w:t>
      </w:r>
      <w:r>
        <w:rPr>
          <w:rFonts w:hint="default" w:ascii="Times New Roman" w:hAnsi="Times New Roman" w:cs="Times New Roman"/>
          <w:color w:val="auto"/>
          <w:sz w:val="24"/>
          <w:szCs w:val="24"/>
          <w:highlight w:val="none"/>
          <w:lang w:bidi="zh-CN"/>
        </w:rPr>
        <w:t>连接PVC排污管，</w:t>
      </w:r>
      <w:r>
        <w:rPr>
          <w:rFonts w:hint="default" w:ascii="Times New Roman" w:hAnsi="Times New Roman" w:eastAsia="宋体" w:cs="Times New Roman"/>
          <w:color w:val="auto"/>
          <w:kern w:val="0"/>
          <w:sz w:val="24"/>
          <w:szCs w:val="24"/>
          <w:lang w:val="en-US" w:eastAsia="zh-CN" w:bidi="ar"/>
        </w:rPr>
        <w:t>排空时粪尿依靠储存池底部坡度排入污水输送管网</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bidi="zh-CN"/>
        </w:rPr>
        <w:t>尿液和粪便混合物</w:t>
      </w:r>
      <w:r>
        <w:rPr>
          <w:rFonts w:hint="default" w:ascii="Times New Roman" w:hAnsi="Times New Roman" w:cs="Times New Roman"/>
          <w:color w:val="auto"/>
          <w:sz w:val="24"/>
          <w:szCs w:val="24"/>
          <w:lang w:val="en-US" w:bidi="zh-CN"/>
        </w:rPr>
        <w:t>经污水管道输送</w:t>
      </w:r>
      <w:r>
        <w:rPr>
          <w:rFonts w:hint="default" w:ascii="Times New Roman" w:hAnsi="Times New Roman" w:cs="Times New Roman"/>
          <w:color w:val="auto"/>
          <w:sz w:val="24"/>
          <w:szCs w:val="24"/>
          <w:lang w:bidi="zh-CN"/>
        </w:rPr>
        <w:t>至固液分离设备进行固液分离，</w:t>
      </w:r>
      <w:r>
        <w:rPr>
          <w:rFonts w:hint="default" w:ascii="Times New Roman" w:hAnsi="Times New Roman" w:cs="Times New Roman"/>
          <w:bCs/>
          <w:color w:val="auto"/>
          <w:sz w:val="24"/>
          <w:szCs w:val="24"/>
        </w:rPr>
        <w:t>固液分离后的固体粪便直接进行堆肥处置，尿液则通过</w:t>
      </w:r>
      <w:r>
        <w:rPr>
          <w:rFonts w:hint="default" w:ascii="Times New Roman" w:hAnsi="Times New Roman" w:cs="Times New Roman"/>
          <w:bCs/>
          <w:color w:val="auto"/>
          <w:sz w:val="24"/>
          <w:szCs w:val="24"/>
          <w:lang w:val="en-US" w:eastAsia="zh-CN"/>
        </w:rPr>
        <w:t>污水</w:t>
      </w:r>
      <w:r>
        <w:rPr>
          <w:rFonts w:hint="default" w:ascii="Times New Roman" w:hAnsi="Times New Roman" w:cs="Times New Roman"/>
          <w:bCs/>
          <w:color w:val="auto"/>
          <w:sz w:val="24"/>
          <w:szCs w:val="24"/>
        </w:rPr>
        <w:t>管道进入</w:t>
      </w:r>
      <w:r>
        <w:rPr>
          <w:rFonts w:hint="default" w:ascii="Times New Roman" w:hAnsi="Times New Roman" w:cs="Times New Roman"/>
          <w:bCs/>
          <w:color w:val="auto"/>
          <w:sz w:val="24"/>
          <w:szCs w:val="24"/>
          <w:lang w:val="en-US" w:eastAsia="zh-CN"/>
        </w:rPr>
        <w:t>污水处理站</w:t>
      </w:r>
      <w:r>
        <w:rPr>
          <w:rFonts w:hint="default" w:ascii="Times New Roman" w:hAnsi="Times New Roman" w:cs="Times New Roman"/>
          <w:color w:val="auto"/>
          <w:sz w:val="24"/>
          <w:szCs w:val="24"/>
          <w:lang w:bidi="zh-CN"/>
        </w:rPr>
        <w:t>，</w:t>
      </w:r>
      <w:r>
        <w:rPr>
          <w:rFonts w:hint="default" w:ascii="Times New Roman" w:hAnsi="Times New Roman" w:cs="Times New Roman"/>
          <w:color w:val="auto"/>
          <w:sz w:val="24"/>
          <w:szCs w:val="24"/>
        </w:rPr>
        <w:t>工艺如下：</w:t>
      </w:r>
    </w:p>
    <w:p w14:paraId="31D5074F">
      <w:pPr>
        <w:snapToGrid w:val="0"/>
        <w:rPr>
          <w:rFonts w:hint="default" w:ascii="Times New Roman" w:hAnsi="Times New Roman" w:cs="Times New Roman"/>
          <w:color w:val="auto"/>
          <w:lang w:bidi="zh-CN"/>
        </w:rPr>
      </w:pPr>
      <w:r>
        <w:rPr>
          <w:rFonts w:hint="default" w:ascii="Times New Roman" w:hAnsi="Times New Roman" w:cs="Times New Roman"/>
          <w:color w:val="auto"/>
        </w:rPr>
        <w:drawing>
          <wp:inline distT="0" distB="0" distL="114300" distR="114300">
            <wp:extent cx="5446395" cy="3049270"/>
            <wp:effectExtent l="0" t="0" r="1905" b="17780"/>
            <wp:docPr id="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
                    <pic:cNvPicPr>
                      <a:picLocks noChangeAspect="1"/>
                    </pic:cNvPicPr>
                  </pic:nvPicPr>
                  <pic:blipFill>
                    <a:blip r:embed="rId46"/>
                    <a:stretch>
                      <a:fillRect/>
                    </a:stretch>
                  </pic:blipFill>
                  <pic:spPr>
                    <a:xfrm>
                      <a:off x="0" y="0"/>
                      <a:ext cx="5446395" cy="3049270"/>
                    </a:xfrm>
                    <a:prstGeom prst="rect">
                      <a:avLst/>
                    </a:prstGeom>
                    <a:noFill/>
                    <a:ln>
                      <a:noFill/>
                    </a:ln>
                  </pic:spPr>
                </pic:pic>
              </a:graphicData>
            </a:graphic>
          </wp:inline>
        </w:drawing>
      </w:r>
    </w:p>
    <w:p w14:paraId="6B331FD9">
      <w:pPr>
        <w:pStyle w:val="62"/>
        <w:spacing w:line="360" w:lineRule="auto"/>
        <w:ind w:left="0" w:leftChars="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图3.2-2  本项目清粪工艺</w:t>
      </w:r>
    </w:p>
    <w:p w14:paraId="568E551D">
      <w:pPr>
        <w:snapToGrid w:val="0"/>
        <w:spacing w:line="360" w:lineRule="auto"/>
        <w:ind w:firstLine="482"/>
        <w:rPr>
          <w:rFonts w:hint="default" w:ascii="Times New Roman" w:hAnsi="Times New Roman" w:cs="Times New Roman"/>
          <w:color w:val="auto"/>
          <w:sz w:val="24"/>
          <w:szCs w:val="24"/>
          <w:lang w:bidi="zh-CN"/>
        </w:rPr>
      </w:pPr>
      <w:r>
        <w:rPr>
          <w:rFonts w:hint="default" w:ascii="Times New Roman" w:hAnsi="Times New Roman" w:cs="Times New Roman"/>
          <w:color w:val="auto"/>
          <w:sz w:val="24"/>
          <w:szCs w:val="24"/>
          <w:lang w:bidi="zh-CN"/>
        </w:rPr>
        <w:t>经查阅环保部办公厅“关于牧原食品股份有限公司部分养殖场清粪工艺问题的复函”（环办函</w:t>
      </w:r>
      <w:r>
        <w:rPr>
          <w:rFonts w:hint="eastAsia" w:ascii="Times New Roman" w:hAnsi="Times New Roman" w:cs="Times New Roman"/>
          <w:color w:val="auto"/>
          <w:sz w:val="24"/>
          <w:szCs w:val="24"/>
          <w:lang w:bidi="zh-CN"/>
        </w:rPr>
        <w:t>〔2015〕425号</w:t>
      </w:r>
      <w:r>
        <w:rPr>
          <w:rFonts w:hint="default" w:ascii="Times New Roman" w:hAnsi="Times New Roman" w:cs="Times New Roman"/>
          <w:color w:val="auto"/>
          <w:sz w:val="24"/>
          <w:szCs w:val="24"/>
          <w:lang w:bidi="zh-CN"/>
        </w:rPr>
        <w:t>），该项目清粪方式为：粪尿进入收集池，再进行固液分离，分离后固体粪便进行堆肥，分离废液进行厌氧发酵处理。</w:t>
      </w:r>
    </w:p>
    <w:p w14:paraId="7AF2D4E9">
      <w:pPr>
        <w:snapToGrid w:val="0"/>
        <w:spacing w:line="360" w:lineRule="auto"/>
        <w:ind w:firstLine="482"/>
        <w:rPr>
          <w:rFonts w:hint="default" w:ascii="Times New Roman" w:hAnsi="Times New Roman" w:cs="Times New Roman"/>
          <w:b/>
          <w:color w:val="auto"/>
          <w:sz w:val="24"/>
          <w:szCs w:val="24"/>
        </w:rPr>
      </w:pPr>
      <w:r>
        <w:rPr>
          <w:rFonts w:hint="default" w:ascii="Times New Roman" w:hAnsi="Times New Roman" w:cs="Times New Roman"/>
          <w:color w:val="auto"/>
          <w:sz w:val="24"/>
          <w:szCs w:val="24"/>
          <w:lang w:bidi="zh-CN"/>
        </w:rPr>
        <w:t>“复函”明确指出：“牧原食品股份有限公司部分养殖场所采用的清粪工艺不将清水用于圈舍粪尿日常清理，粪尿产生即依靠重力离开猪舍进入储存池，大大减少了粪污产生量，并实现粪尿及时清理；粪污离开储存池即进行干湿分离和无害化并全部实现综合利用，没有混合排出。该清粪工艺具备干清粪工艺基本特征，符合相关技术规范的要求。”本项目清粪方式与该项目一致，因此，项目清粪方式符合“干清粪”要求。</w:t>
      </w:r>
    </w:p>
    <w:p w14:paraId="37F15742">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firstLine="482"/>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废水处理</w:t>
      </w:r>
    </w:p>
    <w:p w14:paraId="606E17C1">
      <w:pPr>
        <w:pStyle w:val="11"/>
        <w:keepNext w:val="0"/>
        <w:keepLines w:val="0"/>
        <w:pageBreakBefore w:val="0"/>
        <w:widowControl w:val="0"/>
        <w:kinsoku/>
        <w:wordWrap/>
        <w:overflowPunct/>
        <w:topLinePunct w:val="0"/>
        <w:autoSpaceDE/>
        <w:autoSpaceDN/>
        <w:bidi w:val="0"/>
        <w:adjustRightInd/>
        <w:snapToGrid/>
        <w:spacing w:after="0" w:line="360" w:lineRule="auto"/>
        <w:ind w:left="40" w:right="28" w:firstLine="476"/>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highlight w:val="none"/>
          <w:lang w:val="en-US" w:eastAsia="zh-CN"/>
        </w:rPr>
        <w:t>经固液分离后的废水进入1000m³废水收集池，通过管道输送至</w:t>
      </w:r>
      <w:r>
        <w:rPr>
          <w:rFonts w:hint="default" w:ascii="Times New Roman" w:hAnsi="Times New Roman" w:cs="Times New Roman"/>
          <w:color w:val="auto"/>
          <w:sz w:val="24"/>
          <w:highlight w:val="none"/>
          <w:lang w:val="en-US" w:eastAsia="zh-CN"/>
        </w:rPr>
        <mc:AlternateContent>
          <mc:Choice Requires="wps">
            <w:drawing>
              <wp:anchor distT="0" distB="0" distL="114300" distR="114300" simplePos="0" relativeHeight="251667456" behindDoc="0" locked="0" layoutInCell="0" allowOverlap="1">
                <wp:simplePos x="0" y="0"/>
                <wp:positionH relativeFrom="page">
                  <wp:posOffset>1123315</wp:posOffset>
                </wp:positionH>
                <wp:positionV relativeFrom="page">
                  <wp:posOffset>775335</wp:posOffset>
                </wp:positionV>
                <wp:extent cx="5315585" cy="9525"/>
                <wp:effectExtent l="0" t="0" r="0" b="0"/>
                <wp:wrapNone/>
                <wp:docPr id="76" name="任意多边形 76"/>
                <wp:cNvGraphicFramePr/>
                <a:graphic xmlns:a="http://schemas.openxmlformats.org/drawingml/2006/main">
                  <a:graphicData uri="http://schemas.microsoft.com/office/word/2010/wordprocessingShape">
                    <wps:wsp>
                      <wps:cNvSpPr/>
                      <wps:spPr>
                        <a:xfrm>
                          <a:off x="0" y="0"/>
                          <a:ext cx="5315585" cy="9525"/>
                        </a:xfrm>
                        <a:custGeom>
                          <a:avLst/>
                          <a:gdLst/>
                          <a:ahLst/>
                          <a:cxnLst/>
                          <a:pathLst>
                            <a:path w="8370" h="15">
                              <a:moveTo>
                                <a:pt x="0" y="14"/>
                              </a:moveTo>
                              <a:lnTo>
                                <a:pt x="8370" y="14"/>
                              </a:lnTo>
                              <a:lnTo>
                                <a:pt x="8370"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61.05pt;height:0.75pt;width:418.55pt;mso-position-horizontal-relative:page;mso-position-vertical-relative:page;z-index:251667456;mso-width-relative:page;mso-height-relative:page;" fillcolor="#000000" filled="t" stroked="f" coordsize="8370,15" o:allowincell="f" o:gfxdata="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j77sLXAAAADAEAAA8AAAAA&#10;AAAAAQAgAAAAIgAAAGRycy9kb3ducmV2LnhtbFBLAQIUABQAAAAIAIdO4kAbKjJYFQIAAH4EAAAO&#10;AAAAAAAAAAEAIAAAACYBAABkcnMvZTJvRG9jLnhtbFBLBQYAAAAABgAGAFkBAACtBQAAAAA=&#10;" path="m0,14l8370,14,8370,0,0,0,0,14xe">
                <v:fill on="t" focussize="0,0"/>
                <v:stroke on="f"/>
                <v:imagedata o:title=""/>
                <o:lock v:ext="edit" aspectratio="f"/>
              </v:shape>
            </w:pict>
          </mc:Fallback>
        </mc:AlternateContent>
      </w:r>
      <w:r>
        <w:rPr>
          <w:rFonts w:hint="default" w:ascii="Times New Roman" w:hAnsi="Times New Roman" w:cs="Times New Roman"/>
          <w:color w:val="auto"/>
          <w:sz w:val="24"/>
          <w:highlight w:val="none"/>
          <w:lang w:val="en-US" w:eastAsia="zh-CN"/>
        </w:rPr>
        <w:t>弥勒温氏畜牧有限公司新哨种猪场建设项目污水处理站500m³调节池，通过</w:t>
      </w:r>
      <w:r>
        <w:rPr>
          <w:rFonts w:hint="default" w:ascii="Times New Roman" w:hAnsi="Times New Roman" w:cs="Times New Roman"/>
          <w:color w:val="auto"/>
          <w:sz w:val="24"/>
          <w:szCs w:val="24"/>
        </w:rPr>
        <w:t>“</w:t>
      </w:r>
      <w:r>
        <w:rPr>
          <w:rFonts w:hint="default" w:ascii="Times New Roman" w:hAnsi="Times New Roman" w:eastAsia="宋体" w:cs="Times New Roman"/>
          <w:color w:val="auto"/>
          <w:sz w:val="24"/>
          <w:szCs w:val="24"/>
          <w:lang w:val="en-US" w:eastAsia="zh-CN"/>
        </w:rPr>
        <w:t>调节池</w:t>
      </w:r>
      <w:r>
        <w:rPr>
          <w:rFonts w:hint="default" w:ascii="Times New Roman" w:hAnsi="Times New Roman" w:cs="Times New Roman"/>
          <w:color w:val="auto"/>
          <w:sz w:val="24"/>
          <w:szCs w:val="24"/>
        </w:rPr>
        <w:t>+U</w:t>
      </w:r>
      <w:r>
        <w:rPr>
          <w:rFonts w:hint="default" w:ascii="Times New Roman" w:hAnsi="Times New Roman" w:cs="Times New Roman"/>
          <w:color w:val="auto"/>
          <w:spacing w:val="-1"/>
          <w:sz w:val="24"/>
          <w:szCs w:val="24"/>
        </w:rPr>
        <w:t>ASB</w:t>
      </w:r>
      <w:r>
        <w:rPr>
          <w:rFonts w:hint="default" w:ascii="Times New Roman" w:hAnsi="Times New Roman" w:eastAsia="宋体" w:cs="Times New Roman"/>
          <w:color w:val="auto"/>
          <w:spacing w:val="-1"/>
          <w:sz w:val="24"/>
          <w:szCs w:val="24"/>
        </w:rPr>
        <w:t>厌氧反</w:t>
      </w:r>
      <w:r>
        <w:rPr>
          <w:rFonts w:hint="default" w:ascii="Times New Roman" w:hAnsi="Times New Roman" w:eastAsia="宋体" w:cs="Times New Roman"/>
          <w:color w:val="auto"/>
          <w:spacing w:val="-2"/>
          <w:sz w:val="24"/>
          <w:szCs w:val="24"/>
        </w:rPr>
        <w:t>应器</w:t>
      </w:r>
      <w:r>
        <w:rPr>
          <w:rFonts w:hint="default" w:ascii="Times New Roman" w:hAnsi="Times New Roman" w:cs="Times New Roman"/>
          <w:color w:val="auto"/>
          <w:spacing w:val="-2"/>
          <w:sz w:val="24"/>
          <w:szCs w:val="24"/>
        </w:rPr>
        <w:t>+</w:t>
      </w:r>
      <w:r>
        <w:rPr>
          <w:rFonts w:hint="default" w:ascii="Times New Roman" w:hAnsi="Times New Roman" w:eastAsia="宋体" w:cs="Times New Roman"/>
          <w:color w:val="auto"/>
          <w:spacing w:val="-2"/>
          <w:sz w:val="24"/>
          <w:szCs w:val="24"/>
        </w:rPr>
        <w:t>两级</w:t>
      </w:r>
      <w:r>
        <w:rPr>
          <w:rFonts w:hint="default" w:ascii="Times New Roman" w:hAnsi="Times New Roman" w:eastAsia="宋体" w:cs="Times New Roman"/>
          <w:color w:val="auto"/>
          <w:spacing w:val="-58"/>
          <w:sz w:val="24"/>
          <w:szCs w:val="24"/>
        </w:rPr>
        <w:t xml:space="preserve"> </w:t>
      </w:r>
      <w:r>
        <w:rPr>
          <w:rFonts w:hint="default" w:ascii="Times New Roman" w:hAnsi="Times New Roman" w:cs="Times New Roman"/>
          <w:color w:val="auto"/>
          <w:spacing w:val="-2"/>
          <w:sz w:val="24"/>
          <w:szCs w:val="24"/>
        </w:rPr>
        <w:t>AO+</w:t>
      </w:r>
      <w:r>
        <w:rPr>
          <w:rFonts w:hint="default" w:ascii="Times New Roman" w:hAnsi="Times New Roman" w:eastAsia="宋体" w:cs="Times New Roman"/>
          <w:color w:val="auto"/>
          <w:spacing w:val="-2"/>
          <w:sz w:val="24"/>
          <w:szCs w:val="24"/>
        </w:rPr>
        <w:t>微电解</w:t>
      </w:r>
      <w:r>
        <w:rPr>
          <w:rFonts w:hint="default" w:ascii="Times New Roman" w:hAnsi="Times New Roman" w:cs="Times New Roman"/>
          <w:color w:val="auto"/>
          <w:spacing w:val="-2"/>
          <w:sz w:val="24"/>
          <w:szCs w:val="24"/>
        </w:rPr>
        <w:t>+</w:t>
      </w:r>
      <w:r>
        <w:rPr>
          <w:rFonts w:hint="default" w:ascii="Times New Roman" w:hAnsi="Times New Roman" w:eastAsia="宋体" w:cs="Times New Roman"/>
          <w:color w:val="auto"/>
          <w:spacing w:val="-2"/>
          <w:sz w:val="24"/>
          <w:szCs w:val="24"/>
        </w:rPr>
        <w:t>接触氧化</w:t>
      </w:r>
      <w:r>
        <w:rPr>
          <w:rFonts w:hint="default" w:ascii="Times New Roman" w:hAnsi="Times New Roman" w:cs="Times New Roman"/>
          <w:color w:val="auto"/>
          <w:spacing w:val="-2"/>
          <w:sz w:val="24"/>
          <w:szCs w:val="24"/>
        </w:rPr>
        <w:t>+</w:t>
      </w:r>
      <w:r>
        <w:rPr>
          <w:rFonts w:hint="default" w:ascii="Times New Roman" w:hAnsi="Times New Roman" w:eastAsia="宋体" w:cs="Times New Roman"/>
          <w:color w:val="auto"/>
          <w:spacing w:val="-2"/>
          <w:sz w:val="24"/>
          <w:szCs w:val="24"/>
        </w:rPr>
        <w:t>消毒</w:t>
      </w:r>
      <w:r>
        <w:rPr>
          <w:rFonts w:hint="default" w:ascii="Times New Roman" w:hAnsi="Times New Roman" w:cs="Times New Roman"/>
          <w:color w:val="auto"/>
          <w:spacing w:val="-2"/>
          <w:sz w:val="24"/>
          <w:szCs w:val="24"/>
        </w:rPr>
        <w:t>”</w:t>
      </w:r>
      <w:r>
        <w:rPr>
          <w:rFonts w:hint="default" w:ascii="Times New Roman" w:hAnsi="Times New Roman" w:eastAsia="宋体" w:cs="Times New Roman"/>
          <w:color w:val="auto"/>
          <w:spacing w:val="-2"/>
          <w:sz w:val="24"/>
          <w:szCs w:val="24"/>
        </w:rPr>
        <w:t>工艺</w:t>
      </w:r>
      <w:r>
        <w:rPr>
          <w:rFonts w:hint="default" w:ascii="Times New Roman" w:hAnsi="Times New Roman" w:eastAsia="宋体" w:cs="Times New Roman"/>
          <w:color w:val="auto"/>
          <w:spacing w:val="-2"/>
          <w:sz w:val="24"/>
          <w:szCs w:val="24"/>
          <w:lang w:val="en-US" w:eastAsia="zh-CN"/>
        </w:rPr>
        <w:t>处理</w:t>
      </w:r>
      <w:r>
        <w:rPr>
          <w:rFonts w:hint="default" w:ascii="Times New Roman" w:hAnsi="Times New Roman" w:eastAsia="宋体" w:cs="Times New Roman"/>
          <w:color w:val="auto"/>
          <w:spacing w:val="-2"/>
          <w:sz w:val="24"/>
          <w:szCs w:val="24"/>
        </w:rPr>
        <w:t>，污水处理后达</w:t>
      </w:r>
      <w:r>
        <w:rPr>
          <w:rFonts w:hint="default" w:ascii="Times New Roman" w:hAnsi="Times New Roman" w:eastAsia="宋体" w:cs="Times New Roman"/>
          <w:color w:val="auto"/>
          <w:spacing w:val="-3"/>
          <w:sz w:val="24"/>
          <w:szCs w:val="24"/>
        </w:rPr>
        <w:t>到《城市污水再生</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pacing w:val="-3"/>
          <w:sz w:val="24"/>
          <w:szCs w:val="24"/>
        </w:rPr>
        <w:t>利用城市杂用水水质标准》（</w:t>
      </w:r>
      <w:r>
        <w:rPr>
          <w:rFonts w:hint="default" w:ascii="Times New Roman" w:hAnsi="Times New Roman" w:cs="Times New Roman"/>
          <w:color w:val="auto"/>
          <w:spacing w:val="-3"/>
          <w:sz w:val="24"/>
          <w:szCs w:val="24"/>
        </w:rPr>
        <w:t>GB/T19820-20</w:t>
      </w:r>
      <w:r>
        <w:rPr>
          <w:rFonts w:hint="default" w:ascii="Times New Roman" w:hAnsi="Times New Roman" w:cs="Times New Roman"/>
          <w:color w:val="auto"/>
          <w:spacing w:val="-3"/>
          <w:sz w:val="24"/>
          <w:szCs w:val="24"/>
          <w:lang w:val="en-US" w:eastAsia="zh-CN"/>
        </w:rPr>
        <w:t>20</w:t>
      </w:r>
      <w:r>
        <w:rPr>
          <w:rFonts w:hint="default" w:ascii="Times New Roman" w:hAnsi="Times New Roman" w:eastAsia="宋体" w:cs="Times New Roman"/>
          <w:color w:val="auto"/>
          <w:spacing w:val="-3"/>
          <w:sz w:val="24"/>
          <w:szCs w:val="24"/>
        </w:rPr>
        <w:t>）中绿化、道路广场浇洒标准</w:t>
      </w:r>
      <w:r>
        <w:rPr>
          <w:rFonts w:hint="default" w:ascii="Times New Roman" w:hAnsi="Times New Roman" w:eastAsia="宋体" w:cs="Times New Roman"/>
          <w:color w:val="auto"/>
          <w:spacing w:val="-1"/>
          <w:sz w:val="24"/>
          <w:szCs w:val="24"/>
          <w:lang w:val="en-US" w:eastAsia="zh-CN"/>
        </w:rPr>
        <w:t>及《农田灌溉水质标准》（GB5084-2021）中的“旱地作物”标准</w:t>
      </w:r>
      <w:r>
        <w:rPr>
          <w:rFonts w:hint="default" w:ascii="Times New Roman" w:hAnsi="Times New Roman" w:eastAsia="宋体" w:cs="Times New Roman"/>
          <w:color w:val="auto"/>
          <w:spacing w:val="-3"/>
          <w:sz w:val="24"/>
          <w:szCs w:val="24"/>
        </w:rPr>
        <w:t>。</w:t>
      </w:r>
      <w:r>
        <w:rPr>
          <w:rFonts w:hint="default" w:ascii="Times New Roman" w:hAnsi="Times New Roman" w:eastAsia="宋体" w:cs="Times New Roman"/>
          <w:color w:val="auto"/>
          <w:spacing w:val="-3"/>
          <w:sz w:val="24"/>
          <w:szCs w:val="24"/>
          <w:lang w:val="en-US" w:eastAsia="zh-CN"/>
        </w:rPr>
        <w:t>进入</w:t>
      </w:r>
      <w:r>
        <w:rPr>
          <w:rFonts w:hint="default" w:ascii="Times New Roman" w:hAnsi="Times New Roman" w:cs="Times New Roman"/>
          <w:color w:val="auto"/>
          <w:spacing w:val="-3"/>
          <w:sz w:val="24"/>
          <w:szCs w:val="24"/>
          <w:lang w:val="en-US" w:eastAsia="zh-CN"/>
        </w:rPr>
        <w:t>4600m³</w:t>
      </w:r>
      <w:r>
        <w:rPr>
          <w:rFonts w:hint="default" w:ascii="Times New Roman" w:hAnsi="Times New Roman" w:eastAsia="宋体" w:cs="Times New Roman"/>
          <w:color w:val="auto"/>
          <w:spacing w:val="-3"/>
          <w:sz w:val="24"/>
          <w:szCs w:val="24"/>
          <w:lang w:val="en-US" w:eastAsia="zh-CN"/>
        </w:rPr>
        <w:t>清水池暂存，用于项目区绿化</w:t>
      </w:r>
      <w:r>
        <w:rPr>
          <w:rFonts w:hint="default" w:ascii="Times New Roman" w:hAnsi="Times New Roman" w:cs="Times New Roman"/>
          <w:color w:val="auto"/>
          <w:spacing w:val="-3"/>
          <w:sz w:val="24"/>
          <w:szCs w:val="24"/>
          <w:lang w:val="en-US" w:eastAsia="zh-CN"/>
        </w:rPr>
        <w:t>及周边农田灌溉</w:t>
      </w:r>
      <w:r>
        <w:rPr>
          <w:rFonts w:hint="default" w:ascii="Times New Roman" w:hAnsi="Times New Roman" w:eastAsia="宋体" w:cs="Times New Roman"/>
          <w:color w:val="auto"/>
          <w:spacing w:val="-3"/>
          <w:sz w:val="24"/>
          <w:szCs w:val="24"/>
          <w:lang w:val="en-US" w:eastAsia="zh-CN"/>
        </w:rPr>
        <w:t>。</w:t>
      </w:r>
    </w:p>
    <w:p w14:paraId="01CFFDD9">
      <w:pPr>
        <w:snapToGrid w:val="0"/>
        <w:spacing w:line="360" w:lineRule="auto"/>
        <w:ind w:firstLine="482"/>
        <w:rPr>
          <w:rFonts w:hint="default" w:ascii="Times New Roman" w:hAnsi="Times New Roman" w:eastAsia="宋体" w:cs="Times New Roman"/>
          <w:b/>
          <w:color w:val="auto"/>
          <w:sz w:val="24"/>
          <w:highlight w:val="none"/>
          <w:lang w:val="en-US" w:eastAsia="zh-CN"/>
        </w:rPr>
      </w:pPr>
      <w:r>
        <w:rPr>
          <w:rFonts w:hint="default" w:ascii="Times New Roman" w:hAnsi="Times New Roman" w:cs="Times New Roman"/>
          <w:b/>
          <w:color w:val="auto"/>
          <w:sz w:val="24"/>
          <w:highlight w:val="none"/>
        </w:rPr>
        <w:t>2</w:t>
      </w:r>
      <w:r>
        <w:rPr>
          <w:rFonts w:hint="default" w:ascii="Times New Roman" w:hAnsi="Times New Roman" w:cs="Times New Roman"/>
          <w:b/>
          <w:color w:val="auto"/>
          <w:sz w:val="24"/>
          <w:highlight w:val="none"/>
          <w:lang w:eastAsia="zh-CN"/>
        </w:rPr>
        <w:t>、</w:t>
      </w:r>
      <w:r>
        <w:rPr>
          <w:rFonts w:hint="default" w:ascii="Times New Roman" w:hAnsi="Times New Roman" w:cs="Times New Roman"/>
          <w:b/>
          <w:color w:val="auto"/>
          <w:sz w:val="24"/>
          <w:highlight w:val="none"/>
          <w:lang w:val="en-US" w:eastAsia="zh-CN"/>
        </w:rPr>
        <w:t>固体粪污</w:t>
      </w:r>
      <w:r>
        <w:rPr>
          <w:rFonts w:hint="default" w:ascii="Times New Roman" w:hAnsi="Times New Roman" w:cs="Times New Roman"/>
          <w:b/>
          <w:color w:val="auto"/>
          <w:sz w:val="24"/>
          <w:highlight w:val="none"/>
        </w:rPr>
        <w:t>堆肥工艺</w:t>
      </w:r>
    </w:p>
    <w:p w14:paraId="750F903C">
      <w:pPr>
        <w:snapToGrid w:val="0"/>
        <w:spacing w:line="360" w:lineRule="auto"/>
        <w:ind w:firstLine="482"/>
        <w:rPr>
          <w:rFonts w:hint="default" w:ascii="Times New Roman" w:hAnsi="Times New Roman" w:cs="Times New Roman"/>
          <w:color w:val="auto"/>
          <w:sz w:val="24"/>
          <w:highlight w:val="none"/>
          <w:lang w:bidi="en-US"/>
        </w:rPr>
      </w:pPr>
      <w:r>
        <w:rPr>
          <w:rFonts w:hint="default" w:ascii="Times New Roman" w:hAnsi="Times New Roman" w:cs="Times New Roman"/>
          <w:color w:val="auto"/>
          <w:sz w:val="24"/>
          <w:highlight w:val="none"/>
          <w:lang w:val="en-US" w:eastAsia="zh-CN"/>
        </w:rPr>
        <w:t>项目采用槽式高温</w:t>
      </w:r>
      <w:r>
        <w:rPr>
          <w:rFonts w:hint="default" w:ascii="Times New Roman" w:hAnsi="Times New Roman" w:cs="Times New Roman"/>
          <w:color w:val="auto"/>
          <w:sz w:val="24"/>
          <w:highlight w:val="none"/>
          <w:lang w:bidi="en-US"/>
        </w:rPr>
        <w:t>好氧堆肥</w:t>
      </w:r>
      <w:r>
        <w:rPr>
          <w:rFonts w:hint="default" w:ascii="Times New Roman" w:hAnsi="Times New Roman" w:cs="Times New Roman"/>
          <w:color w:val="auto"/>
          <w:sz w:val="24"/>
          <w:highlight w:val="none"/>
          <w:lang w:eastAsia="zh-CN" w:bidi="en-US"/>
        </w:rPr>
        <w:t>，</w:t>
      </w:r>
      <w:r>
        <w:rPr>
          <w:rFonts w:hint="default" w:ascii="Times New Roman" w:hAnsi="Times New Roman" w:cs="Times New Roman"/>
          <w:color w:val="auto"/>
          <w:sz w:val="24"/>
          <w:highlight w:val="none"/>
          <w:lang w:val="en-US" w:eastAsia="zh-CN" w:bidi="en-US"/>
        </w:rPr>
        <w:t>主要</w:t>
      </w:r>
      <w:r>
        <w:rPr>
          <w:rFonts w:hint="default" w:ascii="Times New Roman" w:hAnsi="Times New Roman" w:cs="Times New Roman"/>
          <w:color w:val="auto"/>
          <w:sz w:val="24"/>
          <w:highlight w:val="none"/>
          <w:lang w:bidi="en-US"/>
        </w:rPr>
        <w:t>通过接种</w:t>
      </w:r>
      <w:r>
        <w:rPr>
          <w:rFonts w:hint="default" w:ascii="Times New Roman" w:hAnsi="Times New Roman" w:cs="Times New Roman"/>
          <w:color w:val="auto"/>
          <w:sz w:val="24"/>
          <w:highlight w:val="none"/>
          <w:lang w:val="en-US" w:eastAsia="zh-CN" w:bidi="en-US"/>
        </w:rPr>
        <w:t>发酵</w:t>
      </w:r>
      <w:r>
        <w:rPr>
          <w:rFonts w:hint="default" w:ascii="Times New Roman" w:hAnsi="Times New Roman" w:cs="Times New Roman"/>
          <w:color w:val="auto"/>
          <w:sz w:val="24"/>
          <w:highlight w:val="none"/>
          <w:lang w:bidi="en-US"/>
        </w:rPr>
        <w:t>菌种进行好氧发酵，分解有机物、高温杀灭致病菌和去除臭味等。</w:t>
      </w:r>
    </w:p>
    <w:p w14:paraId="44F8B599">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bidi="en-US"/>
        </w:rPr>
        <w:t>主要流程简述如下：</w:t>
      </w:r>
    </w:p>
    <w:p w14:paraId="600C0989">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固液分离机分离出的粪便</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饲料残渣等固体废物与外购的木糠</w:t>
      </w:r>
      <w:r>
        <w:rPr>
          <w:rFonts w:hint="default" w:ascii="Times New Roman" w:hAnsi="Times New Roman" w:cs="Times New Roman"/>
          <w:color w:val="auto"/>
          <w:sz w:val="24"/>
          <w:highlight w:val="none"/>
          <w:lang w:bidi="zh-CN"/>
        </w:rPr>
        <w:t>一起混合拌匀堆肥，采用</w:t>
      </w:r>
      <w:r>
        <w:rPr>
          <w:rFonts w:hint="default" w:ascii="Times New Roman" w:hAnsi="Times New Roman" w:cs="Times New Roman"/>
          <w:color w:val="auto"/>
          <w:sz w:val="24"/>
          <w:highlight w:val="none"/>
          <w:lang w:val="en-US" w:bidi="zh-CN"/>
        </w:rPr>
        <w:t>翻堆机</w:t>
      </w:r>
      <w:r>
        <w:rPr>
          <w:rFonts w:hint="default" w:ascii="Times New Roman" w:hAnsi="Times New Roman" w:cs="Times New Roman"/>
          <w:color w:val="auto"/>
          <w:sz w:val="24"/>
          <w:highlight w:val="none"/>
          <w:lang w:bidi="zh-CN"/>
        </w:rPr>
        <w:t>进行翻耙以使发酵槽内堆体结构均匀、疏松透气，同时能加速水蒸气的散发，堆体温度在 50℃左右时，拌入复合菌种。堆肥发酵主要分为两个阶段：一次发酵和陈化。</w:t>
      </w:r>
    </w:p>
    <w:p w14:paraId="75DA0731">
      <w:pPr>
        <w:snapToGrid w:val="0"/>
        <w:spacing w:line="360" w:lineRule="auto"/>
        <w:ind w:firstLine="482"/>
        <w:rPr>
          <w:rFonts w:hint="default" w:ascii="Times New Roman" w:hAnsi="Times New Roman" w:cs="Times New Roman"/>
          <w:color w:val="auto"/>
          <w:sz w:val="24"/>
          <w:highlight w:val="none"/>
          <w:lang w:bidi="en-US"/>
        </w:rPr>
      </w:pPr>
      <w:r>
        <w:rPr>
          <w:rFonts w:hint="default" w:ascii="Times New Roman" w:hAnsi="Times New Roman" w:cs="Times New Roman"/>
          <w:color w:val="auto"/>
          <w:sz w:val="24"/>
          <w:highlight w:val="none"/>
          <w:lang w:bidi="en-US"/>
        </w:rPr>
        <w:t>①一次发酵</w:t>
      </w:r>
    </w:p>
    <w:p w14:paraId="12BB5921">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bidi="en-US"/>
        </w:rPr>
        <w:t>利用</w:t>
      </w:r>
      <w:r>
        <w:rPr>
          <w:rFonts w:hint="default" w:ascii="Times New Roman" w:hAnsi="Times New Roman" w:cs="Times New Roman"/>
          <w:color w:val="auto"/>
          <w:sz w:val="24"/>
          <w:highlight w:val="none"/>
          <w:lang w:val="en-US" w:bidi="zh-CN"/>
        </w:rPr>
        <w:t>翻堆机</w:t>
      </w:r>
      <w:r>
        <w:rPr>
          <w:rFonts w:hint="default" w:ascii="Times New Roman" w:hAnsi="Times New Roman" w:cs="Times New Roman"/>
          <w:color w:val="auto"/>
          <w:sz w:val="24"/>
          <w:highlight w:val="none"/>
          <w:lang w:bidi="en-US"/>
        </w:rPr>
        <w:t>对发酵堆进行拌匀、翻堆，并且利用鼓风机强制通风供给氧气，形成好氧发酵环境，避免有机物料在堆肥过程中厌氧发臭。一次发酵周期约为7-12d，堆肥温度可以上升至55℃~60℃。工艺控制中根据堆肥物料的温度、水分、氧含量等参数的变化，控制鼓风机向发酵堆内曝气。采用曝气、翻耙搅拌等措施将温度控制在55℃以上维持7</w:t>
      </w:r>
      <w:r>
        <w:rPr>
          <w:rFonts w:hint="eastAsia" w:ascii="Times New Roman" w:hAnsi="Times New Roman" w:cs="Times New Roman"/>
          <w:color w:val="auto"/>
          <w:sz w:val="24"/>
          <w:highlight w:val="none"/>
          <w:lang w:eastAsia="zh-CN" w:bidi="en-US"/>
        </w:rPr>
        <w:t>～</w:t>
      </w:r>
      <w:r>
        <w:rPr>
          <w:rFonts w:hint="default" w:ascii="Times New Roman" w:hAnsi="Times New Roman" w:cs="Times New Roman"/>
          <w:color w:val="auto"/>
          <w:sz w:val="24"/>
          <w:highlight w:val="none"/>
          <w:lang w:bidi="en-US"/>
        </w:rPr>
        <w:t>10d，以起到杀死病原菌、寄生虫卵作用。经过一个周期的堆肥，发酵后的含水率大幅度降低（一般小于50%），随即进入陈化阶段。一次发酵过程主要产生噪声、恶臭和渗滤液，渗滤液通过发酵区四周设置渗滤液收集沟收集后，进入</w:t>
      </w:r>
      <w:r>
        <w:rPr>
          <w:rFonts w:hint="default" w:ascii="Times New Roman" w:hAnsi="Times New Roman" w:cs="Times New Roman"/>
          <w:color w:val="auto"/>
          <w:sz w:val="24"/>
          <w:highlight w:val="none"/>
          <w:lang w:val="en-US" w:eastAsia="zh-CN" w:bidi="en-US"/>
        </w:rPr>
        <w:t>废水收集池</w:t>
      </w:r>
      <w:r>
        <w:rPr>
          <w:rFonts w:hint="default" w:ascii="Times New Roman" w:hAnsi="Times New Roman" w:cs="Times New Roman"/>
          <w:color w:val="auto"/>
          <w:sz w:val="24"/>
          <w:highlight w:val="none"/>
          <w:lang w:bidi="en-US"/>
        </w:rPr>
        <w:t>。</w:t>
      </w:r>
    </w:p>
    <w:p w14:paraId="493BF045">
      <w:pPr>
        <w:snapToGrid w:val="0"/>
        <w:spacing w:line="360" w:lineRule="auto"/>
        <w:ind w:firstLine="482"/>
        <w:rPr>
          <w:rFonts w:hint="default" w:ascii="Times New Roman" w:hAnsi="Times New Roman" w:cs="Times New Roman"/>
          <w:color w:val="auto"/>
          <w:sz w:val="24"/>
          <w:highlight w:val="none"/>
          <w:lang w:bidi="zh-CN"/>
        </w:rPr>
      </w:pPr>
      <w:r>
        <w:rPr>
          <w:rFonts w:hint="default" w:ascii="Times New Roman" w:hAnsi="Times New Roman" w:cs="Times New Roman"/>
          <w:color w:val="auto"/>
          <w:sz w:val="24"/>
          <w:highlight w:val="none"/>
          <w:lang w:bidi="zh-CN"/>
        </w:rPr>
        <w:t>②陈化</w:t>
      </w:r>
    </w:p>
    <w:p w14:paraId="55B9160A">
      <w:pPr>
        <w:snapToGrid w:val="0"/>
        <w:spacing w:line="360" w:lineRule="auto"/>
        <w:ind w:firstLine="482"/>
        <w:rPr>
          <w:rFonts w:hint="default" w:ascii="Times New Roman" w:hAnsi="Times New Roman" w:cs="Times New Roman"/>
          <w:color w:val="auto"/>
          <w:sz w:val="24"/>
          <w:highlight w:val="none"/>
          <w:lang w:bidi="zh-CN"/>
        </w:rPr>
      </w:pPr>
      <w:r>
        <w:rPr>
          <w:rFonts w:hint="default" w:ascii="Times New Roman" w:hAnsi="Times New Roman" w:cs="Times New Roman"/>
          <w:color w:val="auto"/>
          <w:sz w:val="24"/>
          <w:highlight w:val="none"/>
          <w:lang w:bidi="en-US"/>
        </w:rPr>
        <w:t>经过第一阶段发酵后的有机固体废物尚未达到腐熟，需要继续进行二次发酵，即陈化。陈化的目的是将有机物中剩余大分子有机物被进一步分解、稳定、干燥。堆肥阶段后期大部分有机物已被降解，由于有机物的减少及代谢产物的累积，微生物的生长及有机物的分解速度减缓，发酵温度开始降低，陈化阶段用</w:t>
      </w:r>
      <w:r>
        <w:rPr>
          <w:rFonts w:hint="default" w:ascii="Times New Roman" w:hAnsi="Times New Roman" w:cs="Times New Roman"/>
          <w:color w:val="auto"/>
          <w:sz w:val="24"/>
          <w:highlight w:val="none"/>
          <w:lang w:val="en-US" w:eastAsia="zh-CN" w:bidi="en-US"/>
        </w:rPr>
        <w:t>翻堆机</w:t>
      </w:r>
      <w:r>
        <w:rPr>
          <w:rFonts w:hint="default" w:ascii="Times New Roman" w:hAnsi="Times New Roman" w:cs="Times New Roman"/>
          <w:color w:val="auto"/>
          <w:sz w:val="24"/>
          <w:highlight w:val="none"/>
          <w:lang w:bidi="en-US"/>
        </w:rPr>
        <w:t>进行翻堆操作。陈化周期约为10-15d，堆肥的温度逐渐下降，稳定在40°C时，堆肥腐熟，形成腐殖质，陈化过程主要产生噪声、恶臭和渗滤液，渗滤液通过发酵区四周设置渗滤液收集沟收集后，进入</w:t>
      </w:r>
      <w:r>
        <w:rPr>
          <w:rFonts w:hint="default" w:ascii="Times New Roman" w:hAnsi="Times New Roman" w:cs="Times New Roman"/>
          <w:color w:val="auto"/>
          <w:sz w:val="24"/>
          <w:highlight w:val="none"/>
          <w:lang w:val="en-US" w:eastAsia="zh-CN" w:bidi="en-US"/>
        </w:rPr>
        <w:t>废水收集池</w:t>
      </w:r>
      <w:r>
        <w:rPr>
          <w:rFonts w:hint="default" w:ascii="Times New Roman" w:hAnsi="Times New Roman" w:cs="Times New Roman"/>
          <w:color w:val="auto"/>
          <w:sz w:val="24"/>
          <w:highlight w:val="none"/>
          <w:lang w:bidi="en-US"/>
        </w:rPr>
        <w:t>。粪便</w:t>
      </w:r>
      <w:r>
        <w:rPr>
          <w:rFonts w:hint="default" w:ascii="Times New Roman" w:hAnsi="Times New Roman" w:cs="Times New Roman"/>
          <w:color w:val="auto"/>
          <w:sz w:val="24"/>
          <w:highlight w:val="none"/>
          <w:lang w:bidi="zh-CN"/>
        </w:rPr>
        <w:t>发酵后</w:t>
      </w:r>
      <w:r>
        <w:rPr>
          <w:rFonts w:hint="default" w:ascii="Times New Roman" w:hAnsi="Times New Roman" w:cs="Times New Roman"/>
          <w:color w:val="auto"/>
          <w:sz w:val="24"/>
          <w:highlight w:val="none"/>
          <w:lang w:eastAsia="zh-CN"/>
        </w:rPr>
        <w:t>粪肥需求当季用于还田施肥，施肥间隔期</w:t>
      </w:r>
      <w:r>
        <w:rPr>
          <w:rFonts w:hint="default" w:ascii="Times New Roman" w:hAnsi="Times New Roman" w:cs="Times New Roman"/>
          <w:bCs/>
          <w:color w:val="auto"/>
          <w:sz w:val="24"/>
          <w:highlight w:val="none"/>
          <w:lang w:eastAsia="zh-CN"/>
        </w:rPr>
        <w:t>在</w:t>
      </w:r>
      <w:r>
        <w:rPr>
          <w:rFonts w:hint="default" w:ascii="Times New Roman" w:hAnsi="Times New Roman" w:cs="Times New Roman"/>
          <w:bCs/>
          <w:color w:val="auto"/>
          <w:sz w:val="24"/>
          <w:highlight w:val="none"/>
          <w:lang w:val="en-US" w:eastAsia="zh-CN"/>
        </w:rPr>
        <w:t>堆粪棚</w:t>
      </w:r>
      <w:r>
        <w:rPr>
          <w:rFonts w:hint="default" w:ascii="Times New Roman" w:hAnsi="Times New Roman" w:cs="Times New Roman"/>
          <w:bCs/>
          <w:color w:val="auto"/>
          <w:sz w:val="24"/>
          <w:highlight w:val="none"/>
          <w:lang w:eastAsia="zh-CN"/>
        </w:rPr>
        <w:t>暂存。</w:t>
      </w:r>
    </w:p>
    <w:p w14:paraId="1B1F7503">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197" w:name="_Toc14349"/>
      <w:r>
        <w:rPr>
          <w:rStyle w:val="35"/>
          <w:rFonts w:hint="default" w:ascii="Times New Roman" w:hAnsi="Times New Roman" w:eastAsia="宋体" w:cs="Times New Roman"/>
          <w:color w:val="auto"/>
          <w:sz w:val="24"/>
          <w:szCs w:val="24"/>
          <w:highlight w:val="none"/>
        </w:rPr>
        <w:t>3.2.</w:t>
      </w:r>
      <w:r>
        <w:rPr>
          <w:rStyle w:val="35"/>
          <w:rFonts w:hint="default" w:ascii="Times New Roman" w:hAnsi="Times New Roman" w:eastAsia="宋体" w:cs="Times New Roman"/>
          <w:color w:val="auto"/>
          <w:sz w:val="24"/>
          <w:szCs w:val="24"/>
          <w:highlight w:val="none"/>
          <w:lang w:val="en-US" w:eastAsia="zh-CN"/>
        </w:rPr>
        <w:t>5</w:t>
      </w:r>
      <w:r>
        <w:rPr>
          <w:rStyle w:val="35"/>
          <w:rFonts w:hint="default" w:ascii="Times New Roman" w:hAnsi="Times New Roman" w:eastAsia="宋体" w:cs="Times New Roman"/>
          <w:color w:val="auto"/>
          <w:sz w:val="24"/>
          <w:szCs w:val="24"/>
          <w:highlight w:val="none"/>
        </w:rPr>
        <w:t>病死猪处置</w:t>
      </w:r>
      <w:bookmarkEnd w:id="197"/>
    </w:p>
    <w:p w14:paraId="15369B96">
      <w:pPr>
        <w:snapToGrid w:val="0"/>
        <w:spacing w:line="360" w:lineRule="auto"/>
        <w:ind w:firstLine="482"/>
        <w:rPr>
          <w:rFonts w:hint="default" w:ascii="Times New Roman" w:hAnsi="Times New Roman" w:cs="Times New Roman"/>
          <w:bCs/>
          <w:color w:val="auto"/>
          <w:sz w:val="24"/>
          <w:highlight w:val="none"/>
          <w:lang w:bidi="zh-CN"/>
        </w:rPr>
      </w:pPr>
      <w:r>
        <w:rPr>
          <w:rFonts w:hint="default" w:ascii="Times New Roman" w:hAnsi="Times New Roman" w:cs="Times New Roman"/>
          <w:bCs/>
          <w:color w:val="auto"/>
          <w:sz w:val="24"/>
          <w:highlight w:val="none"/>
          <w:lang w:bidi="zh-CN"/>
        </w:rPr>
        <w:t>根据《畜禽养殖业污染防治技术政策》（环发</w:t>
      </w:r>
      <w:r>
        <w:rPr>
          <w:rFonts w:hint="eastAsia" w:ascii="Times New Roman" w:hAnsi="Times New Roman" w:cs="Times New Roman"/>
          <w:bCs/>
          <w:color w:val="auto"/>
          <w:sz w:val="24"/>
          <w:highlight w:val="none"/>
          <w:lang w:bidi="zh-CN"/>
        </w:rPr>
        <w:t>〔2010〕151号</w:t>
      </w:r>
      <w:r>
        <w:rPr>
          <w:rFonts w:hint="default" w:ascii="Times New Roman" w:hAnsi="Times New Roman" w:cs="Times New Roman"/>
          <w:bCs/>
          <w:color w:val="auto"/>
          <w:sz w:val="24"/>
          <w:highlight w:val="none"/>
          <w:lang w:bidi="zh-CN"/>
        </w:rPr>
        <w:t>）中有关内容，畜禽尸体应按照有关卫生防疫规定单独进行妥善处置。染疫畜禽及其排泄物、染疫畜禽产品，病死或者死因不明的畜禽尸体等污染物，应就地进行无害化处理。</w:t>
      </w:r>
    </w:p>
    <w:p w14:paraId="1AA60A0F">
      <w:pPr>
        <w:snapToGrid w:val="0"/>
        <w:spacing w:line="360" w:lineRule="auto"/>
        <w:ind w:firstLine="482"/>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针对本项目产生的病死猪，</w:t>
      </w:r>
      <w:r>
        <w:rPr>
          <w:rFonts w:hint="default" w:ascii="Times New Roman" w:hAnsi="Times New Roman" w:cs="Times New Roman"/>
          <w:color w:val="auto"/>
          <w:sz w:val="24"/>
          <w:highlight w:val="none"/>
        </w:rPr>
        <w:t>项目在</w:t>
      </w:r>
      <w:r>
        <w:rPr>
          <w:rFonts w:hint="default" w:ascii="Times New Roman" w:hAnsi="Times New Roman" w:cs="Times New Roman"/>
          <w:color w:val="auto"/>
          <w:sz w:val="24"/>
          <w:highlight w:val="none"/>
          <w:lang w:eastAsia="zh-CN"/>
        </w:rPr>
        <w:t>粪污</w:t>
      </w:r>
      <w:r>
        <w:rPr>
          <w:rFonts w:hint="default" w:ascii="Times New Roman" w:hAnsi="Times New Roman" w:cs="Times New Roman"/>
          <w:color w:val="auto"/>
          <w:sz w:val="24"/>
          <w:highlight w:val="none"/>
        </w:rPr>
        <w:t>处理区建有1个建筑面积为30m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的冷库，用于暂存养殖过程中产生的病死猪。冷库采用R22环保制冷剂，制冷剂由厂家安装，定期由厂家上门更换，不落地处置。病死猪经过冷藏后及时委托弥勒市北斗星生物科技有限公司清运处置。</w:t>
      </w:r>
    </w:p>
    <w:p w14:paraId="097FC140">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建设单位与</w:t>
      </w:r>
      <w:r>
        <w:rPr>
          <w:rFonts w:hint="default" w:ascii="Times New Roman" w:hAnsi="Times New Roman" w:cs="Times New Roman"/>
          <w:color w:val="auto"/>
          <w:sz w:val="24"/>
          <w:highlight w:val="none"/>
        </w:rPr>
        <w:t>弥勒市北斗星生物科技有限公司签订了《养殖场（户）病死畜禽无害化处理委托协议》（详见附件1</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），项目运营期产生的病死猪委托弥勒市北斗星生物科技有限公司进厂清运，并进行无害化处理。弥勒市北斗星生物科技有限公司《动物防疫条件合格证》详见附件1</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根据查阅资料，弥勒市北斗星生物科技有限公司环保手续完善：2020年8月4日，弥勒市北斗星生物科技有限公司《病死畜禽无害化处理项目环境影响报告书》已取得红河州生态环境局出具的“环评批复”，文号为：红环审</w:t>
      </w:r>
      <w:r>
        <w:rPr>
          <w:rFonts w:hint="eastAsia" w:ascii="Times New Roman" w:hAnsi="Times New Roman" w:cs="Times New Roman"/>
          <w:color w:val="auto"/>
          <w:sz w:val="24"/>
          <w:highlight w:val="none"/>
          <w:lang w:eastAsia="zh-CN"/>
        </w:rPr>
        <w:t>〔2020〕122号</w:t>
      </w:r>
      <w:r>
        <w:rPr>
          <w:rFonts w:hint="default" w:ascii="Times New Roman" w:hAnsi="Times New Roman" w:cs="Times New Roman"/>
          <w:color w:val="auto"/>
          <w:sz w:val="24"/>
          <w:highlight w:val="none"/>
        </w:rPr>
        <w:t>，该项目规模为日处理病死畜禽50吨。2022年1月13日已办理了固定污染源排污登记，2022年9月16日通过了竣工环保验收，现已正常运营。</w:t>
      </w:r>
    </w:p>
    <w:p w14:paraId="5B776C19">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综上，项目运营过程中产生的病死猪处置去向合理。</w:t>
      </w:r>
    </w:p>
    <w:p w14:paraId="7774831B">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rPr>
      </w:pPr>
      <w:bookmarkStart w:id="198" w:name="_Toc11380"/>
      <w:bookmarkStart w:id="199" w:name="_Toc6652"/>
      <w:bookmarkStart w:id="200" w:name="_Toc6130"/>
      <w:bookmarkStart w:id="201" w:name="_Toc30306"/>
      <w:r>
        <w:rPr>
          <w:rFonts w:hint="default" w:ascii="Times New Roman" w:hAnsi="Times New Roman" w:cs="Times New Roman"/>
          <w:color w:val="auto"/>
        </w:rPr>
        <w:t>3.3项目污染物产生及排放情况</w:t>
      </w:r>
      <w:bookmarkEnd w:id="198"/>
      <w:bookmarkEnd w:id="199"/>
      <w:bookmarkEnd w:id="200"/>
      <w:bookmarkEnd w:id="201"/>
    </w:p>
    <w:p w14:paraId="4DA033C3">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ind w:firstLine="0" w:firstLineChars="0"/>
        <w:textAlignment w:val="auto"/>
        <w:rPr>
          <w:rStyle w:val="35"/>
          <w:rFonts w:hint="default" w:ascii="Times New Roman" w:hAnsi="Times New Roman" w:eastAsia="宋体" w:cs="Times New Roman"/>
          <w:color w:val="auto"/>
          <w:sz w:val="24"/>
          <w:szCs w:val="24"/>
          <w:highlight w:val="none"/>
        </w:rPr>
      </w:pPr>
      <w:bookmarkStart w:id="202" w:name="_Toc17390"/>
      <w:r>
        <w:rPr>
          <w:rStyle w:val="35"/>
          <w:rFonts w:hint="default" w:ascii="Times New Roman" w:hAnsi="Times New Roman" w:eastAsia="宋体" w:cs="Times New Roman"/>
          <w:color w:val="auto"/>
          <w:sz w:val="24"/>
          <w:szCs w:val="24"/>
          <w:highlight w:val="none"/>
        </w:rPr>
        <w:t>3.3.1施工期污染物产生及排放情况</w:t>
      </w:r>
      <w:bookmarkEnd w:id="202"/>
    </w:p>
    <w:p w14:paraId="55AF167C">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3.3.1.1</w:t>
      </w:r>
      <w:r>
        <w:rPr>
          <w:rFonts w:hint="default" w:ascii="Times New Roman" w:hAnsi="Times New Roman" w:cs="Times New Roman"/>
          <w:color w:val="auto"/>
        </w:rPr>
        <w:t>施工期废气</w:t>
      </w:r>
    </w:p>
    <w:p w14:paraId="7F1CC9DF">
      <w:pPr>
        <w:adjustRightInd w:val="0"/>
        <w:snapToGrid w:val="0"/>
        <w:spacing w:line="360" w:lineRule="auto"/>
        <w:ind w:firstLine="480" w:firstLineChars="200"/>
        <w:rPr>
          <w:rFonts w:hint="default" w:ascii="Times New Roman" w:hAnsi="Times New Roman" w:eastAsia="宋体" w:cs="Times New Roman"/>
          <w:color w:val="auto"/>
          <w:sz w:val="24"/>
          <w:lang w:val="en-US"/>
        </w:rPr>
      </w:pPr>
      <w:r>
        <w:rPr>
          <w:rFonts w:hint="default" w:ascii="Times New Roman" w:hAnsi="Times New Roman" w:eastAsia="宋体" w:cs="Times New Roman"/>
          <w:color w:val="auto"/>
          <w:sz w:val="24"/>
          <w:lang w:val="en-US"/>
        </w:rPr>
        <w:t>①施工扬尘</w:t>
      </w:r>
    </w:p>
    <w:p w14:paraId="7E6AAC3F">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施工期对区域大气环境的影响主要是地面扬尘污染，污染因子为总悬浮颗粒物（TSP），扬尘以无组织排放的形式，引起空气环境质量TSP指标升高。</w:t>
      </w:r>
    </w:p>
    <w:p w14:paraId="6DC10943">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扬尘主要集中在场地的平整、建筑施工等，按起尘的原因可分为风力起尘和动力起尘，其中风力起尘主要是施工期间由于场地的裸露、施工材料的堆放等由于天气干燥及大风而产生的，采用西安冶金建筑学院推荐的干堆计算公式进行估算，其估算公式如下：</w:t>
      </w:r>
    </w:p>
    <w:p w14:paraId="535ADDDF">
      <w:pPr>
        <w:adjustRightInd w:val="0"/>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Q=4.23×10</w:t>
      </w:r>
      <w:r>
        <w:rPr>
          <w:rFonts w:hint="default" w:ascii="Times New Roman" w:hAnsi="Times New Roman" w:cs="Times New Roman"/>
          <w:color w:val="auto"/>
          <w:sz w:val="24"/>
          <w:vertAlign w:val="superscript"/>
        </w:rPr>
        <w:t>-4</w:t>
      </w:r>
      <w:r>
        <w:rPr>
          <w:rFonts w:hint="default" w:ascii="Times New Roman" w:hAnsi="Times New Roman" w:cs="Times New Roman"/>
          <w:color w:val="auto"/>
          <w:sz w:val="24"/>
        </w:rPr>
        <w:t>×V</w:t>
      </w:r>
      <w:r>
        <w:rPr>
          <w:rFonts w:hint="default" w:ascii="Times New Roman" w:hAnsi="Times New Roman" w:cs="Times New Roman"/>
          <w:color w:val="auto"/>
          <w:sz w:val="24"/>
          <w:vertAlign w:val="superscript"/>
        </w:rPr>
        <w:t>4.9</w:t>
      </w:r>
      <w:r>
        <w:rPr>
          <w:rFonts w:hint="default" w:ascii="Times New Roman" w:hAnsi="Times New Roman" w:cs="Times New Roman"/>
          <w:color w:val="auto"/>
          <w:sz w:val="24"/>
        </w:rPr>
        <w:t>×S</w:t>
      </w:r>
    </w:p>
    <w:p w14:paraId="5BC1DC84">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式中：Q—扬尘无组织排放速率，mg/s；</w:t>
      </w:r>
      <w:bookmarkStart w:id="203" w:name="_Toc343863378"/>
    </w:p>
    <w:p w14:paraId="254A595F">
      <w:pPr>
        <w:adjustRightInd w:val="0"/>
        <w:snapToGrid w:val="0"/>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V—当地平均风速，m/s；</w:t>
      </w:r>
      <w:bookmarkEnd w:id="203"/>
    </w:p>
    <w:p w14:paraId="1E42DCC7">
      <w:pPr>
        <w:adjustRightInd w:val="0"/>
        <w:snapToGrid w:val="0"/>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S—建筑开挖面积，m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14:paraId="34AC5F5A">
      <w:pPr>
        <w:adjustRightInd w:val="0"/>
        <w:snapToGrid w:val="0"/>
        <w:spacing w:line="360" w:lineRule="auto"/>
        <w:ind w:firstLine="480" w:firstLineChars="200"/>
        <w:rPr>
          <w:rFonts w:hint="default" w:ascii="Times New Roman" w:hAnsi="Times New Roman" w:cs="Times New Roman"/>
          <w:color w:val="auto"/>
          <w:kern w:val="24"/>
          <w:sz w:val="24"/>
        </w:rPr>
      </w:pPr>
      <w:r>
        <w:rPr>
          <w:rFonts w:hint="default" w:ascii="Times New Roman" w:hAnsi="Times New Roman" w:cs="Times New Roman"/>
          <w:color w:val="auto"/>
          <w:kern w:val="24"/>
          <w:sz w:val="24"/>
        </w:rPr>
        <w:t>弥勒市多年的平均风速为2.7m/s，主导风向为西南风，根据建设单位提供的资料可知，施工场地面积以建筑占地面积计，约为</w:t>
      </w:r>
      <w:r>
        <w:rPr>
          <w:rFonts w:hint="default" w:ascii="Times New Roman" w:hAnsi="Times New Roman" w:cs="Times New Roman"/>
          <w:color w:val="auto"/>
          <w:kern w:val="24"/>
          <w:sz w:val="24"/>
          <w:lang w:val="en-US" w:eastAsia="zh-CN"/>
        </w:rPr>
        <w:t>7278</w:t>
      </w:r>
      <w:r>
        <w:rPr>
          <w:rFonts w:hint="default" w:ascii="Times New Roman" w:hAnsi="Times New Roman" w:cs="Times New Roman"/>
          <w:color w:val="auto"/>
          <w:kern w:val="24"/>
          <w:sz w:val="24"/>
        </w:rPr>
        <w:t>m</w:t>
      </w:r>
      <w:r>
        <w:rPr>
          <w:rFonts w:hint="default" w:ascii="Times New Roman" w:hAnsi="Times New Roman" w:cs="Times New Roman"/>
          <w:color w:val="auto"/>
          <w:kern w:val="24"/>
          <w:sz w:val="24"/>
          <w:vertAlign w:val="superscript"/>
        </w:rPr>
        <w:t>2</w:t>
      </w:r>
      <w:r>
        <w:rPr>
          <w:rFonts w:hint="default" w:ascii="Times New Roman" w:hAnsi="Times New Roman" w:cs="Times New Roman"/>
          <w:color w:val="auto"/>
          <w:kern w:val="24"/>
          <w:sz w:val="24"/>
        </w:rPr>
        <w:t>。经过上述公式计算可知，项目施工期扬尘产生量约为</w:t>
      </w:r>
      <w:r>
        <w:rPr>
          <w:rFonts w:hint="default" w:ascii="Times New Roman" w:hAnsi="Times New Roman" w:cs="Times New Roman"/>
          <w:color w:val="auto"/>
          <w:kern w:val="24"/>
          <w:sz w:val="24"/>
          <w:lang w:val="en-US" w:eastAsia="zh-CN"/>
        </w:rPr>
        <w:t>399.98</w:t>
      </w:r>
      <w:r>
        <w:rPr>
          <w:rFonts w:hint="default" w:ascii="Times New Roman" w:hAnsi="Times New Roman" w:cs="Times New Roman"/>
          <w:color w:val="auto"/>
          <w:kern w:val="24"/>
          <w:sz w:val="24"/>
        </w:rPr>
        <w:t>mg/s，扬尘主要集中在施工期地表开挖、基础施工等环节，扬尘产生时间预计约为</w:t>
      </w:r>
      <w:r>
        <w:rPr>
          <w:rFonts w:hint="default" w:ascii="Times New Roman" w:hAnsi="Times New Roman" w:cs="Times New Roman"/>
          <w:color w:val="auto"/>
          <w:kern w:val="24"/>
          <w:sz w:val="24"/>
          <w:lang w:val="en-US" w:eastAsia="zh-CN"/>
        </w:rPr>
        <w:t>2</w:t>
      </w:r>
      <w:r>
        <w:rPr>
          <w:rFonts w:hint="default" w:ascii="Times New Roman" w:hAnsi="Times New Roman" w:cs="Times New Roman"/>
          <w:color w:val="auto"/>
          <w:kern w:val="24"/>
          <w:sz w:val="24"/>
        </w:rPr>
        <w:t>个月，则扬尘产生量为</w:t>
      </w:r>
      <w:r>
        <w:rPr>
          <w:rFonts w:hint="default" w:ascii="Times New Roman" w:hAnsi="Times New Roman" w:cs="Times New Roman"/>
          <w:color w:val="auto"/>
          <w:kern w:val="24"/>
          <w:sz w:val="24"/>
          <w:lang w:val="en-US" w:eastAsia="zh-CN"/>
        </w:rPr>
        <w:t>0.69</w:t>
      </w:r>
      <w:r>
        <w:rPr>
          <w:rFonts w:hint="default" w:ascii="Times New Roman" w:hAnsi="Times New Roman" w:cs="Times New Roman"/>
          <w:color w:val="auto"/>
          <w:kern w:val="24"/>
          <w:sz w:val="24"/>
        </w:rPr>
        <w:t>t，施工过程中通过采取洒水抑尘、减少露天堆放等措施后，扬尘的产生量可削减约为70%左右，则项目施工期扬尘排放量约为</w:t>
      </w:r>
      <w:r>
        <w:rPr>
          <w:rFonts w:hint="default" w:ascii="Times New Roman" w:hAnsi="Times New Roman" w:cs="Times New Roman"/>
          <w:color w:val="auto"/>
          <w:kern w:val="24"/>
          <w:sz w:val="24"/>
          <w:lang w:val="en-US" w:eastAsia="zh-CN"/>
        </w:rPr>
        <w:t>119.99</w:t>
      </w:r>
      <w:r>
        <w:rPr>
          <w:rFonts w:hint="default" w:ascii="Times New Roman" w:hAnsi="Times New Roman" w:cs="Times New Roman"/>
          <w:color w:val="auto"/>
          <w:kern w:val="24"/>
          <w:sz w:val="24"/>
        </w:rPr>
        <w:t>mg/s，共</w:t>
      </w:r>
      <w:r>
        <w:rPr>
          <w:rFonts w:hint="default" w:ascii="Times New Roman" w:hAnsi="Times New Roman" w:cs="Times New Roman"/>
          <w:color w:val="auto"/>
          <w:kern w:val="24"/>
          <w:sz w:val="24"/>
          <w:lang w:val="en-US" w:eastAsia="zh-CN"/>
        </w:rPr>
        <w:t>0.21</w:t>
      </w:r>
      <w:r>
        <w:rPr>
          <w:rFonts w:hint="default" w:ascii="Times New Roman" w:hAnsi="Times New Roman" w:cs="Times New Roman"/>
          <w:color w:val="auto"/>
          <w:kern w:val="24"/>
          <w:sz w:val="24"/>
        </w:rPr>
        <w:t>t。</w:t>
      </w:r>
    </w:p>
    <w:p w14:paraId="23107AA4">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②施工</w:t>
      </w:r>
      <w:r>
        <w:rPr>
          <w:rFonts w:hint="default" w:ascii="Times New Roman" w:hAnsi="Times New Roman" w:cs="Times New Roman"/>
          <w:b/>
          <w:bCs/>
          <w:color w:val="auto"/>
          <w:sz w:val="24"/>
          <w:lang w:val="en-US" w:eastAsia="zh-CN"/>
        </w:rPr>
        <w:t>机械</w:t>
      </w:r>
      <w:r>
        <w:rPr>
          <w:rFonts w:hint="default" w:ascii="Times New Roman" w:hAnsi="Times New Roman" w:cs="Times New Roman"/>
          <w:b/>
          <w:bCs/>
          <w:color w:val="auto"/>
          <w:sz w:val="24"/>
        </w:rPr>
        <w:t>废气</w:t>
      </w:r>
    </w:p>
    <w:p w14:paraId="09916654">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施工机械运行产生的废气、运输车辆产生的尾气均是动力燃料柴油和汽油燃烧后产生，机械和车辆废气中</w:t>
      </w:r>
      <w:r>
        <w:rPr>
          <w:rFonts w:hint="eastAsia" w:ascii="Times New Roman" w:hAnsi="Times New Roman" w:cs="Times New Roman"/>
          <w:color w:val="auto"/>
          <w:sz w:val="24"/>
          <w:lang w:eastAsia="zh-CN"/>
        </w:rPr>
        <w:t>主要成分是</w:t>
      </w:r>
      <w:r>
        <w:rPr>
          <w:rFonts w:hint="default" w:ascii="Times New Roman" w:hAnsi="Times New Roman" w:cs="Times New Roman"/>
          <w:color w:val="auto"/>
          <w:sz w:val="24"/>
        </w:rPr>
        <w:t>烃类、CO和NO</w:t>
      </w:r>
      <w:r>
        <w:rPr>
          <w:rFonts w:hint="default" w:ascii="Times New Roman" w:hAnsi="Times New Roman" w:cs="Times New Roman"/>
          <w:color w:val="auto"/>
          <w:sz w:val="24"/>
          <w:vertAlign w:val="subscript"/>
        </w:rPr>
        <w:t>X</w:t>
      </w:r>
      <w:r>
        <w:rPr>
          <w:rFonts w:hint="default" w:ascii="Times New Roman" w:hAnsi="Times New Roman" w:cs="Times New Roman"/>
          <w:color w:val="auto"/>
          <w:sz w:val="24"/>
        </w:rPr>
        <w:t>，施工过程产生的各类废气属无组织、间歇性排放，其产生量较小，通过自然逸散的方式外排。</w:t>
      </w:r>
    </w:p>
    <w:p w14:paraId="4D0FCA47">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3.3.1.2施工期废水</w:t>
      </w:r>
    </w:p>
    <w:p w14:paraId="6829BDF5">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项目施工期约为</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个月，施工期的施工人数为</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人，施工人员均不在项目区内食宿，则施工期废水主要由施工人员生活污水及施工废水。</w:t>
      </w:r>
    </w:p>
    <w:p w14:paraId="32EF3B70">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（1）施工人员生活污水</w:t>
      </w:r>
    </w:p>
    <w:p w14:paraId="7FF637D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根据建设单位提供的资料，项目施工现场每天施工人数约为</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0人，施工人员均为项目区周边居民，不在场地内食宿，使用场内设置的临时旱厕，则施工人员产生的</w:t>
      </w:r>
      <w:r>
        <w:rPr>
          <w:rFonts w:hint="eastAsia" w:ascii="Times New Roman" w:hAnsi="Times New Roman" w:cs="Times New Roman"/>
          <w:color w:val="auto"/>
          <w:sz w:val="24"/>
          <w:lang w:eastAsia="zh-CN"/>
        </w:rPr>
        <w:t>生活污水</w:t>
      </w:r>
      <w:r>
        <w:rPr>
          <w:rFonts w:hint="default" w:ascii="Times New Roman" w:hAnsi="Times New Roman" w:cs="Times New Roman"/>
          <w:color w:val="auto"/>
          <w:sz w:val="24"/>
        </w:rPr>
        <w:t>主要为洗手废水等，根据类比同类型项目可知，施工人员以每人每天用水量为10L计，则用水量为0.</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/d，污水产生系数为90%，则污水量为0.</w:t>
      </w:r>
      <w:r>
        <w:rPr>
          <w:rFonts w:hint="default" w:ascii="Times New Roman" w:hAnsi="Times New Roman" w:cs="Times New Roman"/>
          <w:color w:val="auto"/>
          <w:sz w:val="24"/>
          <w:lang w:val="en-US" w:eastAsia="zh-CN"/>
        </w:rPr>
        <w:t>18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/d，共</w:t>
      </w:r>
      <w:r>
        <w:rPr>
          <w:rFonts w:hint="default" w:ascii="Times New Roman" w:hAnsi="Times New Roman" w:cs="Times New Roman"/>
          <w:color w:val="auto"/>
          <w:sz w:val="24"/>
          <w:lang w:val="en-US" w:eastAsia="zh-CN"/>
        </w:rPr>
        <w:t>32.4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。施工人员生活污水产生量很少，养殖场内设置临时沉淀池（1座，规模</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），与施工废水一起经临时沉淀池收集处理后，回用于洒水抑尘。</w:t>
      </w:r>
    </w:p>
    <w:p w14:paraId="65CE46ED">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（2）施工废水</w:t>
      </w:r>
    </w:p>
    <w:p w14:paraId="2F5E605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施工废水主要是机械设备（包括各类工具等）清洗过程产生的清洗废水，根据类比同类型项目可知，产生量约为</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/d，施工废水仅含泥沙、悬浮物等，其主要污染因子为SS。</w:t>
      </w:r>
    </w:p>
    <w:p w14:paraId="35FD1EC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项目在场地内设置施工废水临时沉淀池（1座，规模</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），将施工废水引入池中进行沉淀处理，降低废水中SS的含量后，可回用于施工场地洒水降尘，施工废水不外排。</w:t>
      </w:r>
    </w:p>
    <w:p w14:paraId="72E66DC4">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（3）雨天地表径流</w:t>
      </w:r>
    </w:p>
    <w:p w14:paraId="37D8311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开挖和基础施工时若遇到降雨，雨水形成地表径流冲刷浮土、建筑砂石等形成的泥浆水，会携带大量泥沙、水泥、油类及其它地表固体污染物。根据《室外排水设计规范》（GB50014-2006）规定，雨水量按下式进行计算：</w:t>
      </w:r>
    </w:p>
    <w:p w14:paraId="201966CF">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Q=10×a×q×F</w:t>
      </w:r>
    </w:p>
    <w:p w14:paraId="788866B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式中：Q——雨水流量（m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p>
    <w:p w14:paraId="20AF4ACA">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a——径流系数，开挖地表、土地面取0.3；</w:t>
      </w:r>
    </w:p>
    <w:p w14:paraId="173FA489">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q——降雨强度，mm，取弥勒市最大24h降雨量144.7mm；</w:t>
      </w:r>
    </w:p>
    <w:p w14:paraId="32DCEBA7">
      <w:pPr>
        <w:spacing w:line="360" w:lineRule="auto"/>
        <w:ind w:firstLine="1260" w:firstLineChars="600"/>
        <w:rPr>
          <w:rFonts w:hint="default" w:ascii="Times New Roman" w:hAnsi="Times New Roman" w:cs="Times New Roman"/>
          <w:color w:val="auto"/>
          <w:sz w:val="24"/>
        </w:rPr>
      </w:pPr>
      <w:r>
        <w:rPr>
          <w:rFonts w:hint="default" w:ascii="Times New Roman" w:hAnsi="Times New Roman" w:cs="Times New Roman"/>
          <w:color w:val="auto"/>
        </w:rPr>
        <w:t>F</w:t>
      </w:r>
      <w:r>
        <w:rPr>
          <w:rFonts w:hint="default" w:ascii="Times New Roman" w:hAnsi="Times New Roman" w:cs="Times New Roman"/>
          <w:color w:val="auto"/>
          <w:sz w:val="24"/>
        </w:rPr>
        <w:t>——汇水面积（hm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），建筑开挖面积约</w:t>
      </w:r>
      <w:r>
        <w:rPr>
          <w:rFonts w:hint="default" w:ascii="Times New Roman" w:hAnsi="Times New Roman" w:cs="Times New Roman"/>
          <w:color w:val="auto"/>
          <w:sz w:val="24"/>
          <w:lang w:val="en-US" w:eastAsia="zh-CN"/>
        </w:rPr>
        <w:t>0.72</w:t>
      </w:r>
      <w:r>
        <w:rPr>
          <w:rFonts w:hint="default" w:ascii="Times New Roman" w:hAnsi="Times New Roman" w:cs="Times New Roman"/>
          <w:color w:val="auto"/>
          <w:kern w:val="0"/>
          <w:sz w:val="24"/>
        </w:rPr>
        <w:t>h</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14:paraId="3CA8810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经上述计算可知，雨天地表径流产生量为</w:t>
      </w:r>
      <w:r>
        <w:rPr>
          <w:rFonts w:hint="default" w:ascii="Times New Roman" w:hAnsi="Times New Roman" w:cs="Times New Roman"/>
          <w:bCs/>
          <w:color w:val="auto"/>
          <w:sz w:val="24"/>
          <w:lang w:val="en-US" w:eastAsia="zh-CN"/>
        </w:rPr>
        <w:t>312.55</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/d，约</w:t>
      </w:r>
      <w:r>
        <w:rPr>
          <w:rFonts w:hint="default" w:ascii="Times New Roman" w:hAnsi="Times New Roman" w:cs="Times New Roman"/>
          <w:bCs/>
          <w:color w:val="auto"/>
          <w:sz w:val="24"/>
          <w:lang w:val="en-US" w:eastAsia="zh-CN"/>
        </w:rPr>
        <w:t>13.02</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/h。降雨时前15min的地表径流中SS的含量较高，则</w:t>
      </w:r>
      <w:r>
        <w:rPr>
          <w:rFonts w:hint="default" w:ascii="Times New Roman" w:hAnsi="Times New Roman" w:cs="Times New Roman"/>
          <w:color w:val="auto"/>
          <w:sz w:val="24"/>
        </w:rPr>
        <w:t>以</w:t>
      </w:r>
      <w:r>
        <w:rPr>
          <w:rFonts w:hint="default" w:ascii="Times New Roman" w:hAnsi="Times New Roman" w:cs="Times New Roman"/>
          <w:bCs/>
          <w:color w:val="auto"/>
          <w:sz w:val="24"/>
        </w:rPr>
        <w:t>雨水</w:t>
      </w:r>
      <w:r>
        <w:rPr>
          <w:rFonts w:hint="default" w:ascii="Times New Roman" w:hAnsi="Times New Roman" w:cs="Times New Roman"/>
          <w:color w:val="auto"/>
          <w:sz w:val="24"/>
        </w:rPr>
        <w:t>停留时间为15min估算沉砂池容积。因此，项目施工场区内设置截排水沟及</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个临时沉砂池，临时沉淀池容积</w:t>
      </w:r>
      <w:r>
        <w:rPr>
          <w:rFonts w:hint="default" w:ascii="Times New Roman" w:hAnsi="Times New Roman" w:cs="Times New Roman"/>
          <w:color w:val="auto"/>
          <w:sz w:val="24"/>
          <w:lang w:val="en-US" w:eastAsia="zh-CN"/>
        </w:rPr>
        <w:t>5</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color w:val="auto"/>
          <w:sz w:val="24"/>
        </w:rPr>
        <w:t>，雨天地表径流经截排水沟收集后，排入临时沉砂池沉淀处理，部分回用于施工期洒水降尘，剩余部分排入周边雨水沟渠。</w:t>
      </w:r>
    </w:p>
    <w:p w14:paraId="779D7165">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3.3.1.3施工期噪声</w:t>
      </w:r>
    </w:p>
    <w:p w14:paraId="0D3FCEE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对声环境的影响是施工噪声，噪声主要来源于施工机械和运输车辆。由于项目施工工程量较小，施工工艺简单，主要为钢结构及砖混结构施工，在各类施工机械中，噪声主要来自推土机、装载机、挖掘机、振捣器、切割机、电焊机、手工钻、载重车等，其声级在80dB以上，主要噪声声级见表3</w:t>
      </w:r>
      <w:r>
        <w:rPr>
          <w:rFonts w:hint="default" w:ascii="Times New Roman" w:hAnsi="Times New Roman" w:cs="Times New Roman"/>
          <w:color w:val="auto"/>
          <w:sz w:val="24"/>
          <w:lang w:val="en-US" w:eastAsia="zh-CN"/>
        </w:rPr>
        <w:t>.3.1</w:t>
      </w:r>
      <w:r>
        <w:rPr>
          <w:rFonts w:hint="default" w:ascii="Times New Roman" w:hAnsi="Times New Roman" w:cs="Times New Roman"/>
          <w:color w:val="auto"/>
          <w:sz w:val="24"/>
        </w:rPr>
        <w:t>-1。</w:t>
      </w:r>
    </w:p>
    <w:p w14:paraId="4C1CB4C0">
      <w:pPr>
        <w:spacing w:line="360" w:lineRule="auto"/>
        <w:jc w:val="center"/>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表3</w:t>
      </w:r>
      <w:r>
        <w:rPr>
          <w:rFonts w:hint="default" w:ascii="Times New Roman" w:hAnsi="Times New Roman" w:eastAsia="黑体" w:cs="Times New Roman"/>
          <w:b w:val="0"/>
          <w:bCs w:val="0"/>
          <w:color w:val="auto"/>
          <w:kern w:val="0"/>
          <w:sz w:val="21"/>
          <w:szCs w:val="21"/>
          <w:lang w:val="en-US" w:eastAsia="zh-CN"/>
        </w:rPr>
        <w:t>.3.1</w:t>
      </w:r>
      <w:r>
        <w:rPr>
          <w:rFonts w:hint="default" w:ascii="Times New Roman" w:hAnsi="Times New Roman" w:eastAsia="黑体" w:cs="Times New Roman"/>
          <w:b w:val="0"/>
          <w:bCs w:val="0"/>
          <w:color w:val="auto"/>
          <w:kern w:val="0"/>
          <w:sz w:val="21"/>
          <w:szCs w:val="21"/>
        </w:rPr>
        <w:t>-1   主要施工机械设备的噪声声源</w:t>
      </w:r>
    </w:p>
    <w:tbl>
      <w:tblPr>
        <w:tblStyle w:val="23"/>
        <w:tblW w:w="7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031"/>
        <w:gridCol w:w="4559"/>
      </w:tblGrid>
      <w:tr w14:paraId="348F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6" w:type="dxa"/>
            <w:vAlign w:val="center"/>
          </w:tcPr>
          <w:p w14:paraId="7199815A">
            <w:pPr>
              <w:adjustRightInd w:val="0"/>
              <w:snapToGrid w:val="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序号</w:t>
            </w:r>
          </w:p>
        </w:tc>
        <w:tc>
          <w:tcPr>
            <w:tcW w:w="2031" w:type="dxa"/>
            <w:vAlign w:val="center"/>
          </w:tcPr>
          <w:p w14:paraId="151A0EFA">
            <w:pPr>
              <w:adjustRightInd w:val="0"/>
              <w:snapToGrid w:val="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设备名称</w:t>
            </w:r>
          </w:p>
        </w:tc>
        <w:tc>
          <w:tcPr>
            <w:tcW w:w="4559" w:type="dxa"/>
            <w:vAlign w:val="center"/>
          </w:tcPr>
          <w:p w14:paraId="46E7B51A">
            <w:pPr>
              <w:adjustRightInd w:val="0"/>
              <w:snapToGrid w:val="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噪声强度[dB(A)]（距声源1m处噪声级）</w:t>
            </w:r>
          </w:p>
        </w:tc>
      </w:tr>
      <w:tr w14:paraId="2C80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6" w:type="dxa"/>
            <w:vAlign w:val="center"/>
          </w:tcPr>
          <w:p w14:paraId="709A6688">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031" w:type="dxa"/>
            <w:vAlign w:val="center"/>
          </w:tcPr>
          <w:p w14:paraId="577BFE5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推土机</w:t>
            </w:r>
          </w:p>
        </w:tc>
        <w:tc>
          <w:tcPr>
            <w:tcW w:w="4559" w:type="dxa"/>
            <w:vAlign w:val="center"/>
          </w:tcPr>
          <w:p w14:paraId="40DCD761">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86</w:t>
            </w:r>
          </w:p>
        </w:tc>
      </w:tr>
      <w:tr w14:paraId="289C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6" w:type="dxa"/>
            <w:vAlign w:val="center"/>
          </w:tcPr>
          <w:p w14:paraId="317CBE5D">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031" w:type="dxa"/>
            <w:vAlign w:val="center"/>
          </w:tcPr>
          <w:p w14:paraId="1B0B1CF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装载机</w:t>
            </w:r>
          </w:p>
        </w:tc>
        <w:tc>
          <w:tcPr>
            <w:tcW w:w="4559" w:type="dxa"/>
            <w:vAlign w:val="center"/>
          </w:tcPr>
          <w:p w14:paraId="4197D0C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r>
      <w:tr w14:paraId="522E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6" w:type="dxa"/>
            <w:vAlign w:val="center"/>
          </w:tcPr>
          <w:p w14:paraId="16B01D7E">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031" w:type="dxa"/>
            <w:vAlign w:val="center"/>
          </w:tcPr>
          <w:p w14:paraId="2201EAD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挖掘机</w:t>
            </w:r>
          </w:p>
        </w:tc>
        <w:tc>
          <w:tcPr>
            <w:tcW w:w="4559" w:type="dxa"/>
            <w:vAlign w:val="center"/>
          </w:tcPr>
          <w:p w14:paraId="25EE6AE6">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82</w:t>
            </w:r>
          </w:p>
        </w:tc>
      </w:tr>
      <w:tr w14:paraId="1E83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6" w:type="dxa"/>
            <w:vAlign w:val="center"/>
          </w:tcPr>
          <w:p w14:paraId="5CA100CC">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031" w:type="dxa"/>
            <w:vAlign w:val="center"/>
          </w:tcPr>
          <w:p w14:paraId="299F248C">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振捣器</w:t>
            </w:r>
          </w:p>
        </w:tc>
        <w:tc>
          <w:tcPr>
            <w:tcW w:w="4559" w:type="dxa"/>
            <w:vAlign w:val="center"/>
          </w:tcPr>
          <w:p w14:paraId="1364B20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r>
      <w:tr w14:paraId="6802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6" w:type="dxa"/>
            <w:vAlign w:val="center"/>
          </w:tcPr>
          <w:p w14:paraId="151DD63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2031" w:type="dxa"/>
            <w:vAlign w:val="center"/>
          </w:tcPr>
          <w:p w14:paraId="60CC7710">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切割机</w:t>
            </w:r>
          </w:p>
        </w:tc>
        <w:tc>
          <w:tcPr>
            <w:tcW w:w="4559" w:type="dxa"/>
            <w:vAlign w:val="center"/>
          </w:tcPr>
          <w:p w14:paraId="22CC8BB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w:t>
            </w:r>
          </w:p>
        </w:tc>
      </w:tr>
      <w:tr w14:paraId="0A1E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6" w:type="dxa"/>
            <w:vAlign w:val="center"/>
          </w:tcPr>
          <w:p w14:paraId="07D21093">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2031" w:type="dxa"/>
            <w:vAlign w:val="center"/>
          </w:tcPr>
          <w:p w14:paraId="486832E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电焊机</w:t>
            </w:r>
          </w:p>
        </w:tc>
        <w:tc>
          <w:tcPr>
            <w:tcW w:w="4559" w:type="dxa"/>
            <w:vAlign w:val="center"/>
          </w:tcPr>
          <w:p w14:paraId="11CF91E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r>
      <w:tr w14:paraId="7334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6" w:type="dxa"/>
            <w:vAlign w:val="center"/>
          </w:tcPr>
          <w:p w14:paraId="28FDBEE3">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2031" w:type="dxa"/>
            <w:vAlign w:val="center"/>
          </w:tcPr>
          <w:p w14:paraId="619814FB">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混凝土运输车</w:t>
            </w:r>
          </w:p>
        </w:tc>
        <w:tc>
          <w:tcPr>
            <w:tcW w:w="4559" w:type="dxa"/>
            <w:vAlign w:val="center"/>
          </w:tcPr>
          <w:p w14:paraId="081A30A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r>
      <w:tr w14:paraId="7169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6" w:type="dxa"/>
            <w:vAlign w:val="center"/>
          </w:tcPr>
          <w:p w14:paraId="2CE5A491">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2031" w:type="dxa"/>
            <w:vAlign w:val="center"/>
          </w:tcPr>
          <w:p w14:paraId="767DB75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电钻</w:t>
            </w:r>
          </w:p>
        </w:tc>
        <w:tc>
          <w:tcPr>
            <w:tcW w:w="4559" w:type="dxa"/>
            <w:vAlign w:val="center"/>
          </w:tcPr>
          <w:p w14:paraId="6B18E03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r>
      <w:tr w14:paraId="74D3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6" w:type="dxa"/>
            <w:vAlign w:val="center"/>
          </w:tcPr>
          <w:p w14:paraId="293F4461">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2031" w:type="dxa"/>
            <w:vAlign w:val="center"/>
          </w:tcPr>
          <w:p w14:paraId="594D85DA">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手工钻</w:t>
            </w:r>
          </w:p>
        </w:tc>
        <w:tc>
          <w:tcPr>
            <w:tcW w:w="4559" w:type="dxa"/>
            <w:vAlign w:val="center"/>
          </w:tcPr>
          <w:p w14:paraId="42064FE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r>
      <w:tr w14:paraId="274F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6" w:type="dxa"/>
            <w:vAlign w:val="center"/>
          </w:tcPr>
          <w:p w14:paraId="50E3297E">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2031" w:type="dxa"/>
            <w:vAlign w:val="center"/>
          </w:tcPr>
          <w:p w14:paraId="3234C7CC">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无齿锯</w:t>
            </w:r>
          </w:p>
        </w:tc>
        <w:tc>
          <w:tcPr>
            <w:tcW w:w="4559" w:type="dxa"/>
            <w:vAlign w:val="center"/>
          </w:tcPr>
          <w:p w14:paraId="7FBE494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84</w:t>
            </w:r>
          </w:p>
        </w:tc>
      </w:tr>
      <w:tr w14:paraId="6492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6" w:type="dxa"/>
            <w:vAlign w:val="center"/>
          </w:tcPr>
          <w:p w14:paraId="6DE5BBF0">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2031" w:type="dxa"/>
            <w:vAlign w:val="center"/>
          </w:tcPr>
          <w:p w14:paraId="0151E43B">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载重车</w:t>
            </w:r>
          </w:p>
        </w:tc>
        <w:tc>
          <w:tcPr>
            <w:tcW w:w="4559" w:type="dxa"/>
            <w:vAlign w:val="center"/>
          </w:tcPr>
          <w:p w14:paraId="5D81245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r>
    </w:tbl>
    <w:p w14:paraId="725AAD8D">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3.3.1.4施工期固体废物</w:t>
      </w:r>
    </w:p>
    <w:p w14:paraId="22E54218">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（1）土石方</w:t>
      </w:r>
    </w:p>
    <w:p w14:paraId="3772AD7E">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根据项目施工工程量</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土石方产生量约0.8万m³，</w:t>
      </w:r>
      <w:r>
        <w:rPr>
          <w:rFonts w:hint="default" w:ascii="Times New Roman" w:hAnsi="Times New Roman" w:cs="Times New Roman"/>
          <w:color w:val="auto"/>
          <w:sz w:val="24"/>
        </w:rPr>
        <w:t>项目在养殖场西侧设置一个临时堆土场，开挖表土在场内临时堆放，然后用作养殖场的</w:t>
      </w:r>
      <w:r>
        <w:rPr>
          <w:rFonts w:hint="eastAsia" w:cs="Times New Roman"/>
          <w:color w:val="auto"/>
          <w:sz w:val="24"/>
          <w:lang w:val="en-US" w:eastAsia="zh-CN"/>
        </w:rPr>
        <w:t>回填及</w:t>
      </w:r>
      <w:r>
        <w:rPr>
          <w:rFonts w:hint="default" w:ascii="Times New Roman" w:hAnsi="Times New Roman" w:cs="Times New Roman"/>
          <w:color w:val="auto"/>
          <w:sz w:val="24"/>
        </w:rPr>
        <w:t>绿化覆土，土石方可以达到内部平衡，无永久弃渣产生，</w:t>
      </w:r>
      <w:r>
        <w:rPr>
          <w:rFonts w:hint="eastAsia" w:ascii="Times New Roman" w:hAnsi="Times New Roman" w:cs="Times New Roman"/>
          <w:color w:val="auto"/>
          <w:sz w:val="24"/>
          <w:lang w:eastAsia="zh-CN"/>
        </w:rPr>
        <w:t>无须设置</w:t>
      </w:r>
      <w:r>
        <w:rPr>
          <w:rFonts w:hint="default" w:ascii="Times New Roman" w:hAnsi="Times New Roman" w:cs="Times New Roman"/>
          <w:color w:val="auto"/>
          <w:sz w:val="24"/>
        </w:rPr>
        <w:t>弃渣场。</w:t>
      </w:r>
    </w:p>
    <w:p w14:paraId="41F04C08">
      <w:p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（2）建筑垃圾</w:t>
      </w:r>
    </w:p>
    <w:p w14:paraId="181F768E">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本项目建筑垃圾产生量</w:t>
      </w:r>
      <w:r>
        <w:rPr>
          <w:rFonts w:hint="default" w:ascii="Times New Roman" w:hAnsi="Times New Roman" w:cs="Times New Roman"/>
          <w:color w:val="auto"/>
          <w:sz w:val="24"/>
          <w:lang w:val="en-US" w:eastAsia="zh-CN"/>
        </w:rPr>
        <w:t>约100t，</w:t>
      </w:r>
      <w:r>
        <w:rPr>
          <w:rFonts w:hint="default" w:ascii="Times New Roman" w:hAnsi="Times New Roman" w:cs="Times New Roman"/>
          <w:color w:val="auto"/>
          <w:sz w:val="24"/>
        </w:rPr>
        <w:t>主要是废砖块、废钢筋、废旧塑料、废弃涂料等，其中可回收利用的回收利用，不可回收利用的统一清运至当地住建部门指定地点堆放。</w:t>
      </w:r>
    </w:p>
    <w:p w14:paraId="3AA3AF7F">
      <w:p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（3）生活垃圾</w:t>
      </w:r>
    </w:p>
    <w:p w14:paraId="00AABA94">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项目施工人数为</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0人，施工人员均为周边居民，不在</w:t>
      </w:r>
      <w:r>
        <w:rPr>
          <w:rFonts w:hint="default" w:ascii="Times New Roman" w:hAnsi="Times New Roman" w:cs="Times New Roman"/>
          <w:color w:val="auto"/>
          <w:kern w:val="0"/>
          <w:sz w:val="24"/>
        </w:rPr>
        <w:t>场地内食宿</w:t>
      </w:r>
      <w:r>
        <w:rPr>
          <w:rFonts w:hint="default" w:ascii="Times New Roman" w:hAnsi="Times New Roman" w:cs="Times New Roman"/>
          <w:color w:val="auto"/>
          <w:sz w:val="24"/>
        </w:rPr>
        <w:t>，施工人员生活垃圾产生量以0.5kg/d·人计，则施工人员的生活垃圾产生量约为</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kg/d，施工期为</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个月，则施工人员生活垃圾产生量为</w:t>
      </w:r>
      <w:r>
        <w:rPr>
          <w:rFonts w:hint="default" w:ascii="Times New Roman" w:hAnsi="Times New Roman" w:cs="Times New Roman"/>
          <w:color w:val="auto"/>
          <w:sz w:val="24"/>
          <w:lang w:val="en-US" w:eastAsia="zh-CN"/>
        </w:rPr>
        <w:t>1.8</w:t>
      </w:r>
      <w:r>
        <w:rPr>
          <w:rFonts w:hint="default" w:ascii="Times New Roman" w:hAnsi="Times New Roman" w:cs="Times New Roman"/>
          <w:color w:val="auto"/>
          <w:sz w:val="24"/>
        </w:rPr>
        <w:t>t。场地内设有一个施工人员生活垃圾收集点，由施工单位定期清运至周边村庄的垃圾收集点。</w:t>
      </w:r>
    </w:p>
    <w:p w14:paraId="6FCC69E8">
      <w:p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（4）旱厕粪便</w:t>
      </w:r>
    </w:p>
    <w:p w14:paraId="7162CD23">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施工人员使用场内设置的临时旱厕，施工人数共</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0人，根据类比同类型项目可知，旱厕粪便产生量按0.25kg/人·d估算，则粪便量约为</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kg/d，施工期共为</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个月，则旱厕粪便共为</w:t>
      </w:r>
      <w:r>
        <w:rPr>
          <w:rFonts w:hint="default" w:ascii="Times New Roman" w:hAnsi="Times New Roman" w:cs="Times New Roman"/>
          <w:color w:val="auto"/>
          <w:sz w:val="24"/>
          <w:lang w:val="en-US" w:eastAsia="zh-CN"/>
        </w:rPr>
        <w:t>0.9</w:t>
      </w:r>
      <w:r>
        <w:rPr>
          <w:rFonts w:hint="default" w:ascii="Times New Roman" w:hAnsi="Times New Roman" w:cs="Times New Roman"/>
          <w:color w:val="auto"/>
          <w:sz w:val="24"/>
        </w:rPr>
        <w:t>t，旱厕粪便委托周边农民清掏</w:t>
      </w:r>
      <w:r>
        <w:rPr>
          <w:rFonts w:hint="eastAsia" w:ascii="Times New Roman" w:hAnsi="Times New Roman" w:cs="Times New Roman"/>
          <w:color w:val="auto"/>
          <w:sz w:val="24"/>
          <w:lang w:eastAsia="zh-CN"/>
        </w:rPr>
        <w:t>用作</w:t>
      </w:r>
      <w:r>
        <w:rPr>
          <w:rFonts w:hint="default" w:ascii="Times New Roman" w:hAnsi="Times New Roman" w:cs="Times New Roman"/>
          <w:color w:val="auto"/>
          <w:sz w:val="24"/>
        </w:rPr>
        <w:t>农家肥。</w:t>
      </w:r>
    </w:p>
    <w:p w14:paraId="35D9B1E3">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3.3.1.5施工期产排污小结</w:t>
      </w:r>
    </w:p>
    <w:p w14:paraId="1EF1D452">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产生的施工期环境污染因素主要是：扬尘、施工废气、施工废水、施工噪声、土石方、建筑垃圾、生活垃圾、旱厕粪便等，这些污染物存在于整个施工过程中，但随着施工期的结束，对环境的影响也将随之消失。根据上述分析可知，项目施工期污染物产生及排放情况列于表3</w:t>
      </w:r>
      <w:r>
        <w:rPr>
          <w:rFonts w:hint="default" w:ascii="Times New Roman" w:hAnsi="Times New Roman" w:cs="Times New Roman"/>
          <w:color w:val="auto"/>
          <w:sz w:val="24"/>
          <w:lang w:val="en-US" w:eastAsia="zh-CN"/>
        </w:rPr>
        <w:t>.3.1</w:t>
      </w:r>
      <w:r>
        <w:rPr>
          <w:rFonts w:hint="default" w:ascii="Times New Roman" w:hAnsi="Times New Roman" w:cs="Times New Roman"/>
          <w:color w:val="auto"/>
          <w:sz w:val="24"/>
        </w:rPr>
        <w:t>-2中。</w:t>
      </w:r>
    </w:p>
    <w:p w14:paraId="37B0B485">
      <w:pPr>
        <w:spacing w:line="360" w:lineRule="auto"/>
        <w:jc w:val="center"/>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rPr>
        <w:t>表3</w:t>
      </w:r>
      <w:r>
        <w:rPr>
          <w:rFonts w:hint="default" w:ascii="Times New Roman" w:hAnsi="Times New Roman" w:eastAsia="黑体" w:cs="Times New Roman"/>
          <w:b w:val="0"/>
          <w:bCs/>
          <w:color w:val="auto"/>
          <w:sz w:val="21"/>
          <w:szCs w:val="21"/>
          <w:lang w:val="en-US" w:eastAsia="zh-CN"/>
        </w:rPr>
        <w:t>.3.1</w:t>
      </w:r>
      <w:r>
        <w:rPr>
          <w:rFonts w:hint="default" w:ascii="Times New Roman" w:hAnsi="Times New Roman" w:eastAsia="黑体" w:cs="Times New Roman"/>
          <w:b w:val="0"/>
          <w:bCs/>
          <w:color w:val="auto"/>
          <w:sz w:val="21"/>
          <w:szCs w:val="21"/>
        </w:rPr>
        <w:t>-2    项目施工期污染物产排情况</w:t>
      </w:r>
    </w:p>
    <w:tbl>
      <w:tblPr>
        <w:tblStyle w:val="23"/>
        <w:tblW w:w="8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605"/>
        <w:gridCol w:w="2125"/>
        <w:gridCol w:w="1701"/>
        <w:gridCol w:w="1701"/>
      </w:tblGrid>
      <w:tr w14:paraId="6184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dxa"/>
            <w:vAlign w:val="center"/>
          </w:tcPr>
          <w:p w14:paraId="2227A9A9">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类型</w:t>
            </w:r>
          </w:p>
        </w:tc>
        <w:tc>
          <w:tcPr>
            <w:tcW w:w="1605" w:type="dxa"/>
            <w:vAlign w:val="center"/>
          </w:tcPr>
          <w:p w14:paraId="6397887D">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名称</w:t>
            </w:r>
          </w:p>
        </w:tc>
        <w:tc>
          <w:tcPr>
            <w:tcW w:w="2125" w:type="dxa"/>
            <w:vAlign w:val="center"/>
          </w:tcPr>
          <w:p w14:paraId="17252529">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排放源</w:t>
            </w:r>
          </w:p>
        </w:tc>
        <w:tc>
          <w:tcPr>
            <w:tcW w:w="1701" w:type="dxa"/>
            <w:vAlign w:val="center"/>
          </w:tcPr>
          <w:p w14:paraId="729DACD1">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产生量</w:t>
            </w:r>
          </w:p>
        </w:tc>
        <w:tc>
          <w:tcPr>
            <w:tcW w:w="1701" w:type="dxa"/>
            <w:vAlign w:val="center"/>
          </w:tcPr>
          <w:p w14:paraId="58CD9D5A">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排放量</w:t>
            </w:r>
          </w:p>
        </w:tc>
      </w:tr>
      <w:tr w14:paraId="7A8D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dxa"/>
            <w:vMerge w:val="restart"/>
            <w:vAlign w:val="center"/>
          </w:tcPr>
          <w:p w14:paraId="321EDDC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605" w:type="dxa"/>
            <w:vAlign w:val="center"/>
          </w:tcPr>
          <w:p w14:paraId="1835C34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施工扬尘</w:t>
            </w:r>
          </w:p>
        </w:tc>
        <w:tc>
          <w:tcPr>
            <w:tcW w:w="2125" w:type="dxa"/>
            <w:vAlign w:val="center"/>
          </w:tcPr>
          <w:p w14:paraId="2C2166E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建筑施工扬尘、道路运输扬尘等</w:t>
            </w:r>
          </w:p>
        </w:tc>
        <w:tc>
          <w:tcPr>
            <w:tcW w:w="1701" w:type="dxa"/>
            <w:vAlign w:val="center"/>
          </w:tcPr>
          <w:p w14:paraId="0DF6E866">
            <w:pPr>
              <w:jc w:val="center"/>
              <w:rPr>
                <w:rFonts w:hint="default" w:ascii="Times New Roman" w:hAnsi="Times New Roman" w:cs="Times New Roman"/>
                <w:color w:val="auto"/>
                <w:sz w:val="18"/>
                <w:szCs w:val="18"/>
              </w:rPr>
            </w:pPr>
            <w:r>
              <w:rPr>
                <w:rFonts w:hint="default" w:ascii="Times New Roman" w:hAnsi="Times New Roman" w:cs="Times New Roman"/>
                <w:color w:val="auto"/>
                <w:kern w:val="24"/>
                <w:sz w:val="18"/>
                <w:szCs w:val="18"/>
                <w:lang w:val="en-US" w:eastAsia="zh-CN"/>
              </w:rPr>
              <w:t>0.69</w:t>
            </w:r>
            <w:r>
              <w:rPr>
                <w:rFonts w:hint="default" w:ascii="Times New Roman" w:hAnsi="Times New Roman" w:cs="Times New Roman"/>
                <w:color w:val="auto"/>
                <w:sz w:val="18"/>
                <w:szCs w:val="18"/>
              </w:rPr>
              <w:t>t</w:t>
            </w:r>
          </w:p>
        </w:tc>
        <w:tc>
          <w:tcPr>
            <w:tcW w:w="1701" w:type="dxa"/>
            <w:vAlign w:val="center"/>
          </w:tcPr>
          <w:p w14:paraId="3810192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0.21</w:t>
            </w:r>
            <w:r>
              <w:rPr>
                <w:rFonts w:hint="default" w:ascii="Times New Roman" w:hAnsi="Times New Roman" w:cs="Times New Roman"/>
                <w:color w:val="auto"/>
                <w:sz w:val="18"/>
                <w:szCs w:val="18"/>
              </w:rPr>
              <w:t>t</w:t>
            </w:r>
          </w:p>
        </w:tc>
      </w:tr>
      <w:tr w14:paraId="6276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dxa"/>
            <w:vMerge w:val="continue"/>
            <w:vAlign w:val="center"/>
          </w:tcPr>
          <w:p w14:paraId="58EEF158">
            <w:pPr>
              <w:jc w:val="center"/>
              <w:rPr>
                <w:rFonts w:hint="default" w:ascii="Times New Roman" w:hAnsi="Times New Roman" w:cs="Times New Roman"/>
                <w:color w:val="auto"/>
                <w:sz w:val="18"/>
                <w:szCs w:val="18"/>
              </w:rPr>
            </w:pPr>
          </w:p>
        </w:tc>
        <w:tc>
          <w:tcPr>
            <w:tcW w:w="1605" w:type="dxa"/>
            <w:vAlign w:val="center"/>
          </w:tcPr>
          <w:p w14:paraId="7698DBB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施工废气</w:t>
            </w:r>
          </w:p>
        </w:tc>
        <w:tc>
          <w:tcPr>
            <w:tcW w:w="2125" w:type="dxa"/>
            <w:vAlign w:val="center"/>
          </w:tcPr>
          <w:p w14:paraId="75FCD22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机械、车辆运行等</w:t>
            </w:r>
          </w:p>
        </w:tc>
        <w:tc>
          <w:tcPr>
            <w:tcW w:w="1701" w:type="dxa"/>
            <w:vAlign w:val="center"/>
          </w:tcPr>
          <w:p w14:paraId="2C59FA0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少量</w:t>
            </w:r>
          </w:p>
        </w:tc>
        <w:tc>
          <w:tcPr>
            <w:tcW w:w="1701" w:type="dxa"/>
            <w:vAlign w:val="center"/>
          </w:tcPr>
          <w:p w14:paraId="29A0A4A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少量</w:t>
            </w:r>
          </w:p>
        </w:tc>
      </w:tr>
      <w:tr w14:paraId="7366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dxa"/>
            <w:vMerge w:val="restart"/>
            <w:vAlign w:val="center"/>
          </w:tcPr>
          <w:p w14:paraId="220F9C8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1605" w:type="dxa"/>
            <w:vAlign w:val="center"/>
          </w:tcPr>
          <w:p w14:paraId="16B9B9A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生活污水</w:t>
            </w:r>
          </w:p>
        </w:tc>
        <w:tc>
          <w:tcPr>
            <w:tcW w:w="2125" w:type="dxa"/>
            <w:vAlign w:val="center"/>
          </w:tcPr>
          <w:p w14:paraId="4C39E20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施工人员</w:t>
            </w:r>
          </w:p>
        </w:tc>
        <w:tc>
          <w:tcPr>
            <w:tcW w:w="1701" w:type="dxa"/>
            <w:vAlign w:val="center"/>
          </w:tcPr>
          <w:p w14:paraId="3B4269B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r>
              <w:rPr>
                <w:rFonts w:hint="default" w:ascii="Times New Roman" w:hAnsi="Times New Roman" w:cs="Times New Roman"/>
                <w:color w:val="auto"/>
                <w:sz w:val="18"/>
                <w:szCs w:val="18"/>
                <w:lang w:val="en-US" w:eastAsia="zh-CN"/>
              </w:rPr>
              <w:t>18</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/d</w:t>
            </w:r>
          </w:p>
        </w:tc>
        <w:tc>
          <w:tcPr>
            <w:tcW w:w="1701" w:type="dxa"/>
            <w:vAlign w:val="center"/>
          </w:tcPr>
          <w:p w14:paraId="380F443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7CB8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dxa"/>
            <w:vMerge w:val="continue"/>
            <w:vAlign w:val="center"/>
          </w:tcPr>
          <w:p w14:paraId="666A9FAF">
            <w:pPr>
              <w:jc w:val="center"/>
              <w:rPr>
                <w:rFonts w:hint="default" w:ascii="Times New Roman" w:hAnsi="Times New Roman" w:cs="Times New Roman"/>
                <w:color w:val="auto"/>
                <w:sz w:val="18"/>
                <w:szCs w:val="18"/>
              </w:rPr>
            </w:pPr>
          </w:p>
        </w:tc>
        <w:tc>
          <w:tcPr>
            <w:tcW w:w="1605" w:type="dxa"/>
            <w:vAlign w:val="center"/>
          </w:tcPr>
          <w:p w14:paraId="35CD6D9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施工废水</w:t>
            </w:r>
          </w:p>
        </w:tc>
        <w:tc>
          <w:tcPr>
            <w:tcW w:w="2125" w:type="dxa"/>
            <w:vAlign w:val="center"/>
          </w:tcPr>
          <w:p w14:paraId="05C3E51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机械设备清洗</w:t>
            </w:r>
          </w:p>
        </w:tc>
        <w:tc>
          <w:tcPr>
            <w:tcW w:w="1701" w:type="dxa"/>
            <w:vAlign w:val="center"/>
          </w:tcPr>
          <w:p w14:paraId="2E2C6E1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/d</w:t>
            </w:r>
          </w:p>
        </w:tc>
        <w:tc>
          <w:tcPr>
            <w:tcW w:w="1701" w:type="dxa"/>
            <w:vAlign w:val="center"/>
          </w:tcPr>
          <w:p w14:paraId="27D6E37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43AC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dxa"/>
            <w:vMerge w:val="continue"/>
            <w:vAlign w:val="center"/>
          </w:tcPr>
          <w:p w14:paraId="02A6E576">
            <w:pPr>
              <w:jc w:val="center"/>
              <w:rPr>
                <w:rFonts w:hint="default" w:ascii="Times New Roman" w:hAnsi="Times New Roman" w:cs="Times New Roman"/>
                <w:color w:val="auto"/>
                <w:sz w:val="18"/>
                <w:szCs w:val="18"/>
              </w:rPr>
            </w:pPr>
          </w:p>
        </w:tc>
        <w:tc>
          <w:tcPr>
            <w:tcW w:w="1605" w:type="dxa"/>
            <w:vAlign w:val="center"/>
          </w:tcPr>
          <w:p w14:paraId="4CD5398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雨天地表径流</w:t>
            </w:r>
          </w:p>
        </w:tc>
        <w:tc>
          <w:tcPr>
            <w:tcW w:w="2125" w:type="dxa"/>
            <w:vAlign w:val="center"/>
          </w:tcPr>
          <w:p w14:paraId="14AF75D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降雨</w:t>
            </w:r>
          </w:p>
        </w:tc>
        <w:tc>
          <w:tcPr>
            <w:tcW w:w="1701" w:type="dxa"/>
            <w:vAlign w:val="center"/>
          </w:tcPr>
          <w:p w14:paraId="2E4F666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13.02</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1701" w:type="dxa"/>
            <w:vAlign w:val="center"/>
          </w:tcPr>
          <w:p w14:paraId="495AABC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13.02</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r>
      <w:tr w14:paraId="7AD5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dxa"/>
            <w:vAlign w:val="center"/>
          </w:tcPr>
          <w:p w14:paraId="5FCA604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tc>
        <w:tc>
          <w:tcPr>
            <w:tcW w:w="1605" w:type="dxa"/>
            <w:vAlign w:val="center"/>
          </w:tcPr>
          <w:p w14:paraId="275DAC8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施工噪声</w:t>
            </w:r>
          </w:p>
        </w:tc>
        <w:tc>
          <w:tcPr>
            <w:tcW w:w="2125" w:type="dxa"/>
            <w:vAlign w:val="center"/>
          </w:tcPr>
          <w:p w14:paraId="4955B29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施工机械设备</w:t>
            </w:r>
          </w:p>
        </w:tc>
        <w:tc>
          <w:tcPr>
            <w:tcW w:w="1701" w:type="dxa"/>
            <w:vAlign w:val="center"/>
          </w:tcPr>
          <w:p w14:paraId="18CAC03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80～95dB(A)</w:t>
            </w:r>
          </w:p>
        </w:tc>
        <w:tc>
          <w:tcPr>
            <w:tcW w:w="1701" w:type="dxa"/>
            <w:vAlign w:val="center"/>
          </w:tcPr>
          <w:p w14:paraId="181904C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80～95dB(A)</w:t>
            </w:r>
          </w:p>
        </w:tc>
      </w:tr>
      <w:tr w14:paraId="5467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dxa"/>
            <w:vMerge w:val="restart"/>
            <w:vAlign w:val="center"/>
          </w:tcPr>
          <w:p w14:paraId="063B49D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固体废弃物</w:t>
            </w:r>
          </w:p>
        </w:tc>
        <w:tc>
          <w:tcPr>
            <w:tcW w:w="1605" w:type="dxa"/>
            <w:vAlign w:val="center"/>
          </w:tcPr>
          <w:p w14:paraId="511CDE1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土石方</w:t>
            </w:r>
          </w:p>
        </w:tc>
        <w:tc>
          <w:tcPr>
            <w:tcW w:w="2125" w:type="dxa"/>
            <w:vAlign w:val="center"/>
          </w:tcPr>
          <w:p w14:paraId="75085F9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基础开挖等</w:t>
            </w:r>
          </w:p>
        </w:tc>
        <w:tc>
          <w:tcPr>
            <w:tcW w:w="1701" w:type="dxa"/>
            <w:vAlign w:val="center"/>
          </w:tcPr>
          <w:p w14:paraId="7B7C7CEA">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0.8万m³</w:t>
            </w:r>
          </w:p>
        </w:tc>
        <w:tc>
          <w:tcPr>
            <w:tcW w:w="1701" w:type="dxa"/>
            <w:vAlign w:val="center"/>
          </w:tcPr>
          <w:p w14:paraId="43789B0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0428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dxa"/>
            <w:vMerge w:val="continue"/>
            <w:vAlign w:val="center"/>
          </w:tcPr>
          <w:p w14:paraId="2506BE7E">
            <w:pPr>
              <w:jc w:val="center"/>
              <w:rPr>
                <w:rFonts w:hint="default" w:ascii="Times New Roman" w:hAnsi="Times New Roman" w:cs="Times New Roman"/>
                <w:color w:val="auto"/>
                <w:sz w:val="18"/>
                <w:szCs w:val="18"/>
              </w:rPr>
            </w:pPr>
          </w:p>
        </w:tc>
        <w:tc>
          <w:tcPr>
            <w:tcW w:w="1605" w:type="dxa"/>
            <w:vAlign w:val="center"/>
          </w:tcPr>
          <w:p w14:paraId="4BDC6A8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建筑垃圾</w:t>
            </w:r>
          </w:p>
        </w:tc>
        <w:tc>
          <w:tcPr>
            <w:tcW w:w="2125" w:type="dxa"/>
            <w:vAlign w:val="center"/>
          </w:tcPr>
          <w:p w14:paraId="1A27914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建筑施工过程</w:t>
            </w:r>
            <w:r>
              <w:rPr>
                <w:rFonts w:hint="eastAsia" w:ascii="Times New Roman" w:hAnsi="Times New Roman" w:cs="Times New Roman"/>
                <w:color w:val="auto"/>
                <w:sz w:val="18"/>
                <w:szCs w:val="18"/>
                <w:lang w:eastAsia="zh-CN"/>
              </w:rPr>
              <w:t>产生</w:t>
            </w:r>
            <w:r>
              <w:rPr>
                <w:rFonts w:hint="default" w:ascii="Times New Roman" w:hAnsi="Times New Roman" w:cs="Times New Roman"/>
                <w:color w:val="auto"/>
                <w:sz w:val="18"/>
                <w:szCs w:val="18"/>
              </w:rPr>
              <w:t>的废弃材料</w:t>
            </w:r>
          </w:p>
        </w:tc>
        <w:tc>
          <w:tcPr>
            <w:tcW w:w="1701" w:type="dxa"/>
            <w:vAlign w:val="center"/>
          </w:tcPr>
          <w:p w14:paraId="369BD8D6">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100t</w:t>
            </w:r>
          </w:p>
        </w:tc>
        <w:tc>
          <w:tcPr>
            <w:tcW w:w="1701" w:type="dxa"/>
            <w:vAlign w:val="center"/>
          </w:tcPr>
          <w:p w14:paraId="5AA91B1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48B97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dxa"/>
            <w:vMerge w:val="continue"/>
            <w:vAlign w:val="center"/>
          </w:tcPr>
          <w:p w14:paraId="5A5DA319">
            <w:pPr>
              <w:jc w:val="center"/>
              <w:rPr>
                <w:rFonts w:hint="default" w:ascii="Times New Roman" w:hAnsi="Times New Roman" w:cs="Times New Roman"/>
                <w:color w:val="auto"/>
                <w:sz w:val="18"/>
                <w:szCs w:val="18"/>
              </w:rPr>
            </w:pPr>
          </w:p>
        </w:tc>
        <w:tc>
          <w:tcPr>
            <w:tcW w:w="1605" w:type="dxa"/>
            <w:vAlign w:val="center"/>
          </w:tcPr>
          <w:p w14:paraId="736ABA9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w:t>
            </w:r>
          </w:p>
        </w:tc>
        <w:tc>
          <w:tcPr>
            <w:tcW w:w="2125" w:type="dxa"/>
            <w:vAlign w:val="center"/>
          </w:tcPr>
          <w:p w14:paraId="7F55AD2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施工人员</w:t>
            </w:r>
          </w:p>
        </w:tc>
        <w:tc>
          <w:tcPr>
            <w:tcW w:w="1701" w:type="dxa"/>
            <w:vAlign w:val="center"/>
          </w:tcPr>
          <w:p w14:paraId="4F82DCD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1.8</w:t>
            </w:r>
            <w:r>
              <w:rPr>
                <w:rFonts w:hint="default" w:ascii="Times New Roman" w:hAnsi="Times New Roman" w:cs="Times New Roman"/>
                <w:color w:val="auto"/>
                <w:sz w:val="18"/>
                <w:szCs w:val="18"/>
              </w:rPr>
              <w:t>t</w:t>
            </w:r>
          </w:p>
        </w:tc>
        <w:tc>
          <w:tcPr>
            <w:tcW w:w="1701" w:type="dxa"/>
            <w:vAlign w:val="center"/>
          </w:tcPr>
          <w:p w14:paraId="2AF3E3C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37B6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dxa"/>
            <w:vMerge w:val="continue"/>
            <w:vAlign w:val="center"/>
          </w:tcPr>
          <w:p w14:paraId="452D09E2">
            <w:pPr>
              <w:jc w:val="center"/>
              <w:rPr>
                <w:rFonts w:hint="default" w:ascii="Times New Roman" w:hAnsi="Times New Roman" w:cs="Times New Roman"/>
                <w:color w:val="auto"/>
                <w:sz w:val="18"/>
                <w:szCs w:val="18"/>
              </w:rPr>
            </w:pPr>
          </w:p>
        </w:tc>
        <w:tc>
          <w:tcPr>
            <w:tcW w:w="1605" w:type="dxa"/>
            <w:vAlign w:val="center"/>
          </w:tcPr>
          <w:p w14:paraId="05C3FB6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旱厕粪便</w:t>
            </w:r>
          </w:p>
        </w:tc>
        <w:tc>
          <w:tcPr>
            <w:tcW w:w="2125" w:type="dxa"/>
            <w:vAlign w:val="center"/>
          </w:tcPr>
          <w:p w14:paraId="4BDDFC1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施工人员</w:t>
            </w:r>
          </w:p>
        </w:tc>
        <w:tc>
          <w:tcPr>
            <w:tcW w:w="1701" w:type="dxa"/>
            <w:vAlign w:val="center"/>
          </w:tcPr>
          <w:p w14:paraId="19AF1D7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0.9</w:t>
            </w:r>
            <w:r>
              <w:rPr>
                <w:rFonts w:hint="default" w:ascii="Times New Roman" w:hAnsi="Times New Roman" w:cs="Times New Roman"/>
                <w:color w:val="auto"/>
                <w:sz w:val="18"/>
                <w:szCs w:val="18"/>
              </w:rPr>
              <w:t>t</w:t>
            </w:r>
          </w:p>
        </w:tc>
        <w:tc>
          <w:tcPr>
            <w:tcW w:w="1701" w:type="dxa"/>
            <w:vAlign w:val="center"/>
          </w:tcPr>
          <w:p w14:paraId="38DCE11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bl>
    <w:p w14:paraId="56F57B74">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204" w:name="_Toc23560"/>
      <w:r>
        <w:rPr>
          <w:rStyle w:val="35"/>
          <w:rFonts w:hint="default" w:ascii="Times New Roman" w:hAnsi="Times New Roman" w:eastAsia="宋体" w:cs="Times New Roman"/>
          <w:color w:val="auto"/>
          <w:sz w:val="24"/>
          <w:szCs w:val="24"/>
          <w:highlight w:val="none"/>
        </w:rPr>
        <w:t>3.3.2运营期污染物产生及排放情况</w:t>
      </w:r>
      <w:bookmarkEnd w:id="204"/>
    </w:p>
    <w:p w14:paraId="0CE56995">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3.3.2.1废气</w:t>
      </w:r>
    </w:p>
    <w:p w14:paraId="618C7736">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本项目运营期的废气主要有猪舍、固液分离区、</w:t>
      </w:r>
      <w:r>
        <w:rPr>
          <w:rFonts w:hint="default" w:ascii="Times New Roman" w:hAnsi="Times New Roman" w:cs="Times New Roman"/>
          <w:color w:val="auto"/>
          <w:sz w:val="24"/>
          <w:highlight w:val="none"/>
          <w:lang w:val="en-US" w:eastAsia="zh-CN"/>
        </w:rPr>
        <w:t>堆粪棚</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废水收集池</w:t>
      </w:r>
      <w:r>
        <w:rPr>
          <w:rFonts w:hint="default" w:ascii="Times New Roman" w:hAnsi="Times New Roman" w:cs="Times New Roman"/>
          <w:color w:val="auto"/>
          <w:sz w:val="24"/>
          <w:highlight w:val="none"/>
        </w:rPr>
        <w:t>等产生的恶臭气体，污水处理产生的沼气，沼气燃烧废气，食堂油烟废气等。</w:t>
      </w:r>
    </w:p>
    <w:p w14:paraId="0436CB47">
      <w:pPr>
        <w:snapToGrid w:val="0"/>
        <w:spacing w:line="360" w:lineRule="auto"/>
        <w:outlineLvl w:val="4"/>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3.3.2.1.1恶臭</w:t>
      </w:r>
    </w:p>
    <w:p w14:paraId="04195F68">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bidi="zh-CN"/>
        </w:rPr>
        <w:t>影响畜禽场恶臭气体产生的主要因素包括清粪方式、管理水平、粪便和污水处理水平，同时也与场址选择、场地规划和布局、畜舍设计、畜舍通风等有关。恶臭气体主要成分为 NH</w:t>
      </w:r>
      <w:r>
        <w:rPr>
          <w:rFonts w:hint="default" w:ascii="Times New Roman" w:hAnsi="Times New Roman" w:cs="Times New Roman"/>
          <w:color w:val="auto"/>
          <w:sz w:val="24"/>
          <w:highlight w:val="none"/>
          <w:vertAlign w:val="subscript"/>
          <w:lang w:bidi="zh-CN"/>
        </w:rPr>
        <w:t>3</w:t>
      </w:r>
      <w:r>
        <w:rPr>
          <w:rFonts w:hint="default" w:ascii="Times New Roman" w:hAnsi="Times New Roman" w:cs="Times New Roman"/>
          <w:color w:val="auto"/>
          <w:sz w:val="24"/>
          <w:highlight w:val="none"/>
          <w:lang w:bidi="zh-CN"/>
        </w:rPr>
        <w:t>、H</w:t>
      </w:r>
      <w:r>
        <w:rPr>
          <w:rFonts w:hint="default" w:ascii="Times New Roman" w:hAnsi="Times New Roman" w:cs="Times New Roman"/>
          <w:color w:val="auto"/>
          <w:sz w:val="24"/>
          <w:highlight w:val="none"/>
          <w:vertAlign w:val="subscript"/>
          <w:lang w:bidi="zh-CN"/>
        </w:rPr>
        <w:t>2</w:t>
      </w:r>
      <w:r>
        <w:rPr>
          <w:rFonts w:hint="default" w:ascii="Times New Roman" w:hAnsi="Times New Roman" w:cs="Times New Roman"/>
          <w:color w:val="auto"/>
          <w:sz w:val="24"/>
          <w:highlight w:val="none"/>
          <w:lang w:bidi="zh-CN"/>
        </w:rPr>
        <w:t>S，其排放强度除受前述因素影响外还与生产工艺、外部气温、局部场所湿度、养殖群种类、通风情况以及粪污堆积时间等相关。</w:t>
      </w:r>
    </w:p>
    <w:p w14:paraId="1801FE25">
      <w:pPr>
        <w:snapToGrid w:val="0"/>
        <w:spacing w:line="360" w:lineRule="auto"/>
        <w:ind w:firstLine="482"/>
        <w:rPr>
          <w:rFonts w:hint="default" w:ascii="Times New Roman" w:hAnsi="Times New Roman" w:cs="Times New Roman"/>
          <w:b/>
          <w:color w:val="auto"/>
          <w:sz w:val="24"/>
          <w:highlight w:val="none"/>
        </w:rPr>
      </w:pPr>
      <w:r>
        <w:rPr>
          <w:rFonts w:hint="default" w:ascii="Times New Roman" w:hAnsi="Times New Roman" w:cs="Times New Roman"/>
          <w:color w:val="auto"/>
          <w:sz w:val="24"/>
          <w:highlight w:val="none"/>
        </w:rPr>
        <w:t>项目大气污染物主要是来自猪舍、</w:t>
      </w:r>
      <w:r>
        <w:rPr>
          <w:rFonts w:hint="default" w:ascii="Times New Roman" w:hAnsi="Times New Roman" w:cs="Times New Roman"/>
          <w:color w:val="auto"/>
          <w:sz w:val="24"/>
          <w:highlight w:val="none"/>
          <w:lang w:val="en-US" w:eastAsia="zh-CN"/>
        </w:rPr>
        <w:t>堆粪棚</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废水收集池</w:t>
      </w:r>
      <w:r>
        <w:rPr>
          <w:rFonts w:hint="default" w:ascii="Times New Roman" w:hAnsi="Times New Roman" w:cs="Times New Roman"/>
          <w:color w:val="auto"/>
          <w:sz w:val="24"/>
          <w:highlight w:val="none"/>
        </w:rPr>
        <w:t>等挥发的氨、硫化氢等恶臭物质，属于无组织排放。</w:t>
      </w:r>
    </w:p>
    <w:p w14:paraId="6968B7E8">
      <w:pPr>
        <w:pStyle w:val="11"/>
        <w:autoSpaceDE w:val="0"/>
        <w:spacing w:before="0" w:line="360" w:lineRule="auto"/>
        <w:ind w:left="0"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（1）</w:t>
      </w:r>
      <w:r>
        <w:rPr>
          <w:rFonts w:hint="default" w:ascii="Times New Roman" w:hAnsi="Times New Roman" w:cs="Times New Roman"/>
          <w:b w:val="0"/>
          <w:bCs w:val="0"/>
          <w:color w:val="auto"/>
          <w:sz w:val="24"/>
          <w:szCs w:val="24"/>
          <w:lang w:val="en-US" w:eastAsia="zh-CN"/>
        </w:rPr>
        <w:t>猪</w:t>
      </w:r>
      <w:r>
        <w:rPr>
          <w:rFonts w:hint="default" w:ascii="Times New Roman" w:hAnsi="Times New Roman" w:eastAsia="宋体" w:cs="Times New Roman"/>
          <w:b w:val="0"/>
          <w:bCs w:val="0"/>
          <w:color w:val="auto"/>
          <w:sz w:val="24"/>
          <w:szCs w:val="24"/>
        </w:rPr>
        <w:t>舍臭气源强分析</w:t>
      </w:r>
    </w:p>
    <w:p w14:paraId="1474EF12">
      <w:pPr>
        <w:snapToGrid w:val="0"/>
        <w:spacing w:line="360" w:lineRule="auto"/>
        <w:ind w:firstLine="480" w:firstLineChars="200"/>
        <w:rPr>
          <w:rFonts w:hint="default" w:ascii="Times New Roman" w:hAnsi="Times New Roman" w:cs="Times New Roman"/>
          <w:color w:val="auto"/>
          <w:sz w:val="24"/>
          <w:highlight w:val="none"/>
          <w:lang w:bidi="zh-CN"/>
        </w:rPr>
      </w:pPr>
      <w:r>
        <w:rPr>
          <w:rFonts w:hint="default" w:ascii="Times New Roman" w:hAnsi="Times New Roman" w:cs="Times New Roman"/>
          <w:color w:val="auto"/>
          <w:sz w:val="24"/>
          <w:highlight w:val="none"/>
          <w:lang w:bidi="zh-CN"/>
        </w:rPr>
        <w:t>猪舍恶臭</w:t>
      </w:r>
      <w:r>
        <w:rPr>
          <w:rFonts w:hint="eastAsia" w:ascii="Times New Roman" w:hAnsi="Times New Roman" w:cs="Times New Roman"/>
          <w:color w:val="auto"/>
          <w:sz w:val="24"/>
          <w:highlight w:val="none"/>
          <w:lang w:bidi="zh-CN"/>
        </w:rPr>
        <w:t>来自</w:t>
      </w:r>
      <w:r>
        <w:rPr>
          <w:rFonts w:hint="default" w:ascii="Times New Roman" w:hAnsi="Times New Roman" w:cs="Times New Roman"/>
          <w:color w:val="auto"/>
          <w:sz w:val="24"/>
          <w:highlight w:val="none"/>
          <w:lang w:bidi="zh-CN"/>
        </w:rPr>
        <w:t>猪群日常排泄的粪便尿液在腐败发酵时产生的NH</w:t>
      </w:r>
      <w:r>
        <w:rPr>
          <w:rFonts w:hint="default" w:ascii="Times New Roman" w:hAnsi="Times New Roman" w:cs="Times New Roman"/>
          <w:color w:val="auto"/>
          <w:sz w:val="24"/>
          <w:highlight w:val="none"/>
          <w:vertAlign w:val="subscript"/>
          <w:lang w:bidi="zh-CN"/>
        </w:rPr>
        <w:t>3</w:t>
      </w:r>
      <w:r>
        <w:rPr>
          <w:rFonts w:hint="default" w:ascii="Times New Roman" w:hAnsi="Times New Roman" w:cs="Times New Roman"/>
          <w:color w:val="auto"/>
          <w:sz w:val="24"/>
          <w:highlight w:val="none"/>
          <w:lang w:bidi="zh-CN"/>
        </w:rPr>
        <w:t>、H</w:t>
      </w:r>
      <w:r>
        <w:rPr>
          <w:rFonts w:hint="default" w:ascii="Times New Roman" w:hAnsi="Times New Roman" w:cs="Times New Roman"/>
          <w:color w:val="auto"/>
          <w:sz w:val="24"/>
          <w:highlight w:val="none"/>
          <w:vertAlign w:val="subscript"/>
          <w:lang w:bidi="zh-CN"/>
        </w:rPr>
        <w:t>2</w:t>
      </w:r>
      <w:r>
        <w:rPr>
          <w:rFonts w:hint="default" w:ascii="Times New Roman" w:hAnsi="Times New Roman" w:cs="Times New Roman"/>
          <w:color w:val="auto"/>
          <w:sz w:val="24"/>
          <w:highlight w:val="none"/>
          <w:lang w:bidi="zh-CN"/>
        </w:rPr>
        <w:t>S气体，主要表现为排泄物中铵态氮转换为氮气的形式。</w:t>
      </w:r>
    </w:p>
    <w:p w14:paraId="65EC64E0">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bidi="zh-CN"/>
        </w:rPr>
        <w:t>根据《排污许可证申请与核发技术规范畜禽养殖业》（HJ1029-2019）表 9， 计算出项目猪群排泄物尿液、粪便的总氮含量；再参考《畜禽场环境评价》（刘国成主编，中国标准出版社），粪便中氮挥发量约占TN产生量的 10%，其中NH</w:t>
      </w:r>
      <w:r>
        <w:rPr>
          <w:rFonts w:hint="default" w:ascii="Times New Roman" w:hAnsi="Times New Roman" w:cs="Times New Roman"/>
          <w:color w:val="auto"/>
          <w:sz w:val="24"/>
          <w:highlight w:val="none"/>
          <w:vertAlign w:val="subscript"/>
          <w:lang w:bidi="zh-CN"/>
        </w:rPr>
        <w:t>3</w:t>
      </w:r>
      <w:r>
        <w:rPr>
          <w:rFonts w:hint="default" w:ascii="Times New Roman" w:hAnsi="Times New Roman" w:cs="Times New Roman"/>
          <w:color w:val="auto"/>
          <w:sz w:val="24"/>
          <w:highlight w:val="none"/>
          <w:lang w:bidi="zh-CN"/>
        </w:rPr>
        <w:t>产生量占氮挥发量的25%，H</w:t>
      </w:r>
      <w:r>
        <w:rPr>
          <w:rFonts w:hint="default" w:ascii="Times New Roman" w:hAnsi="Times New Roman" w:cs="Times New Roman"/>
          <w:color w:val="auto"/>
          <w:sz w:val="24"/>
          <w:highlight w:val="none"/>
          <w:vertAlign w:val="subscript"/>
          <w:lang w:bidi="zh-CN"/>
        </w:rPr>
        <w:t>2</w:t>
      </w:r>
      <w:r>
        <w:rPr>
          <w:rFonts w:hint="default" w:ascii="Times New Roman" w:hAnsi="Times New Roman" w:cs="Times New Roman"/>
          <w:color w:val="auto"/>
          <w:sz w:val="24"/>
          <w:highlight w:val="none"/>
          <w:lang w:bidi="zh-CN"/>
        </w:rPr>
        <w:t>S产生量约为NH</w:t>
      </w:r>
      <w:r>
        <w:rPr>
          <w:rFonts w:hint="default" w:ascii="Times New Roman" w:hAnsi="Times New Roman" w:cs="Times New Roman"/>
          <w:color w:val="auto"/>
          <w:sz w:val="24"/>
          <w:highlight w:val="none"/>
          <w:vertAlign w:val="subscript"/>
          <w:lang w:bidi="zh-CN"/>
        </w:rPr>
        <w:t>3</w:t>
      </w:r>
      <w:r>
        <w:rPr>
          <w:rFonts w:hint="default" w:ascii="Times New Roman" w:hAnsi="Times New Roman" w:cs="Times New Roman"/>
          <w:color w:val="auto"/>
          <w:sz w:val="24"/>
          <w:highlight w:val="none"/>
          <w:lang w:bidi="zh-CN"/>
        </w:rPr>
        <w:t>的10%。本项目猪舍畜禽粪污总氮产生量情况见表3.</w:t>
      </w:r>
      <w:r>
        <w:rPr>
          <w:rFonts w:hint="default" w:ascii="Times New Roman" w:hAnsi="Times New Roman" w:cs="Times New Roman"/>
          <w:color w:val="auto"/>
          <w:sz w:val="24"/>
          <w:highlight w:val="none"/>
          <w:lang w:val="en-US" w:bidi="zh-CN"/>
        </w:rPr>
        <w:t>3.2</w:t>
      </w:r>
      <w:r>
        <w:rPr>
          <w:rFonts w:hint="default" w:ascii="Times New Roman" w:hAnsi="Times New Roman" w:cs="Times New Roman"/>
          <w:color w:val="auto"/>
          <w:sz w:val="24"/>
          <w:highlight w:val="none"/>
          <w:lang w:bidi="zh-CN"/>
        </w:rPr>
        <w:t>-</w:t>
      </w:r>
      <w:r>
        <w:rPr>
          <w:rFonts w:hint="default" w:ascii="Times New Roman" w:hAnsi="Times New Roman" w:cs="Times New Roman"/>
          <w:color w:val="auto"/>
          <w:sz w:val="24"/>
          <w:highlight w:val="none"/>
          <w:lang w:val="en-US" w:bidi="zh-CN"/>
        </w:rPr>
        <w:t>1</w:t>
      </w:r>
      <w:r>
        <w:rPr>
          <w:rFonts w:hint="default" w:ascii="Times New Roman" w:hAnsi="Times New Roman" w:cs="Times New Roman"/>
          <w:color w:val="auto"/>
          <w:sz w:val="24"/>
          <w:highlight w:val="none"/>
          <w:lang w:bidi="zh-CN"/>
        </w:rPr>
        <w:t>。</w:t>
      </w:r>
    </w:p>
    <w:p w14:paraId="40B1B077">
      <w:pPr>
        <w:adjustRightInd w:val="0"/>
        <w:snapToGrid w:val="0"/>
        <w:ind w:firstLine="422" w:firstLineChars="20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表3.</w:t>
      </w:r>
      <w:r>
        <w:rPr>
          <w:rFonts w:hint="default" w:ascii="Times New Roman" w:hAnsi="Times New Roman" w:cs="Times New Roman"/>
          <w:b/>
          <w:color w:val="auto"/>
          <w:szCs w:val="21"/>
          <w:highlight w:val="none"/>
          <w:lang w:val="en-US" w:eastAsia="zh-CN"/>
        </w:rPr>
        <w:t>3.2</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val="en-US" w:eastAsia="zh-CN"/>
        </w:rPr>
        <w:t>1</w:t>
      </w:r>
      <w:r>
        <w:rPr>
          <w:rFonts w:hint="default" w:ascii="Times New Roman" w:hAnsi="Times New Roman" w:cs="Times New Roman"/>
          <w:b/>
          <w:color w:val="auto"/>
          <w:szCs w:val="21"/>
          <w:highlight w:val="none"/>
        </w:rPr>
        <w:t xml:space="preserve">   猪群粪便、尿液排泄物恶臭产生情况一览表</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212"/>
        <w:gridCol w:w="1044"/>
        <w:gridCol w:w="1037"/>
        <w:gridCol w:w="1034"/>
        <w:gridCol w:w="1052"/>
        <w:gridCol w:w="1053"/>
        <w:gridCol w:w="1053"/>
      </w:tblGrid>
      <w:tr w14:paraId="0EDD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vAlign w:val="center"/>
          </w:tcPr>
          <w:p w14:paraId="31F71115">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项目</w:t>
            </w:r>
          </w:p>
        </w:tc>
        <w:tc>
          <w:tcPr>
            <w:tcW w:w="1212" w:type="dxa"/>
            <w:vMerge w:val="restart"/>
            <w:vAlign w:val="center"/>
          </w:tcPr>
          <w:p w14:paraId="4E9EA3A0">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总氮产生系数*</w:t>
            </w:r>
          </w:p>
        </w:tc>
        <w:tc>
          <w:tcPr>
            <w:tcW w:w="1044" w:type="dxa"/>
            <w:vMerge w:val="restart"/>
            <w:vAlign w:val="center"/>
          </w:tcPr>
          <w:p w14:paraId="7E21BF1B">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存栏规模（头）</w:t>
            </w:r>
          </w:p>
        </w:tc>
        <w:tc>
          <w:tcPr>
            <w:tcW w:w="2071" w:type="dxa"/>
            <w:gridSpan w:val="2"/>
            <w:vAlign w:val="center"/>
          </w:tcPr>
          <w:p w14:paraId="03F6A3FE">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总氮产生量</w:t>
            </w:r>
          </w:p>
        </w:tc>
        <w:tc>
          <w:tcPr>
            <w:tcW w:w="1052" w:type="dxa"/>
            <w:vMerge w:val="restart"/>
            <w:vAlign w:val="center"/>
          </w:tcPr>
          <w:p w14:paraId="1F3BDBD4">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氮挥发量（t/a）</w:t>
            </w:r>
          </w:p>
        </w:tc>
        <w:tc>
          <w:tcPr>
            <w:tcW w:w="1053" w:type="dxa"/>
            <w:vMerge w:val="restart"/>
            <w:vAlign w:val="center"/>
          </w:tcPr>
          <w:p w14:paraId="6B5ADC65">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NH</w:t>
            </w:r>
            <w:r>
              <w:rPr>
                <w:rFonts w:hint="default" w:ascii="Times New Roman" w:hAnsi="Times New Roman" w:cs="Times New Roman"/>
                <w:b/>
                <w:color w:val="auto"/>
                <w:sz w:val="18"/>
                <w:szCs w:val="18"/>
                <w:highlight w:val="none"/>
                <w:vertAlign w:val="subscript"/>
              </w:rPr>
              <w:t>3</w:t>
            </w:r>
            <w:r>
              <w:rPr>
                <w:rFonts w:hint="default" w:ascii="Times New Roman" w:hAnsi="Times New Roman" w:cs="Times New Roman"/>
                <w:b/>
                <w:color w:val="auto"/>
                <w:sz w:val="18"/>
                <w:szCs w:val="18"/>
                <w:highlight w:val="none"/>
              </w:rPr>
              <w:t>产生量（t/a）</w:t>
            </w:r>
          </w:p>
        </w:tc>
        <w:tc>
          <w:tcPr>
            <w:tcW w:w="1053" w:type="dxa"/>
            <w:vMerge w:val="restart"/>
            <w:vAlign w:val="center"/>
          </w:tcPr>
          <w:p w14:paraId="4DD09DF3">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H</w:t>
            </w:r>
            <w:r>
              <w:rPr>
                <w:rFonts w:hint="default" w:ascii="Times New Roman" w:hAnsi="Times New Roman" w:cs="Times New Roman"/>
                <w:b/>
                <w:color w:val="auto"/>
                <w:sz w:val="18"/>
                <w:szCs w:val="18"/>
                <w:highlight w:val="none"/>
                <w:vertAlign w:val="subscript"/>
              </w:rPr>
              <w:t>2</w:t>
            </w:r>
            <w:r>
              <w:rPr>
                <w:rFonts w:hint="default" w:ascii="Times New Roman" w:hAnsi="Times New Roman" w:cs="Times New Roman"/>
                <w:b/>
                <w:color w:val="auto"/>
                <w:sz w:val="18"/>
                <w:szCs w:val="18"/>
                <w:highlight w:val="none"/>
              </w:rPr>
              <w:t>S产生量（t/a）</w:t>
            </w:r>
          </w:p>
        </w:tc>
      </w:tr>
      <w:tr w14:paraId="46B4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14:paraId="7F8FFF1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12" w:type="dxa"/>
            <w:vMerge w:val="continue"/>
            <w:vAlign w:val="center"/>
          </w:tcPr>
          <w:p w14:paraId="1B28179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044" w:type="dxa"/>
            <w:vMerge w:val="continue"/>
            <w:vAlign w:val="center"/>
          </w:tcPr>
          <w:p w14:paraId="4C3E9CF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037" w:type="dxa"/>
            <w:vAlign w:val="center"/>
          </w:tcPr>
          <w:p w14:paraId="7AEF2722">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t/d</w:t>
            </w:r>
          </w:p>
        </w:tc>
        <w:tc>
          <w:tcPr>
            <w:tcW w:w="1034" w:type="dxa"/>
            <w:vAlign w:val="center"/>
          </w:tcPr>
          <w:p w14:paraId="7CD36C45">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t/a</w:t>
            </w:r>
          </w:p>
        </w:tc>
        <w:tc>
          <w:tcPr>
            <w:tcW w:w="1052" w:type="dxa"/>
            <w:vMerge w:val="continue"/>
            <w:vAlign w:val="center"/>
          </w:tcPr>
          <w:p w14:paraId="18E5D34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053" w:type="dxa"/>
            <w:vMerge w:val="continue"/>
            <w:vAlign w:val="center"/>
          </w:tcPr>
          <w:p w14:paraId="0B1C588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053" w:type="dxa"/>
            <w:vMerge w:val="continue"/>
            <w:vAlign w:val="center"/>
          </w:tcPr>
          <w:p w14:paraId="587875C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3DD7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14:paraId="19688B8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猪舍</w:t>
            </w:r>
          </w:p>
        </w:tc>
        <w:tc>
          <w:tcPr>
            <w:tcW w:w="1212" w:type="dxa"/>
            <w:vAlign w:val="center"/>
          </w:tcPr>
          <w:p w14:paraId="3418A3A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20.5g/d·头</w:t>
            </w:r>
          </w:p>
        </w:tc>
        <w:tc>
          <w:tcPr>
            <w:tcW w:w="1044" w:type="dxa"/>
            <w:vAlign w:val="center"/>
          </w:tcPr>
          <w:p w14:paraId="355810C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4</w:t>
            </w:r>
            <w:r>
              <w:rPr>
                <w:rFonts w:hint="default" w:ascii="Times New Roman" w:hAnsi="Times New Roman" w:cs="Times New Roman"/>
                <w:color w:val="auto"/>
                <w:sz w:val="18"/>
                <w:szCs w:val="18"/>
                <w:highlight w:val="none"/>
              </w:rPr>
              <w:t>000</w:t>
            </w:r>
          </w:p>
        </w:tc>
        <w:tc>
          <w:tcPr>
            <w:tcW w:w="1037" w:type="dxa"/>
            <w:vAlign w:val="center"/>
          </w:tcPr>
          <w:p w14:paraId="1FD3A9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082</w:t>
            </w:r>
          </w:p>
        </w:tc>
        <w:tc>
          <w:tcPr>
            <w:tcW w:w="1034" w:type="dxa"/>
            <w:vAlign w:val="center"/>
          </w:tcPr>
          <w:p w14:paraId="45FC2A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26.24</w:t>
            </w:r>
          </w:p>
        </w:tc>
        <w:tc>
          <w:tcPr>
            <w:tcW w:w="1052" w:type="dxa"/>
            <w:vAlign w:val="center"/>
          </w:tcPr>
          <w:p w14:paraId="7AE01A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2.624</w:t>
            </w:r>
          </w:p>
        </w:tc>
        <w:tc>
          <w:tcPr>
            <w:tcW w:w="1053" w:type="dxa"/>
            <w:vAlign w:val="center"/>
          </w:tcPr>
          <w:p w14:paraId="7E4C98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0.656</w:t>
            </w:r>
          </w:p>
        </w:tc>
        <w:tc>
          <w:tcPr>
            <w:tcW w:w="1053" w:type="dxa"/>
            <w:vAlign w:val="center"/>
          </w:tcPr>
          <w:p w14:paraId="162500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0.0656</w:t>
            </w:r>
          </w:p>
        </w:tc>
      </w:tr>
      <w:tr w14:paraId="29C5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vAlign w:val="center"/>
          </w:tcPr>
          <w:p w14:paraId="6B7C2F6F">
            <w:pPr>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*：依据《排污许可证申请与核发技术规范畜禽养殖业》（HJ1029-2019）表 9 中粪便中总氮的含量（9.3g/d·头）与尿液中总氮含量（11.2g/d·头）的和计算。</w:t>
            </w:r>
          </w:p>
        </w:tc>
      </w:tr>
    </w:tbl>
    <w:p w14:paraId="5961ECDD">
      <w:pPr>
        <w:snapToGrid w:val="0"/>
        <w:spacing w:before="156" w:beforeLines="50" w:line="360" w:lineRule="auto"/>
        <w:ind w:firstLine="482"/>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恶臭控制措施</w:t>
      </w:r>
      <w:r>
        <w:rPr>
          <w:rFonts w:hint="default" w:ascii="Times New Roman" w:hAnsi="Times New Roman" w:cs="Times New Roman"/>
          <w:color w:val="auto"/>
          <w:sz w:val="24"/>
          <w:highlight w:val="none"/>
          <w:lang w:eastAsia="zh-CN"/>
        </w:rPr>
        <w:t>：</w:t>
      </w:r>
    </w:p>
    <w:p w14:paraId="02A64D74">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项目养殖恶臭主要通过采用合理设计日粮（添加益生菌和EM活菌剂）以及喷洒微生物除臭剂，同时控制养殖密度，猪舍通过加强通风</w:t>
      </w:r>
      <w:r>
        <w:rPr>
          <w:rFonts w:hint="eastAsia" w:ascii="Times New Roman" w:hAnsi="Times New Roman" w:cs="Times New Roman"/>
          <w:color w:val="auto"/>
          <w:sz w:val="24"/>
          <w:highlight w:val="none"/>
          <w:lang w:eastAsia="zh-CN"/>
        </w:rPr>
        <w:t>，以及</w:t>
      </w:r>
      <w:r>
        <w:rPr>
          <w:rFonts w:hint="default" w:ascii="Times New Roman" w:hAnsi="Times New Roman" w:cs="Times New Roman"/>
          <w:color w:val="auto"/>
          <w:sz w:val="24"/>
          <w:highlight w:val="none"/>
        </w:rPr>
        <w:t>猪周边种植绿化树等措施进行除臭。经查阅资料，各种臭气防治方式的除臭效果如下：</w:t>
      </w:r>
    </w:p>
    <w:p w14:paraId="0085F47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◆合理设计日粮：养殖过程中在饲料中添加EM活菌剂等，</w:t>
      </w:r>
      <w:r>
        <w:rPr>
          <w:rFonts w:hint="default" w:ascii="Times New Roman" w:hAnsi="Times New Roman" w:cs="Times New Roman"/>
          <w:color w:val="auto"/>
          <w:sz w:val="24"/>
          <w:highlight w:val="none"/>
          <w:lang w:bidi="zh-CN"/>
        </w:rPr>
        <w:t>其可增加猪消化道内有益微生物的数量，调节体内的微生物生态平衡、防治下痢，促进生长发育，提高饲料转化率，减少肠道内氨、吲哚等恶臭物质的产生。根据《家畜环境卫生学》（安立龙，高等教育出版社），在畜禽日粮中投放益生菌、EM活菌剂等能够有效降解NH</w:t>
      </w:r>
      <w:r>
        <w:rPr>
          <w:rFonts w:hint="default" w:ascii="Times New Roman" w:hAnsi="Times New Roman" w:cs="Times New Roman"/>
          <w:color w:val="auto"/>
          <w:sz w:val="24"/>
          <w:highlight w:val="none"/>
          <w:vertAlign w:val="subscript"/>
          <w:lang w:bidi="zh-CN"/>
        </w:rPr>
        <w:t>3</w:t>
      </w:r>
      <w:r>
        <w:rPr>
          <w:rFonts w:hint="default" w:ascii="Times New Roman" w:hAnsi="Times New Roman" w:cs="Times New Roman"/>
          <w:color w:val="auto"/>
          <w:sz w:val="24"/>
          <w:highlight w:val="none"/>
          <w:lang w:bidi="zh-CN"/>
        </w:rPr>
        <w:t>、H</w:t>
      </w:r>
      <w:r>
        <w:rPr>
          <w:rFonts w:hint="default" w:ascii="Times New Roman" w:hAnsi="Times New Roman" w:cs="Times New Roman"/>
          <w:color w:val="auto"/>
          <w:sz w:val="24"/>
          <w:highlight w:val="none"/>
          <w:vertAlign w:val="subscript"/>
          <w:lang w:bidi="zh-CN"/>
        </w:rPr>
        <w:t>2</w:t>
      </w:r>
      <w:r>
        <w:rPr>
          <w:rFonts w:hint="default" w:ascii="Times New Roman" w:hAnsi="Times New Roman" w:cs="Times New Roman"/>
          <w:color w:val="auto"/>
          <w:sz w:val="24"/>
          <w:highlight w:val="none"/>
          <w:lang w:bidi="zh-CN"/>
        </w:rPr>
        <w:t>S等有害气体，NH</w:t>
      </w:r>
      <w:r>
        <w:rPr>
          <w:rFonts w:hint="default" w:ascii="Times New Roman" w:hAnsi="Times New Roman" w:cs="Times New Roman"/>
          <w:color w:val="auto"/>
          <w:sz w:val="24"/>
          <w:highlight w:val="none"/>
          <w:vertAlign w:val="subscript"/>
          <w:lang w:bidi="zh-CN"/>
        </w:rPr>
        <w:t>3</w:t>
      </w:r>
      <w:r>
        <w:rPr>
          <w:rFonts w:hint="default" w:ascii="Times New Roman" w:hAnsi="Times New Roman" w:cs="Times New Roman"/>
          <w:color w:val="auto"/>
          <w:sz w:val="24"/>
          <w:highlight w:val="none"/>
          <w:lang w:bidi="zh-CN"/>
        </w:rPr>
        <w:t>的降解率≥70%，H</w:t>
      </w:r>
      <w:r>
        <w:rPr>
          <w:rFonts w:hint="default" w:ascii="Times New Roman" w:hAnsi="Times New Roman" w:cs="Times New Roman"/>
          <w:color w:val="auto"/>
          <w:sz w:val="24"/>
          <w:highlight w:val="none"/>
          <w:vertAlign w:val="subscript"/>
          <w:lang w:bidi="zh-CN"/>
        </w:rPr>
        <w:t>2</w:t>
      </w:r>
      <w:r>
        <w:rPr>
          <w:rFonts w:hint="default" w:ascii="Times New Roman" w:hAnsi="Times New Roman" w:cs="Times New Roman"/>
          <w:color w:val="auto"/>
          <w:sz w:val="24"/>
          <w:highlight w:val="none"/>
          <w:lang w:bidi="zh-CN"/>
        </w:rPr>
        <w:t>S降解率≥80%。本次评价按照保守估计，NH</w:t>
      </w:r>
      <w:r>
        <w:rPr>
          <w:rFonts w:hint="default" w:ascii="Times New Roman" w:hAnsi="Times New Roman" w:cs="Times New Roman"/>
          <w:color w:val="auto"/>
          <w:sz w:val="24"/>
          <w:highlight w:val="none"/>
          <w:vertAlign w:val="subscript"/>
          <w:lang w:bidi="zh-CN"/>
        </w:rPr>
        <w:t>3</w:t>
      </w:r>
      <w:r>
        <w:rPr>
          <w:rFonts w:hint="default" w:ascii="Times New Roman" w:hAnsi="Times New Roman" w:cs="Times New Roman"/>
          <w:color w:val="auto"/>
          <w:sz w:val="24"/>
          <w:highlight w:val="none"/>
          <w:lang w:bidi="zh-CN"/>
        </w:rPr>
        <w:t>、H</w:t>
      </w:r>
      <w:r>
        <w:rPr>
          <w:rFonts w:hint="default" w:ascii="Times New Roman" w:hAnsi="Times New Roman" w:cs="Times New Roman"/>
          <w:color w:val="auto"/>
          <w:sz w:val="24"/>
          <w:highlight w:val="none"/>
          <w:vertAlign w:val="subscript"/>
          <w:lang w:bidi="zh-CN"/>
        </w:rPr>
        <w:t>2</w:t>
      </w:r>
      <w:r>
        <w:rPr>
          <w:rFonts w:hint="default" w:ascii="Times New Roman" w:hAnsi="Times New Roman" w:cs="Times New Roman"/>
          <w:color w:val="auto"/>
          <w:sz w:val="24"/>
          <w:highlight w:val="none"/>
          <w:lang w:bidi="zh-CN"/>
        </w:rPr>
        <w:t>S的降解率均取50%。</w:t>
      </w:r>
    </w:p>
    <w:p w14:paraId="16671306">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喷洒生物除臭剂：根据《自然科学》现代化农业，2011年第6期(总第383期)“微生物除臭剂研究进展”（赵晓锋，隋文志）的资料，经国家环境分析测试中心和陕西环境监测中心测试养殖场生物除臭剂（乳酸菌、酵母菌、硝化细菌等）对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和H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S的去除效率分别为92.6%和89%。同时加大场区绿化也可以对项目区的恶臭气体具有一定的吸附作用，进一步减小恶臭对周围环境的影响。</w:t>
      </w:r>
    </w:p>
    <w:p w14:paraId="093BD8A7">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根据上述养殖场除臭措施，结合项目实际特点，项目运营后将采取的措施为：在日粮中投放益生菌、EM活菌剂等；喷洒微生物除臭剂；猪舍周边种植绿化树。经采取以上除臭措施后，NH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的去除率为96.3%，H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S的去除率为94.5%。综上，猪舍NH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S产排情况见表3.</w:t>
      </w:r>
      <w:r>
        <w:rPr>
          <w:rFonts w:hint="default" w:ascii="Times New Roman" w:hAnsi="Times New Roman" w:cs="Times New Roman"/>
          <w:color w:val="auto"/>
          <w:sz w:val="24"/>
          <w:highlight w:val="none"/>
          <w:lang w:val="en-US" w:eastAsia="zh-CN"/>
        </w:rPr>
        <w:t>3.2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p>
    <w:p w14:paraId="6195EB95">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3.3.2-2</w:t>
      </w:r>
      <w:r>
        <w:rPr>
          <w:rFonts w:hint="default" w:ascii="Times New Roman" w:hAnsi="Times New Roman" w:cs="Times New Roman"/>
          <w:b/>
          <w:color w:val="auto"/>
          <w:szCs w:val="21"/>
          <w:highlight w:val="none"/>
        </w:rPr>
        <w:t xml:space="preserve">      猪舍NH</w:t>
      </w:r>
      <w:r>
        <w:rPr>
          <w:rFonts w:hint="default" w:ascii="Times New Roman" w:hAnsi="Times New Roman" w:cs="Times New Roman"/>
          <w:b/>
          <w:color w:val="auto"/>
          <w:szCs w:val="21"/>
          <w:highlight w:val="none"/>
          <w:vertAlign w:val="subscript"/>
        </w:rPr>
        <w:t>3</w:t>
      </w:r>
      <w:r>
        <w:rPr>
          <w:rFonts w:hint="default" w:ascii="Times New Roman" w:hAnsi="Times New Roman" w:cs="Times New Roman"/>
          <w:b/>
          <w:color w:val="auto"/>
          <w:szCs w:val="21"/>
          <w:highlight w:val="none"/>
        </w:rPr>
        <w:t>、H</w:t>
      </w:r>
      <w:r>
        <w:rPr>
          <w:rFonts w:hint="default" w:ascii="Times New Roman" w:hAnsi="Times New Roman" w:cs="Times New Roman"/>
          <w:b/>
          <w:color w:val="auto"/>
          <w:szCs w:val="21"/>
          <w:highlight w:val="none"/>
          <w:vertAlign w:val="subscript"/>
        </w:rPr>
        <w:t>2</w:t>
      </w:r>
      <w:r>
        <w:rPr>
          <w:rFonts w:hint="default" w:ascii="Times New Roman" w:hAnsi="Times New Roman" w:cs="Times New Roman"/>
          <w:b/>
          <w:color w:val="auto"/>
          <w:szCs w:val="21"/>
          <w:highlight w:val="none"/>
        </w:rPr>
        <w:t>S产排污情况一览表</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595"/>
        <w:gridCol w:w="1034"/>
        <w:gridCol w:w="872"/>
        <w:gridCol w:w="2946"/>
        <w:gridCol w:w="848"/>
        <w:gridCol w:w="1034"/>
        <w:gridCol w:w="871"/>
      </w:tblGrid>
      <w:tr w14:paraId="41A0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restart"/>
            <w:vAlign w:val="center"/>
          </w:tcPr>
          <w:p w14:paraId="7DE167BC">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产污点</w:t>
            </w:r>
          </w:p>
        </w:tc>
        <w:tc>
          <w:tcPr>
            <w:tcW w:w="595" w:type="dxa"/>
            <w:vMerge w:val="restart"/>
            <w:vAlign w:val="center"/>
          </w:tcPr>
          <w:p w14:paraId="5A48631F">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污染物</w:t>
            </w:r>
          </w:p>
        </w:tc>
        <w:tc>
          <w:tcPr>
            <w:tcW w:w="1906" w:type="dxa"/>
            <w:gridSpan w:val="2"/>
            <w:vAlign w:val="center"/>
          </w:tcPr>
          <w:p w14:paraId="0757200F">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产生情况</w:t>
            </w:r>
          </w:p>
        </w:tc>
        <w:tc>
          <w:tcPr>
            <w:tcW w:w="2946" w:type="dxa"/>
            <w:vMerge w:val="restart"/>
            <w:vAlign w:val="center"/>
          </w:tcPr>
          <w:p w14:paraId="656C2344">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处理措施</w:t>
            </w:r>
          </w:p>
        </w:tc>
        <w:tc>
          <w:tcPr>
            <w:tcW w:w="848" w:type="dxa"/>
            <w:vMerge w:val="restart"/>
            <w:vAlign w:val="center"/>
          </w:tcPr>
          <w:p w14:paraId="2E0D2208">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处理效率（%）</w:t>
            </w:r>
          </w:p>
        </w:tc>
        <w:tc>
          <w:tcPr>
            <w:tcW w:w="1905" w:type="dxa"/>
            <w:gridSpan w:val="2"/>
            <w:vAlign w:val="center"/>
          </w:tcPr>
          <w:p w14:paraId="3B052574">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排放情况</w:t>
            </w:r>
          </w:p>
        </w:tc>
      </w:tr>
      <w:tr w14:paraId="6A84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95" w:type="dxa"/>
            <w:vMerge w:val="continue"/>
            <w:tcBorders>
              <w:bottom w:val="single" w:color="auto" w:sz="4" w:space="0"/>
            </w:tcBorders>
            <w:vAlign w:val="center"/>
          </w:tcPr>
          <w:p w14:paraId="5BE1F89D">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p>
        </w:tc>
        <w:tc>
          <w:tcPr>
            <w:tcW w:w="595" w:type="dxa"/>
            <w:vMerge w:val="continue"/>
            <w:tcBorders>
              <w:bottom w:val="single" w:color="auto" w:sz="4" w:space="0"/>
            </w:tcBorders>
            <w:vAlign w:val="center"/>
          </w:tcPr>
          <w:p w14:paraId="1896A72B">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p>
        </w:tc>
        <w:tc>
          <w:tcPr>
            <w:tcW w:w="1034" w:type="dxa"/>
            <w:tcBorders>
              <w:bottom w:val="single" w:color="auto" w:sz="4" w:space="0"/>
            </w:tcBorders>
            <w:vAlign w:val="center"/>
          </w:tcPr>
          <w:p w14:paraId="4A7028CF">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产生速率（kg/h）</w:t>
            </w:r>
          </w:p>
        </w:tc>
        <w:tc>
          <w:tcPr>
            <w:tcW w:w="872" w:type="dxa"/>
            <w:tcBorders>
              <w:bottom w:val="single" w:color="auto" w:sz="4" w:space="0"/>
            </w:tcBorders>
            <w:vAlign w:val="center"/>
          </w:tcPr>
          <w:p w14:paraId="6CB96874">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产生量</w:t>
            </w:r>
          </w:p>
          <w:p w14:paraId="073D70B6">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（t/a）</w:t>
            </w:r>
          </w:p>
        </w:tc>
        <w:tc>
          <w:tcPr>
            <w:tcW w:w="2946" w:type="dxa"/>
            <w:vMerge w:val="continue"/>
            <w:tcBorders>
              <w:bottom w:val="single" w:color="auto" w:sz="4" w:space="0"/>
            </w:tcBorders>
            <w:vAlign w:val="center"/>
          </w:tcPr>
          <w:p w14:paraId="61D777A6">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p>
        </w:tc>
        <w:tc>
          <w:tcPr>
            <w:tcW w:w="848" w:type="dxa"/>
            <w:vMerge w:val="continue"/>
            <w:tcBorders>
              <w:bottom w:val="single" w:color="auto" w:sz="4" w:space="0"/>
            </w:tcBorders>
            <w:vAlign w:val="center"/>
          </w:tcPr>
          <w:p w14:paraId="061A549B">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p>
        </w:tc>
        <w:tc>
          <w:tcPr>
            <w:tcW w:w="1034" w:type="dxa"/>
            <w:tcBorders>
              <w:bottom w:val="single" w:color="auto" w:sz="4" w:space="0"/>
            </w:tcBorders>
            <w:vAlign w:val="center"/>
          </w:tcPr>
          <w:p w14:paraId="6F87C7DF">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速率（kg/h）</w:t>
            </w:r>
          </w:p>
        </w:tc>
        <w:tc>
          <w:tcPr>
            <w:tcW w:w="871" w:type="dxa"/>
            <w:tcBorders>
              <w:bottom w:val="single" w:color="auto" w:sz="4" w:space="0"/>
            </w:tcBorders>
            <w:vAlign w:val="center"/>
          </w:tcPr>
          <w:p w14:paraId="46016A28">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排放量</w:t>
            </w:r>
          </w:p>
          <w:p w14:paraId="3DDDDCEF">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（t/a）</w:t>
            </w:r>
          </w:p>
        </w:tc>
      </w:tr>
      <w:tr w14:paraId="2C33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95" w:type="dxa"/>
            <w:vMerge w:val="restart"/>
            <w:vAlign w:val="center"/>
          </w:tcPr>
          <w:p w14:paraId="2307FB4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猪舍</w:t>
            </w:r>
          </w:p>
        </w:tc>
        <w:tc>
          <w:tcPr>
            <w:tcW w:w="595" w:type="dxa"/>
            <w:vAlign w:val="center"/>
          </w:tcPr>
          <w:p w14:paraId="6DDDD74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p>
        </w:tc>
        <w:tc>
          <w:tcPr>
            <w:tcW w:w="1034" w:type="dxa"/>
            <w:vAlign w:val="center"/>
          </w:tcPr>
          <w:p w14:paraId="1A94C69C">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0.085</w:t>
            </w:r>
          </w:p>
        </w:tc>
        <w:tc>
          <w:tcPr>
            <w:tcW w:w="872" w:type="dxa"/>
            <w:vAlign w:val="center"/>
          </w:tcPr>
          <w:p w14:paraId="3ED72465">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0.656</w:t>
            </w:r>
          </w:p>
        </w:tc>
        <w:tc>
          <w:tcPr>
            <w:tcW w:w="2946" w:type="dxa"/>
            <w:vMerge w:val="restart"/>
            <w:vAlign w:val="center"/>
          </w:tcPr>
          <w:p w14:paraId="6951732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日粮中投放益生菌、EM活菌剂等，并采用日粮搅拌机充分混合均匀后喂养；喷洒微生物除臭剂，猪舍周边种植绿化树</w:t>
            </w:r>
          </w:p>
        </w:tc>
        <w:tc>
          <w:tcPr>
            <w:tcW w:w="848" w:type="dxa"/>
            <w:vAlign w:val="center"/>
          </w:tcPr>
          <w:p w14:paraId="5B80861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96.3</w:t>
            </w:r>
          </w:p>
        </w:tc>
        <w:tc>
          <w:tcPr>
            <w:tcW w:w="1034" w:type="dxa"/>
            <w:vAlign w:val="center"/>
          </w:tcPr>
          <w:p w14:paraId="2F3878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316</w:t>
            </w:r>
          </w:p>
        </w:tc>
        <w:tc>
          <w:tcPr>
            <w:tcW w:w="871" w:type="dxa"/>
            <w:vAlign w:val="center"/>
          </w:tcPr>
          <w:p w14:paraId="32AB41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24</w:t>
            </w:r>
          </w:p>
        </w:tc>
      </w:tr>
      <w:tr w14:paraId="36F6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5F2B45C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595" w:type="dxa"/>
            <w:vAlign w:val="center"/>
          </w:tcPr>
          <w:p w14:paraId="26516CF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t>
            </w:r>
            <w:r>
              <w:rPr>
                <w:rFonts w:hint="default" w:ascii="Times New Roman" w:hAnsi="Times New Roman" w:cs="Times New Roman"/>
                <w:color w:val="auto"/>
                <w:sz w:val="18"/>
                <w:szCs w:val="18"/>
                <w:highlight w:val="none"/>
                <w:vertAlign w:val="subscript"/>
              </w:rPr>
              <w:t>2</w:t>
            </w:r>
            <w:r>
              <w:rPr>
                <w:rFonts w:hint="default" w:ascii="Times New Roman" w:hAnsi="Times New Roman" w:cs="Times New Roman"/>
                <w:color w:val="auto"/>
                <w:sz w:val="18"/>
                <w:szCs w:val="18"/>
                <w:highlight w:val="none"/>
              </w:rPr>
              <w:t>S</w:t>
            </w:r>
          </w:p>
        </w:tc>
        <w:tc>
          <w:tcPr>
            <w:tcW w:w="1034" w:type="dxa"/>
            <w:vAlign w:val="center"/>
          </w:tcPr>
          <w:p w14:paraId="5E70BB00">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0854</w:t>
            </w:r>
          </w:p>
        </w:tc>
        <w:tc>
          <w:tcPr>
            <w:tcW w:w="872" w:type="dxa"/>
            <w:vAlign w:val="center"/>
          </w:tcPr>
          <w:p w14:paraId="68ACA51B">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0.0656</w:t>
            </w:r>
          </w:p>
        </w:tc>
        <w:tc>
          <w:tcPr>
            <w:tcW w:w="2946" w:type="dxa"/>
            <w:vMerge w:val="continue"/>
            <w:vAlign w:val="center"/>
          </w:tcPr>
          <w:p w14:paraId="29361E3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848" w:type="dxa"/>
            <w:vAlign w:val="center"/>
          </w:tcPr>
          <w:p w14:paraId="76E6132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94.5</w:t>
            </w:r>
          </w:p>
        </w:tc>
        <w:tc>
          <w:tcPr>
            <w:tcW w:w="1034" w:type="dxa"/>
            <w:vAlign w:val="center"/>
          </w:tcPr>
          <w:p w14:paraId="621637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0.000</w:t>
            </w:r>
            <w:r>
              <w:rPr>
                <w:rFonts w:hint="default" w:ascii="Times New Roman" w:hAnsi="Times New Roman" w:cs="Times New Roman"/>
                <w:color w:val="auto"/>
                <w:sz w:val="18"/>
                <w:szCs w:val="18"/>
                <w:highlight w:val="none"/>
                <w:lang w:val="en-US" w:eastAsia="zh-CN"/>
              </w:rPr>
              <w:t>469</w:t>
            </w:r>
          </w:p>
        </w:tc>
        <w:tc>
          <w:tcPr>
            <w:tcW w:w="871" w:type="dxa"/>
            <w:vAlign w:val="center"/>
          </w:tcPr>
          <w:p w14:paraId="7B732C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361</w:t>
            </w:r>
          </w:p>
        </w:tc>
      </w:tr>
    </w:tbl>
    <w:p w14:paraId="0786F9F3">
      <w:pPr>
        <w:snapToGrid w:val="0"/>
        <w:spacing w:before="156" w:beforeLines="50" w:line="360" w:lineRule="auto"/>
        <w:ind w:firstLine="48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w:t>
      </w:r>
      <w:r>
        <w:rPr>
          <w:rFonts w:hint="default" w:ascii="Times New Roman" w:hAnsi="Times New Roman" w:cs="Times New Roman"/>
          <w:b/>
          <w:color w:val="auto"/>
          <w:sz w:val="24"/>
          <w:highlight w:val="none"/>
          <w:lang w:val="en-US" w:eastAsia="zh-CN"/>
        </w:rPr>
        <w:t>废水收集池</w:t>
      </w:r>
      <w:r>
        <w:rPr>
          <w:rFonts w:hint="default" w:ascii="Times New Roman" w:hAnsi="Times New Roman" w:cs="Times New Roman"/>
          <w:b/>
          <w:color w:val="auto"/>
          <w:sz w:val="24"/>
          <w:highlight w:val="none"/>
        </w:rPr>
        <w:t>恶臭</w:t>
      </w:r>
    </w:p>
    <w:p w14:paraId="224DFC86">
      <w:pPr>
        <w:adjustRightInd w:val="0"/>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bidi="zh-CN"/>
        </w:rPr>
        <w:t>根据</w:t>
      </w:r>
      <w:r>
        <w:rPr>
          <w:rFonts w:hint="default" w:ascii="Times New Roman" w:hAnsi="Times New Roman" w:cs="Times New Roman"/>
          <w:color w:val="auto"/>
          <w:sz w:val="24"/>
          <w:highlight w:val="none"/>
          <w:lang w:bidi="zh-CN"/>
        </w:rPr>
        <w:t>成都生物研究所实验数据，未处理的猪尿暂存池氨排放源强可达3.2–4.5g/m²·d（25–30℃条件下），</w:t>
      </w:r>
      <w:r>
        <w:rPr>
          <w:rFonts w:hint="default" w:ascii="Times New Roman" w:hAnsi="Times New Roman" w:cs="Times New Roman"/>
          <w:color w:val="auto"/>
          <w:sz w:val="24"/>
          <w:highlight w:val="none"/>
          <w:lang w:val="en-US" w:bidi="zh-CN"/>
        </w:rPr>
        <w:t>本项目取4.0</w:t>
      </w:r>
      <w:r>
        <w:rPr>
          <w:rFonts w:hint="default" w:ascii="Times New Roman" w:hAnsi="Times New Roman" w:cs="Times New Roman"/>
          <w:color w:val="auto"/>
          <w:sz w:val="24"/>
          <w:highlight w:val="none"/>
          <w:lang w:bidi="zh-CN"/>
        </w:rPr>
        <w:t>g/m²·d；硫化氢排放源强约为0.05–0.2g/m²·d（25–30℃条件下），</w:t>
      </w:r>
      <w:r>
        <w:rPr>
          <w:rFonts w:hint="default" w:ascii="Times New Roman" w:hAnsi="Times New Roman" w:cs="Times New Roman"/>
          <w:color w:val="auto"/>
          <w:sz w:val="24"/>
          <w:highlight w:val="none"/>
          <w:lang w:val="en-US" w:bidi="zh-CN"/>
        </w:rPr>
        <w:t>本项目取0.1</w:t>
      </w:r>
      <w:r>
        <w:rPr>
          <w:rFonts w:hint="default" w:ascii="Times New Roman" w:hAnsi="Times New Roman" w:cs="Times New Roman"/>
          <w:color w:val="auto"/>
          <w:sz w:val="24"/>
          <w:highlight w:val="none"/>
          <w:lang w:bidi="zh-CN"/>
        </w:rPr>
        <w:t>g/m²·d。根据工程分析，项目</w:t>
      </w:r>
      <w:r>
        <w:rPr>
          <w:rFonts w:hint="default" w:ascii="Times New Roman" w:hAnsi="Times New Roman" w:cs="Times New Roman"/>
          <w:color w:val="auto"/>
          <w:sz w:val="24"/>
          <w:highlight w:val="none"/>
          <w:lang w:val="en-US" w:bidi="zh-CN"/>
        </w:rPr>
        <w:t>废水收集池面积200㎡</w:t>
      </w:r>
      <w:r>
        <w:rPr>
          <w:rFonts w:hint="default" w:ascii="Times New Roman" w:hAnsi="Times New Roman" w:cs="Times New Roman"/>
          <w:color w:val="auto"/>
          <w:sz w:val="24"/>
          <w:highlight w:val="none"/>
          <w:lang w:bidi="zh-CN"/>
        </w:rPr>
        <w:t>，则NH</w:t>
      </w:r>
      <w:r>
        <w:rPr>
          <w:rFonts w:hint="default" w:ascii="Times New Roman" w:hAnsi="Times New Roman" w:cs="Times New Roman"/>
          <w:color w:val="auto"/>
          <w:sz w:val="24"/>
          <w:highlight w:val="none"/>
          <w:vertAlign w:val="subscript"/>
          <w:lang w:bidi="zh-CN"/>
        </w:rPr>
        <w:t>3</w:t>
      </w:r>
      <w:r>
        <w:rPr>
          <w:rFonts w:hint="default" w:ascii="Times New Roman" w:hAnsi="Times New Roman" w:cs="Times New Roman"/>
          <w:color w:val="auto"/>
          <w:sz w:val="24"/>
          <w:highlight w:val="none"/>
          <w:lang w:bidi="zh-CN"/>
        </w:rPr>
        <w:t>产生量为0.</w:t>
      </w:r>
      <w:r>
        <w:rPr>
          <w:rFonts w:hint="default" w:ascii="Times New Roman" w:hAnsi="Times New Roman" w:cs="Times New Roman"/>
          <w:color w:val="auto"/>
          <w:sz w:val="24"/>
          <w:highlight w:val="none"/>
          <w:lang w:val="en-US" w:bidi="zh-CN"/>
        </w:rPr>
        <w:t>25</w:t>
      </w:r>
      <w:r>
        <w:rPr>
          <w:rFonts w:hint="default" w:ascii="Times New Roman" w:hAnsi="Times New Roman" w:cs="Times New Roman"/>
          <w:color w:val="auto"/>
          <w:sz w:val="24"/>
          <w:highlight w:val="none"/>
          <w:lang w:bidi="zh-CN"/>
        </w:rPr>
        <w:t>t/a，0.0</w:t>
      </w:r>
      <w:r>
        <w:rPr>
          <w:rFonts w:hint="default" w:ascii="Times New Roman" w:hAnsi="Times New Roman" w:cs="Times New Roman"/>
          <w:color w:val="auto"/>
          <w:sz w:val="24"/>
          <w:highlight w:val="none"/>
          <w:lang w:val="en-US" w:bidi="zh-CN"/>
        </w:rPr>
        <w:t>33</w:t>
      </w:r>
      <w:r>
        <w:rPr>
          <w:rFonts w:hint="default" w:ascii="Times New Roman" w:hAnsi="Times New Roman" w:cs="Times New Roman"/>
          <w:color w:val="auto"/>
          <w:sz w:val="24"/>
          <w:highlight w:val="none"/>
          <w:lang w:bidi="zh-CN"/>
        </w:rPr>
        <w:t>kg/h；H</w:t>
      </w:r>
      <w:r>
        <w:rPr>
          <w:rFonts w:hint="default" w:ascii="Times New Roman" w:hAnsi="Times New Roman" w:cs="Times New Roman"/>
          <w:color w:val="auto"/>
          <w:sz w:val="24"/>
          <w:highlight w:val="none"/>
          <w:vertAlign w:val="subscript"/>
          <w:lang w:bidi="zh-CN"/>
        </w:rPr>
        <w:t>2</w:t>
      </w:r>
      <w:r>
        <w:rPr>
          <w:rFonts w:hint="default" w:ascii="Times New Roman" w:hAnsi="Times New Roman" w:cs="Times New Roman"/>
          <w:color w:val="auto"/>
          <w:sz w:val="24"/>
          <w:highlight w:val="none"/>
          <w:lang w:bidi="zh-CN"/>
        </w:rPr>
        <w:t>S产生量为0.0</w:t>
      </w:r>
      <w:r>
        <w:rPr>
          <w:rFonts w:hint="default" w:ascii="Times New Roman" w:hAnsi="Times New Roman" w:cs="Times New Roman"/>
          <w:color w:val="auto"/>
          <w:sz w:val="24"/>
          <w:highlight w:val="none"/>
          <w:lang w:val="en-US" w:bidi="zh-CN"/>
        </w:rPr>
        <w:t>064</w:t>
      </w:r>
      <w:r>
        <w:rPr>
          <w:rFonts w:hint="default" w:ascii="Times New Roman" w:hAnsi="Times New Roman" w:cs="Times New Roman"/>
          <w:color w:val="auto"/>
          <w:sz w:val="24"/>
          <w:highlight w:val="none"/>
          <w:lang w:bidi="zh-CN"/>
        </w:rPr>
        <w:t>t/a，0.00</w:t>
      </w:r>
      <w:r>
        <w:rPr>
          <w:rFonts w:hint="default" w:ascii="Times New Roman" w:hAnsi="Times New Roman" w:cs="Times New Roman"/>
          <w:color w:val="auto"/>
          <w:sz w:val="24"/>
          <w:highlight w:val="none"/>
          <w:lang w:val="en-US" w:bidi="zh-CN"/>
        </w:rPr>
        <w:t>083</w:t>
      </w:r>
      <w:r>
        <w:rPr>
          <w:rFonts w:hint="default" w:ascii="Times New Roman" w:hAnsi="Times New Roman" w:cs="Times New Roman"/>
          <w:color w:val="auto"/>
          <w:sz w:val="24"/>
          <w:highlight w:val="none"/>
          <w:lang w:bidi="zh-CN"/>
        </w:rPr>
        <w:t>kg/h。</w:t>
      </w:r>
    </w:p>
    <w:p w14:paraId="396654C4">
      <w:pPr>
        <w:adjustRightInd w:val="0"/>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恶臭控制措施：</w:t>
      </w:r>
      <w:r>
        <w:rPr>
          <w:rFonts w:hint="default" w:ascii="Times New Roman" w:hAnsi="Times New Roman" w:cs="Times New Roman"/>
          <w:color w:val="auto"/>
          <w:sz w:val="24"/>
          <w:highlight w:val="none"/>
          <w:lang w:val="en-US" w:eastAsia="zh-CN"/>
        </w:rPr>
        <w:t>废水收集</w:t>
      </w:r>
      <w:r>
        <w:rPr>
          <w:rFonts w:hint="default" w:ascii="Times New Roman" w:hAnsi="Times New Roman" w:cs="Times New Roman"/>
          <w:color w:val="auto"/>
          <w:sz w:val="24"/>
          <w:highlight w:val="none"/>
        </w:rPr>
        <w:t>池采取</w:t>
      </w:r>
      <w:r>
        <w:rPr>
          <w:rFonts w:hint="default" w:ascii="Times New Roman" w:hAnsi="Times New Roman" w:cs="Times New Roman"/>
          <w:color w:val="auto"/>
          <w:sz w:val="24"/>
          <w:highlight w:val="none"/>
          <w:lang w:val="en-US" w:eastAsia="zh-CN"/>
        </w:rPr>
        <w:t>盖板封闭</w:t>
      </w:r>
      <w:r>
        <w:rPr>
          <w:rFonts w:hint="default" w:ascii="Times New Roman" w:hAnsi="Times New Roman" w:cs="Times New Roman"/>
          <w:color w:val="auto"/>
          <w:sz w:val="24"/>
          <w:highlight w:val="none"/>
        </w:rPr>
        <w:t>措施，恶臭控制效率约为60%</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并定期喷洒微生物除臭剂；根据《自然科学》现代化农业，2011年第6期(总第383期)“微生物除臭剂研究进展”（赵晓锋，隋文志）的资料，经国家环境分析测试中心和陕西环境监测中心测试养殖场生物除臭剂（乳酸菌、酵母菌、硝化细菌等）对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和H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S的去除效率分别为92.6%和89%。</w:t>
      </w:r>
    </w:p>
    <w:p w14:paraId="1DC3B95E">
      <w:pPr>
        <w:adjustRightInd w:val="0"/>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综合考虑了封闭措施及喷洒生物除臭剂、绿化等措施后，综合除臭效率分别为NH</w:t>
      </w:r>
      <w:r>
        <w:rPr>
          <w:rFonts w:hint="default" w:ascii="Times New Roman" w:hAnsi="Times New Roman" w:cs="Times New Roman"/>
          <w:color w:val="auto"/>
          <w:sz w:val="24"/>
          <w:highlight w:val="none"/>
          <w:vertAlign w:val="subscript"/>
        </w:rPr>
        <w:t xml:space="preserve">3 </w:t>
      </w:r>
      <w:r>
        <w:rPr>
          <w:rFonts w:hint="default" w:ascii="Times New Roman" w:hAnsi="Times New Roman" w:cs="Times New Roman"/>
          <w:color w:val="auto"/>
          <w:sz w:val="24"/>
          <w:highlight w:val="none"/>
        </w:rPr>
        <w:t>97.04%、H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 95.6%，</w:t>
      </w:r>
      <w:r>
        <w:rPr>
          <w:rFonts w:hint="default" w:ascii="Times New Roman" w:hAnsi="Times New Roman" w:cs="Times New Roman"/>
          <w:color w:val="auto"/>
          <w:sz w:val="24"/>
          <w:highlight w:val="none"/>
          <w:lang w:val="en-US" w:eastAsia="zh-CN"/>
        </w:rPr>
        <w:t>废水收集</w:t>
      </w:r>
      <w:r>
        <w:rPr>
          <w:rFonts w:hint="default" w:ascii="Times New Roman" w:hAnsi="Times New Roman" w:cs="Times New Roman"/>
          <w:color w:val="auto"/>
          <w:sz w:val="24"/>
          <w:highlight w:val="none"/>
        </w:rPr>
        <w:t>池排放的氨气为0.0</w:t>
      </w:r>
      <w:r>
        <w:rPr>
          <w:rFonts w:hint="default" w:ascii="Times New Roman" w:hAnsi="Times New Roman" w:cs="Times New Roman"/>
          <w:color w:val="auto"/>
          <w:sz w:val="24"/>
          <w:highlight w:val="none"/>
          <w:lang w:val="en-US" w:eastAsia="zh-CN"/>
        </w:rPr>
        <w:t>00977</w:t>
      </w:r>
      <w:r>
        <w:rPr>
          <w:rFonts w:hint="default" w:ascii="Times New Roman" w:hAnsi="Times New Roman" w:cs="Times New Roman"/>
          <w:color w:val="auto"/>
          <w:sz w:val="24"/>
          <w:highlight w:val="none"/>
        </w:rPr>
        <w:t>kg/h，0.0</w:t>
      </w:r>
      <w:r>
        <w:rPr>
          <w:rFonts w:hint="default" w:ascii="Times New Roman" w:hAnsi="Times New Roman" w:cs="Times New Roman"/>
          <w:color w:val="auto"/>
          <w:sz w:val="24"/>
          <w:highlight w:val="none"/>
          <w:lang w:val="en-US" w:eastAsia="zh-CN"/>
        </w:rPr>
        <w:t>074</w:t>
      </w:r>
      <w:r>
        <w:rPr>
          <w:rFonts w:hint="default" w:ascii="Times New Roman" w:hAnsi="Times New Roman" w:cs="Times New Roman"/>
          <w:color w:val="auto"/>
          <w:sz w:val="24"/>
          <w:highlight w:val="none"/>
        </w:rPr>
        <w:t>t/a；硫化氢为0.0</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00</w:t>
      </w:r>
      <w:r>
        <w:rPr>
          <w:rFonts w:hint="default" w:ascii="Times New Roman" w:hAnsi="Times New Roman" w:cs="Times New Roman"/>
          <w:color w:val="auto"/>
          <w:sz w:val="24"/>
          <w:highlight w:val="none"/>
          <w:lang w:val="en-US" w:eastAsia="zh-CN"/>
        </w:rPr>
        <w:t>365</w:t>
      </w:r>
      <w:r>
        <w:rPr>
          <w:rFonts w:hint="default" w:ascii="Times New Roman" w:hAnsi="Times New Roman" w:cs="Times New Roman"/>
          <w:color w:val="auto"/>
          <w:sz w:val="24"/>
          <w:highlight w:val="none"/>
        </w:rPr>
        <w:t>kg/h，0.00</w:t>
      </w:r>
      <w:r>
        <w:rPr>
          <w:rFonts w:hint="default" w:ascii="Times New Roman" w:hAnsi="Times New Roman" w:cs="Times New Roman"/>
          <w:color w:val="auto"/>
          <w:sz w:val="24"/>
          <w:highlight w:val="none"/>
          <w:lang w:val="en-US" w:eastAsia="zh-CN"/>
        </w:rPr>
        <w:t>028</w:t>
      </w:r>
      <w:r>
        <w:rPr>
          <w:rFonts w:hint="default" w:ascii="Times New Roman" w:hAnsi="Times New Roman" w:cs="Times New Roman"/>
          <w:color w:val="auto"/>
          <w:sz w:val="24"/>
          <w:highlight w:val="none"/>
        </w:rPr>
        <w:t>t/a。均属于无组织排放。</w:t>
      </w:r>
    </w:p>
    <w:p w14:paraId="38BA1FAC">
      <w:pPr>
        <w:snapToGrid w:val="0"/>
        <w:spacing w:line="360" w:lineRule="auto"/>
        <w:ind w:firstLine="48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w:t>
      </w:r>
      <w:r>
        <w:rPr>
          <w:rFonts w:hint="default" w:ascii="Times New Roman" w:hAnsi="Times New Roman" w:cs="Times New Roman"/>
          <w:b/>
          <w:color w:val="auto"/>
          <w:sz w:val="24"/>
          <w:highlight w:val="none"/>
          <w:lang w:val="en-US" w:eastAsia="zh-CN"/>
        </w:rPr>
        <w:t>堆粪棚</w:t>
      </w:r>
      <w:r>
        <w:rPr>
          <w:rFonts w:hint="default" w:ascii="Times New Roman" w:hAnsi="Times New Roman" w:cs="Times New Roman"/>
          <w:b/>
          <w:color w:val="auto"/>
          <w:sz w:val="24"/>
          <w:highlight w:val="none"/>
        </w:rPr>
        <w:t>恶臭</w:t>
      </w:r>
    </w:p>
    <w:p w14:paraId="6658E510">
      <w:pPr>
        <w:adjustRightInd w:val="0"/>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本次评价参考《养猪场恶臭影响量化分析及控制对策研究》（天津市环境影响评价中心孙艳青、张潞、李万庆）对</w:t>
      </w:r>
      <w:r>
        <w:rPr>
          <w:rFonts w:hint="default" w:ascii="Times New Roman" w:hAnsi="Times New Roman" w:cs="Times New Roman"/>
          <w:b w:val="0"/>
          <w:bCs/>
          <w:color w:val="auto"/>
          <w:sz w:val="24"/>
          <w:highlight w:val="none"/>
          <w:lang w:val="en-US" w:eastAsia="zh-CN"/>
        </w:rPr>
        <w:t>堆粪棚</w:t>
      </w:r>
      <w:r>
        <w:rPr>
          <w:rFonts w:hint="default" w:ascii="Times New Roman" w:hAnsi="Times New Roman" w:cs="Times New Roman"/>
          <w:color w:val="auto"/>
          <w:sz w:val="24"/>
          <w:highlight w:val="none"/>
        </w:rPr>
        <w:t>所的NH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及H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S的排放量统计情况进行污染物核算，在没有任何遮盖及猪粪没有结皮的情况下，NH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的排放强度为5.2g/（m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·d），H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S的排放强度为1.4g/（m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·d）。</w:t>
      </w:r>
    </w:p>
    <w:p w14:paraId="3865E8CC">
      <w:pPr>
        <w:adjustRightInd w:val="0"/>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lang w:eastAsia="zh-CN"/>
        </w:rPr>
        <w:t>堆粪棚</w:t>
      </w:r>
      <w:r>
        <w:rPr>
          <w:rFonts w:hint="default" w:ascii="Times New Roman" w:hAnsi="Times New Roman" w:cs="Times New Roman"/>
          <w:color w:val="auto"/>
          <w:sz w:val="24"/>
          <w:highlight w:val="none"/>
        </w:rPr>
        <w:t>面积为</w:t>
      </w:r>
      <w:r>
        <w:rPr>
          <w:rFonts w:hint="default" w:ascii="Times New Roman" w:hAnsi="Times New Roman" w:cs="Times New Roman"/>
          <w:color w:val="auto"/>
          <w:sz w:val="24"/>
          <w:highlight w:val="none"/>
          <w:lang w:val="en-US" w:eastAsia="zh-CN"/>
        </w:rPr>
        <w:t>300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，则根据系数计算得到</w:t>
      </w:r>
      <w:r>
        <w:rPr>
          <w:rFonts w:hint="default" w:ascii="Times New Roman" w:hAnsi="Times New Roman" w:cs="Times New Roman"/>
          <w:b w:val="0"/>
          <w:bCs/>
          <w:color w:val="auto"/>
          <w:sz w:val="24"/>
          <w:highlight w:val="none"/>
          <w:lang w:val="en-US" w:eastAsia="zh-CN"/>
        </w:rPr>
        <w:t>堆粪棚</w:t>
      </w:r>
      <w:r>
        <w:rPr>
          <w:rFonts w:hint="default" w:ascii="Times New Roman" w:hAnsi="Times New Roman" w:cs="Times New Roman"/>
          <w:color w:val="auto"/>
          <w:sz w:val="24"/>
          <w:highlight w:val="none"/>
        </w:rPr>
        <w:t>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产生量为0.0</w:t>
      </w:r>
      <w:r>
        <w:rPr>
          <w:rFonts w:hint="default" w:ascii="Times New Roman" w:hAnsi="Times New Roman" w:cs="Times New Roman"/>
          <w:color w:val="auto"/>
          <w:sz w:val="24"/>
          <w:highlight w:val="none"/>
          <w:lang w:val="en-US" w:eastAsia="zh-CN"/>
        </w:rPr>
        <w:t>65</w:t>
      </w:r>
      <w:r>
        <w:rPr>
          <w:rFonts w:hint="default" w:ascii="Times New Roman" w:hAnsi="Times New Roman" w:cs="Times New Roman"/>
          <w:color w:val="auto"/>
          <w:sz w:val="24"/>
          <w:highlight w:val="none"/>
        </w:rPr>
        <w:t>kg/h，0.</w:t>
      </w:r>
      <w:r>
        <w:rPr>
          <w:rFonts w:hint="default" w:ascii="Times New Roman" w:hAnsi="Times New Roman" w:cs="Times New Roman"/>
          <w:color w:val="auto"/>
          <w:sz w:val="24"/>
          <w:highlight w:val="none"/>
          <w:lang w:val="en-US" w:eastAsia="zh-CN"/>
        </w:rPr>
        <w:t>499</w:t>
      </w:r>
      <w:r>
        <w:rPr>
          <w:rFonts w:hint="default" w:ascii="Times New Roman" w:hAnsi="Times New Roman" w:cs="Times New Roman"/>
          <w:color w:val="auto"/>
          <w:sz w:val="24"/>
          <w:highlight w:val="none"/>
        </w:rPr>
        <w:t>t/a；H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S产生量为0.0</w:t>
      </w:r>
      <w:r>
        <w:rPr>
          <w:rFonts w:hint="default" w:ascii="Times New Roman" w:hAnsi="Times New Roman" w:cs="Times New Roman"/>
          <w:color w:val="auto"/>
          <w:sz w:val="24"/>
          <w:highlight w:val="none"/>
          <w:lang w:val="en-US" w:eastAsia="zh-CN"/>
        </w:rPr>
        <w:t>175</w:t>
      </w:r>
      <w:r>
        <w:rPr>
          <w:rFonts w:hint="default" w:ascii="Times New Roman" w:hAnsi="Times New Roman" w:cs="Times New Roman"/>
          <w:color w:val="auto"/>
          <w:sz w:val="24"/>
          <w:highlight w:val="none"/>
        </w:rPr>
        <w:t>kg/h；0.</w:t>
      </w:r>
      <w:r>
        <w:rPr>
          <w:rFonts w:hint="default" w:ascii="Times New Roman" w:hAnsi="Times New Roman" w:cs="Times New Roman"/>
          <w:color w:val="auto"/>
          <w:sz w:val="24"/>
          <w:highlight w:val="none"/>
          <w:lang w:val="en-US" w:eastAsia="zh-CN"/>
        </w:rPr>
        <w:t>134</w:t>
      </w:r>
      <w:r>
        <w:rPr>
          <w:rFonts w:hint="default" w:ascii="Times New Roman" w:hAnsi="Times New Roman" w:cs="Times New Roman"/>
          <w:color w:val="auto"/>
          <w:sz w:val="24"/>
          <w:highlight w:val="none"/>
        </w:rPr>
        <w:t>t/a。</w:t>
      </w:r>
    </w:p>
    <w:p w14:paraId="326E74EB">
      <w:pPr>
        <w:adjustRightInd w:val="0"/>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恶臭控制措施：</w:t>
      </w:r>
      <w:r>
        <w:rPr>
          <w:rFonts w:hint="default" w:ascii="Times New Roman" w:hAnsi="Times New Roman" w:cs="Times New Roman"/>
          <w:b w:val="0"/>
          <w:bCs/>
          <w:color w:val="auto"/>
          <w:sz w:val="24"/>
          <w:highlight w:val="none"/>
          <w:lang w:val="en-US" w:eastAsia="zh-CN"/>
        </w:rPr>
        <w:t>堆粪棚</w:t>
      </w:r>
      <w:r>
        <w:rPr>
          <w:rFonts w:hint="default" w:ascii="Times New Roman" w:hAnsi="Times New Roman" w:cs="Times New Roman"/>
          <w:color w:val="auto"/>
          <w:sz w:val="24"/>
          <w:highlight w:val="none"/>
        </w:rPr>
        <w:t>采用半封闭式，三面墙体，并设顶棚，可以有效控制恶臭散逸，恶臭控制效率约为60%；此外，堆粪间外种植绿化树，并定期喷洒微生物除臭剂，车间进出口处加强除臭剂喷洒，根据《自然科学》现代化农业，2011年第6期(总第383期)“微生物除臭剂研究进展”（赵晓锋，隋文志）的资料，经国家环境分析测试中心和陕西环境监测中心测试养殖场生物除臭剂（乳酸菌、酵母菌、硝化细菌等）对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和H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S的去除效率分别为92.6%和89%。</w:t>
      </w:r>
    </w:p>
    <w:p w14:paraId="61506E09">
      <w:pPr>
        <w:adjustRightInd w:val="0"/>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因此，综合考虑了半封闭措施及喷洒生物除臭剂、绿化等措施后，综合除臭效率分别为NH</w:t>
      </w:r>
      <w:r>
        <w:rPr>
          <w:rFonts w:hint="default" w:ascii="Times New Roman" w:hAnsi="Times New Roman" w:cs="Times New Roman"/>
          <w:color w:val="auto"/>
          <w:sz w:val="24"/>
          <w:highlight w:val="none"/>
          <w:vertAlign w:val="subscript"/>
        </w:rPr>
        <w:t xml:space="preserve">3 </w:t>
      </w:r>
      <w:r>
        <w:rPr>
          <w:rFonts w:hint="default" w:ascii="Times New Roman" w:hAnsi="Times New Roman" w:cs="Times New Roman"/>
          <w:color w:val="auto"/>
          <w:sz w:val="24"/>
          <w:highlight w:val="none"/>
        </w:rPr>
        <w:t>97.04%、H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 95.6%，则</w:t>
      </w:r>
      <w:r>
        <w:rPr>
          <w:rFonts w:hint="default" w:ascii="Times New Roman" w:hAnsi="Times New Roman" w:cs="Times New Roman"/>
          <w:b w:val="0"/>
          <w:bCs/>
          <w:color w:val="auto"/>
          <w:sz w:val="24"/>
          <w:highlight w:val="none"/>
          <w:lang w:val="en-US" w:eastAsia="zh-CN"/>
        </w:rPr>
        <w:t>堆粪棚</w:t>
      </w:r>
      <w:r>
        <w:rPr>
          <w:rFonts w:hint="default" w:ascii="Times New Roman" w:hAnsi="Times New Roman" w:cs="Times New Roman"/>
          <w:color w:val="auto"/>
          <w:sz w:val="24"/>
          <w:highlight w:val="none"/>
        </w:rPr>
        <w:t>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排放量为0.00</w:t>
      </w:r>
      <w:r>
        <w:rPr>
          <w:rFonts w:hint="default" w:ascii="Times New Roman" w:hAnsi="Times New Roman" w:cs="Times New Roman"/>
          <w:color w:val="auto"/>
          <w:sz w:val="24"/>
          <w:highlight w:val="none"/>
          <w:lang w:val="en-US" w:eastAsia="zh-CN"/>
        </w:rPr>
        <w:t>19</w:t>
      </w:r>
      <w:r>
        <w:rPr>
          <w:rFonts w:hint="default" w:ascii="Times New Roman" w:hAnsi="Times New Roman" w:cs="Times New Roman"/>
          <w:color w:val="auto"/>
          <w:sz w:val="24"/>
          <w:highlight w:val="none"/>
        </w:rPr>
        <w:t>kg/h，0.0</w:t>
      </w:r>
      <w:r>
        <w:rPr>
          <w:rFonts w:hint="default" w:ascii="Times New Roman" w:hAnsi="Times New Roman" w:cs="Times New Roman"/>
          <w:color w:val="auto"/>
          <w:sz w:val="24"/>
          <w:highlight w:val="none"/>
          <w:lang w:val="en-US" w:eastAsia="zh-CN"/>
        </w:rPr>
        <w:t>147</w:t>
      </w:r>
      <w:r>
        <w:rPr>
          <w:rFonts w:hint="default" w:ascii="Times New Roman" w:hAnsi="Times New Roman" w:cs="Times New Roman"/>
          <w:color w:val="auto"/>
          <w:sz w:val="24"/>
          <w:highlight w:val="none"/>
        </w:rPr>
        <w:t>t/a；H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S排放量为0.00</w:t>
      </w:r>
      <w:r>
        <w:rPr>
          <w:rFonts w:hint="default" w:ascii="Times New Roman" w:hAnsi="Times New Roman" w:cs="Times New Roman"/>
          <w:color w:val="auto"/>
          <w:sz w:val="24"/>
          <w:highlight w:val="none"/>
          <w:lang w:val="en-US" w:eastAsia="zh-CN"/>
        </w:rPr>
        <w:t>077</w:t>
      </w:r>
      <w:r>
        <w:rPr>
          <w:rFonts w:hint="default" w:ascii="Times New Roman" w:hAnsi="Times New Roman" w:cs="Times New Roman"/>
          <w:color w:val="auto"/>
          <w:sz w:val="24"/>
          <w:highlight w:val="none"/>
        </w:rPr>
        <w:t>kg/h；0.0</w:t>
      </w:r>
      <w:r>
        <w:rPr>
          <w:rFonts w:hint="default" w:ascii="Times New Roman" w:hAnsi="Times New Roman" w:cs="Times New Roman"/>
          <w:color w:val="auto"/>
          <w:sz w:val="24"/>
          <w:highlight w:val="none"/>
          <w:lang w:val="en-US" w:eastAsia="zh-CN"/>
        </w:rPr>
        <w:t>059</w:t>
      </w:r>
      <w:r>
        <w:rPr>
          <w:rFonts w:hint="default" w:ascii="Times New Roman" w:hAnsi="Times New Roman" w:cs="Times New Roman"/>
          <w:color w:val="auto"/>
          <w:sz w:val="24"/>
          <w:highlight w:val="none"/>
        </w:rPr>
        <w:t>t/a。</w:t>
      </w:r>
    </w:p>
    <w:p w14:paraId="17EA9EB6">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rPr>
      </w:pPr>
      <w:r>
        <w:rPr>
          <w:rFonts w:hint="default" w:ascii="Times New Roman" w:hAnsi="Times New Roman" w:cs="Times New Roman"/>
          <w:b/>
          <w:color w:val="auto"/>
          <w:sz w:val="24"/>
          <w:highlight w:val="none"/>
          <w:lang w:val="en-US" w:eastAsia="zh-CN"/>
        </w:rPr>
        <w:t>3.3.2.1.2</w:t>
      </w:r>
      <w:r>
        <w:rPr>
          <w:rFonts w:hint="default" w:ascii="Times New Roman" w:hAnsi="Times New Roman" w:eastAsia="宋体" w:cs="Times New Roman"/>
          <w:b/>
          <w:bCs/>
          <w:color w:val="auto"/>
          <w:lang w:val="en-US" w:eastAsia="zh-CN"/>
        </w:rPr>
        <w:t>烘干棚天然气燃烧器</w:t>
      </w:r>
      <w:r>
        <w:rPr>
          <w:rFonts w:hint="default" w:ascii="Times New Roman" w:hAnsi="Times New Roman" w:eastAsia="宋体" w:cs="Times New Roman"/>
          <w:b/>
          <w:bCs/>
          <w:color w:val="auto"/>
        </w:rPr>
        <w:t>废气</w:t>
      </w:r>
    </w:p>
    <w:p w14:paraId="7DD98150">
      <w:pPr>
        <w:snapToGrid w:val="0"/>
        <w:spacing w:line="360" w:lineRule="auto"/>
        <w:ind w:firstLine="480" w:firstLineChars="200"/>
        <w:rPr>
          <w:rFonts w:hint="default" w:ascii="Times New Roman" w:hAnsi="Times New Roman" w:cs="Times New Roman"/>
          <w:color w:val="auto"/>
          <w:kern w:val="0"/>
          <w:sz w:val="24"/>
          <w:lang w:bidi="en-US"/>
        </w:rPr>
      </w:pPr>
      <w:r>
        <w:rPr>
          <w:rFonts w:hint="default" w:ascii="Times New Roman" w:hAnsi="Times New Roman" w:cs="Times New Roman"/>
          <w:color w:val="auto"/>
          <w:kern w:val="0"/>
          <w:sz w:val="24"/>
          <w:lang w:bidi="en-US"/>
        </w:rPr>
        <w:t>项目</w:t>
      </w:r>
      <w:r>
        <w:rPr>
          <w:rFonts w:hint="default" w:ascii="Times New Roman" w:hAnsi="Times New Roman" w:cs="Times New Roman"/>
          <w:color w:val="auto"/>
          <w:kern w:val="0"/>
          <w:sz w:val="24"/>
          <w:lang w:val="en-US" w:eastAsia="zh-CN" w:bidi="en-US"/>
        </w:rPr>
        <w:t>区设置1</w:t>
      </w:r>
      <w:r>
        <w:rPr>
          <w:rFonts w:hint="default" w:ascii="Times New Roman" w:hAnsi="Times New Roman" w:cs="Times New Roman"/>
          <w:color w:val="auto"/>
          <w:kern w:val="0"/>
          <w:sz w:val="24"/>
          <w:lang w:bidi="en-US"/>
        </w:rPr>
        <w:t>个烘干</w:t>
      </w:r>
      <w:r>
        <w:rPr>
          <w:rFonts w:hint="default" w:ascii="Times New Roman" w:hAnsi="Times New Roman" w:cs="Times New Roman"/>
          <w:color w:val="auto"/>
          <w:kern w:val="0"/>
          <w:sz w:val="24"/>
          <w:lang w:val="en-US" w:eastAsia="zh-CN" w:bidi="en-US"/>
        </w:rPr>
        <w:t>棚</w:t>
      </w:r>
      <w:r>
        <w:rPr>
          <w:rFonts w:hint="default" w:ascii="Times New Roman" w:hAnsi="Times New Roman" w:cs="Times New Roman"/>
          <w:color w:val="auto"/>
          <w:kern w:val="0"/>
          <w:sz w:val="24"/>
          <w:lang w:eastAsia="zh-CN" w:bidi="en-US"/>
        </w:rPr>
        <w:t>，</w:t>
      </w:r>
      <w:r>
        <w:rPr>
          <w:rFonts w:hint="default" w:ascii="Times New Roman" w:hAnsi="Times New Roman" w:cs="Times New Roman"/>
          <w:color w:val="auto"/>
          <w:kern w:val="0"/>
          <w:sz w:val="24"/>
          <w:lang w:bidi="en-US"/>
        </w:rPr>
        <w:t>养殖场区域</w:t>
      </w:r>
      <w:r>
        <w:rPr>
          <w:rFonts w:hint="default" w:ascii="Times New Roman" w:hAnsi="Times New Roman" w:cs="Times New Roman"/>
          <w:color w:val="auto"/>
          <w:kern w:val="0"/>
          <w:sz w:val="24"/>
          <w:lang w:val="en-US" w:eastAsia="zh-CN" w:bidi="en-US"/>
        </w:rPr>
        <w:t>已通市政</w:t>
      </w:r>
      <w:r>
        <w:rPr>
          <w:rFonts w:hint="default" w:ascii="Times New Roman" w:hAnsi="Times New Roman" w:cs="Times New Roman"/>
          <w:color w:val="auto"/>
          <w:kern w:val="0"/>
          <w:sz w:val="24"/>
          <w:lang w:bidi="en-US"/>
        </w:rPr>
        <w:t>天然气管道，故烘干</w:t>
      </w:r>
      <w:r>
        <w:rPr>
          <w:rFonts w:hint="default" w:ascii="Times New Roman" w:hAnsi="Times New Roman" w:cs="Times New Roman"/>
          <w:color w:val="auto"/>
          <w:kern w:val="0"/>
          <w:sz w:val="24"/>
          <w:lang w:val="en-US" w:eastAsia="zh-CN" w:bidi="en-US"/>
        </w:rPr>
        <w:t>棚</w:t>
      </w:r>
      <w:r>
        <w:rPr>
          <w:rFonts w:hint="default" w:ascii="Times New Roman" w:hAnsi="Times New Roman" w:cs="Times New Roman"/>
          <w:color w:val="auto"/>
          <w:kern w:val="0"/>
          <w:sz w:val="24"/>
          <w:lang w:bidi="en-US"/>
        </w:rPr>
        <w:t>采用</w:t>
      </w:r>
      <w:r>
        <w:rPr>
          <w:rFonts w:hint="default" w:ascii="Times New Roman" w:hAnsi="Times New Roman" w:cs="Times New Roman"/>
          <w:color w:val="auto"/>
          <w:kern w:val="0"/>
          <w:sz w:val="24"/>
          <w:lang w:val="en-US" w:eastAsia="zh-CN" w:bidi="en-US"/>
        </w:rPr>
        <w:t>天然气</w:t>
      </w:r>
      <w:r>
        <w:rPr>
          <w:rFonts w:hint="default" w:ascii="Times New Roman" w:hAnsi="Times New Roman" w:cs="Times New Roman"/>
          <w:color w:val="auto"/>
          <w:kern w:val="0"/>
          <w:sz w:val="24"/>
          <w:lang w:bidi="en-US"/>
        </w:rPr>
        <w:t>燃烧器燃烧进行供热，用于进场运输车辆</w:t>
      </w:r>
      <w:r>
        <w:rPr>
          <w:rFonts w:hint="default" w:ascii="Times New Roman" w:hAnsi="Times New Roman" w:cs="Times New Roman"/>
          <w:color w:val="auto"/>
          <w:kern w:val="0"/>
          <w:sz w:val="24"/>
          <w:lang w:val="en-US" w:eastAsia="zh-CN" w:bidi="en-US"/>
        </w:rPr>
        <w:t>烘干</w:t>
      </w:r>
      <w:r>
        <w:rPr>
          <w:rFonts w:hint="default" w:ascii="Times New Roman" w:hAnsi="Times New Roman" w:cs="Times New Roman"/>
          <w:color w:val="auto"/>
          <w:kern w:val="0"/>
          <w:sz w:val="24"/>
          <w:lang w:bidi="en-US"/>
        </w:rPr>
        <w:t>。</w:t>
      </w:r>
      <w:r>
        <w:rPr>
          <w:rStyle w:val="26"/>
          <w:rFonts w:hint="default" w:ascii="Times New Roman" w:hAnsi="Times New Roman" w:eastAsia="Arial" w:cs="Times New Roman"/>
          <w:b w:val="0"/>
          <w:bCs w:val="0"/>
          <w:i w:val="0"/>
          <w:iCs w:val="0"/>
          <w:caps w:val="0"/>
          <w:color w:val="auto"/>
          <w:spacing w:val="0"/>
          <w:sz w:val="24"/>
          <w:szCs w:val="24"/>
          <w:shd w:val="clear" w:color="auto" w:fill="FFFFFF"/>
        </w:rPr>
        <w:t>小型</w:t>
      </w:r>
      <w:r>
        <w:rPr>
          <w:rStyle w:val="26"/>
          <w:rFonts w:hint="default" w:ascii="Times New Roman" w:hAnsi="Times New Roman" w:eastAsia="宋体" w:cs="Times New Roman"/>
          <w:b w:val="0"/>
          <w:bCs w:val="0"/>
          <w:i w:val="0"/>
          <w:iCs w:val="0"/>
          <w:caps w:val="0"/>
          <w:color w:val="auto"/>
          <w:spacing w:val="0"/>
          <w:sz w:val="24"/>
          <w:szCs w:val="24"/>
          <w:shd w:val="clear" w:color="auto" w:fill="FFFFFF"/>
          <w:lang w:val="en-US" w:eastAsia="zh-CN"/>
        </w:rPr>
        <w:t>天然气</w:t>
      </w:r>
      <w:r>
        <w:rPr>
          <w:rStyle w:val="26"/>
          <w:rFonts w:hint="default" w:ascii="Times New Roman" w:hAnsi="Times New Roman" w:eastAsia="Arial" w:cs="Times New Roman"/>
          <w:b w:val="0"/>
          <w:bCs w:val="0"/>
          <w:i w:val="0"/>
          <w:iCs w:val="0"/>
          <w:caps w:val="0"/>
          <w:color w:val="auto"/>
          <w:spacing w:val="0"/>
          <w:sz w:val="24"/>
          <w:szCs w:val="24"/>
          <w:shd w:val="clear" w:color="auto" w:fill="FFFFFF"/>
        </w:rPr>
        <w:t>燃烧器烘干原理</w:t>
      </w:r>
      <w:r>
        <w:rPr>
          <w:rFonts w:hint="default" w:ascii="Times New Roman" w:hAnsi="Times New Roman" w:eastAsia="Arial" w:cs="Times New Roman"/>
          <w:b w:val="0"/>
          <w:bCs w:val="0"/>
          <w:i w:val="0"/>
          <w:iCs w:val="0"/>
          <w:caps w:val="0"/>
          <w:color w:val="auto"/>
          <w:spacing w:val="0"/>
          <w:sz w:val="24"/>
          <w:szCs w:val="24"/>
          <w:shd w:val="clear" w:color="auto" w:fill="FFFFFF"/>
        </w:rPr>
        <w:t>‌主要</w:t>
      </w:r>
      <w:r>
        <w:rPr>
          <w:rFonts w:hint="default" w:ascii="Times New Roman" w:hAnsi="Times New Roman" w:eastAsia="宋体" w:cs="Times New Roman"/>
          <w:b w:val="0"/>
          <w:bCs w:val="0"/>
          <w:i w:val="0"/>
          <w:iCs w:val="0"/>
          <w:caps w:val="0"/>
          <w:color w:val="auto"/>
          <w:spacing w:val="0"/>
          <w:sz w:val="24"/>
          <w:szCs w:val="24"/>
          <w:shd w:val="clear" w:color="auto" w:fill="FFFFFF"/>
          <w:lang w:val="en-US" w:eastAsia="zh-CN"/>
        </w:rPr>
        <w:t>为：天然气通过管道输送到燃烧器，通过风机或自然通风的方式，使空气进入燃烧器。空气的作用是为燃烧提供氧气，同时与天然气混合形成可燃混合气。混合好的可燃混合气通过点火系统来引燃。点火器利用高压电产生电火花，使可燃混合气着火燃烧，产生高温气体，高温气体</w:t>
      </w:r>
      <w:r>
        <w:rPr>
          <w:rFonts w:hint="default" w:ascii="Times New Roman" w:hAnsi="Times New Roman" w:eastAsia="Arial" w:cs="Times New Roman"/>
          <w:b w:val="0"/>
          <w:bCs w:val="0"/>
          <w:i w:val="0"/>
          <w:iCs w:val="0"/>
          <w:caps w:val="0"/>
          <w:color w:val="auto"/>
          <w:spacing w:val="0"/>
          <w:sz w:val="24"/>
          <w:szCs w:val="24"/>
          <w:shd w:val="clear" w:color="auto" w:fill="FFFFFF"/>
        </w:rPr>
        <w:t>通过热风循环系统（风机、管道）将热风送入烘干</w:t>
      </w:r>
      <w:r>
        <w:rPr>
          <w:rFonts w:hint="default" w:ascii="Times New Roman" w:hAnsi="Times New Roman" w:eastAsia="宋体" w:cs="Times New Roman"/>
          <w:b w:val="0"/>
          <w:bCs w:val="0"/>
          <w:i w:val="0"/>
          <w:iCs w:val="0"/>
          <w:caps w:val="0"/>
          <w:color w:val="auto"/>
          <w:spacing w:val="0"/>
          <w:sz w:val="24"/>
          <w:szCs w:val="24"/>
          <w:shd w:val="clear" w:color="auto" w:fill="FFFFFF"/>
          <w:lang w:val="en-US" w:eastAsia="zh-CN"/>
        </w:rPr>
        <w:t>棚</w:t>
      </w:r>
      <w:r>
        <w:rPr>
          <w:rFonts w:hint="default" w:ascii="Times New Roman" w:hAnsi="Times New Roman" w:eastAsia="Arial" w:cs="Times New Roman"/>
          <w:b w:val="0"/>
          <w:bCs w:val="0"/>
          <w:i w:val="0"/>
          <w:iCs w:val="0"/>
          <w:caps w:val="0"/>
          <w:color w:val="auto"/>
          <w:spacing w:val="0"/>
          <w:sz w:val="24"/>
          <w:szCs w:val="24"/>
          <w:shd w:val="clear" w:color="auto" w:fill="FFFFFF"/>
        </w:rPr>
        <w:t>内，使</w:t>
      </w:r>
      <w:r>
        <w:rPr>
          <w:rFonts w:hint="default" w:ascii="Times New Roman" w:hAnsi="Times New Roman" w:eastAsia="宋体" w:cs="Times New Roman"/>
          <w:b w:val="0"/>
          <w:bCs w:val="0"/>
          <w:i w:val="0"/>
          <w:iCs w:val="0"/>
          <w:caps w:val="0"/>
          <w:color w:val="auto"/>
          <w:spacing w:val="0"/>
          <w:sz w:val="24"/>
          <w:szCs w:val="24"/>
          <w:shd w:val="clear" w:color="auto" w:fill="FFFFFF"/>
          <w:lang w:val="en-US" w:eastAsia="zh-CN"/>
        </w:rPr>
        <w:t>车辆</w:t>
      </w:r>
      <w:r>
        <w:rPr>
          <w:rFonts w:hint="default" w:ascii="Times New Roman" w:hAnsi="Times New Roman" w:eastAsia="Arial" w:cs="Times New Roman"/>
          <w:b w:val="0"/>
          <w:bCs w:val="0"/>
          <w:i w:val="0"/>
          <w:iCs w:val="0"/>
          <w:caps w:val="0"/>
          <w:color w:val="auto"/>
          <w:spacing w:val="0"/>
          <w:sz w:val="24"/>
          <w:szCs w:val="24"/>
          <w:shd w:val="clear" w:color="auto" w:fill="FFFFFF"/>
        </w:rPr>
        <w:t>表面的水分蒸发，从而达到烘干的目的。</w:t>
      </w:r>
    </w:p>
    <w:p w14:paraId="44D41D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color w:val="auto"/>
          <w:kern w:val="0"/>
          <w:sz w:val="24"/>
          <w:lang w:val="en-US" w:eastAsia="zh-CN" w:bidi="en-US"/>
        </w:rPr>
        <w:t>天然气烘干器无具体的产排污系数，本次评价天然气燃烧烘干过程产生的污染物类比</w:t>
      </w:r>
      <w:r>
        <w:rPr>
          <w:rFonts w:hint="default" w:ascii="Times New Roman" w:hAnsi="Times New Roman" w:cs="Times New Roman"/>
          <w:bCs/>
          <w:color w:val="auto"/>
          <w:sz w:val="24"/>
          <w:highlight w:val="none"/>
          <w:lang w:val="en-US" w:eastAsia="zh-CN"/>
        </w:rPr>
        <w:t>《排放源统计调查产排污核算方法和系数手册》中《4430 工业锅炉(热力生产和供应行业)产污系数表-燃气工业锅炉》中“天然气-室燃炉”废气产污系数及</w:t>
      </w:r>
      <w:r>
        <w:rPr>
          <w:rFonts w:hint="default" w:ascii="Times New Roman" w:hAnsi="Times New Roman" w:cs="Times New Roman"/>
          <w:color w:val="auto"/>
          <w:sz w:val="24"/>
          <w:szCs w:val="24"/>
          <w:lang w:val="en-US" w:eastAsia="zh-CN"/>
        </w:rPr>
        <w:t>《污染源源强核算指南  锅炉》（HJ991-2018），</w:t>
      </w:r>
      <w:r>
        <w:rPr>
          <w:rFonts w:hint="default" w:ascii="Times New Roman" w:hAnsi="Times New Roman" w:cs="Times New Roman"/>
          <w:b w:val="0"/>
          <w:bCs w:val="0"/>
          <w:color w:val="auto"/>
          <w:sz w:val="24"/>
          <w:szCs w:val="24"/>
          <w:vertAlign w:val="baseline"/>
          <w:lang w:val="en-US" w:eastAsia="zh-CN"/>
        </w:rPr>
        <w:t>废气产污系数数据见表3.3.2-3。</w:t>
      </w:r>
    </w:p>
    <w:p w14:paraId="739F4EC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val="0"/>
          <w:bCs w:val="0"/>
          <w:color w:val="auto"/>
          <w:sz w:val="21"/>
          <w:szCs w:val="21"/>
          <w:vertAlign w:val="baseline"/>
          <w:lang w:val="en-US" w:eastAsia="zh-CN"/>
        </w:rPr>
      </w:pPr>
      <w:r>
        <w:rPr>
          <w:rFonts w:hint="default" w:ascii="Times New Roman" w:hAnsi="Times New Roman" w:eastAsia="黑体" w:cs="Times New Roman"/>
          <w:b w:val="0"/>
          <w:bCs w:val="0"/>
          <w:color w:val="auto"/>
          <w:sz w:val="21"/>
          <w:szCs w:val="21"/>
          <w:vertAlign w:val="baseline"/>
          <w:lang w:val="en-US" w:eastAsia="zh-CN"/>
        </w:rPr>
        <w:t>表3.3.2-3  本项目天然气烘干器废气产污系数</w:t>
      </w:r>
    </w:p>
    <w:tbl>
      <w:tblPr>
        <w:tblStyle w:val="24"/>
        <w:tblW w:w="89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867"/>
        <w:gridCol w:w="891"/>
        <w:gridCol w:w="750"/>
        <w:gridCol w:w="984"/>
        <w:gridCol w:w="1025"/>
        <w:gridCol w:w="1591"/>
        <w:gridCol w:w="2065"/>
      </w:tblGrid>
      <w:tr w14:paraId="7674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36741E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产品名称</w:t>
            </w:r>
          </w:p>
        </w:tc>
        <w:tc>
          <w:tcPr>
            <w:tcW w:w="867" w:type="dxa"/>
            <w:vAlign w:val="center"/>
          </w:tcPr>
          <w:p w14:paraId="4699FA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燃料</w:t>
            </w:r>
          </w:p>
          <w:p w14:paraId="6E1D5B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名称</w:t>
            </w:r>
          </w:p>
        </w:tc>
        <w:tc>
          <w:tcPr>
            <w:tcW w:w="891" w:type="dxa"/>
            <w:vAlign w:val="center"/>
          </w:tcPr>
          <w:p w14:paraId="4E0830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工艺</w:t>
            </w:r>
          </w:p>
          <w:p w14:paraId="6F6325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名称</w:t>
            </w:r>
          </w:p>
        </w:tc>
        <w:tc>
          <w:tcPr>
            <w:tcW w:w="750" w:type="dxa"/>
            <w:vAlign w:val="center"/>
          </w:tcPr>
          <w:p w14:paraId="44697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规模</w:t>
            </w:r>
          </w:p>
          <w:p w14:paraId="6BFEF9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等级</w:t>
            </w:r>
          </w:p>
        </w:tc>
        <w:tc>
          <w:tcPr>
            <w:tcW w:w="984" w:type="dxa"/>
            <w:vAlign w:val="center"/>
          </w:tcPr>
          <w:p w14:paraId="688E28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污染物指标</w:t>
            </w:r>
          </w:p>
        </w:tc>
        <w:tc>
          <w:tcPr>
            <w:tcW w:w="1025" w:type="dxa"/>
            <w:vAlign w:val="center"/>
          </w:tcPr>
          <w:p w14:paraId="51BDF2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单位</w:t>
            </w:r>
          </w:p>
        </w:tc>
        <w:tc>
          <w:tcPr>
            <w:tcW w:w="1591" w:type="dxa"/>
            <w:vAlign w:val="center"/>
          </w:tcPr>
          <w:p w14:paraId="5AB3CB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产污系数</w:t>
            </w:r>
          </w:p>
        </w:tc>
        <w:tc>
          <w:tcPr>
            <w:tcW w:w="2065" w:type="dxa"/>
            <w:vAlign w:val="center"/>
          </w:tcPr>
          <w:p w14:paraId="7D5F4A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产污系数来源</w:t>
            </w:r>
          </w:p>
        </w:tc>
      </w:tr>
      <w:tr w14:paraId="6DC3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restart"/>
            <w:vAlign w:val="center"/>
          </w:tcPr>
          <w:p w14:paraId="29EEB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热空气</w:t>
            </w:r>
          </w:p>
        </w:tc>
        <w:tc>
          <w:tcPr>
            <w:tcW w:w="867" w:type="dxa"/>
            <w:vMerge w:val="restart"/>
            <w:vAlign w:val="center"/>
          </w:tcPr>
          <w:p w14:paraId="082D87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天然气</w:t>
            </w:r>
          </w:p>
        </w:tc>
        <w:tc>
          <w:tcPr>
            <w:tcW w:w="891" w:type="dxa"/>
            <w:vMerge w:val="restart"/>
            <w:vAlign w:val="center"/>
          </w:tcPr>
          <w:p w14:paraId="4D81A4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室燃炉</w:t>
            </w:r>
          </w:p>
        </w:tc>
        <w:tc>
          <w:tcPr>
            <w:tcW w:w="750" w:type="dxa"/>
            <w:vMerge w:val="restart"/>
            <w:vAlign w:val="center"/>
          </w:tcPr>
          <w:p w14:paraId="7C4D73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所有</w:t>
            </w:r>
          </w:p>
          <w:p w14:paraId="7D9366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规模</w:t>
            </w:r>
          </w:p>
        </w:tc>
        <w:tc>
          <w:tcPr>
            <w:tcW w:w="984" w:type="dxa"/>
            <w:vAlign w:val="center"/>
          </w:tcPr>
          <w:p w14:paraId="514A41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颗粒物</w:t>
            </w:r>
          </w:p>
        </w:tc>
        <w:tc>
          <w:tcPr>
            <w:tcW w:w="1025" w:type="dxa"/>
            <w:vMerge w:val="restart"/>
            <w:vAlign w:val="center"/>
          </w:tcPr>
          <w:p w14:paraId="021CD1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kg/万m</w:t>
            </w:r>
            <w:r>
              <w:rPr>
                <w:rFonts w:hint="default" w:ascii="Times New Roman" w:hAnsi="Times New Roman" w:cs="Times New Roman"/>
                <w:b w:val="0"/>
                <w:bCs w:val="0"/>
                <w:color w:val="auto"/>
                <w:sz w:val="18"/>
                <w:szCs w:val="18"/>
                <w:vertAlign w:val="superscript"/>
                <w:lang w:val="en-US" w:eastAsia="zh-CN"/>
              </w:rPr>
              <w:t>3－</w:t>
            </w:r>
            <w:r>
              <w:rPr>
                <w:rFonts w:hint="default" w:ascii="Times New Roman" w:hAnsi="Times New Roman" w:cs="Times New Roman"/>
                <w:b w:val="0"/>
                <w:bCs w:val="0"/>
                <w:color w:val="auto"/>
                <w:sz w:val="18"/>
                <w:szCs w:val="18"/>
                <w:vertAlign w:val="baseline"/>
                <w:lang w:val="en-US" w:eastAsia="zh-CN"/>
              </w:rPr>
              <w:t>原料</w:t>
            </w:r>
          </w:p>
        </w:tc>
        <w:tc>
          <w:tcPr>
            <w:tcW w:w="1591" w:type="dxa"/>
            <w:vAlign w:val="center"/>
          </w:tcPr>
          <w:p w14:paraId="7EAAE0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1.4</w:t>
            </w:r>
          </w:p>
        </w:tc>
        <w:tc>
          <w:tcPr>
            <w:tcW w:w="2065" w:type="dxa"/>
            <w:vAlign w:val="center"/>
          </w:tcPr>
          <w:p w14:paraId="1E5947D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《污染源源强核算指南  锅炉》（HJ991-2018）</w:t>
            </w:r>
          </w:p>
        </w:tc>
      </w:tr>
      <w:tr w14:paraId="3DE2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4C4E54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p>
        </w:tc>
        <w:tc>
          <w:tcPr>
            <w:tcW w:w="867" w:type="dxa"/>
            <w:vMerge w:val="continue"/>
            <w:vAlign w:val="center"/>
          </w:tcPr>
          <w:p w14:paraId="33E38C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p>
        </w:tc>
        <w:tc>
          <w:tcPr>
            <w:tcW w:w="891" w:type="dxa"/>
            <w:vMerge w:val="continue"/>
            <w:vAlign w:val="center"/>
          </w:tcPr>
          <w:p w14:paraId="2008FE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p>
        </w:tc>
        <w:tc>
          <w:tcPr>
            <w:tcW w:w="750" w:type="dxa"/>
            <w:vMerge w:val="continue"/>
            <w:vAlign w:val="center"/>
          </w:tcPr>
          <w:p w14:paraId="41EB63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p>
        </w:tc>
        <w:tc>
          <w:tcPr>
            <w:tcW w:w="984" w:type="dxa"/>
            <w:vAlign w:val="center"/>
          </w:tcPr>
          <w:p w14:paraId="62E6B7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二氧化硫</w:t>
            </w:r>
          </w:p>
        </w:tc>
        <w:tc>
          <w:tcPr>
            <w:tcW w:w="1025" w:type="dxa"/>
            <w:vMerge w:val="continue"/>
            <w:vAlign w:val="center"/>
          </w:tcPr>
          <w:p w14:paraId="0B06EF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p>
        </w:tc>
        <w:tc>
          <w:tcPr>
            <w:tcW w:w="1591" w:type="dxa"/>
            <w:vAlign w:val="center"/>
          </w:tcPr>
          <w:p w14:paraId="57363F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0.02S</w:t>
            </w:r>
          </w:p>
        </w:tc>
        <w:tc>
          <w:tcPr>
            <w:tcW w:w="2065" w:type="dxa"/>
            <w:vMerge w:val="restart"/>
            <w:vAlign w:val="center"/>
          </w:tcPr>
          <w:p w14:paraId="4800A7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《排放源统计调查产排污核算方法和系数手册》</w:t>
            </w:r>
          </w:p>
        </w:tc>
      </w:tr>
      <w:tr w14:paraId="7718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782" w:type="dxa"/>
            <w:vMerge w:val="continue"/>
            <w:vAlign w:val="center"/>
          </w:tcPr>
          <w:p w14:paraId="31B554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p>
        </w:tc>
        <w:tc>
          <w:tcPr>
            <w:tcW w:w="867" w:type="dxa"/>
            <w:vMerge w:val="continue"/>
            <w:vAlign w:val="center"/>
          </w:tcPr>
          <w:p w14:paraId="504F7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p>
        </w:tc>
        <w:tc>
          <w:tcPr>
            <w:tcW w:w="891" w:type="dxa"/>
            <w:vMerge w:val="continue"/>
            <w:vAlign w:val="center"/>
          </w:tcPr>
          <w:p w14:paraId="14550C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p>
        </w:tc>
        <w:tc>
          <w:tcPr>
            <w:tcW w:w="750" w:type="dxa"/>
            <w:vMerge w:val="continue"/>
            <w:vAlign w:val="center"/>
          </w:tcPr>
          <w:p w14:paraId="260580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p>
        </w:tc>
        <w:tc>
          <w:tcPr>
            <w:tcW w:w="984" w:type="dxa"/>
            <w:vAlign w:val="center"/>
          </w:tcPr>
          <w:p w14:paraId="6500DE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氮氧化物</w:t>
            </w:r>
          </w:p>
        </w:tc>
        <w:tc>
          <w:tcPr>
            <w:tcW w:w="1025" w:type="dxa"/>
            <w:vMerge w:val="continue"/>
            <w:vAlign w:val="center"/>
          </w:tcPr>
          <w:p w14:paraId="4829C2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p>
        </w:tc>
        <w:tc>
          <w:tcPr>
            <w:tcW w:w="1591" w:type="dxa"/>
            <w:vAlign w:val="center"/>
          </w:tcPr>
          <w:p w14:paraId="6E0975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3.03（低氮燃烧-国际领先）</w:t>
            </w:r>
          </w:p>
        </w:tc>
        <w:tc>
          <w:tcPr>
            <w:tcW w:w="2065" w:type="dxa"/>
            <w:vMerge w:val="continue"/>
            <w:vAlign w:val="center"/>
          </w:tcPr>
          <w:p w14:paraId="1B97E8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18"/>
                <w:szCs w:val="18"/>
                <w:vertAlign w:val="baseline"/>
                <w:lang w:val="en-US" w:eastAsia="zh-CN"/>
              </w:rPr>
            </w:pPr>
          </w:p>
        </w:tc>
      </w:tr>
      <w:tr w14:paraId="5C3B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5" w:type="dxa"/>
            <w:gridSpan w:val="8"/>
            <w:vAlign w:val="center"/>
          </w:tcPr>
          <w:p w14:paraId="20E805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产污系数中气体燃料的二氧化硫的产污系数是以含硫量（S）的形式表示的，其中含硫量（S）是指气体燃料中的硫含量，单位为毫克/立方米。本项目天然气中含硫量为20mg/m</w:t>
            </w:r>
            <w:r>
              <w:rPr>
                <w:rFonts w:hint="default" w:ascii="Times New Roman" w:hAnsi="Times New Roman" w:cs="Times New Roman"/>
                <w:b w:val="0"/>
                <w:bCs w:val="0"/>
                <w:color w:val="auto"/>
                <w:sz w:val="18"/>
                <w:szCs w:val="18"/>
                <w:vertAlign w:val="superscript"/>
                <w:lang w:val="en-US" w:eastAsia="zh-CN"/>
              </w:rPr>
              <w:t>3</w:t>
            </w:r>
            <w:r>
              <w:rPr>
                <w:rFonts w:hint="default" w:ascii="Times New Roman" w:hAnsi="Times New Roman" w:cs="Times New Roman"/>
                <w:b w:val="0"/>
                <w:bCs w:val="0"/>
                <w:color w:val="auto"/>
                <w:sz w:val="18"/>
                <w:szCs w:val="18"/>
                <w:vertAlign w:val="baseline"/>
                <w:lang w:val="en-US" w:eastAsia="zh-CN"/>
              </w:rPr>
              <w:t>，则S=20。</w:t>
            </w:r>
          </w:p>
        </w:tc>
      </w:tr>
    </w:tbl>
    <w:p w14:paraId="2D7A9156">
      <w:pPr>
        <w:snapToGrid w:val="0"/>
        <w:spacing w:line="360" w:lineRule="auto"/>
        <w:ind w:firstLine="480" w:firstLineChars="200"/>
        <w:rPr>
          <w:rFonts w:hint="default" w:ascii="Times New Roman" w:hAnsi="Times New Roman" w:cs="Times New Roman"/>
          <w:color w:val="auto"/>
          <w:kern w:val="0"/>
          <w:sz w:val="24"/>
          <w:lang w:bidi="en-US"/>
        </w:rPr>
      </w:pPr>
      <w:r>
        <w:rPr>
          <w:rFonts w:hint="default" w:ascii="Times New Roman" w:hAnsi="Times New Roman" w:cs="Times New Roman"/>
          <w:color w:val="auto"/>
          <w:kern w:val="0"/>
          <w:sz w:val="24"/>
          <w:lang w:bidi="en-US"/>
        </w:rPr>
        <w:t>结合各养殖场生产实际进场车辆控制要求</w:t>
      </w:r>
      <w:r>
        <w:rPr>
          <w:rFonts w:hint="default" w:ascii="Times New Roman" w:hAnsi="Times New Roman" w:cs="Times New Roman"/>
          <w:color w:val="auto"/>
          <w:kern w:val="0"/>
          <w:sz w:val="24"/>
          <w:lang w:eastAsia="zh-CN" w:bidi="en-US"/>
        </w:rPr>
        <w:t>，</w:t>
      </w:r>
      <w:r>
        <w:rPr>
          <w:rFonts w:hint="default" w:ascii="Times New Roman" w:hAnsi="Times New Roman" w:eastAsia="宋体" w:cs="Times New Roman"/>
          <w:color w:val="auto"/>
          <w:spacing w:val="-8"/>
          <w:sz w:val="24"/>
          <w:szCs w:val="24"/>
          <w:lang w:val="en-US" w:eastAsia="zh-CN"/>
        </w:rPr>
        <w:t>运输车辆载重分别为：250头</w:t>
      </w:r>
      <w:r>
        <w:rPr>
          <w:rFonts w:hint="default" w:ascii="Times New Roman" w:hAnsi="Times New Roman" w:eastAsia="宋体" w:cs="Times New Roman"/>
          <w:color w:val="auto"/>
          <w:spacing w:val="-7"/>
          <w:sz w:val="24"/>
          <w:szCs w:val="24"/>
        </w:rPr>
        <w:t>仔</w:t>
      </w:r>
      <w:r>
        <w:rPr>
          <w:rFonts w:hint="default" w:ascii="Times New Roman" w:hAnsi="Times New Roman" w:eastAsia="宋体" w:cs="Times New Roman"/>
          <w:color w:val="auto"/>
          <w:spacing w:val="-7"/>
          <w:sz w:val="24"/>
          <w:szCs w:val="24"/>
          <w:lang w:val="en-US" w:eastAsia="zh-CN"/>
        </w:rPr>
        <w:t>猪/辆、30头（母猪/公猪）/辆，20吨饲料/辆</w:t>
      </w:r>
      <w:r>
        <w:rPr>
          <w:rFonts w:hint="default" w:ascii="Times New Roman" w:hAnsi="Times New Roman" w:eastAsia="宋体" w:cs="Times New Roman"/>
          <w:color w:val="auto"/>
          <w:spacing w:val="-8"/>
          <w:sz w:val="24"/>
          <w:szCs w:val="24"/>
          <w:lang w:val="en-US" w:eastAsia="zh-CN"/>
        </w:rPr>
        <w:t>，经计算，运输车辆每年进出项目区次数为507次/a，由于养猪场需要严格防控疫情，员工进出养猪场需要进行严格的消毒和隔离措施，职工年出入次数较少，</w:t>
      </w:r>
      <w:r>
        <w:rPr>
          <w:rFonts w:hint="default" w:ascii="Times New Roman" w:hAnsi="Times New Roman" w:eastAsia="宋体" w:cs="Times New Roman"/>
          <w:color w:val="auto"/>
          <w:spacing w:val="-5"/>
          <w:sz w:val="24"/>
          <w:szCs w:val="24"/>
          <w:lang w:eastAsia="zh-CN"/>
        </w:rPr>
        <w:t>工作人员用车出入频次以</w:t>
      </w:r>
      <w:r>
        <w:rPr>
          <w:rFonts w:hint="default" w:ascii="Times New Roman" w:hAnsi="Times New Roman" w:eastAsia="宋体" w:cs="Times New Roman"/>
          <w:color w:val="auto"/>
          <w:spacing w:val="-5"/>
          <w:sz w:val="24"/>
          <w:szCs w:val="24"/>
          <w:lang w:val="en-US" w:eastAsia="zh-CN"/>
        </w:rPr>
        <w:t>20次/a计，</w:t>
      </w:r>
      <w:r>
        <w:rPr>
          <w:rFonts w:hint="default" w:ascii="Times New Roman" w:hAnsi="Times New Roman" w:eastAsia="宋体" w:cs="Times New Roman"/>
          <w:color w:val="auto"/>
          <w:spacing w:val="-5"/>
          <w:sz w:val="24"/>
          <w:szCs w:val="24"/>
        </w:rPr>
        <w:t>则洗消</w:t>
      </w:r>
      <w:r>
        <w:rPr>
          <w:rFonts w:hint="default" w:ascii="Times New Roman" w:hAnsi="Times New Roman" w:eastAsia="宋体" w:cs="Times New Roman"/>
          <w:color w:val="auto"/>
          <w:spacing w:val="-5"/>
          <w:sz w:val="24"/>
          <w:szCs w:val="24"/>
          <w:lang w:eastAsia="zh-CN"/>
        </w:rPr>
        <w:t>棚</w:t>
      </w:r>
      <w:r>
        <w:rPr>
          <w:rFonts w:hint="default" w:ascii="Times New Roman" w:hAnsi="Times New Roman" w:eastAsia="宋体" w:cs="Times New Roman"/>
          <w:color w:val="auto"/>
          <w:spacing w:val="-5"/>
          <w:sz w:val="24"/>
          <w:szCs w:val="24"/>
        </w:rPr>
        <w:t>每年需</w:t>
      </w:r>
      <w:r>
        <w:rPr>
          <w:rFonts w:hint="default" w:ascii="Times New Roman" w:hAnsi="Times New Roman" w:eastAsia="宋体" w:cs="Times New Roman"/>
          <w:color w:val="auto"/>
          <w:spacing w:val="-5"/>
          <w:sz w:val="24"/>
          <w:szCs w:val="24"/>
          <w:lang w:eastAsia="zh-CN"/>
        </w:rPr>
        <w:t>洗消运输</w:t>
      </w:r>
      <w:r>
        <w:rPr>
          <w:rFonts w:hint="default" w:ascii="Times New Roman" w:hAnsi="Times New Roman" w:eastAsia="宋体" w:cs="Times New Roman"/>
          <w:color w:val="auto"/>
          <w:spacing w:val="-5"/>
          <w:sz w:val="24"/>
          <w:szCs w:val="24"/>
        </w:rPr>
        <w:t>车辆</w:t>
      </w:r>
      <w:r>
        <w:rPr>
          <w:rFonts w:hint="default" w:ascii="Times New Roman" w:hAnsi="Times New Roman" w:eastAsia="宋体" w:cs="Times New Roman"/>
          <w:color w:val="auto"/>
          <w:spacing w:val="-8"/>
          <w:sz w:val="24"/>
          <w:szCs w:val="24"/>
          <w:lang w:val="en-US" w:eastAsia="zh-CN"/>
        </w:rPr>
        <w:t>507</w:t>
      </w:r>
      <w:r>
        <w:rPr>
          <w:rFonts w:hint="default" w:ascii="Times New Roman" w:hAnsi="Times New Roman" w:eastAsia="宋体" w:cs="Times New Roman"/>
          <w:color w:val="auto"/>
          <w:spacing w:val="-5"/>
          <w:sz w:val="24"/>
          <w:szCs w:val="24"/>
        </w:rPr>
        <w:t>次</w:t>
      </w:r>
      <w:r>
        <w:rPr>
          <w:rFonts w:hint="default" w:ascii="Times New Roman" w:hAnsi="Times New Roman" w:eastAsia="宋体" w:cs="Times New Roman"/>
          <w:color w:val="auto"/>
          <w:spacing w:val="-5"/>
          <w:sz w:val="24"/>
          <w:szCs w:val="24"/>
          <w:lang w:eastAsia="zh-CN"/>
        </w:rPr>
        <w:t>、小轿车</w:t>
      </w:r>
      <w:r>
        <w:rPr>
          <w:rFonts w:hint="default" w:ascii="Times New Roman" w:hAnsi="Times New Roman" w:eastAsia="宋体" w:cs="Times New Roman"/>
          <w:color w:val="auto"/>
          <w:spacing w:val="-5"/>
          <w:sz w:val="24"/>
          <w:szCs w:val="24"/>
          <w:lang w:val="en-US" w:eastAsia="zh-CN"/>
        </w:rPr>
        <w:t>20次</w:t>
      </w:r>
      <w:r>
        <w:rPr>
          <w:rFonts w:hint="default" w:ascii="Times New Roman" w:hAnsi="Times New Roman" w:eastAsia="宋体" w:cs="Times New Roman"/>
          <w:color w:val="auto"/>
          <w:spacing w:val="-2"/>
          <w:kern w:val="2"/>
          <w:sz w:val="24"/>
          <w:szCs w:val="24"/>
          <w:lang w:val="en-US" w:eastAsia="zh-CN" w:bidi="ar-SA"/>
        </w:rPr>
        <w:t>。</w:t>
      </w:r>
    </w:p>
    <w:p w14:paraId="77681C48">
      <w:pPr>
        <w:snapToGrid w:val="0"/>
        <w:spacing w:line="360" w:lineRule="auto"/>
        <w:ind w:firstLine="480" w:firstLineChars="200"/>
        <w:rPr>
          <w:rFonts w:hint="default" w:ascii="Times New Roman" w:hAnsi="Times New Roman" w:eastAsia="宋体" w:cs="Times New Roman"/>
          <w:color w:val="auto"/>
          <w:kern w:val="0"/>
          <w:sz w:val="24"/>
          <w:lang w:val="en-US" w:eastAsia="zh-CN" w:bidi="en-US"/>
        </w:rPr>
      </w:pPr>
      <w:r>
        <w:rPr>
          <w:rFonts w:hint="default" w:ascii="Times New Roman" w:hAnsi="Times New Roman" w:cs="Times New Roman"/>
          <w:color w:val="auto"/>
          <w:kern w:val="0"/>
          <w:sz w:val="24"/>
          <w:lang w:bidi="en-US"/>
        </w:rPr>
        <w:t>根据建设单位提供数据</w:t>
      </w:r>
      <w:r>
        <w:rPr>
          <w:rFonts w:hint="default" w:ascii="Times New Roman" w:hAnsi="Times New Roman" w:cs="Times New Roman"/>
          <w:color w:val="auto"/>
          <w:kern w:val="0"/>
          <w:sz w:val="24"/>
          <w:lang w:eastAsia="zh-CN" w:bidi="en-US"/>
        </w:rPr>
        <w:t>，</w:t>
      </w:r>
      <w:r>
        <w:rPr>
          <w:rFonts w:hint="default" w:ascii="Times New Roman" w:hAnsi="Times New Roman" w:cs="Times New Roman"/>
          <w:color w:val="auto"/>
          <w:kern w:val="0"/>
          <w:sz w:val="24"/>
          <w:lang w:bidi="en-US"/>
        </w:rPr>
        <w:t>每辆</w:t>
      </w:r>
      <w:r>
        <w:rPr>
          <w:rFonts w:hint="default" w:ascii="Times New Roman" w:hAnsi="Times New Roman" w:cs="Times New Roman"/>
          <w:color w:val="auto"/>
          <w:kern w:val="0"/>
          <w:sz w:val="24"/>
          <w:lang w:val="en-US" w:eastAsia="zh-CN" w:bidi="en-US"/>
        </w:rPr>
        <w:t>运输</w:t>
      </w:r>
      <w:r>
        <w:rPr>
          <w:rFonts w:hint="default" w:ascii="Times New Roman" w:hAnsi="Times New Roman" w:cs="Times New Roman"/>
          <w:color w:val="auto"/>
          <w:kern w:val="0"/>
          <w:sz w:val="24"/>
          <w:lang w:bidi="en-US"/>
        </w:rPr>
        <w:t>车</w:t>
      </w:r>
      <w:r>
        <w:rPr>
          <w:rFonts w:hint="default" w:ascii="Times New Roman" w:hAnsi="Times New Roman" w:cs="Times New Roman"/>
          <w:color w:val="auto"/>
          <w:kern w:val="0"/>
          <w:sz w:val="24"/>
          <w:lang w:val="en-US" w:eastAsia="zh-CN" w:bidi="en-US"/>
        </w:rPr>
        <w:t>辆</w:t>
      </w:r>
      <w:r>
        <w:rPr>
          <w:rFonts w:hint="default" w:ascii="Times New Roman" w:hAnsi="Times New Roman" w:cs="Times New Roman"/>
          <w:color w:val="auto"/>
          <w:kern w:val="0"/>
          <w:sz w:val="24"/>
          <w:lang w:bidi="en-US"/>
        </w:rPr>
        <w:t>烘干所需的</w:t>
      </w:r>
      <w:r>
        <w:rPr>
          <w:rFonts w:hint="default" w:ascii="Times New Roman" w:hAnsi="Times New Roman" w:cs="Times New Roman"/>
          <w:color w:val="auto"/>
          <w:kern w:val="0"/>
          <w:sz w:val="24"/>
          <w:lang w:val="en-US" w:eastAsia="zh-CN" w:bidi="en-US"/>
        </w:rPr>
        <w:t>天然气</w:t>
      </w:r>
      <w:r>
        <w:rPr>
          <w:rFonts w:hint="default" w:ascii="Times New Roman" w:hAnsi="Times New Roman" w:cs="Times New Roman"/>
          <w:color w:val="auto"/>
          <w:kern w:val="0"/>
          <w:sz w:val="24"/>
          <w:lang w:bidi="en-US"/>
        </w:rPr>
        <w:t>量为</w:t>
      </w:r>
      <w:r>
        <w:rPr>
          <w:rFonts w:hint="default" w:ascii="Times New Roman" w:hAnsi="Times New Roman" w:cs="Times New Roman"/>
          <w:color w:val="auto"/>
          <w:kern w:val="0"/>
          <w:sz w:val="24"/>
          <w:lang w:val="en-US" w:eastAsia="zh-CN" w:bidi="en-US"/>
        </w:rPr>
        <w:t>1.5</w:t>
      </w:r>
      <w:r>
        <w:rPr>
          <w:rFonts w:hint="default" w:ascii="Times New Roman" w:hAnsi="Times New Roman" w:cs="Times New Roman"/>
          <w:color w:val="auto"/>
          <w:kern w:val="0"/>
          <w:sz w:val="24"/>
          <w:lang w:bidi="en-US"/>
        </w:rPr>
        <w:t>m</w:t>
      </w:r>
      <w:r>
        <w:rPr>
          <w:rFonts w:hint="default" w:ascii="Times New Roman" w:hAnsi="Times New Roman" w:cs="Times New Roman"/>
          <w:color w:val="auto"/>
          <w:kern w:val="0"/>
          <w:sz w:val="24"/>
          <w:vertAlign w:val="superscript"/>
          <w:lang w:bidi="en-US"/>
        </w:rPr>
        <w:t>3</w:t>
      </w:r>
      <w:r>
        <w:rPr>
          <w:rFonts w:hint="default" w:ascii="Times New Roman" w:hAnsi="Times New Roman" w:cs="Times New Roman"/>
          <w:color w:val="auto"/>
          <w:kern w:val="0"/>
          <w:sz w:val="24"/>
          <w:lang w:bidi="en-US"/>
        </w:rPr>
        <w:t>，每辆</w:t>
      </w:r>
      <w:r>
        <w:rPr>
          <w:rFonts w:hint="default" w:ascii="Times New Roman" w:hAnsi="Times New Roman" w:cs="Times New Roman"/>
          <w:color w:val="auto"/>
          <w:kern w:val="0"/>
          <w:sz w:val="24"/>
          <w:lang w:val="en-US" w:eastAsia="zh-CN" w:bidi="en-US"/>
        </w:rPr>
        <w:t>小轿</w:t>
      </w:r>
      <w:r>
        <w:rPr>
          <w:rFonts w:hint="default" w:ascii="Times New Roman" w:hAnsi="Times New Roman" w:cs="Times New Roman"/>
          <w:color w:val="auto"/>
          <w:kern w:val="0"/>
          <w:sz w:val="24"/>
          <w:lang w:bidi="en-US"/>
        </w:rPr>
        <w:t>车烘干所需的</w:t>
      </w:r>
      <w:r>
        <w:rPr>
          <w:rFonts w:hint="default" w:ascii="Times New Roman" w:hAnsi="Times New Roman" w:cs="Times New Roman"/>
          <w:color w:val="auto"/>
          <w:kern w:val="0"/>
          <w:sz w:val="24"/>
          <w:lang w:val="en-US" w:eastAsia="zh-CN" w:bidi="en-US"/>
        </w:rPr>
        <w:t>天然气</w:t>
      </w:r>
      <w:r>
        <w:rPr>
          <w:rFonts w:hint="default" w:ascii="Times New Roman" w:hAnsi="Times New Roman" w:cs="Times New Roman"/>
          <w:color w:val="auto"/>
          <w:kern w:val="0"/>
          <w:sz w:val="24"/>
          <w:lang w:bidi="en-US"/>
        </w:rPr>
        <w:t>量为</w:t>
      </w:r>
      <w:r>
        <w:rPr>
          <w:rFonts w:hint="default" w:ascii="Times New Roman" w:hAnsi="Times New Roman" w:cs="Times New Roman"/>
          <w:color w:val="auto"/>
          <w:kern w:val="0"/>
          <w:sz w:val="24"/>
          <w:lang w:val="en-US" w:eastAsia="zh-CN" w:bidi="en-US"/>
        </w:rPr>
        <w:t>0.25m³</w:t>
      </w:r>
      <w:r>
        <w:rPr>
          <w:rFonts w:hint="default" w:ascii="Times New Roman" w:hAnsi="Times New Roman" w:cs="Times New Roman"/>
          <w:color w:val="auto"/>
          <w:kern w:val="0"/>
          <w:sz w:val="24"/>
          <w:lang w:eastAsia="zh-CN" w:bidi="en-US"/>
        </w:rPr>
        <w:t>。</w:t>
      </w:r>
      <w:r>
        <w:rPr>
          <w:rFonts w:hint="default" w:ascii="Times New Roman" w:hAnsi="Times New Roman" w:cs="Times New Roman"/>
          <w:color w:val="auto"/>
          <w:kern w:val="0"/>
          <w:sz w:val="24"/>
          <w:lang w:val="en-US" w:eastAsia="zh-CN" w:bidi="en-US"/>
        </w:rPr>
        <w:t>经计算，全年天然气消耗量为765.5</w:t>
      </w:r>
      <w:r>
        <w:rPr>
          <w:rFonts w:hint="default" w:ascii="Times New Roman" w:hAnsi="Times New Roman" w:cs="Times New Roman"/>
          <w:color w:val="auto"/>
          <w:kern w:val="0"/>
          <w:sz w:val="24"/>
          <w:lang w:bidi="en-US"/>
        </w:rPr>
        <w:t>m</w:t>
      </w:r>
      <w:r>
        <w:rPr>
          <w:rFonts w:hint="default" w:ascii="Times New Roman" w:hAnsi="Times New Roman" w:cs="Times New Roman"/>
          <w:color w:val="auto"/>
          <w:kern w:val="0"/>
          <w:sz w:val="24"/>
          <w:vertAlign w:val="superscript"/>
          <w:lang w:bidi="en-US"/>
        </w:rPr>
        <w:t>3</w:t>
      </w:r>
      <w:r>
        <w:rPr>
          <w:rFonts w:hint="default" w:ascii="Times New Roman" w:hAnsi="Times New Roman" w:cs="Times New Roman"/>
          <w:color w:val="auto"/>
          <w:kern w:val="0"/>
          <w:sz w:val="24"/>
          <w:lang w:bidi="en-US"/>
        </w:rPr>
        <w:t>/a，</w:t>
      </w:r>
      <w:r>
        <w:rPr>
          <w:rFonts w:hint="default" w:ascii="Times New Roman" w:hAnsi="Times New Roman" w:cs="Times New Roman"/>
          <w:color w:val="auto"/>
          <w:kern w:val="0"/>
          <w:sz w:val="24"/>
          <w:lang w:val="en-US" w:eastAsia="zh-CN" w:bidi="en-US"/>
        </w:rPr>
        <w:t>年烘干时间约为960h。</w:t>
      </w:r>
    </w:p>
    <w:p w14:paraId="238ABA24">
      <w:pPr>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highlight w:val="none"/>
          <w:lang w:val="en-US" w:eastAsia="zh-CN"/>
        </w:rPr>
        <w:t>经计算，项目天然气燃烧器产生的污染物量为：SO</w:t>
      </w:r>
      <w:r>
        <w:rPr>
          <w:rFonts w:hint="default" w:ascii="Times New Roman" w:hAnsi="Times New Roman" w:cs="Times New Roman"/>
          <w:color w:val="auto"/>
          <w:sz w:val="24"/>
          <w:highlight w:val="none"/>
          <w:vertAlign w:val="subscript"/>
          <w:lang w:val="en-US" w:eastAsia="zh-CN"/>
        </w:rPr>
        <w:t>2</w:t>
      </w:r>
      <w:r>
        <w:rPr>
          <w:rFonts w:hint="default" w:ascii="Times New Roman" w:hAnsi="Times New Roman" w:cs="Times New Roman"/>
          <w:color w:val="auto"/>
          <w:sz w:val="24"/>
          <w:highlight w:val="none"/>
          <w:lang w:val="en-US" w:eastAsia="zh-CN"/>
        </w:rPr>
        <w:t xml:space="preserve"> 0.0306</w:t>
      </w:r>
      <w:r>
        <w:rPr>
          <w:rFonts w:hint="default" w:ascii="Times New Roman" w:hAnsi="Times New Roman" w:cs="Times New Roman"/>
          <w:color w:val="auto"/>
          <w:sz w:val="24"/>
          <w:highlight w:val="none"/>
        </w:rPr>
        <w:t>kg/a（0.00</w:t>
      </w:r>
      <w:r>
        <w:rPr>
          <w:rFonts w:hint="default" w:ascii="Times New Roman" w:hAnsi="Times New Roman" w:cs="Times New Roman"/>
          <w:color w:val="auto"/>
          <w:sz w:val="24"/>
          <w:highlight w:val="none"/>
          <w:lang w:val="en-US" w:eastAsia="zh-CN"/>
        </w:rPr>
        <w:t>00318</w:t>
      </w:r>
      <w:r>
        <w:rPr>
          <w:rFonts w:hint="default" w:ascii="Times New Roman" w:hAnsi="Times New Roman" w:cs="Times New Roman"/>
          <w:color w:val="auto"/>
          <w:sz w:val="24"/>
          <w:highlight w:val="none"/>
        </w:rPr>
        <w:t>kg/h），NO</w:t>
      </w:r>
      <w:r>
        <w:rPr>
          <w:rFonts w:hint="default" w:ascii="Times New Roman" w:hAnsi="Times New Roman" w:cs="Times New Roman"/>
          <w:color w:val="auto"/>
          <w:sz w:val="24"/>
          <w:highlight w:val="none"/>
          <w:vertAlign w:val="subscript"/>
        </w:rPr>
        <w:t>x</w:t>
      </w:r>
      <w:r>
        <w:rPr>
          <w:rFonts w:hint="default" w:ascii="Times New Roman" w:hAnsi="Times New Roman" w:cs="Times New Roman"/>
          <w:color w:val="auto"/>
          <w:sz w:val="24"/>
          <w:highlight w:val="none"/>
          <w:vertAlign w:val="subscript"/>
          <w:lang w:val="en-US" w:eastAsia="zh-CN"/>
        </w:rPr>
        <w:t xml:space="preserve"> </w:t>
      </w:r>
      <w:r>
        <w:rPr>
          <w:rFonts w:hint="default" w:ascii="Times New Roman" w:hAnsi="Times New Roman" w:cs="Times New Roman"/>
          <w:color w:val="auto"/>
          <w:sz w:val="24"/>
          <w:highlight w:val="none"/>
          <w:vertAlign w:val="baseline"/>
          <w:lang w:val="en-US" w:eastAsia="zh-CN"/>
        </w:rPr>
        <w:t>0.234</w:t>
      </w:r>
      <w:r>
        <w:rPr>
          <w:rFonts w:hint="default" w:ascii="Times New Roman" w:hAnsi="Times New Roman" w:cs="Times New Roman"/>
          <w:color w:val="auto"/>
          <w:sz w:val="24"/>
          <w:highlight w:val="none"/>
        </w:rPr>
        <w:t>kg/a（</w:t>
      </w:r>
      <w:r>
        <w:rPr>
          <w:rFonts w:hint="default" w:ascii="Times New Roman" w:hAnsi="Times New Roman" w:cs="Times New Roman"/>
          <w:color w:val="auto"/>
          <w:sz w:val="24"/>
          <w:highlight w:val="none"/>
          <w:lang w:val="en-US" w:eastAsia="zh-CN"/>
        </w:rPr>
        <w:t>0.00024kg/h），颗粒物0.107</w:t>
      </w:r>
      <w:r>
        <w:rPr>
          <w:rFonts w:hint="default" w:ascii="Times New Roman" w:hAnsi="Times New Roman" w:cs="Times New Roman"/>
          <w:color w:val="auto"/>
          <w:sz w:val="24"/>
          <w:highlight w:val="none"/>
        </w:rPr>
        <w:t>kg/a</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0.00011</w:t>
      </w:r>
      <w:r>
        <w:rPr>
          <w:rFonts w:hint="default" w:ascii="Times New Roman" w:hAnsi="Times New Roman" w:cs="Times New Roman"/>
          <w:color w:val="auto"/>
          <w:sz w:val="24"/>
          <w:highlight w:val="none"/>
        </w:rPr>
        <w:t>kg/h</w:t>
      </w:r>
      <w:r>
        <w:rPr>
          <w:rFonts w:hint="default" w:ascii="Times New Roman" w:hAnsi="Times New Roman" w:cs="Times New Roman"/>
          <w:color w:val="auto"/>
          <w:sz w:val="24"/>
          <w:highlight w:val="none"/>
          <w:lang w:eastAsia="zh-CN"/>
        </w:rPr>
        <w:t>）。</w:t>
      </w:r>
    </w:p>
    <w:p w14:paraId="79B27D2E">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lang w:val="en-US" w:eastAsia="zh-CN"/>
        </w:rPr>
        <w:t>2</w:t>
      </w:r>
      <w:r>
        <w:rPr>
          <w:rFonts w:hint="default" w:ascii="Times New Roman" w:hAnsi="Times New Roman" w:cs="Times New Roman"/>
          <w:color w:val="auto"/>
        </w:rPr>
        <w:t>.2.1.</w:t>
      </w:r>
      <w:r>
        <w:rPr>
          <w:rFonts w:hint="default" w:ascii="Times New Roman" w:hAnsi="Times New Roman" w:cs="Times New Roman"/>
          <w:color w:val="auto"/>
          <w:lang w:val="en-US" w:eastAsia="zh-CN"/>
        </w:rPr>
        <w:t>3</w:t>
      </w:r>
      <w:r>
        <w:rPr>
          <w:rFonts w:hint="default" w:ascii="Times New Roman" w:hAnsi="Times New Roman" w:cs="Times New Roman"/>
          <w:color w:val="auto"/>
        </w:rPr>
        <w:t>食堂油烟</w:t>
      </w:r>
    </w:p>
    <w:p w14:paraId="1CBB7BF1">
      <w:pP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本项目年生产天数为365天，项目1</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名员工在食堂内就餐。每天提供三餐，厨房使用</w:t>
      </w:r>
      <w:r>
        <w:rPr>
          <w:rFonts w:hint="default" w:ascii="Times New Roman" w:hAnsi="Times New Roman" w:cs="Times New Roman"/>
          <w:color w:val="auto"/>
          <w:sz w:val="24"/>
          <w:highlight w:val="none"/>
          <w:lang w:val="en-US" w:eastAsia="zh-CN"/>
        </w:rPr>
        <w:t>天然气</w:t>
      </w:r>
      <w:r>
        <w:rPr>
          <w:rFonts w:hint="default" w:ascii="Times New Roman" w:hAnsi="Times New Roman" w:cs="Times New Roman"/>
          <w:color w:val="auto"/>
          <w:sz w:val="24"/>
          <w:highlight w:val="none"/>
        </w:rPr>
        <w:t>和电作为燃料，为清洁能源，食堂废气主要为少量的油烟废气，</w:t>
      </w:r>
      <w:r>
        <w:rPr>
          <w:rFonts w:hint="default" w:ascii="Times New Roman" w:hAnsi="Times New Roman" w:cs="Times New Roman"/>
          <w:color w:val="auto"/>
          <w:sz w:val="24"/>
          <w:highlight w:val="none"/>
          <w:lang w:bidi="zh-CN"/>
        </w:rPr>
        <w:t>根据中国营养学会制定的《中国居民平衡膳食宝塔》，</w:t>
      </w:r>
      <w:r>
        <w:rPr>
          <w:rFonts w:hint="default" w:ascii="Times New Roman" w:hAnsi="Times New Roman" w:cs="Times New Roman"/>
          <w:color w:val="auto"/>
          <w:sz w:val="24"/>
          <w:highlight w:val="none"/>
        </w:rPr>
        <w:t>食用油用量约30g/人•天，则项目食堂消耗食用油0.</w:t>
      </w:r>
      <w:r>
        <w:rPr>
          <w:rFonts w:hint="default" w:ascii="Times New Roman" w:hAnsi="Times New Roman" w:cs="Times New Roman"/>
          <w:color w:val="auto"/>
          <w:sz w:val="24"/>
          <w:highlight w:val="none"/>
          <w:lang w:val="en-US" w:eastAsia="zh-CN"/>
        </w:rPr>
        <w:t>36</w:t>
      </w:r>
      <w:r>
        <w:rPr>
          <w:rFonts w:hint="default" w:ascii="Times New Roman" w:hAnsi="Times New Roman" w:cs="Times New Roman"/>
          <w:color w:val="auto"/>
          <w:sz w:val="24"/>
          <w:highlight w:val="none"/>
        </w:rPr>
        <w:t>kg/d，0.1</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t/a，一般油烟挥发量总占耗油量的2</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4%，平均为2.83%，则油烟产生量为0.01kg/d、0.00</w:t>
      </w:r>
      <w:r>
        <w:rPr>
          <w:rFonts w:hint="default" w:ascii="Times New Roman" w:hAnsi="Times New Roman" w:cs="Times New Roman"/>
          <w:color w:val="auto"/>
          <w:sz w:val="24"/>
          <w:highlight w:val="none"/>
          <w:lang w:val="en-US" w:eastAsia="zh-CN"/>
        </w:rPr>
        <w:t>37</w:t>
      </w:r>
      <w:r>
        <w:rPr>
          <w:rFonts w:hint="default" w:ascii="Times New Roman" w:hAnsi="Times New Roman" w:cs="Times New Roman"/>
          <w:color w:val="auto"/>
          <w:sz w:val="24"/>
          <w:highlight w:val="none"/>
        </w:rPr>
        <w:t>t/a</w:t>
      </w:r>
      <w:r>
        <w:rPr>
          <w:rFonts w:hint="default" w:ascii="Times New Roman" w:hAnsi="Times New Roman" w:cs="Times New Roman"/>
          <w:color w:val="auto"/>
          <w:sz w:val="24"/>
          <w:highlight w:val="none"/>
          <w:lang w:eastAsia="zh-CN"/>
        </w:rPr>
        <w:t>。</w:t>
      </w:r>
    </w:p>
    <w:p w14:paraId="782C2B6F">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食堂油烟经抽油烟机抽吸后，高于食堂楼顶1.5m高排气筒外排。抽油烟机效率按照30%计，经处理后油烟排放量为0.00</w:t>
      </w:r>
      <w:r>
        <w:rPr>
          <w:rFonts w:hint="default" w:ascii="Times New Roman" w:hAnsi="Times New Roman" w:cs="Times New Roman"/>
          <w:color w:val="auto"/>
          <w:sz w:val="24"/>
          <w:highlight w:val="none"/>
          <w:lang w:val="en-US" w:eastAsia="zh-CN"/>
        </w:rPr>
        <w:t>26</w:t>
      </w:r>
      <w:r>
        <w:rPr>
          <w:rFonts w:hint="default" w:ascii="Times New Roman" w:hAnsi="Times New Roman" w:cs="Times New Roman"/>
          <w:color w:val="auto"/>
          <w:sz w:val="24"/>
          <w:highlight w:val="none"/>
        </w:rPr>
        <w:t>t/a，项目区职工食堂为厂区职工提供1日3餐，油烟产生时间平均每天按6h计，则</w:t>
      </w:r>
      <w:r>
        <w:rPr>
          <w:rFonts w:hint="default" w:ascii="Times New Roman" w:hAnsi="Times New Roman" w:cs="Times New Roman"/>
          <w:color w:val="auto"/>
          <w:sz w:val="24"/>
          <w:highlight w:val="none"/>
          <w:lang w:val="en-US" w:eastAsia="zh-CN"/>
        </w:rPr>
        <w:t>油烟产生速率0.00169</w:t>
      </w:r>
      <w:r>
        <w:rPr>
          <w:rFonts w:hint="default" w:ascii="Times New Roman" w:hAnsi="Times New Roman" w:cs="Times New Roman"/>
          <w:color w:val="auto"/>
          <w:sz w:val="24"/>
          <w:highlight w:val="none"/>
        </w:rPr>
        <w:t>kg/h</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油烟排放速率为0.001</w:t>
      </w:r>
      <w:r>
        <w:rPr>
          <w:rFonts w:hint="default" w:ascii="Times New Roman" w:hAnsi="Times New Roman" w:cs="Times New Roman"/>
          <w:color w:val="auto"/>
          <w:sz w:val="24"/>
          <w:highlight w:val="none"/>
          <w:lang w:val="en-US" w:eastAsia="zh-CN"/>
        </w:rPr>
        <w:t>18</w:t>
      </w:r>
      <w:r>
        <w:rPr>
          <w:rFonts w:hint="default" w:ascii="Times New Roman" w:hAnsi="Times New Roman" w:cs="Times New Roman"/>
          <w:color w:val="auto"/>
          <w:sz w:val="24"/>
          <w:highlight w:val="none"/>
        </w:rPr>
        <w:t>kg/h，油烟净化器处理风量为2000m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/h，油烟经处理后最高排放浓度为0.</w:t>
      </w:r>
      <w:r>
        <w:rPr>
          <w:rFonts w:hint="default" w:ascii="Times New Roman" w:hAnsi="Times New Roman" w:cs="Times New Roman"/>
          <w:color w:val="auto"/>
          <w:sz w:val="24"/>
          <w:highlight w:val="none"/>
          <w:lang w:val="en-US" w:eastAsia="zh-CN"/>
        </w:rPr>
        <w:t>59</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，能够达到《饮食业油烟排放标准（试行）》（GB18483-2001）中“小型”规模标准允许排放的浓度，即油烟排放浓度≤2mg/m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p>
    <w:p w14:paraId="5B6F4AB4">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3.4.2.1.4大气污染物小结</w:t>
      </w:r>
    </w:p>
    <w:p w14:paraId="72F079B6">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综上，本项目废气污染物排放情况见表</w:t>
      </w:r>
      <w:r>
        <w:rPr>
          <w:rFonts w:hint="default" w:ascii="Times New Roman" w:hAnsi="Times New Roman" w:cs="Times New Roman"/>
          <w:color w:val="auto"/>
          <w:sz w:val="24"/>
          <w:highlight w:val="none"/>
          <w:lang w:val="en-US" w:eastAsia="zh-CN"/>
        </w:rPr>
        <w:t>3.3.2-4</w:t>
      </w:r>
      <w:r>
        <w:rPr>
          <w:rFonts w:hint="default" w:ascii="Times New Roman" w:hAnsi="Times New Roman" w:cs="Times New Roman"/>
          <w:color w:val="auto"/>
          <w:sz w:val="24"/>
          <w:highlight w:val="none"/>
        </w:rPr>
        <w:t>。</w:t>
      </w:r>
    </w:p>
    <w:p w14:paraId="6AE21183">
      <w:pPr>
        <w:adjustRightInd w:val="0"/>
        <w:snapToGrid w:val="0"/>
        <w:spacing w:line="360" w:lineRule="auto"/>
        <w:ind w:firstLine="480" w:firstLineChars="200"/>
        <w:rPr>
          <w:rFonts w:hint="default" w:ascii="Times New Roman" w:hAnsi="Times New Roman" w:cs="Times New Roman"/>
          <w:color w:val="auto"/>
          <w:sz w:val="24"/>
          <w:highlight w:val="none"/>
        </w:rPr>
        <w:sectPr>
          <w:pgSz w:w="11907" w:h="16840"/>
          <w:pgMar w:top="1531" w:right="1797" w:bottom="1440"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1A359B4">
      <w:pPr>
        <w:snapToGrid w:val="0"/>
        <w:ind w:firstLine="422" w:firstLineChars="20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3.3.2-4</w:t>
      </w:r>
      <w:r>
        <w:rPr>
          <w:rFonts w:hint="default" w:ascii="Times New Roman" w:hAnsi="Times New Roman" w:cs="Times New Roman"/>
          <w:b/>
          <w:color w:val="auto"/>
          <w:szCs w:val="21"/>
          <w:highlight w:val="none"/>
        </w:rPr>
        <w:t xml:space="preserve">   本项目废气污染源源强核算结果及相关参数一览表</w:t>
      </w:r>
    </w:p>
    <w:tbl>
      <w:tblPr>
        <w:tblStyle w:val="23"/>
        <w:tblW w:w="21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298"/>
        <w:gridCol w:w="1243"/>
        <w:gridCol w:w="1062"/>
        <w:gridCol w:w="982"/>
        <w:gridCol w:w="1264"/>
        <w:gridCol w:w="1235"/>
        <w:gridCol w:w="1273"/>
        <w:gridCol w:w="5281"/>
        <w:gridCol w:w="1547"/>
        <w:gridCol w:w="1483"/>
        <w:gridCol w:w="1357"/>
        <w:gridCol w:w="1214"/>
        <w:gridCol w:w="881"/>
      </w:tblGrid>
      <w:tr w14:paraId="54B9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Merge w:val="restart"/>
            <w:vAlign w:val="center"/>
          </w:tcPr>
          <w:p w14:paraId="2204AACD">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工序/生产线</w:t>
            </w:r>
          </w:p>
        </w:tc>
        <w:tc>
          <w:tcPr>
            <w:tcW w:w="1298" w:type="dxa"/>
            <w:vMerge w:val="restart"/>
            <w:vAlign w:val="center"/>
          </w:tcPr>
          <w:p w14:paraId="7990895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装置</w:t>
            </w:r>
          </w:p>
        </w:tc>
        <w:tc>
          <w:tcPr>
            <w:tcW w:w="1243" w:type="dxa"/>
            <w:vMerge w:val="restart"/>
            <w:vAlign w:val="center"/>
          </w:tcPr>
          <w:p w14:paraId="0811FB8A">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污染源</w:t>
            </w:r>
          </w:p>
        </w:tc>
        <w:tc>
          <w:tcPr>
            <w:tcW w:w="1062" w:type="dxa"/>
            <w:vMerge w:val="restart"/>
            <w:vAlign w:val="center"/>
          </w:tcPr>
          <w:p w14:paraId="4DD08A0B">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污染物</w:t>
            </w:r>
          </w:p>
        </w:tc>
        <w:tc>
          <w:tcPr>
            <w:tcW w:w="4754" w:type="dxa"/>
            <w:gridSpan w:val="4"/>
            <w:vAlign w:val="center"/>
          </w:tcPr>
          <w:p w14:paraId="661140C1">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污染物产生情况</w:t>
            </w:r>
          </w:p>
        </w:tc>
        <w:tc>
          <w:tcPr>
            <w:tcW w:w="6828" w:type="dxa"/>
            <w:gridSpan w:val="2"/>
            <w:vAlign w:val="center"/>
          </w:tcPr>
          <w:p w14:paraId="579B8E95">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治理措施</w:t>
            </w:r>
          </w:p>
        </w:tc>
        <w:tc>
          <w:tcPr>
            <w:tcW w:w="4054" w:type="dxa"/>
            <w:gridSpan w:val="3"/>
            <w:vAlign w:val="center"/>
          </w:tcPr>
          <w:p w14:paraId="332AA84B">
            <w:pPr>
              <w:pStyle w:val="37"/>
              <w:keepNext w:val="0"/>
              <w:keepLines w:val="0"/>
              <w:suppressLineNumbers w:val="0"/>
              <w:spacing w:before="0" w:beforeAutospacing="0" w:after="0" w:afterAutospacing="0" w:line="240" w:lineRule="auto"/>
              <w:ind w:left="0" w:right="0" w:firstLine="422"/>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污染物排放情况</w:t>
            </w:r>
          </w:p>
        </w:tc>
        <w:tc>
          <w:tcPr>
            <w:tcW w:w="881" w:type="dxa"/>
            <w:vMerge w:val="restart"/>
            <w:vAlign w:val="center"/>
          </w:tcPr>
          <w:p w14:paraId="182438BE">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年排放时间h</w:t>
            </w:r>
          </w:p>
        </w:tc>
      </w:tr>
      <w:tr w14:paraId="03329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Merge w:val="continue"/>
            <w:vAlign w:val="center"/>
          </w:tcPr>
          <w:p w14:paraId="1F8CB53C">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p>
        </w:tc>
        <w:tc>
          <w:tcPr>
            <w:tcW w:w="1298" w:type="dxa"/>
            <w:vMerge w:val="continue"/>
            <w:vAlign w:val="center"/>
          </w:tcPr>
          <w:p w14:paraId="7661E2CC">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p>
        </w:tc>
        <w:tc>
          <w:tcPr>
            <w:tcW w:w="1243" w:type="dxa"/>
            <w:vMerge w:val="continue"/>
            <w:vAlign w:val="center"/>
          </w:tcPr>
          <w:p w14:paraId="17FFA929">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p>
        </w:tc>
        <w:tc>
          <w:tcPr>
            <w:tcW w:w="1062" w:type="dxa"/>
            <w:vMerge w:val="continue"/>
            <w:vAlign w:val="center"/>
          </w:tcPr>
          <w:p w14:paraId="0E779E4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p>
        </w:tc>
        <w:tc>
          <w:tcPr>
            <w:tcW w:w="982" w:type="dxa"/>
            <w:vAlign w:val="center"/>
          </w:tcPr>
          <w:p w14:paraId="4B3AFAC5">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核算方法</w:t>
            </w:r>
          </w:p>
        </w:tc>
        <w:tc>
          <w:tcPr>
            <w:tcW w:w="1264" w:type="dxa"/>
            <w:vAlign w:val="center"/>
          </w:tcPr>
          <w:p w14:paraId="2761AD64">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产生浓度（mg/m</w:t>
            </w:r>
            <w:r>
              <w:rPr>
                <w:rFonts w:hint="default" w:ascii="Times New Roman" w:hAnsi="Times New Roman" w:cs="Times New Roman"/>
                <w:b/>
                <w:color w:val="auto"/>
                <w:kern w:val="0"/>
                <w:sz w:val="18"/>
                <w:szCs w:val="18"/>
                <w:highlight w:val="none"/>
                <w:vertAlign w:val="superscript"/>
              </w:rPr>
              <w:t>3</w:t>
            </w:r>
            <w:r>
              <w:rPr>
                <w:rFonts w:hint="default" w:ascii="Times New Roman" w:hAnsi="Times New Roman" w:cs="Times New Roman"/>
                <w:b/>
                <w:color w:val="auto"/>
                <w:kern w:val="0"/>
                <w:sz w:val="18"/>
                <w:szCs w:val="18"/>
                <w:highlight w:val="none"/>
              </w:rPr>
              <w:t>）</w:t>
            </w:r>
          </w:p>
        </w:tc>
        <w:tc>
          <w:tcPr>
            <w:tcW w:w="1235" w:type="dxa"/>
            <w:vAlign w:val="center"/>
          </w:tcPr>
          <w:p w14:paraId="0399C02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产生速率（kg/h）</w:t>
            </w:r>
          </w:p>
        </w:tc>
        <w:tc>
          <w:tcPr>
            <w:tcW w:w="1273" w:type="dxa"/>
            <w:vAlign w:val="center"/>
          </w:tcPr>
          <w:p w14:paraId="543C391B">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产生量（t/a）</w:t>
            </w:r>
          </w:p>
        </w:tc>
        <w:tc>
          <w:tcPr>
            <w:tcW w:w="5281" w:type="dxa"/>
            <w:vAlign w:val="center"/>
          </w:tcPr>
          <w:p w14:paraId="4D9CCC5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工艺</w:t>
            </w:r>
          </w:p>
        </w:tc>
        <w:tc>
          <w:tcPr>
            <w:tcW w:w="1547" w:type="dxa"/>
            <w:vAlign w:val="center"/>
          </w:tcPr>
          <w:p w14:paraId="50F5C24B">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效率%</w:t>
            </w:r>
          </w:p>
        </w:tc>
        <w:tc>
          <w:tcPr>
            <w:tcW w:w="1483" w:type="dxa"/>
            <w:vAlign w:val="center"/>
          </w:tcPr>
          <w:p w14:paraId="3F6AA6D6">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排放浓度（mg/m</w:t>
            </w:r>
            <w:r>
              <w:rPr>
                <w:rFonts w:hint="default" w:ascii="Times New Roman" w:hAnsi="Times New Roman" w:cs="Times New Roman"/>
                <w:b/>
                <w:color w:val="auto"/>
                <w:kern w:val="0"/>
                <w:sz w:val="18"/>
                <w:szCs w:val="18"/>
                <w:highlight w:val="none"/>
                <w:vertAlign w:val="superscript"/>
              </w:rPr>
              <w:t>3</w:t>
            </w:r>
            <w:r>
              <w:rPr>
                <w:rFonts w:hint="default" w:ascii="Times New Roman" w:hAnsi="Times New Roman" w:cs="Times New Roman"/>
                <w:b/>
                <w:color w:val="auto"/>
                <w:kern w:val="0"/>
                <w:sz w:val="18"/>
                <w:szCs w:val="18"/>
                <w:highlight w:val="none"/>
              </w:rPr>
              <w:t>）</w:t>
            </w:r>
          </w:p>
        </w:tc>
        <w:tc>
          <w:tcPr>
            <w:tcW w:w="1357" w:type="dxa"/>
            <w:vAlign w:val="center"/>
          </w:tcPr>
          <w:p w14:paraId="6942499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排放速率（kg/h）</w:t>
            </w:r>
          </w:p>
        </w:tc>
        <w:tc>
          <w:tcPr>
            <w:tcW w:w="1214" w:type="dxa"/>
            <w:vAlign w:val="center"/>
          </w:tcPr>
          <w:p w14:paraId="763F757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排放量（t/a）</w:t>
            </w:r>
          </w:p>
        </w:tc>
        <w:tc>
          <w:tcPr>
            <w:tcW w:w="881" w:type="dxa"/>
            <w:vMerge w:val="continue"/>
            <w:vAlign w:val="center"/>
          </w:tcPr>
          <w:p w14:paraId="3C710BAB">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r>
      <w:tr w14:paraId="59BA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Merge w:val="restart"/>
            <w:vAlign w:val="center"/>
          </w:tcPr>
          <w:p w14:paraId="0DC83EA5">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猪饲养</w:t>
            </w:r>
          </w:p>
        </w:tc>
        <w:tc>
          <w:tcPr>
            <w:tcW w:w="1298" w:type="dxa"/>
            <w:vMerge w:val="restart"/>
            <w:vAlign w:val="center"/>
          </w:tcPr>
          <w:p w14:paraId="4B3DB11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猪舍</w:t>
            </w:r>
          </w:p>
        </w:tc>
        <w:tc>
          <w:tcPr>
            <w:tcW w:w="1243" w:type="dxa"/>
            <w:vMerge w:val="restart"/>
            <w:vAlign w:val="center"/>
          </w:tcPr>
          <w:p w14:paraId="65B263DD">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无组织排放</w:t>
            </w:r>
          </w:p>
        </w:tc>
        <w:tc>
          <w:tcPr>
            <w:tcW w:w="1062" w:type="dxa"/>
            <w:vAlign w:val="center"/>
          </w:tcPr>
          <w:p w14:paraId="16D3D18C">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NH</w:t>
            </w:r>
            <w:r>
              <w:rPr>
                <w:rFonts w:hint="default" w:ascii="Times New Roman" w:hAnsi="Times New Roman" w:cs="Times New Roman"/>
                <w:color w:val="auto"/>
                <w:kern w:val="0"/>
                <w:sz w:val="18"/>
                <w:szCs w:val="18"/>
                <w:highlight w:val="none"/>
                <w:vertAlign w:val="subscript"/>
              </w:rPr>
              <w:t>3</w:t>
            </w:r>
          </w:p>
        </w:tc>
        <w:tc>
          <w:tcPr>
            <w:tcW w:w="982" w:type="dxa"/>
            <w:vMerge w:val="restart"/>
            <w:vAlign w:val="center"/>
          </w:tcPr>
          <w:p w14:paraId="7F55E021">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产污系数法</w:t>
            </w:r>
          </w:p>
        </w:tc>
        <w:tc>
          <w:tcPr>
            <w:tcW w:w="1264" w:type="dxa"/>
            <w:vAlign w:val="center"/>
          </w:tcPr>
          <w:p w14:paraId="0CE0EB1F">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235" w:type="dxa"/>
            <w:vAlign w:val="center"/>
          </w:tcPr>
          <w:p w14:paraId="5CE3F858">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0.085</w:t>
            </w:r>
          </w:p>
        </w:tc>
        <w:tc>
          <w:tcPr>
            <w:tcW w:w="1273" w:type="dxa"/>
            <w:vAlign w:val="center"/>
          </w:tcPr>
          <w:p w14:paraId="19FB0A96">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0.656</w:t>
            </w:r>
          </w:p>
        </w:tc>
        <w:tc>
          <w:tcPr>
            <w:tcW w:w="5281" w:type="dxa"/>
            <w:vMerge w:val="restart"/>
            <w:vAlign w:val="center"/>
          </w:tcPr>
          <w:p w14:paraId="17B83ACF">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rPr>
              <w:t>日粮中投放益生菌、EM活菌剂等，日粮充分混合均匀后喂养；猪舍进行喷洒微生物除臭剂，猪舍周边种植绿化树</w:t>
            </w:r>
          </w:p>
        </w:tc>
        <w:tc>
          <w:tcPr>
            <w:tcW w:w="1547" w:type="dxa"/>
            <w:vAlign w:val="center"/>
          </w:tcPr>
          <w:p w14:paraId="38720EA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96.3</w:t>
            </w:r>
          </w:p>
        </w:tc>
        <w:tc>
          <w:tcPr>
            <w:tcW w:w="1483" w:type="dxa"/>
            <w:vAlign w:val="center"/>
          </w:tcPr>
          <w:p w14:paraId="5810E21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357" w:type="dxa"/>
            <w:vAlign w:val="center"/>
          </w:tcPr>
          <w:p w14:paraId="6FF1AE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316</w:t>
            </w:r>
          </w:p>
        </w:tc>
        <w:tc>
          <w:tcPr>
            <w:tcW w:w="1214" w:type="dxa"/>
            <w:vAlign w:val="center"/>
          </w:tcPr>
          <w:p w14:paraId="63B67E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24</w:t>
            </w:r>
          </w:p>
        </w:tc>
        <w:tc>
          <w:tcPr>
            <w:tcW w:w="881" w:type="dxa"/>
            <w:vAlign w:val="center"/>
          </w:tcPr>
          <w:p w14:paraId="2BEE526C">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7680</w:t>
            </w:r>
          </w:p>
        </w:tc>
      </w:tr>
      <w:tr w14:paraId="1631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Merge w:val="continue"/>
            <w:vAlign w:val="center"/>
          </w:tcPr>
          <w:p w14:paraId="143398BC">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298" w:type="dxa"/>
            <w:vMerge w:val="continue"/>
            <w:vAlign w:val="center"/>
          </w:tcPr>
          <w:p w14:paraId="52081D96">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243" w:type="dxa"/>
            <w:vMerge w:val="continue"/>
            <w:vAlign w:val="center"/>
          </w:tcPr>
          <w:p w14:paraId="61001434">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062" w:type="dxa"/>
            <w:vAlign w:val="center"/>
          </w:tcPr>
          <w:p w14:paraId="25CC1390">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H</w:t>
            </w:r>
            <w:r>
              <w:rPr>
                <w:rFonts w:hint="default" w:ascii="Times New Roman" w:hAnsi="Times New Roman" w:cs="Times New Roman"/>
                <w:color w:val="auto"/>
                <w:kern w:val="0"/>
                <w:sz w:val="18"/>
                <w:szCs w:val="18"/>
                <w:highlight w:val="none"/>
                <w:vertAlign w:val="subscript"/>
              </w:rPr>
              <w:t>2</w:t>
            </w:r>
            <w:r>
              <w:rPr>
                <w:rFonts w:hint="default" w:ascii="Times New Roman" w:hAnsi="Times New Roman" w:cs="Times New Roman"/>
                <w:color w:val="auto"/>
                <w:kern w:val="0"/>
                <w:sz w:val="18"/>
                <w:szCs w:val="18"/>
                <w:highlight w:val="none"/>
              </w:rPr>
              <w:t>S</w:t>
            </w:r>
          </w:p>
        </w:tc>
        <w:tc>
          <w:tcPr>
            <w:tcW w:w="982" w:type="dxa"/>
            <w:vMerge w:val="continue"/>
            <w:vAlign w:val="center"/>
          </w:tcPr>
          <w:p w14:paraId="7676327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264" w:type="dxa"/>
            <w:vAlign w:val="center"/>
          </w:tcPr>
          <w:p w14:paraId="1698DD3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235" w:type="dxa"/>
            <w:vAlign w:val="center"/>
          </w:tcPr>
          <w:p w14:paraId="2378A2A0">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0854</w:t>
            </w:r>
          </w:p>
        </w:tc>
        <w:tc>
          <w:tcPr>
            <w:tcW w:w="1273" w:type="dxa"/>
            <w:vAlign w:val="center"/>
          </w:tcPr>
          <w:p w14:paraId="6CC5242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0656</w:t>
            </w:r>
          </w:p>
        </w:tc>
        <w:tc>
          <w:tcPr>
            <w:tcW w:w="5281" w:type="dxa"/>
            <w:vMerge w:val="continue"/>
            <w:vAlign w:val="center"/>
          </w:tcPr>
          <w:p w14:paraId="00493FA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547" w:type="dxa"/>
            <w:vAlign w:val="center"/>
          </w:tcPr>
          <w:p w14:paraId="16297E0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94.5</w:t>
            </w:r>
          </w:p>
        </w:tc>
        <w:tc>
          <w:tcPr>
            <w:tcW w:w="1483" w:type="dxa"/>
            <w:vAlign w:val="center"/>
          </w:tcPr>
          <w:p w14:paraId="3333002E">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357" w:type="dxa"/>
            <w:vAlign w:val="center"/>
          </w:tcPr>
          <w:p w14:paraId="6FA5D3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0.000</w:t>
            </w:r>
            <w:r>
              <w:rPr>
                <w:rFonts w:hint="default" w:ascii="Times New Roman" w:hAnsi="Times New Roman" w:cs="Times New Roman"/>
                <w:color w:val="auto"/>
                <w:sz w:val="18"/>
                <w:szCs w:val="18"/>
                <w:highlight w:val="none"/>
                <w:lang w:val="en-US" w:eastAsia="zh-CN"/>
              </w:rPr>
              <w:t>469</w:t>
            </w:r>
          </w:p>
        </w:tc>
        <w:tc>
          <w:tcPr>
            <w:tcW w:w="1214" w:type="dxa"/>
            <w:vAlign w:val="center"/>
          </w:tcPr>
          <w:p w14:paraId="409871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361</w:t>
            </w:r>
          </w:p>
        </w:tc>
        <w:tc>
          <w:tcPr>
            <w:tcW w:w="881" w:type="dxa"/>
            <w:vAlign w:val="center"/>
          </w:tcPr>
          <w:p w14:paraId="7B09A81C">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7680</w:t>
            </w:r>
          </w:p>
        </w:tc>
      </w:tr>
      <w:tr w14:paraId="1367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Merge w:val="restart"/>
            <w:vAlign w:val="center"/>
          </w:tcPr>
          <w:p w14:paraId="432D2161">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废水处理</w:t>
            </w:r>
          </w:p>
        </w:tc>
        <w:tc>
          <w:tcPr>
            <w:tcW w:w="1298" w:type="dxa"/>
            <w:vMerge w:val="restart"/>
            <w:vAlign w:val="center"/>
          </w:tcPr>
          <w:p w14:paraId="169E3C5A">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废水收集池</w:t>
            </w:r>
          </w:p>
        </w:tc>
        <w:tc>
          <w:tcPr>
            <w:tcW w:w="1243" w:type="dxa"/>
            <w:vMerge w:val="restart"/>
            <w:vAlign w:val="center"/>
          </w:tcPr>
          <w:p w14:paraId="7D38F4B3">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无组织排放</w:t>
            </w:r>
          </w:p>
        </w:tc>
        <w:tc>
          <w:tcPr>
            <w:tcW w:w="1062" w:type="dxa"/>
            <w:vAlign w:val="center"/>
          </w:tcPr>
          <w:p w14:paraId="0F4F20A2">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NH</w:t>
            </w:r>
            <w:r>
              <w:rPr>
                <w:rFonts w:hint="default" w:ascii="Times New Roman" w:hAnsi="Times New Roman" w:cs="Times New Roman"/>
                <w:color w:val="auto"/>
                <w:kern w:val="0"/>
                <w:sz w:val="18"/>
                <w:szCs w:val="18"/>
                <w:highlight w:val="none"/>
                <w:vertAlign w:val="subscript"/>
              </w:rPr>
              <w:t>3</w:t>
            </w:r>
          </w:p>
        </w:tc>
        <w:tc>
          <w:tcPr>
            <w:tcW w:w="982" w:type="dxa"/>
            <w:vMerge w:val="restart"/>
            <w:vAlign w:val="center"/>
          </w:tcPr>
          <w:p w14:paraId="51CA8E73">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产污系数法</w:t>
            </w:r>
          </w:p>
        </w:tc>
        <w:tc>
          <w:tcPr>
            <w:tcW w:w="1264" w:type="dxa"/>
            <w:vAlign w:val="center"/>
          </w:tcPr>
          <w:p w14:paraId="7DDE1CEB">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235" w:type="dxa"/>
            <w:vAlign w:val="center"/>
          </w:tcPr>
          <w:p w14:paraId="060AEF04">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0.0</w:t>
            </w:r>
            <w:r>
              <w:rPr>
                <w:rFonts w:hint="default" w:ascii="Times New Roman" w:hAnsi="Times New Roman" w:cs="Times New Roman"/>
                <w:color w:val="auto"/>
                <w:kern w:val="0"/>
                <w:sz w:val="18"/>
                <w:szCs w:val="18"/>
                <w:highlight w:val="none"/>
                <w:lang w:val="en-US" w:eastAsia="zh-CN"/>
              </w:rPr>
              <w:t>33</w:t>
            </w:r>
          </w:p>
        </w:tc>
        <w:tc>
          <w:tcPr>
            <w:tcW w:w="1273" w:type="dxa"/>
            <w:vAlign w:val="center"/>
          </w:tcPr>
          <w:p w14:paraId="48443FC3">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lang w:val="en-US"/>
              </w:rPr>
            </w:pPr>
            <w:r>
              <w:rPr>
                <w:rFonts w:hint="default" w:ascii="Times New Roman" w:hAnsi="Times New Roman" w:cs="Times New Roman"/>
                <w:color w:val="auto"/>
                <w:kern w:val="0"/>
                <w:sz w:val="18"/>
                <w:szCs w:val="18"/>
                <w:highlight w:val="none"/>
              </w:rPr>
              <w:t>0.</w:t>
            </w:r>
            <w:r>
              <w:rPr>
                <w:rFonts w:hint="default" w:ascii="Times New Roman" w:hAnsi="Times New Roman" w:cs="Times New Roman"/>
                <w:color w:val="auto"/>
                <w:kern w:val="0"/>
                <w:sz w:val="18"/>
                <w:szCs w:val="18"/>
                <w:highlight w:val="none"/>
                <w:lang w:val="en-US" w:eastAsia="zh-CN"/>
              </w:rPr>
              <w:t>25</w:t>
            </w:r>
          </w:p>
        </w:tc>
        <w:tc>
          <w:tcPr>
            <w:tcW w:w="5281" w:type="dxa"/>
            <w:vMerge w:val="restart"/>
            <w:vAlign w:val="center"/>
          </w:tcPr>
          <w:p w14:paraId="6C8E65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360" w:firstLineChars="200"/>
              <w:textAlignment w:val="baseline"/>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废水收集池</w:t>
            </w:r>
            <w:r>
              <w:rPr>
                <w:rFonts w:hint="default" w:ascii="Times New Roman" w:hAnsi="Times New Roman" w:cs="Times New Roman"/>
                <w:color w:val="auto"/>
                <w:sz w:val="18"/>
                <w:szCs w:val="18"/>
                <w:lang w:val="en-US" w:eastAsia="zh-CN"/>
              </w:rPr>
              <w:t>采用盖板</w:t>
            </w:r>
            <w:r>
              <w:rPr>
                <w:rFonts w:hint="default" w:ascii="Times New Roman" w:hAnsi="Times New Roman" w:cs="Times New Roman"/>
                <w:color w:val="auto"/>
                <w:sz w:val="18"/>
                <w:szCs w:val="18"/>
              </w:rPr>
              <w:t>封闭，喷洒生物除臭剂、绿化等措施</w:t>
            </w:r>
          </w:p>
        </w:tc>
        <w:tc>
          <w:tcPr>
            <w:tcW w:w="1547" w:type="dxa"/>
            <w:vAlign w:val="center"/>
          </w:tcPr>
          <w:p w14:paraId="5DD3BB3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97.04</w:t>
            </w:r>
          </w:p>
        </w:tc>
        <w:tc>
          <w:tcPr>
            <w:tcW w:w="1483" w:type="dxa"/>
            <w:vAlign w:val="center"/>
          </w:tcPr>
          <w:p w14:paraId="452937A9">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357" w:type="dxa"/>
            <w:vAlign w:val="center"/>
          </w:tcPr>
          <w:p w14:paraId="2AC7E8EB">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0.00</w:t>
            </w:r>
            <w:r>
              <w:rPr>
                <w:rFonts w:hint="default" w:ascii="Times New Roman" w:hAnsi="Times New Roman" w:cs="Times New Roman"/>
                <w:color w:val="auto"/>
                <w:kern w:val="0"/>
                <w:sz w:val="18"/>
                <w:szCs w:val="18"/>
                <w:highlight w:val="none"/>
                <w:lang w:val="en-US" w:eastAsia="zh-CN"/>
              </w:rPr>
              <w:t>0977</w:t>
            </w:r>
          </w:p>
        </w:tc>
        <w:tc>
          <w:tcPr>
            <w:tcW w:w="1214" w:type="dxa"/>
            <w:vAlign w:val="center"/>
          </w:tcPr>
          <w:p w14:paraId="39387A3E">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0.0</w:t>
            </w:r>
            <w:r>
              <w:rPr>
                <w:rFonts w:hint="default" w:ascii="Times New Roman" w:hAnsi="Times New Roman" w:cs="Times New Roman"/>
                <w:color w:val="auto"/>
                <w:kern w:val="0"/>
                <w:sz w:val="18"/>
                <w:szCs w:val="18"/>
                <w:highlight w:val="none"/>
                <w:lang w:val="en-US" w:eastAsia="zh-CN"/>
              </w:rPr>
              <w:t>074</w:t>
            </w:r>
          </w:p>
        </w:tc>
        <w:tc>
          <w:tcPr>
            <w:tcW w:w="881" w:type="dxa"/>
            <w:vAlign w:val="center"/>
          </w:tcPr>
          <w:p w14:paraId="1B6C3991">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7680</w:t>
            </w:r>
          </w:p>
        </w:tc>
      </w:tr>
      <w:tr w14:paraId="7E3D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Merge w:val="continue"/>
            <w:vAlign w:val="center"/>
          </w:tcPr>
          <w:p w14:paraId="6E6C8D02">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298" w:type="dxa"/>
            <w:vMerge w:val="continue"/>
            <w:vAlign w:val="center"/>
          </w:tcPr>
          <w:p w14:paraId="6AEBAD3D">
            <w:pPr>
              <w:pStyle w:val="37"/>
              <w:keepNext w:val="0"/>
              <w:keepLines w:val="0"/>
              <w:suppressLineNumbers w:val="0"/>
              <w:spacing w:before="0" w:beforeAutospacing="0" w:after="0" w:afterAutospacing="0" w:line="240" w:lineRule="auto"/>
              <w:ind w:left="0" w:right="0" w:firstLine="420"/>
              <w:jc w:val="center"/>
              <w:rPr>
                <w:rFonts w:hint="default" w:ascii="Times New Roman" w:hAnsi="Times New Roman" w:cs="Times New Roman"/>
                <w:color w:val="auto"/>
                <w:kern w:val="0"/>
                <w:sz w:val="18"/>
                <w:szCs w:val="18"/>
                <w:highlight w:val="none"/>
              </w:rPr>
            </w:pPr>
          </w:p>
        </w:tc>
        <w:tc>
          <w:tcPr>
            <w:tcW w:w="1243" w:type="dxa"/>
            <w:vMerge w:val="continue"/>
            <w:vAlign w:val="center"/>
          </w:tcPr>
          <w:p w14:paraId="445AF7D3">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062" w:type="dxa"/>
            <w:vAlign w:val="center"/>
          </w:tcPr>
          <w:p w14:paraId="1956B336">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H</w:t>
            </w:r>
            <w:r>
              <w:rPr>
                <w:rFonts w:hint="default" w:ascii="Times New Roman" w:hAnsi="Times New Roman" w:cs="Times New Roman"/>
                <w:color w:val="auto"/>
                <w:kern w:val="0"/>
                <w:sz w:val="18"/>
                <w:szCs w:val="18"/>
                <w:highlight w:val="none"/>
                <w:vertAlign w:val="subscript"/>
              </w:rPr>
              <w:t>2</w:t>
            </w:r>
            <w:r>
              <w:rPr>
                <w:rFonts w:hint="default" w:ascii="Times New Roman" w:hAnsi="Times New Roman" w:cs="Times New Roman"/>
                <w:color w:val="auto"/>
                <w:kern w:val="0"/>
                <w:sz w:val="18"/>
                <w:szCs w:val="18"/>
                <w:highlight w:val="none"/>
              </w:rPr>
              <w:t>S</w:t>
            </w:r>
          </w:p>
        </w:tc>
        <w:tc>
          <w:tcPr>
            <w:tcW w:w="982" w:type="dxa"/>
            <w:vMerge w:val="continue"/>
            <w:vAlign w:val="center"/>
          </w:tcPr>
          <w:p w14:paraId="4476EB2C">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264" w:type="dxa"/>
            <w:vAlign w:val="center"/>
          </w:tcPr>
          <w:p w14:paraId="6BACBB8B">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235" w:type="dxa"/>
            <w:vAlign w:val="center"/>
          </w:tcPr>
          <w:p w14:paraId="20762392">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0.00</w:t>
            </w:r>
            <w:r>
              <w:rPr>
                <w:rFonts w:hint="default" w:ascii="Times New Roman" w:hAnsi="Times New Roman" w:cs="Times New Roman"/>
                <w:color w:val="auto"/>
                <w:kern w:val="0"/>
                <w:sz w:val="18"/>
                <w:szCs w:val="18"/>
                <w:highlight w:val="none"/>
                <w:lang w:val="en-US" w:eastAsia="zh-CN"/>
              </w:rPr>
              <w:t>083</w:t>
            </w:r>
          </w:p>
        </w:tc>
        <w:tc>
          <w:tcPr>
            <w:tcW w:w="1273" w:type="dxa"/>
            <w:vAlign w:val="center"/>
          </w:tcPr>
          <w:p w14:paraId="6121C01F">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0.0</w:t>
            </w:r>
            <w:r>
              <w:rPr>
                <w:rFonts w:hint="default" w:ascii="Times New Roman" w:hAnsi="Times New Roman" w:cs="Times New Roman"/>
                <w:color w:val="auto"/>
                <w:kern w:val="0"/>
                <w:sz w:val="18"/>
                <w:szCs w:val="18"/>
                <w:highlight w:val="none"/>
                <w:lang w:val="en-US" w:eastAsia="zh-CN"/>
              </w:rPr>
              <w:t>064</w:t>
            </w:r>
          </w:p>
        </w:tc>
        <w:tc>
          <w:tcPr>
            <w:tcW w:w="5281" w:type="dxa"/>
            <w:vMerge w:val="continue"/>
            <w:vAlign w:val="center"/>
          </w:tcPr>
          <w:p w14:paraId="6137A996">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547" w:type="dxa"/>
            <w:vAlign w:val="center"/>
          </w:tcPr>
          <w:p w14:paraId="47D32C3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95.6</w:t>
            </w:r>
          </w:p>
        </w:tc>
        <w:tc>
          <w:tcPr>
            <w:tcW w:w="1483" w:type="dxa"/>
            <w:vAlign w:val="center"/>
          </w:tcPr>
          <w:p w14:paraId="4D4B820D">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357" w:type="dxa"/>
            <w:vAlign w:val="center"/>
          </w:tcPr>
          <w:p w14:paraId="134CA589">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0.000</w:t>
            </w:r>
            <w:r>
              <w:rPr>
                <w:rFonts w:hint="default" w:ascii="Times New Roman" w:hAnsi="Times New Roman" w:cs="Times New Roman"/>
                <w:color w:val="auto"/>
                <w:kern w:val="0"/>
                <w:sz w:val="18"/>
                <w:szCs w:val="18"/>
                <w:highlight w:val="none"/>
                <w:lang w:val="en-US" w:eastAsia="zh-CN"/>
              </w:rPr>
              <w:t>0365</w:t>
            </w:r>
          </w:p>
        </w:tc>
        <w:tc>
          <w:tcPr>
            <w:tcW w:w="1214" w:type="dxa"/>
            <w:vAlign w:val="center"/>
          </w:tcPr>
          <w:p w14:paraId="6BC5804E">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0.00</w:t>
            </w:r>
            <w:r>
              <w:rPr>
                <w:rFonts w:hint="default" w:ascii="Times New Roman" w:hAnsi="Times New Roman" w:cs="Times New Roman"/>
                <w:color w:val="auto"/>
                <w:kern w:val="0"/>
                <w:sz w:val="18"/>
                <w:szCs w:val="18"/>
                <w:highlight w:val="none"/>
                <w:lang w:val="en-US" w:eastAsia="zh-CN"/>
              </w:rPr>
              <w:t>028</w:t>
            </w:r>
          </w:p>
        </w:tc>
        <w:tc>
          <w:tcPr>
            <w:tcW w:w="881" w:type="dxa"/>
            <w:vAlign w:val="center"/>
          </w:tcPr>
          <w:p w14:paraId="7E94F630">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7680</w:t>
            </w:r>
          </w:p>
        </w:tc>
      </w:tr>
      <w:tr w14:paraId="12F1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Merge w:val="restart"/>
            <w:vAlign w:val="center"/>
          </w:tcPr>
          <w:p w14:paraId="126DCAA4">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粪便处理</w:t>
            </w:r>
          </w:p>
        </w:tc>
        <w:tc>
          <w:tcPr>
            <w:tcW w:w="1298" w:type="dxa"/>
            <w:vMerge w:val="restart"/>
            <w:vAlign w:val="center"/>
          </w:tcPr>
          <w:p w14:paraId="29DEEB7E">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堆粪棚</w:t>
            </w:r>
          </w:p>
        </w:tc>
        <w:tc>
          <w:tcPr>
            <w:tcW w:w="1243" w:type="dxa"/>
            <w:vMerge w:val="restart"/>
            <w:vAlign w:val="center"/>
          </w:tcPr>
          <w:p w14:paraId="6B70F6A6">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无组织排放</w:t>
            </w:r>
          </w:p>
        </w:tc>
        <w:tc>
          <w:tcPr>
            <w:tcW w:w="1062" w:type="dxa"/>
            <w:vAlign w:val="center"/>
          </w:tcPr>
          <w:p w14:paraId="35FB2CC5">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NH</w:t>
            </w:r>
            <w:r>
              <w:rPr>
                <w:rFonts w:hint="default" w:ascii="Times New Roman" w:hAnsi="Times New Roman" w:cs="Times New Roman"/>
                <w:color w:val="auto"/>
                <w:kern w:val="0"/>
                <w:sz w:val="18"/>
                <w:szCs w:val="18"/>
                <w:highlight w:val="none"/>
                <w:vertAlign w:val="subscript"/>
              </w:rPr>
              <w:t>3</w:t>
            </w:r>
          </w:p>
        </w:tc>
        <w:tc>
          <w:tcPr>
            <w:tcW w:w="982" w:type="dxa"/>
            <w:vMerge w:val="restart"/>
            <w:vAlign w:val="center"/>
          </w:tcPr>
          <w:p w14:paraId="50675DE3">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产污系数法</w:t>
            </w:r>
          </w:p>
        </w:tc>
        <w:tc>
          <w:tcPr>
            <w:tcW w:w="1264" w:type="dxa"/>
            <w:vAlign w:val="center"/>
          </w:tcPr>
          <w:p w14:paraId="40FB8CBB">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235" w:type="dxa"/>
            <w:vAlign w:val="center"/>
          </w:tcPr>
          <w:p w14:paraId="01DD96CC">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0.0</w:t>
            </w:r>
            <w:r>
              <w:rPr>
                <w:rFonts w:hint="default" w:ascii="Times New Roman" w:hAnsi="Times New Roman" w:cs="Times New Roman"/>
                <w:color w:val="auto"/>
                <w:kern w:val="0"/>
                <w:sz w:val="18"/>
                <w:szCs w:val="18"/>
                <w:highlight w:val="none"/>
                <w:lang w:val="en-US" w:eastAsia="zh-CN"/>
              </w:rPr>
              <w:t>65</w:t>
            </w:r>
          </w:p>
        </w:tc>
        <w:tc>
          <w:tcPr>
            <w:tcW w:w="1273" w:type="dxa"/>
            <w:vAlign w:val="center"/>
          </w:tcPr>
          <w:p w14:paraId="2263711D">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0.</w:t>
            </w:r>
            <w:r>
              <w:rPr>
                <w:rFonts w:hint="default" w:ascii="Times New Roman" w:hAnsi="Times New Roman" w:cs="Times New Roman"/>
                <w:color w:val="auto"/>
                <w:kern w:val="0"/>
                <w:sz w:val="18"/>
                <w:szCs w:val="18"/>
                <w:highlight w:val="none"/>
                <w:lang w:val="en-US" w:eastAsia="zh-CN"/>
              </w:rPr>
              <w:t>499</w:t>
            </w:r>
          </w:p>
        </w:tc>
        <w:tc>
          <w:tcPr>
            <w:tcW w:w="5281" w:type="dxa"/>
            <w:vMerge w:val="restart"/>
            <w:vAlign w:val="center"/>
          </w:tcPr>
          <w:p w14:paraId="589B975C">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lang w:val="en-US" w:eastAsia="zh-CN"/>
              </w:rPr>
              <w:t>堆粪棚</w:t>
            </w:r>
            <w:r>
              <w:rPr>
                <w:rFonts w:hint="default" w:ascii="Times New Roman" w:hAnsi="Times New Roman" w:cs="Times New Roman"/>
                <w:color w:val="auto"/>
                <w:sz w:val="18"/>
                <w:szCs w:val="18"/>
                <w:highlight w:val="none"/>
              </w:rPr>
              <w:t>采用半封闭式，三面墙体，并设顶棚，</w:t>
            </w:r>
            <w:r>
              <w:rPr>
                <w:rFonts w:hint="default" w:ascii="Times New Roman" w:hAnsi="Times New Roman" w:cs="Times New Roman"/>
                <w:color w:val="auto"/>
                <w:kern w:val="0"/>
                <w:sz w:val="18"/>
                <w:szCs w:val="18"/>
                <w:highlight w:val="none"/>
              </w:rPr>
              <w:t>并定期喷洒微生物除臭剂，车间进出口处加强除臭剂喷洒，</w:t>
            </w:r>
            <w:r>
              <w:rPr>
                <w:rFonts w:hint="default" w:ascii="Times New Roman" w:hAnsi="Times New Roman" w:cs="Times New Roman"/>
                <w:color w:val="auto"/>
                <w:sz w:val="18"/>
                <w:szCs w:val="18"/>
                <w:highlight w:val="none"/>
                <w:lang w:val="en-US" w:eastAsia="zh-CN"/>
              </w:rPr>
              <w:t>堆粪棚</w:t>
            </w:r>
            <w:r>
              <w:rPr>
                <w:rFonts w:hint="default" w:ascii="Times New Roman" w:hAnsi="Times New Roman" w:cs="Times New Roman"/>
                <w:color w:val="auto"/>
                <w:sz w:val="18"/>
                <w:szCs w:val="18"/>
                <w:highlight w:val="none"/>
              </w:rPr>
              <w:t>外种植绿化树</w:t>
            </w:r>
          </w:p>
        </w:tc>
        <w:tc>
          <w:tcPr>
            <w:tcW w:w="1547" w:type="dxa"/>
            <w:vAlign w:val="center"/>
          </w:tcPr>
          <w:p w14:paraId="387338E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97.04</w:t>
            </w:r>
          </w:p>
        </w:tc>
        <w:tc>
          <w:tcPr>
            <w:tcW w:w="1483" w:type="dxa"/>
            <w:vAlign w:val="center"/>
          </w:tcPr>
          <w:p w14:paraId="442BDE8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357" w:type="dxa"/>
            <w:vAlign w:val="center"/>
          </w:tcPr>
          <w:p w14:paraId="3DAD01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19</w:t>
            </w:r>
          </w:p>
        </w:tc>
        <w:tc>
          <w:tcPr>
            <w:tcW w:w="1214" w:type="dxa"/>
            <w:vAlign w:val="center"/>
          </w:tcPr>
          <w:p w14:paraId="4C48F1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147</w:t>
            </w:r>
          </w:p>
        </w:tc>
        <w:tc>
          <w:tcPr>
            <w:tcW w:w="881" w:type="dxa"/>
            <w:vMerge w:val="restart"/>
            <w:vAlign w:val="center"/>
          </w:tcPr>
          <w:p w14:paraId="51BBC63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7680</w:t>
            </w:r>
          </w:p>
        </w:tc>
      </w:tr>
      <w:tr w14:paraId="49BB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Merge w:val="continue"/>
            <w:vAlign w:val="center"/>
          </w:tcPr>
          <w:p w14:paraId="670499CB">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298" w:type="dxa"/>
            <w:vMerge w:val="continue"/>
            <w:vAlign w:val="center"/>
          </w:tcPr>
          <w:p w14:paraId="4446CE04">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243" w:type="dxa"/>
            <w:vMerge w:val="continue"/>
            <w:vAlign w:val="center"/>
          </w:tcPr>
          <w:p w14:paraId="085A61C3">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062" w:type="dxa"/>
            <w:vAlign w:val="center"/>
          </w:tcPr>
          <w:p w14:paraId="584FCC76">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H</w:t>
            </w:r>
            <w:r>
              <w:rPr>
                <w:rFonts w:hint="default" w:ascii="Times New Roman" w:hAnsi="Times New Roman" w:cs="Times New Roman"/>
                <w:color w:val="auto"/>
                <w:kern w:val="0"/>
                <w:sz w:val="18"/>
                <w:szCs w:val="18"/>
                <w:highlight w:val="none"/>
                <w:vertAlign w:val="subscript"/>
              </w:rPr>
              <w:t>2</w:t>
            </w:r>
            <w:r>
              <w:rPr>
                <w:rFonts w:hint="default" w:ascii="Times New Roman" w:hAnsi="Times New Roman" w:cs="Times New Roman"/>
                <w:color w:val="auto"/>
                <w:kern w:val="0"/>
                <w:sz w:val="18"/>
                <w:szCs w:val="18"/>
                <w:highlight w:val="none"/>
              </w:rPr>
              <w:t>S</w:t>
            </w:r>
          </w:p>
        </w:tc>
        <w:tc>
          <w:tcPr>
            <w:tcW w:w="982" w:type="dxa"/>
            <w:vMerge w:val="continue"/>
            <w:vAlign w:val="center"/>
          </w:tcPr>
          <w:p w14:paraId="26FBF44C">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264" w:type="dxa"/>
            <w:vAlign w:val="center"/>
          </w:tcPr>
          <w:p w14:paraId="2530D7C2">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235" w:type="dxa"/>
            <w:vAlign w:val="center"/>
          </w:tcPr>
          <w:p w14:paraId="0BC77F0F">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0.0</w:t>
            </w:r>
            <w:r>
              <w:rPr>
                <w:rFonts w:hint="default" w:ascii="Times New Roman" w:hAnsi="Times New Roman" w:cs="Times New Roman"/>
                <w:color w:val="auto"/>
                <w:kern w:val="0"/>
                <w:sz w:val="18"/>
                <w:szCs w:val="18"/>
                <w:highlight w:val="none"/>
                <w:lang w:val="en-US" w:eastAsia="zh-CN"/>
              </w:rPr>
              <w:t>175</w:t>
            </w:r>
          </w:p>
        </w:tc>
        <w:tc>
          <w:tcPr>
            <w:tcW w:w="1273" w:type="dxa"/>
            <w:vAlign w:val="center"/>
          </w:tcPr>
          <w:p w14:paraId="522DEF2B">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0.</w:t>
            </w:r>
            <w:r>
              <w:rPr>
                <w:rFonts w:hint="default" w:ascii="Times New Roman" w:hAnsi="Times New Roman" w:cs="Times New Roman"/>
                <w:color w:val="auto"/>
                <w:kern w:val="0"/>
                <w:sz w:val="18"/>
                <w:szCs w:val="18"/>
                <w:highlight w:val="none"/>
                <w:lang w:val="en-US" w:eastAsia="zh-CN"/>
              </w:rPr>
              <w:t>134</w:t>
            </w:r>
          </w:p>
        </w:tc>
        <w:tc>
          <w:tcPr>
            <w:tcW w:w="5281" w:type="dxa"/>
            <w:vMerge w:val="continue"/>
            <w:vAlign w:val="center"/>
          </w:tcPr>
          <w:p w14:paraId="388EB666">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547" w:type="dxa"/>
            <w:vAlign w:val="center"/>
          </w:tcPr>
          <w:p w14:paraId="0AC01CF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95.6</w:t>
            </w:r>
          </w:p>
        </w:tc>
        <w:tc>
          <w:tcPr>
            <w:tcW w:w="1483" w:type="dxa"/>
            <w:vAlign w:val="center"/>
          </w:tcPr>
          <w:p w14:paraId="05CF10C0">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357" w:type="dxa"/>
            <w:vAlign w:val="center"/>
          </w:tcPr>
          <w:p w14:paraId="0C5E34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077</w:t>
            </w:r>
          </w:p>
        </w:tc>
        <w:tc>
          <w:tcPr>
            <w:tcW w:w="1214" w:type="dxa"/>
            <w:vAlign w:val="center"/>
          </w:tcPr>
          <w:p w14:paraId="4A08CB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059</w:t>
            </w:r>
          </w:p>
        </w:tc>
        <w:tc>
          <w:tcPr>
            <w:tcW w:w="881" w:type="dxa"/>
            <w:vMerge w:val="continue"/>
            <w:vAlign w:val="center"/>
          </w:tcPr>
          <w:p w14:paraId="706A5BD6">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r>
      <w:tr w14:paraId="5A22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Merge w:val="restart"/>
            <w:vAlign w:val="center"/>
          </w:tcPr>
          <w:p w14:paraId="3FFF6870">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车辆烘干</w:t>
            </w:r>
          </w:p>
        </w:tc>
        <w:tc>
          <w:tcPr>
            <w:tcW w:w="1298" w:type="dxa"/>
            <w:vMerge w:val="restart"/>
            <w:vAlign w:val="center"/>
          </w:tcPr>
          <w:p w14:paraId="23B5AAE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天然气燃烧器</w:t>
            </w:r>
          </w:p>
        </w:tc>
        <w:tc>
          <w:tcPr>
            <w:tcW w:w="1243" w:type="dxa"/>
            <w:vMerge w:val="restart"/>
            <w:vAlign w:val="center"/>
          </w:tcPr>
          <w:p w14:paraId="7B30A5F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无组织排放</w:t>
            </w:r>
          </w:p>
        </w:tc>
        <w:tc>
          <w:tcPr>
            <w:tcW w:w="1062" w:type="dxa"/>
            <w:vAlign w:val="center"/>
          </w:tcPr>
          <w:p w14:paraId="712FFC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val="0"/>
                <w:bCs w:val="0"/>
                <w:color w:val="auto"/>
                <w:sz w:val="18"/>
                <w:szCs w:val="18"/>
                <w:vertAlign w:val="baseline"/>
                <w:lang w:val="en-US" w:eastAsia="zh-CN"/>
              </w:rPr>
              <w:t>颗粒物</w:t>
            </w:r>
          </w:p>
        </w:tc>
        <w:tc>
          <w:tcPr>
            <w:tcW w:w="982" w:type="dxa"/>
            <w:vMerge w:val="restart"/>
            <w:vAlign w:val="center"/>
          </w:tcPr>
          <w:p w14:paraId="723633E9">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产污系数法</w:t>
            </w:r>
          </w:p>
        </w:tc>
        <w:tc>
          <w:tcPr>
            <w:tcW w:w="1264" w:type="dxa"/>
            <w:vAlign w:val="center"/>
          </w:tcPr>
          <w:p w14:paraId="06E5A04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w:t>
            </w:r>
          </w:p>
        </w:tc>
        <w:tc>
          <w:tcPr>
            <w:tcW w:w="1235" w:type="dxa"/>
            <w:vAlign w:val="center"/>
          </w:tcPr>
          <w:p w14:paraId="2DB5CE3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0.00011</w:t>
            </w:r>
          </w:p>
        </w:tc>
        <w:tc>
          <w:tcPr>
            <w:tcW w:w="1273" w:type="dxa"/>
            <w:vAlign w:val="center"/>
          </w:tcPr>
          <w:p w14:paraId="323F5F00">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0.107</w:t>
            </w:r>
          </w:p>
        </w:tc>
        <w:tc>
          <w:tcPr>
            <w:tcW w:w="5281" w:type="dxa"/>
            <w:vMerge w:val="restart"/>
            <w:vAlign w:val="center"/>
          </w:tcPr>
          <w:p w14:paraId="7CBCDFDE">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eastAsia="宋体" w:cs="Times New Roman"/>
                <w:b w:val="0"/>
                <w:bCs w:val="0"/>
                <w:color w:val="auto"/>
                <w:sz w:val="18"/>
                <w:szCs w:val="18"/>
                <w:vertAlign w:val="baseline"/>
                <w:lang w:val="en-US" w:eastAsia="zh-CN"/>
              </w:rPr>
              <w:t>低氮燃烧</w:t>
            </w:r>
          </w:p>
        </w:tc>
        <w:tc>
          <w:tcPr>
            <w:tcW w:w="1547" w:type="dxa"/>
            <w:vAlign w:val="center"/>
          </w:tcPr>
          <w:p w14:paraId="0C68AE9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483" w:type="dxa"/>
            <w:vAlign w:val="center"/>
          </w:tcPr>
          <w:p w14:paraId="35230CD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357" w:type="dxa"/>
            <w:vAlign w:val="center"/>
          </w:tcPr>
          <w:p w14:paraId="2EA39AB3">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0.00011</w:t>
            </w:r>
          </w:p>
        </w:tc>
        <w:tc>
          <w:tcPr>
            <w:tcW w:w="1214" w:type="dxa"/>
            <w:vAlign w:val="center"/>
          </w:tcPr>
          <w:p w14:paraId="4DCAB0E3">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lang w:val="en-US" w:eastAsia="zh-CN"/>
              </w:rPr>
              <w:t>0.107</w:t>
            </w:r>
          </w:p>
        </w:tc>
        <w:tc>
          <w:tcPr>
            <w:tcW w:w="881" w:type="dxa"/>
            <w:vMerge w:val="restart"/>
            <w:vAlign w:val="center"/>
          </w:tcPr>
          <w:p w14:paraId="34AF022F">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960</w:t>
            </w:r>
          </w:p>
        </w:tc>
      </w:tr>
      <w:tr w14:paraId="11F5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Merge w:val="continue"/>
            <w:vAlign w:val="center"/>
          </w:tcPr>
          <w:p w14:paraId="43B147C9">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p>
        </w:tc>
        <w:tc>
          <w:tcPr>
            <w:tcW w:w="1298" w:type="dxa"/>
            <w:vMerge w:val="continue"/>
            <w:vAlign w:val="center"/>
          </w:tcPr>
          <w:p w14:paraId="20ADAF4B">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p>
        </w:tc>
        <w:tc>
          <w:tcPr>
            <w:tcW w:w="1243" w:type="dxa"/>
            <w:vMerge w:val="continue"/>
            <w:vAlign w:val="center"/>
          </w:tcPr>
          <w:p w14:paraId="1CC85A83">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p>
        </w:tc>
        <w:tc>
          <w:tcPr>
            <w:tcW w:w="1062" w:type="dxa"/>
            <w:vAlign w:val="center"/>
          </w:tcPr>
          <w:p w14:paraId="728159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val="0"/>
                <w:bCs w:val="0"/>
                <w:color w:val="auto"/>
                <w:sz w:val="18"/>
                <w:szCs w:val="18"/>
                <w:vertAlign w:val="baseline"/>
                <w:lang w:val="en-US" w:eastAsia="zh-CN"/>
              </w:rPr>
              <w:t>二氧化硫</w:t>
            </w:r>
          </w:p>
        </w:tc>
        <w:tc>
          <w:tcPr>
            <w:tcW w:w="982" w:type="dxa"/>
            <w:vMerge w:val="continue"/>
            <w:vAlign w:val="center"/>
          </w:tcPr>
          <w:p w14:paraId="5A26D94C">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264" w:type="dxa"/>
            <w:vAlign w:val="center"/>
          </w:tcPr>
          <w:p w14:paraId="366A088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235" w:type="dxa"/>
            <w:vAlign w:val="center"/>
          </w:tcPr>
          <w:p w14:paraId="6694C680">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00318</w:t>
            </w:r>
          </w:p>
        </w:tc>
        <w:tc>
          <w:tcPr>
            <w:tcW w:w="1273" w:type="dxa"/>
            <w:vAlign w:val="center"/>
          </w:tcPr>
          <w:p w14:paraId="322EFAE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lang w:val="en-US" w:eastAsia="zh-CN"/>
              </w:rPr>
              <w:t>0.0306</w:t>
            </w:r>
          </w:p>
        </w:tc>
        <w:tc>
          <w:tcPr>
            <w:tcW w:w="5281" w:type="dxa"/>
            <w:vMerge w:val="continue"/>
            <w:vAlign w:val="center"/>
          </w:tcPr>
          <w:p w14:paraId="5B271B70">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547" w:type="dxa"/>
            <w:vAlign w:val="center"/>
          </w:tcPr>
          <w:p w14:paraId="7FC3FA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483" w:type="dxa"/>
            <w:vAlign w:val="center"/>
          </w:tcPr>
          <w:p w14:paraId="34A8BBF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357" w:type="dxa"/>
            <w:vAlign w:val="center"/>
          </w:tcPr>
          <w:p w14:paraId="2823AD5E">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00318</w:t>
            </w:r>
          </w:p>
        </w:tc>
        <w:tc>
          <w:tcPr>
            <w:tcW w:w="1214" w:type="dxa"/>
            <w:vAlign w:val="center"/>
          </w:tcPr>
          <w:p w14:paraId="09D7E06F">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lang w:val="en-US" w:eastAsia="zh-CN"/>
              </w:rPr>
              <w:t>0.0306</w:t>
            </w:r>
          </w:p>
        </w:tc>
        <w:tc>
          <w:tcPr>
            <w:tcW w:w="881" w:type="dxa"/>
            <w:vMerge w:val="continue"/>
            <w:vAlign w:val="center"/>
          </w:tcPr>
          <w:p w14:paraId="69169BB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r>
      <w:tr w14:paraId="6824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Merge w:val="continue"/>
            <w:vAlign w:val="center"/>
          </w:tcPr>
          <w:p w14:paraId="75778E46">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298" w:type="dxa"/>
            <w:vMerge w:val="continue"/>
            <w:vAlign w:val="center"/>
          </w:tcPr>
          <w:p w14:paraId="61B04754">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243" w:type="dxa"/>
            <w:vMerge w:val="continue"/>
            <w:vAlign w:val="center"/>
          </w:tcPr>
          <w:p w14:paraId="073DD53F">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062" w:type="dxa"/>
            <w:vAlign w:val="center"/>
          </w:tcPr>
          <w:p w14:paraId="65D0EC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val="0"/>
                <w:bCs w:val="0"/>
                <w:color w:val="auto"/>
                <w:sz w:val="18"/>
                <w:szCs w:val="18"/>
                <w:vertAlign w:val="baseline"/>
                <w:lang w:val="en-US" w:eastAsia="zh-CN"/>
              </w:rPr>
              <w:t>氮氧化物</w:t>
            </w:r>
          </w:p>
        </w:tc>
        <w:tc>
          <w:tcPr>
            <w:tcW w:w="982" w:type="dxa"/>
            <w:vMerge w:val="continue"/>
            <w:vAlign w:val="center"/>
          </w:tcPr>
          <w:p w14:paraId="49AC9A26">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264" w:type="dxa"/>
            <w:vAlign w:val="center"/>
          </w:tcPr>
          <w:p w14:paraId="044732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235" w:type="dxa"/>
            <w:vAlign w:val="center"/>
          </w:tcPr>
          <w:p w14:paraId="610259F2">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lang w:val="en-US" w:eastAsia="zh-CN"/>
              </w:rPr>
              <w:t>0.00024</w:t>
            </w:r>
          </w:p>
        </w:tc>
        <w:tc>
          <w:tcPr>
            <w:tcW w:w="1273" w:type="dxa"/>
            <w:vAlign w:val="center"/>
          </w:tcPr>
          <w:p w14:paraId="5F614946">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vertAlign w:val="baseline"/>
                <w:lang w:val="en-US" w:eastAsia="zh-CN"/>
              </w:rPr>
              <w:t>0.234</w:t>
            </w:r>
          </w:p>
        </w:tc>
        <w:tc>
          <w:tcPr>
            <w:tcW w:w="5281" w:type="dxa"/>
            <w:vMerge w:val="continue"/>
            <w:vAlign w:val="center"/>
          </w:tcPr>
          <w:p w14:paraId="4AE89FA0">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547" w:type="dxa"/>
            <w:vAlign w:val="center"/>
          </w:tcPr>
          <w:p w14:paraId="378B0B1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483" w:type="dxa"/>
            <w:vAlign w:val="center"/>
          </w:tcPr>
          <w:p w14:paraId="3383239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1357" w:type="dxa"/>
            <w:vAlign w:val="center"/>
          </w:tcPr>
          <w:p w14:paraId="0A1192F0">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lang w:val="en-US" w:eastAsia="zh-CN"/>
              </w:rPr>
              <w:t>0.00024</w:t>
            </w:r>
          </w:p>
        </w:tc>
        <w:tc>
          <w:tcPr>
            <w:tcW w:w="1214" w:type="dxa"/>
            <w:vAlign w:val="center"/>
          </w:tcPr>
          <w:p w14:paraId="69A9CA92">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vertAlign w:val="baseline"/>
                <w:lang w:val="en-US" w:eastAsia="zh-CN"/>
              </w:rPr>
              <w:t>0.234</w:t>
            </w:r>
          </w:p>
        </w:tc>
        <w:tc>
          <w:tcPr>
            <w:tcW w:w="881" w:type="dxa"/>
            <w:vMerge w:val="continue"/>
            <w:vAlign w:val="center"/>
          </w:tcPr>
          <w:p w14:paraId="5A53F4FD">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r>
      <w:tr w14:paraId="364C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Align w:val="center"/>
          </w:tcPr>
          <w:p w14:paraId="4F0F42D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食堂</w:t>
            </w:r>
          </w:p>
        </w:tc>
        <w:tc>
          <w:tcPr>
            <w:tcW w:w="1298" w:type="dxa"/>
            <w:vAlign w:val="center"/>
          </w:tcPr>
          <w:p w14:paraId="73A4094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灶头</w:t>
            </w:r>
          </w:p>
        </w:tc>
        <w:tc>
          <w:tcPr>
            <w:tcW w:w="1243" w:type="dxa"/>
            <w:vAlign w:val="center"/>
          </w:tcPr>
          <w:p w14:paraId="1730417F">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烟囱</w:t>
            </w:r>
          </w:p>
        </w:tc>
        <w:tc>
          <w:tcPr>
            <w:tcW w:w="1062" w:type="dxa"/>
            <w:vAlign w:val="center"/>
          </w:tcPr>
          <w:p w14:paraId="20E8C09C">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油烟</w:t>
            </w:r>
          </w:p>
        </w:tc>
        <w:tc>
          <w:tcPr>
            <w:tcW w:w="982" w:type="dxa"/>
            <w:vAlign w:val="center"/>
          </w:tcPr>
          <w:p w14:paraId="409BAC4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产污系数法</w:t>
            </w:r>
          </w:p>
        </w:tc>
        <w:tc>
          <w:tcPr>
            <w:tcW w:w="1264" w:type="dxa"/>
            <w:vAlign w:val="center"/>
          </w:tcPr>
          <w:p w14:paraId="4E8DFDBE">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0.845</w:t>
            </w:r>
          </w:p>
        </w:tc>
        <w:tc>
          <w:tcPr>
            <w:tcW w:w="1235" w:type="dxa"/>
            <w:vAlign w:val="center"/>
          </w:tcPr>
          <w:p w14:paraId="6EE850D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lang w:val="en-US" w:eastAsia="zh-CN"/>
              </w:rPr>
              <w:t>0.00169</w:t>
            </w:r>
          </w:p>
        </w:tc>
        <w:tc>
          <w:tcPr>
            <w:tcW w:w="1273" w:type="dxa"/>
            <w:vAlign w:val="center"/>
          </w:tcPr>
          <w:p w14:paraId="384DE0DA">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37</w:t>
            </w:r>
          </w:p>
        </w:tc>
        <w:tc>
          <w:tcPr>
            <w:tcW w:w="5281" w:type="dxa"/>
            <w:vAlign w:val="center"/>
          </w:tcPr>
          <w:p w14:paraId="517F068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经抽油烟机处理后，经高于食堂楼顶1.5m烟囱外排</w:t>
            </w:r>
          </w:p>
        </w:tc>
        <w:tc>
          <w:tcPr>
            <w:tcW w:w="1547" w:type="dxa"/>
            <w:vAlign w:val="center"/>
          </w:tcPr>
          <w:p w14:paraId="3A9073A1">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30</w:t>
            </w:r>
          </w:p>
        </w:tc>
        <w:tc>
          <w:tcPr>
            <w:tcW w:w="1483" w:type="dxa"/>
            <w:vAlign w:val="center"/>
          </w:tcPr>
          <w:p w14:paraId="58CFE112">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0.</w:t>
            </w:r>
            <w:r>
              <w:rPr>
                <w:rFonts w:hint="default" w:ascii="Times New Roman" w:hAnsi="Times New Roman" w:cs="Times New Roman"/>
                <w:color w:val="auto"/>
                <w:kern w:val="0"/>
                <w:sz w:val="18"/>
                <w:szCs w:val="18"/>
                <w:highlight w:val="none"/>
                <w:lang w:val="en-US" w:eastAsia="zh-CN"/>
              </w:rPr>
              <w:t>59</w:t>
            </w:r>
          </w:p>
        </w:tc>
        <w:tc>
          <w:tcPr>
            <w:tcW w:w="1357" w:type="dxa"/>
            <w:vAlign w:val="center"/>
          </w:tcPr>
          <w:p w14:paraId="119F64F4">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rPr>
              <w:t>0.001</w:t>
            </w:r>
            <w:r>
              <w:rPr>
                <w:rFonts w:hint="default" w:ascii="Times New Roman" w:hAnsi="Times New Roman" w:cs="Times New Roman"/>
                <w:color w:val="auto"/>
                <w:sz w:val="18"/>
                <w:szCs w:val="18"/>
                <w:highlight w:val="none"/>
                <w:lang w:val="en-US" w:eastAsia="zh-CN"/>
              </w:rPr>
              <w:t>18</w:t>
            </w:r>
          </w:p>
        </w:tc>
        <w:tc>
          <w:tcPr>
            <w:tcW w:w="1214" w:type="dxa"/>
            <w:vAlign w:val="center"/>
          </w:tcPr>
          <w:p w14:paraId="74AE1E1F">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0.00</w:t>
            </w:r>
            <w:r>
              <w:rPr>
                <w:rFonts w:hint="default" w:ascii="Times New Roman" w:hAnsi="Times New Roman" w:cs="Times New Roman"/>
                <w:color w:val="auto"/>
                <w:kern w:val="0"/>
                <w:sz w:val="18"/>
                <w:szCs w:val="18"/>
                <w:highlight w:val="none"/>
                <w:lang w:val="en-US" w:eastAsia="zh-CN"/>
              </w:rPr>
              <w:t>259</w:t>
            </w:r>
          </w:p>
        </w:tc>
        <w:tc>
          <w:tcPr>
            <w:tcW w:w="881" w:type="dxa"/>
            <w:vAlign w:val="center"/>
          </w:tcPr>
          <w:p w14:paraId="1C94350B">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2190</w:t>
            </w:r>
          </w:p>
        </w:tc>
      </w:tr>
    </w:tbl>
    <w:p w14:paraId="68C13C0C">
      <w:pPr>
        <w:adjustRightInd w:val="0"/>
        <w:snapToGrid w:val="0"/>
        <w:spacing w:line="360" w:lineRule="auto"/>
        <w:jc w:val="center"/>
        <w:rPr>
          <w:rFonts w:hint="default" w:ascii="Times New Roman" w:hAnsi="Times New Roman" w:cs="Times New Roman"/>
          <w:color w:val="auto"/>
          <w:sz w:val="24"/>
          <w:highlight w:val="none"/>
        </w:rPr>
        <w:sectPr>
          <w:pgSz w:w="23814" w:h="16840" w:orient="landscape"/>
          <w:pgMar w:top="1531" w:right="1531" w:bottom="1797"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8308199">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3.3.2.2废水</w:t>
      </w:r>
    </w:p>
    <w:p w14:paraId="05B5FB2C">
      <w:pPr>
        <w:snapToGrid w:val="0"/>
        <w:spacing w:line="360" w:lineRule="auto"/>
        <w:outlineLvl w:val="4"/>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3.3.2.</w:t>
      </w:r>
      <w:r>
        <w:rPr>
          <w:rFonts w:hint="default"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rPr>
        <w:t>.1用水情况</w:t>
      </w:r>
    </w:p>
    <w:p w14:paraId="2F387DCE">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项目运营期用水包括猪只饮水、猪舍冲洗用水、湿帘降温用水、消毒用水、生活用水、绿化用水。</w:t>
      </w:r>
    </w:p>
    <w:p w14:paraId="47D3A6D5">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（1）猪只饮水</w:t>
      </w:r>
    </w:p>
    <w:p w14:paraId="77EB7A00">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本项目为生猪育肥，属于规模化养殖，存栏量为</w:t>
      </w:r>
      <w:r>
        <w:rPr>
          <w:rFonts w:hint="default" w:ascii="Times New Roman" w:hAnsi="Times New Roman" w:cs="Times New Roman"/>
          <w:bCs/>
          <w:color w:val="auto"/>
          <w:sz w:val="24"/>
          <w:highlight w:val="none"/>
          <w:lang w:val="en-US" w:eastAsia="zh-CN"/>
        </w:rPr>
        <w:t>4</w:t>
      </w:r>
      <w:r>
        <w:rPr>
          <w:rFonts w:hint="default" w:ascii="Times New Roman" w:hAnsi="Times New Roman" w:cs="Times New Roman"/>
          <w:bCs/>
          <w:color w:val="auto"/>
          <w:sz w:val="24"/>
          <w:highlight w:val="none"/>
        </w:rPr>
        <w:t>000头/年，根据业主养殖经验，猪只平均饮水系数为7</w:t>
      </w:r>
      <w:r>
        <w:rPr>
          <w:rFonts w:hint="default" w:ascii="Times New Roman" w:hAnsi="Times New Roman" w:cs="Times New Roman"/>
          <w:bCs/>
          <w:color w:val="auto"/>
          <w:szCs w:val="21"/>
          <w:highlight w:val="none"/>
        </w:rPr>
        <w:t xml:space="preserve"> </w:t>
      </w:r>
      <w:r>
        <w:rPr>
          <w:rFonts w:hint="default" w:ascii="Times New Roman" w:hAnsi="Times New Roman" w:cs="Times New Roman"/>
          <w:bCs/>
          <w:color w:val="auto"/>
          <w:sz w:val="24"/>
          <w:highlight w:val="none"/>
        </w:rPr>
        <w:t>L/（头</w:t>
      </w:r>
      <w:r>
        <w:rPr>
          <w:rFonts w:hint="default" w:ascii="Times New Roman" w:hAnsi="Times New Roman" w:cs="Times New Roman"/>
          <w:bCs/>
          <w:color w:val="auto"/>
          <w:sz w:val="24"/>
          <w:highlight w:val="none"/>
        </w:rPr>
        <w:sym w:font="Wingdings 2" w:char="F095"/>
      </w:r>
      <w:r>
        <w:rPr>
          <w:rFonts w:hint="default" w:ascii="Times New Roman" w:hAnsi="Times New Roman" w:cs="Times New Roman"/>
          <w:bCs/>
          <w:color w:val="auto"/>
          <w:sz w:val="24"/>
          <w:highlight w:val="none"/>
        </w:rPr>
        <w:t>d），则项目猪只饮水量见表</w:t>
      </w:r>
      <w:r>
        <w:rPr>
          <w:rFonts w:hint="default" w:ascii="Times New Roman" w:hAnsi="Times New Roman" w:cs="Times New Roman"/>
          <w:bCs/>
          <w:color w:val="auto"/>
          <w:sz w:val="24"/>
          <w:highlight w:val="none"/>
          <w:lang w:val="en-US" w:eastAsia="zh-CN"/>
        </w:rPr>
        <w:t>3.3.2-5</w:t>
      </w:r>
      <w:r>
        <w:rPr>
          <w:rFonts w:hint="default" w:ascii="Times New Roman" w:hAnsi="Times New Roman" w:cs="Times New Roman"/>
          <w:bCs/>
          <w:color w:val="auto"/>
          <w:sz w:val="24"/>
          <w:highlight w:val="none"/>
        </w:rPr>
        <w:t>所示。</w:t>
      </w:r>
    </w:p>
    <w:p w14:paraId="1AFE9946">
      <w:pPr>
        <w:adjustRightInd w:val="0"/>
        <w:snapToGrid w:val="0"/>
        <w:ind w:firstLine="422" w:firstLineChars="20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3.3.2-5</w:t>
      </w:r>
      <w:r>
        <w:rPr>
          <w:rFonts w:hint="default" w:ascii="Times New Roman" w:hAnsi="Times New Roman" w:cs="Times New Roman"/>
          <w:b/>
          <w:color w:val="auto"/>
          <w:szCs w:val="21"/>
          <w:highlight w:val="none"/>
        </w:rPr>
        <w:t xml:space="preserve">     项目猪只饮水量表</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318"/>
        <w:gridCol w:w="1443"/>
        <w:gridCol w:w="1318"/>
        <w:gridCol w:w="1320"/>
        <w:gridCol w:w="1353"/>
        <w:gridCol w:w="1353"/>
      </w:tblGrid>
      <w:tr w14:paraId="2C1E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Align w:val="center"/>
          </w:tcPr>
          <w:p w14:paraId="79E59943">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1318" w:type="dxa"/>
            <w:vAlign w:val="center"/>
          </w:tcPr>
          <w:p w14:paraId="10A9D14A">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名称</w:t>
            </w:r>
          </w:p>
        </w:tc>
        <w:tc>
          <w:tcPr>
            <w:tcW w:w="1443" w:type="dxa"/>
            <w:vAlign w:val="center"/>
          </w:tcPr>
          <w:p w14:paraId="0A3F0E99">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存栏量</w:t>
            </w:r>
          </w:p>
          <w:p w14:paraId="42C4DDB3">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头/a</w:t>
            </w:r>
          </w:p>
        </w:tc>
        <w:tc>
          <w:tcPr>
            <w:tcW w:w="1318" w:type="dxa"/>
            <w:vAlign w:val="center"/>
          </w:tcPr>
          <w:p w14:paraId="60FD9A57">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饮水系数</w:t>
            </w:r>
          </w:p>
          <w:p w14:paraId="4FE4A3F9">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bCs/>
                <w:color w:val="auto"/>
                <w:szCs w:val="21"/>
                <w:highlight w:val="none"/>
              </w:rPr>
              <w:t>L/（头</w:t>
            </w:r>
            <w:r>
              <w:rPr>
                <w:rFonts w:hint="default" w:ascii="Times New Roman" w:hAnsi="Times New Roman" w:cs="Times New Roman"/>
                <w:b/>
                <w:bCs/>
                <w:color w:val="auto"/>
                <w:szCs w:val="21"/>
                <w:highlight w:val="none"/>
              </w:rPr>
              <w:sym w:font="Wingdings 2" w:char="F095"/>
            </w:r>
            <w:r>
              <w:rPr>
                <w:rFonts w:hint="default" w:ascii="Times New Roman" w:hAnsi="Times New Roman" w:cs="Times New Roman"/>
                <w:b/>
                <w:bCs/>
                <w:color w:val="auto"/>
                <w:szCs w:val="21"/>
                <w:highlight w:val="none"/>
              </w:rPr>
              <w:t>d）</w:t>
            </w:r>
          </w:p>
        </w:tc>
        <w:tc>
          <w:tcPr>
            <w:tcW w:w="1320" w:type="dxa"/>
            <w:vAlign w:val="center"/>
          </w:tcPr>
          <w:p w14:paraId="475951DB">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饮水量</w:t>
            </w:r>
          </w:p>
          <w:p w14:paraId="6F50595A">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/d</w:t>
            </w:r>
          </w:p>
        </w:tc>
        <w:tc>
          <w:tcPr>
            <w:tcW w:w="1353" w:type="dxa"/>
            <w:vAlign w:val="center"/>
          </w:tcPr>
          <w:p w14:paraId="3C2E5F74">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全年养殖天数d</w:t>
            </w:r>
          </w:p>
        </w:tc>
        <w:tc>
          <w:tcPr>
            <w:tcW w:w="1353" w:type="dxa"/>
            <w:vAlign w:val="center"/>
          </w:tcPr>
          <w:p w14:paraId="0F0C648D">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饮水量</w:t>
            </w:r>
          </w:p>
          <w:p w14:paraId="419C263C">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/a</w:t>
            </w:r>
          </w:p>
        </w:tc>
      </w:tr>
      <w:tr w14:paraId="571D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690" w:type="dxa"/>
            <w:vAlign w:val="center"/>
          </w:tcPr>
          <w:p w14:paraId="73E8DEE4">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318" w:type="dxa"/>
            <w:vAlign w:val="center"/>
          </w:tcPr>
          <w:p w14:paraId="27E3299D">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育肥猪</w:t>
            </w:r>
          </w:p>
        </w:tc>
        <w:tc>
          <w:tcPr>
            <w:tcW w:w="1443" w:type="dxa"/>
            <w:vAlign w:val="center"/>
          </w:tcPr>
          <w:p w14:paraId="408A0176">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000</w:t>
            </w:r>
          </w:p>
        </w:tc>
        <w:tc>
          <w:tcPr>
            <w:tcW w:w="1318" w:type="dxa"/>
            <w:vAlign w:val="center"/>
          </w:tcPr>
          <w:p w14:paraId="76F3C746">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1320" w:type="dxa"/>
            <w:vAlign w:val="center"/>
          </w:tcPr>
          <w:p w14:paraId="2BFDBC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28</w:t>
            </w:r>
          </w:p>
        </w:tc>
        <w:tc>
          <w:tcPr>
            <w:tcW w:w="1353" w:type="dxa"/>
            <w:vAlign w:val="center"/>
          </w:tcPr>
          <w:p w14:paraId="7E1E33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320</w:t>
            </w:r>
          </w:p>
        </w:tc>
        <w:tc>
          <w:tcPr>
            <w:tcW w:w="1353" w:type="dxa"/>
            <w:vAlign w:val="center"/>
          </w:tcPr>
          <w:p w14:paraId="0CD858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8960</w:t>
            </w:r>
          </w:p>
        </w:tc>
      </w:tr>
    </w:tbl>
    <w:p w14:paraId="73A2BD81">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（2）猪舍冲洗用水</w:t>
      </w:r>
    </w:p>
    <w:p w14:paraId="6B84EC54">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根据建设单位提供资料，育肥猪舍每出栏一批进行一次清洗，每年每个育肥猪舍出栏2个批次，即清洗2次；保育舍每转栏一批进行一次清洗，项目保育舍转栏</w:t>
      </w:r>
      <w:r>
        <w:rPr>
          <w:rFonts w:hint="default" w:ascii="Times New Roman" w:hAnsi="Times New Roman" w:cs="Times New Roman"/>
          <w:bCs/>
          <w:color w:val="auto"/>
          <w:sz w:val="24"/>
          <w:highlight w:val="none"/>
          <w:lang w:val="en-US" w:eastAsia="zh-CN"/>
        </w:rPr>
        <w:t>4</w:t>
      </w:r>
      <w:r>
        <w:rPr>
          <w:rFonts w:hint="default" w:ascii="Times New Roman" w:hAnsi="Times New Roman" w:cs="Times New Roman"/>
          <w:bCs/>
          <w:color w:val="auto"/>
          <w:sz w:val="24"/>
          <w:highlight w:val="none"/>
        </w:rPr>
        <w:t>次，即清洗</w:t>
      </w:r>
      <w:r>
        <w:rPr>
          <w:rFonts w:hint="default" w:ascii="Times New Roman" w:hAnsi="Times New Roman" w:cs="Times New Roman"/>
          <w:bCs/>
          <w:color w:val="auto"/>
          <w:sz w:val="24"/>
          <w:highlight w:val="none"/>
          <w:lang w:val="en-US" w:eastAsia="zh-CN"/>
        </w:rPr>
        <w:t>4</w:t>
      </w:r>
      <w:r>
        <w:rPr>
          <w:rFonts w:hint="default" w:ascii="Times New Roman" w:hAnsi="Times New Roman" w:cs="Times New Roman"/>
          <w:bCs/>
          <w:color w:val="auto"/>
          <w:sz w:val="24"/>
          <w:highlight w:val="none"/>
        </w:rPr>
        <w:t>次；项目育肥舍总建筑面积为</w:t>
      </w:r>
      <w:r>
        <w:rPr>
          <w:rFonts w:hint="default" w:ascii="Times New Roman" w:hAnsi="Times New Roman" w:cs="Times New Roman"/>
          <w:bCs/>
          <w:color w:val="auto"/>
          <w:sz w:val="24"/>
          <w:highlight w:val="none"/>
          <w:lang w:val="en-US" w:eastAsia="zh-CN"/>
        </w:rPr>
        <w:t>4696</w:t>
      </w:r>
      <w:r>
        <w:rPr>
          <w:rFonts w:hint="default" w:ascii="Times New Roman" w:hAnsi="Times New Roman" w:cs="Times New Roman"/>
          <w:bCs/>
          <w:color w:val="auto"/>
          <w:sz w:val="24"/>
          <w:highlight w:val="none"/>
          <w:lang w:bidi="zh-CN"/>
        </w:rPr>
        <w:t>m</w:t>
      </w:r>
      <w:r>
        <w:rPr>
          <w:rFonts w:hint="default" w:ascii="Times New Roman" w:hAnsi="Times New Roman" w:cs="Times New Roman"/>
          <w:bCs/>
          <w:color w:val="auto"/>
          <w:sz w:val="24"/>
          <w:highlight w:val="none"/>
          <w:vertAlign w:val="superscript"/>
          <w:lang w:val="en-US" w:bidi="zh-CN"/>
        </w:rPr>
        <w:t>2</w:t>
      </w:r>
      <w:r>
        <w:rPr>
          <w:rFonts w:hint="default" w:ascii="Times New Roman" w:hAnsi="Times New Roman" w:cs="Times New Roman"/>
          <w:bCs/>
          <w:color w:val="auto"/>
          <w:sz w:val="24"/>
          <w:highlight w:val="none"/>
          <w:lang w:bidi="zh-CN"/>
        </w:rPr>
        <w:t>、保育舍建筑面积</w:t>
      </w:r>
      <w:r>
        <w:rPr>
          <w:rFonts w:hint="default" w:ascii="Times New Roman" w:hAnsi="Times New Roman" w:cs="Times New Roman"/>
          <w:bCs/>
          <w:color w:val="auto"/>
          <w:sz w:val="24"/>
          <w:highlight w:val="none"/>
          <w:lang w:val="en-US" w:eastAsia="zh-CN"/>
        </w:rPr>
        <w:t>928</w:t>
      </w:r>
      <w:r>
        <w:rPr>
          <w:rFonts w:hint="default" w:ascii="Times New Roman" w:hAnsi="Times New Roman" w:cs="Times New Roman"/>
          <w:bCs/>
          <w:color w:val="auto"/>
          <w:sz w:val="24"/>
          <w:highlight w:val="none"/>
          <w:lang w:bidi="zh-CN"/>
        </w:rPr>
        <w:t>m</w:t>
      </w:r>
      <w:r>
        <w:rPr>
          <w:rFonts w:hint="default" w:ascii="Times New Roman" w:hAnsi="Times New Roman" w:cs="Times New Roman"/>
          <w:bCs/>
          <w:color w:val="auto"/>
          <w:sz w:val="24"/>
          <w:highlight w:val="none"/>
          <w:vertAlign w:val="superscript"/>
          <w:lang w:val="en-US" w:bidi="zh-CN"/>
        </w:rPr>
        <w:t>2</w:t>
      </w:r>
      <w:r>
        <w:rPr>
          <w:rFonts w:hint="default" w:ascii="Times New Roman" w:hAnsi="Times New Roman" w:cs="Times New Roman"/>
          <w:bCs/>
          <w:color w:val="auto"/>
          <w:sz w:val="24"/>
          <w:highlight w:val="none"/>
          <w:lang w:bidi="zh-CN"/>
        </w:rPr>
        <w:t>。根据建设单位提供资料及</w:t>
      </w:r>
      <w:r>
        <w:rPr>
          <w:rFonts w:hint="default" w:ascii="Times New Roman" w:hAnsi="Times New Roman" w:cs="Times New Roman"/>
          <w:bCs/>
          <w:color w:val="auto"/>
          <w:sz w:val="24"/>
          <w:highlight w:val="none"/>
        </w:rPr>
        <w:t>参考《云南省地方标准 用水定额》（DB53/T 168-2019），冲洗用水量按照2L/（m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sym w:font="Wingdings 2" w:char="F095"/>
      </w:r>
      <w:r>
        <w:rPr>
          <w:rFonts w:hint="default" w:ascii="Times New Roman" w:hAnsi="Times New Roman" w:cs="Times New Roman"/>
          <w:bCs/>
          <w:color w:val="auto"/>
          <w:sz w:val="24"/>
          <w:highlight w:val="none"/>
        </w:rPr>
        <w:t>次）计，则猪舍冲洗用水量为</w:t>
      </w:r>
      <w:r>
        <w:rPr>
          <w:rFonts w:hint="default" w:ascii="Times New Roman" w:hAnsi="Times New Roman" w:cs="Times New Roman"/>
          <w:bCs/>
          <w:color w:val="auto"/>
          <w:sz w:val="24"/>
          <w:highlight w:val="none"/>
          <w:lang w:bidi="zh-CN"/>
        </w:rPr>
        <w:t>17.85m</w:t>
      </w:r>
      <w:r>
        <w:rPr>
          <w:rFonts w:hint="default" w:ascii="Times New Roman" w:hAnsi="Times New Roman" w:cs="Times New Roman"/>
          <w:bCs/>
          <w:color w:val="auto"/>
          <w:sz w:val="24"/>
          <w:highlight w:val="none"/>
          <w:vertAlign w:val="superscript"/>
          <w:lang w:bidi="zh-CN"/>
        </w:rPr>
        <w:t>3</w:t>
      </w:r>
      <w:r>
        <w:rPr>
          <w:rFonts w:hint="default" w:ascii="Times New Roman" w:hAnsi="Times New Roman" w:cs="Times New Roman"/>
          <w:bCs/>
          <w:color w:val="auto"/>
          <w:sz w:val="24"/>
          <w:highlight w:val="none"/>
          <w:lang w:bidi="zh-CN"/>
        </w:rPr>
        <w:t>/次，50.17m</w:t>
      </w:r>
      <w:r>
        <w:rPr>
          <w:rFonts w:hint="default" w:ascii="Times New Roman" w:hAnsi="Times New Roman" w:cs="Times New Roman"/>
          <w:bCs/>
          <w:color w:val="auto"/>
          <w:sz w:val="24"/>
          <w:highlight w:val="none"/>
          <w:vertAlign w:val="superscript"/>
          <w:lang w:bidi="zh-CN"/>
        </w:rPr>
        <w:t>3</w:t>
      </w:r>
      <w:r>
        <w:rPr>
          <w:rFonts w:hint="default" w:ascii="Times New Roman" w:hAnsi="Times New Roman" w:cs="Times New Roman"/>
          <w:bCs/>
          <w:color w:val="auto"/>
          <w:sz w:val="24"/>
          <w:highlight w:val="none"/>
          <w:lang w:bidi="zh-CN"/>
        </w:rPr>
        <w:t>/a。</w:t>
      </w:r>
      <w:r>
        <w:rPr>
          <w:rFonts w:hint="default" w:ascii="Times New Roman" w:hAnsi="Times New Roman" w:cs="Times New Roman"/>
          <w:bCs/>
          <w:color w:val="auto"/>
          <w:sz w:val="24"/>
          <w:highlight w:val="none"/>
        </w:rPr>
        <w:t>见表</w:t>
      </w:r>
      <w:r>
        <w:rPr>
          <w:rFonts w:hint="default" w:ascii="Times New Roman" w:hAnsi="Times New Roman" w:cs="Times New Roman"/>
          <w:bCs/>
          <w:color w:val="auto"/>
          <w:sz w:val="24"/>
          <w:highlight w:val="none"/>
          <w:lang w:val="en-US" w:eastAsia="zh-CN"/>
        </w:rPr>
        <w:t>3.3.2-6</w:t>
      </w:r>
      <w:r>
        <w:rPr>
          <w:rFonts w:hint="default" w:ascii="Times New Roman" w:hAnsi="Times New Roman" w:cs="Times New Roman"/>
          <w:bCs/>
          <w:color w:val="auto"/>
          <w:sz w:val="24"/>
          <w:highlight w:val="none"/>
        </w:rPr>
        <w:t>所示。</w:t>
      </w:r>
    </w:p>
    <w:p w14:paraId="332B1781">
      <w:pPr>
        <w:adjustRightInd w:val="0"/>
        <w:snapToGrid w:val="0"/>
        <w:ind w:firstLine="422" w:firstLineChars="20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3.3.2-6</w:t>
      </w:r>
      <w:r>
        <w:rPr>
          <w:rFonts w:hint="default" w:ascii="Times New Roman" w:hAnsi="Times New Roman" w:cs="Times New Roman"/>
          <w:b/>
          <w:color w:val="auto"/>
          <w:szCs w:val="21"/>
          <w:highlight w:val="none"/>
        </w:rPr>
        <w:t xml:space="preserve">   </w:t>
      </w:r>
      <w:r>
        <w:rPr>
          <w:rFonts w:hint="default" w:ascii="Times New Roman" w:hAnsi="Times New Roman" w:cs="Times New Roman"/>
          <w:b/>
          <w:color w:val="auto"/>
          <w:szCs w:val="21"/>
          <w:highlight w:val="none"/>
          <w:lang w:eastAsia="zh-CN"/>
        </w:rPr>
        <w:t>猪舍冲洗用</w:t>
      </w:r>
      <w:r>
        <w:rPr>
          <w:rFonts w:hint="default" w:ascii="Times New Roman" w:hAnsi="Times New Roman" w:cs="Times New Roman"/>
          <w:b/>
          <w:color w:val="auto"/>
          <w:szCs w:val="21"/>
          <w:highlight w:val="none"/>
        </w:rPr>
        <w:t>水量表</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318"/>
        <w:gridCol w:w="1443"/>
        <w:gridCol w:w="1318"/>
        <w:gridCol w:w="1320"/>
        <w:gridCol w:w="1353"/>
        <w:gridCol w:w="1353"/>
      </w:tblGrid>
      <w:tr w14:paraId="37B9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Align w:val="center"/>
          </w:tcPr>
          <w:p w14:paraId="1D426FA3">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1318" w:type="dxa"/>
            <w:vAlign w:val="center"/>
          </w:tcPr>
          <w:p w14:paraId="0431254F">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名称</w:t>
            </w:r>
          </w:p>
        </w:tc>
        <w:tc>
          <w:tcPr>
            <w:tcW w:w="1443" w:type="dxa"/>
            <w:vAlign w:val="center"/>
          </w:tcPr>
          <w:p w14:paraId="06371DE2">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color w:val="auto"/>
                <w:szCs w:val="21"/>
                <w:highlight w:val="none"/>
                <w:lang w:eastAsia="zh-CN"/>
              </w:rPr>
              <w:t>建筑面积</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val="en-US" w:eastAsia="zh-CN"/>
              </w:rPr>
              <w:t>m</w:t>
            </w:r>
            <w:r>
              <w:rPr>
                <w:rFonts w:hint="default" w:ascii="Times New Roman" w:hAnsi="Times New Roman" w:cs="Times New Roman"/>
                <w:b/>
                <w:color w:val="auto"/>
                <w:szCs w:val="21"/>
                <w:highlight w:val="none"/>
                <w:vertAlign w:val="superscript"/>
                <w:lang w:val="en-US" w:eastAsia="zh-CN"/>
              </w:rPr>
              <w:t>2</w:t>
            </w:r>
          </w:p>
        </w:tc>
        <w:tc>
          <w:tcPr>
            <w:tcW w:w="1318" w:type="dxa"/>
            <w:vAlign w:val="center"/>
          </w:tcPr>
          <w:p w14:paraId="12584FA3">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冲洗频次</w:t>
            </w:r>
          </w:p>
          <w:p w14:paraId="36A25966">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次/a</w:t>
            </w:r>
          </w:p>
        </w:tc>
        <w:tc>
          <w:tcPr>
            <w:tcW w:w="1320" w:type="dxa"/>
            <w:vAlign w:val="center"/>
          </w:tcPr>
          <w:p w14:paraId="3EA3E384">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color w:val="auto"/>
                <w:szCs w:val="21"/>
                <w:highlight w:val="none"/>
                <w:lang w:val="en-US" w:eastAsia="zh-CN"/>
              </w:rPr>
              <w:t>用水系数</w:t>
            </w:r>
          </w:p>
          <w:p w14:paraId="0012FD17">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L/（m</w:t>
            </w:r>
            <w:r>
              <w:rPr>
                <w:rFonts w:hint="default" w:ascii="Times New Roman" w:hAnsi="Times New Roman" w:cs="Times New Roman"/>
                <w:b/>
                <w:color w:val="auto"/>
                <w:szCs w:val="21"/>
                <w:highlight w:val="none"/>
                <w:vertAlign w:val="superscript"/>
              </w:rPr>
              <w:t>2</w:t>
            </w:r>
            <w:r>
              <w:rPr>
                <w:rFonts w:hint="default" w:ascii="Times New Roman" w:hAnsi="Times New Roman" w:cs="Times New Roman"/>
                <w:b/>
                <w:color w:val="auto"/>
                <w:szCs w:val="21"/>
                <w:highlight w:val="none"/>
              </w:rPr>
              <w:t>次）</w:t>
            </w:r>
          </w:p>
        </w:tc>
        <w:tc>
          <w:tcPr>
            <w:tcW w:w="1353" w:type="dxa"/>
            <w:vAlign w:val="center"/>
          </w:tcPr>
          <w:p w14:paraId="6B4F9CA3">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lang w:eastAsia="zh-CN"/>
              </w:rPr>
            </w:pPr>
            <w:r>
              <w:rPr>
                <w:rFonts w:hint="default" w:ascii="Times New Roman" w:hAnsi="Times New Roman" w:cs="Times New Roman"/>
                <w:b/>
                <w:color w:val="auto"/>
                <w:szCs w:val="21"/>
                <w:highlight w:val="none"/>
                <w:lang w:eastAsia="zh-CN"/>
              </w:rPr>
              <w:t>用水量</w:t>
            </w:r>
          </w:p>
          <w:p w14:paraId="4285B5B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color w:val="auto"/>
                <w:szCs w:val="21"/>
                <w:highlight w:val="none"/>
              </w:rPr>
              <w:t>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eastAsia="zh-CN"/>
              </w:rPr>
              <w:t>次</w:t>
            </w:r>
          </w:p>
        </w:tc>
        <w:tc>
          <w:tcPr>
            <w:tcW w:w="1353" w:type="dxa"/>
            <w:vAlign w:val="center"/>
          </w:tcPr>
          <w:p w14:paraId="4A8C031A">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lang w:eastAsia="zh-CN"/>
              </w:rPr>
              <w:t>用水量</w:t>
            </w:r>
          </w:p>
          <w:p w14:paraId="05C0501D">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/a</w:t>
            </w:r>
          </w:p>
        </w:tc>
      </w:tr>
      <w:tr w14:paraId="4192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690" w:type="dxa"/>
            <w:vAlign w:val="center"/>
          </w:tcPr>
          <w:p w14:paraId="098F8DFB">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318" w:type="dxa"/>
            <w:vAlign w:val="center"/>
          </w:tcPr>
          <w:p w14:paraId="5B1CD1F6">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育肥</w:t>
            </w:r>
            <w:r>
              <w:rPr>
                <w:rFonts w:hint="default" w:ascii="Times New Roman" w:hAnsi="Times New Roman" w:cs="Times New Roman"/>
                <w:color w:val="auto"/>
                <w:szCs w:val="21"/>
                <w:highlight w:val="none"/>
                <w:lang w:eastAsia="zh-CN"/>
              </w:rPr>
              <w:t>舍</w:t>
            </w:r>
          </w:p>
        </w:tc>
        <w:tc>
          <w:tcPr>
            <w:tcW w:w="1443" w:type="dxa"/>
            <w:vAlign w:val="center"/>
          </w:tcPr>
          <w:p w14:paraId="4ED460A4">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4696</w:t>
            </w:r>
          </w:p>
        </w:tc>
        <w:tc>
          <w:tcPr>
            <w:tcW w:w="1318" w:type="dxa"/>
            <w:vAlign w:val="center"/>
          </w:tcPr>
          <w:p w14:paraId="04B69B1C">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1320" w:type="dxa"/>
            <w:vAlign w:val="center"/>
          </w:tcPr>
          <w:p w14:paraId="0EC716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1353" w:type="dxa"/>
            <w:vAlign w:val="center"/>
          </w:tcPr>
          <w:p w14:paraId="077517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9.392</w:t>
            </w:r>
          </w:p>
        </w:tc>
        <w:tc>
          <w:tcPr>
            <w:tcW w:w="1353" w:type="dxa"/>
            <w:vAlign w:val="center"/>
          </w:tcPr>
          <w:p w14:paraId="0CD700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18.784</w:t>
            </w:r>
          </w:p>
        </w:tc>
      </w:tr>
      <w:tr w14:paraId="34BC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690" w:type="dxa"/>
            <w:vAlign w:val="center"/>
          </w:tcPr>
          <w:p w14:paraId="28BBB94D">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1318" w:type="dxa"/>
            <w:vAlign w:val="center"/>
          </w:tcPr>
          <w:p w14:paraId="3C726ADD">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保育舍</w:t>
            </w:r>
          </w:p>
        </w:tc>
        <w:tc>
          <w:tcPr>
            <w:tcW w:w="1443" w:type="dxa"/>
            <w:vAlign w:val="center"/>
          </w:tcPr>
          <w:p w14:paraId="10061B4E">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928</w:t>
            </w:r>
          </w:p>
        </w:tc>
        <w:tc>
          <w:tcPr>
            <w:tcW w:w="1318" w:type="dxa"/>
            <w:vAlign w:val="center"/>
          </w:tcPr>
          <w:p w14:paraId="6DA85850">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1320" w:type="dxa"/>
            <w:vAlign w:val="center"/>
          </w:tcPr>
          <w:p w14:paraId="1729CA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1353" w:type="dxa"/>
            <w:vAlign w:val="center"/>
          </w:tcPr>
          <w:p w14:paraId="64E60F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1.856</w:t>
            </w:r>
          </w:p>
        </w:tc>
        <w:tc>
          <w:tcPr>
            <w:tcW w:w="1353" w:type="dxa"/>
            <w:vAlign w:val="center"/>
          </w:tcPr>
          <w:p w14:paraId="05AF05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7.424</w:t>
            </w:r>
          </w:p>
        </w:tc>
      </w:tr>
      <w:tr w14:paraId="18CD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690" w:type="dxa"/>
            <w:vAlign w:val="center"/>
          </w:tcPr>
          <w:p w14:paraId="26CFEF18">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合计</w:t>
            </w:r>
          </w:p>
        </w:tc>
        <w:tc>
          <w:tcPr>
            <w:tcW w:w="1318" w:type="dxa"/>
            <w:vAlign w:val="center"/>
          </w:tcPr>
          <w:p w14:paraId="136EDAA3">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1443" w:type="dxa"/>
            <w:vAlign w:val="center"/>
          </w:tcPr>
          <w:p w14:paraId="6AE232B9">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1318" w:type="dxa"/>
            <w:vAlign w:val="center"/>
          </w:tcPr>
          <w:p w14:paraId="7E541AD7">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1320" w:type="dxa"/>
            <w:vAlign w:val="center"/>
          </w:tcPr>
          <w:p w14:paraId="532F782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1353" w:type="dxa"/>
            <w:vAlign w:val="center"/>
          </w:tcPr>
          <w:p w14:paraId="066D8BD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11.248</w:t>
            </w:r>
          </w:p>
        </w:tc>
        <w:tc>
          <w:tcPr>
            <w:tcW w:w="1353" w:type="dxa"/>
            <w:shd w:val="clear" w:color="auto" w:fill="auto"/>
            <w:vAlign w:val="center"/>
          </w:tcPr>
          <w:p w14:paraId="1F58CC60">
            <w:pPr>
              <w:keepNext w:val="0"/>
              <w:keepLines w:val="0"/>
              <w:widowControl/>
              <w:suppressLineNumbers w:val="0"/>
              <w:jc w:val="right"/>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26.208</w:t>
            </w:r>
          </w:p>
        </w:tc>
      </w:tr>
    </w:tbl>
    <w:p w14:paraId="625674D1">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w:t>
      </w:r>
      <w:r>
        <w:rPr>
          <w:rFonts w:hint="default" w:ascii="Times New Roman" w:hAnsi="Times New Roman" w:cs="Times New Roman"/>
          <w:b/>
          <w:bCs/>
          <w:color w:val="auto"/>
          <w:sz w:val="24"/>
          <w:highlight w:val="none"/>
          <w:lang w:val="en-US" w:eastAsia="zh-CN"/>
        </w:rPr>
        <w:t>水</w:t>
      </w:r>
      <w:r>
        <w:rPr>
          <w:rFonts w:hint="default" w:ascii="Times New Roman" w:hAnsi="Times New Roman" w:cs="Times New Roman"/>
          <w:b/>
          <w:bCs/>
          <w:color w:val="auto"/>
          <w:sz w:val="24"/>
          <w:highlight w:val="none"/>
        </w:rPr>
        <w:t>帘降温用水</w:t>
      </w:r>
    </w:p>
    <w:p w14:paraId="199E8B1F">
      <w:pPr>
        <w:adjustRightInd w:val="0"/>
        <w:snapToGrid w:val="0"/>
        <w:spacing w:line="360" w:lineRule="auto"/>
        <w:ind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rPr>
        <w:t>夏季高温会导致猪舍内温度升高，影响生猪饲养，因此，设计在每栋猪舍一侧设置水帘降温增湿系统。水帘降温的原理是由波纹状的多层纤维纸通过水的蒸发，使舍外空气穿过这种波纹状的多层纤维纸空隙进入猪舍使空气冷却，降低猪舍内温度。项目猪舍温度在35℃以上时进行湿帘降温，每年的7~9月（按92天计）需要降温，水帘降温工作天数按92天计，平均每天使用10h计算，猪舍每个加湿棚内水帘降温配套设置1个容积为</w:t>
      </w:r>
      <w:r>
        <w:rPr>
          <w:rFonts w:hint="default" w:ascii="Times New Roman" w:hAnsi="Times New Roman" w:cs="Times New Roman"/>
          <w:bCs/>
          <w:color w:val="auto"/>
          <w:sz w:val="24"/>
          <w:highlight w:val="none"/>
          <w:lang w:val="en-US" w:eastAsia="zh-CN"/>
        </w:rPr>
        <w:t>1</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的循环水池，水帘降温用水循环使用，定期补充新鲜水，蒸发量为循环水量的5%。项目水帘降温系统在线用水量约为</w:t>
      </w:r>
      <w:r>
        <w:rPr>
          <w:rFonts w:hint="default" w:ascii="Times New Roman" w:hAnsi="Times New Roman" w:cs="Times New Roman"/>
          <w:bCs/>
          <w:color w:val="auto"/>
          <w:sz w:val="24"/>
          <w:highlight w:val="none"/>
          <w:lang w:val="en-US" w:eastAsia="zh-CN"/>
        </w:rPr>
        <w:t>10</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lang w:val="en-US" w:eastAsia="zh-CN"/>
        </w:rPr>
        <w:t>3</w:t>
      </w:r>
      <w:r>
        <w:rPr>
          <w:rFonts w:hint="default" w:ascii="Times New Roman" w:hAnsi="Times New Roman" w:cs="Times New Roman"/>
          <w:bCs/>
          <w:color w:val="auto"/>
          <w:sz w:val="24"/>
          <w:highlight w:val="none"/>
        </w:rPr>
        <w:t>/d，</w:t>
      </w:r>
      <w:r>
        <w:rPr>
          <w:rFonts w:hint="default" w:ascii="Times New Roman" w:hAnsi="Times New Roman" w:cs="Times New Roman"/>
          <w:bCs/>
          <w:color w:val="auto"/>
          <w:sz w:val="24"/>
          <w:highlight w:val="none"/>
          <w:lang w:val="en-US" w:eastAsia="zh-CN"/>
        </w:rPr>
        <w:t>损耗量为0.5m</w:t>
      </w:r>
      <w:r>
        <w:rPr>
          <w:rFonts w:hint="default" w:ascii="Times New Roman" w:hAnsi="Times New Roman" w:cs="Times New Roman"/>
          <w:bCs/>
          <w:color w:val="auto"/>
          <w:sz w:val="24"/>
          <w:highlight w:val="none"/>
          <w:vertAlign w:val="superscript"/>
          <w:lang w:val="en-US" w:eastAsia="zh-CN"/>
        </w:rPr>
        <w:t>3</w:t>
      </w:r>
      <w:r>
        <w:rPr>
          <w:rFonts w:hint="default" w:ascii="Times New Roman" w:hAnsi="Times New Roman" w:cs="Times New Roman"/>
          <w:bCs/>
          <w:color w:val="auto"/>
          <w:sz w:val="24"/>
          <w:highlight w:val="none"/>
          <w:lang w:val="en-US" w:eastAsia="zh-CN"/>
        </w:rPr>
        <w:t>/d，46m</w:t>
      </w:r>
      <w:r>
        <w:rPr>
          <w:rFonts w:hint="default" w:ascii="Times New Roman" w:hAnsi="Times New Roman" w:cs="Times New Roman"/>
          <w:bCs/>
          <w:color w:val="auto"/>
          <w:sz w:val="24"/>
          <w:highlight w:val="none"/>
          <w:vertAlign w:val="superscript"/>
          <w:lang w:val="en-US" w:eastAsia="zh-CN"/>
        </w:rPr>
        <w:t>3</w:t>
      </w:r>
      <w:r>
        <w:rPr>
          <w:rFonts w:hint="default" w:ascii="Times New Roman" w:hAnsi="Times New Roman" w:cs="Times New Roman"/>
          <w:bCs/>
          <w:color w:val="auto"/>
          <w:sz w:val="24"/>
          <w:highlight w:val="none"/>
          <w:lang w:val="en-US" w:eastAsia="zh-CN"/>
        </w:rPr>
        <w:t>/a。</w:t>
      </w:r>
      <w:r>
        <w:rPr>
          <w:rFonts w:hint="default" w:ascii="Times New Roman" w:hAnsi="Times New Roman" w:cs="Times New Roman"/>
          <w:bCs/>
          <w:color w:val="auto"/>
          <w:sz w:val="24"/>
          <w:highlight w:val="none"/>
        </w:rPr>
        <w:t>则项目水帘降温用水新鲜水补充量</w:t>
      </w:r>
      <w:r>
        <w:rPr>
          <w:rFonts w:hint="default" w:ascii="Times New Roman" w:hAnsi="Times New Roman" w:cs="Times New Roman"/>
          <w:bCs/>
          <w:color w:val="auto"/>
          <w:sz w:val="24"/>
          <w:highlight w:val="none"/>
          <w:lang w:val="en-US" w:eastAsia="zh-CN"/>
        </w:rPr>
        <w:t>0.5m</w:t>
      </w:r>
      <w:r>
        <w:rPr>
          <w:rFonts w:hint="default" w:ascii="Times New Roman" w:hAnsi="Times New Roman" w:cs="Times New Roman"/>
          <w:bCs/>
          <w:color w:val="auto"/>
          <w:sz w:val="24"/>
          <w:highlight w:val="none"/>
          <w:vertAlign w:val="superscript"/>
          <w:lang w:val="en-US" w:eastAsia="zh-CN"/>
        </w:rPr>
        <w:t>3</w:t>
      </w:r>
      <w:r>
        <w:rPr>
          <w:rFonts w:hint="default" w:ascii="Times New Roman" w:hAnsi="Times New Roman" w:cs="Times New Roman"/>
          <w:bCs/>
          <w:color w:val="auto"/>
          <w:sz w:val="24"/>
          <w:highlight w:val="none"/>
          <w:lang w:val="en-US" w:eastAsia="zh-CN"/>
        </w:rPr>
        <w:t>/d，46m</w:t>
      </w:r>
      <w:r>
        <w:rPr>
          <w:rFonts w:hint="default" w:ascii="Times New Roman" w:hAnsi="Times New Roman" w:cs="Times New Roman"/>
          <w:bCs/>
          <w:color w:val="auto"/>
          <w:sz w:val="24"/>
          <w:highlight w:val="none"/>
          <w:vertAlign w:val="superscript"/>
          <w:lang w:val="en-US" w:eastAsia="zh-CN"/>
        </w:rPr>
        <w:t>3</w:t>
      </w:r>
      <w:r>
        <w:rPr>
          <w:rFonts w:hint="default" w:ascii="Times New Roman" w:hAnsi="Times New Roman" w:cs="Times New Roman"/>
          <w:bCs/>
          <w:color w:val="auto"/>
          <w:sz w:val="24"/>
          <w:highlight w:val="none"/>
          <w:lang w:val="en-US" w:eastAsia="zh-CN"/>
        </w:rPr>
        <w:t>/a。本项目水帘降温使用期间，每天对损耗的水量进行补充，不向外排水，待整个水帘降温周期结束后，循环水池内的水通过污水管道排放至废水收集池，废水排放量为10m</w:t>
      </w:r>
      <w:r>
        <w:rPr>
          <w:rFonts w:hint="default" w:ascii="Times New Roman" w:hAnsi="Times New Roman" w:cs="Times New Roman"/>
          <w:bCs/>
          <w:color w:val="auto"/>
          <w:sz w:val="24"/>
          <w:highlight w:val="none"/>
          <w:vertAlign w:val="superscript"/>
          <w:lang w:val="en-US" w:eastAsia="zh-CN"/>
        </w:rPr>
        <w:t>3</w:t>
      </w:r>
      <w:r>
        <w:rPr>
          <w:rFonts w:hint="default" w:ascii="Times New Roman" w:hAnsi="Times New Roman" w:cs="Times New Roman"/>
          <w:bCs/>
          <w:color w:val="auto"/>
          <w:sz w:val="24"/>
          <w:highlight w:val="none"/>
          <w:lang w:val="en-US" w:eastAsia="zh-CN"/>
        </w:rPr>
        <w:t>/a。</w:t>
      </w:r>
    </w:p>
    <w:p w14:paraId="20DB4E44">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洗消</w:t>
      </w:r>
      <w:r>
        <w:rPr>
          <w:rFonts w:hint="default" w:ascii="Times New Roman" w:hAnsi="Times New Roman" w:eastAsia="宋体" w:cs="Times New Roman"/>
          <w:color w:val="auto"/>
          <w:sz w:val="24"/>
          <w:szCs w:val="24"/>
        </w:rPr>
        <w:t>用水</w:t>
      </w:r>
    </w:p>
    <w:p w14:paraId="08B5BAD2">
      <w:pPr>
        <w:adjustRightInd w:val="0"/>
        <w:snapToGrid w:val="0"/>
        <w:spacing w:line="360" w:lineRule="auto"/>
        <w:ind w:firstLine="472" w:firstLineChars="200"/>
        <w:rPr>
          <w:rFonts w:hint="default" w:ascii="Times New Roman" w:hAnsi="Times New Roman" w:eastAsia="宋体" w:cs="Times New Roman"/>
          <w:color w:val="auto"/>
          <w:spacing w:val="-2"/>
          <w:kern w:val="2"/>
          <w:sz w:val="24"/>
          <w:szCs w:val="24"/>
          <w:lang w:val="en-US" w:eastAsia="zh-CN" w:bidi="ar-SA"/>
        </w:rPr>
      </w:pPr>
      <w:r>
        <w:rPr>
          <w:rFonts w:hint="default" w:ascii="Times New Roman" w:hAnsi="Times New Roman" w:eastAsia="宋体" w:cs="Times New Roman"/>
          <w:color w:val="auto"/>
          <w:spacing w:val="-2"/>
          <w:kern w:val="2"/>
          <w:sz w:val="24"/>
          <w:szCs w:val="24"/>
          <w:lang w:val="en-US" w:eastAsia="zh-CN" w:bidi="ar-SA"/>
        </w:rPr>
        <w:t>建设单位在厂区入口处设置来往车辆洗消房和烘干房，进入养殖区车辆经</w:t>
      </w:r>
      <w:r>
        <w:rPr>
          <w:rFonts w:hint="default" w:ascii="Times New Roman" w:hAnsi="Times New Roman" w:cs="Times New Roman"/>
          <w:color w:val="auto"/>
          <w:spacing w:val="-2"/>
          <w:kern w:val="2"/>
          <w:sz w:val="24"/>
          <w:szCs w:val="24"/>
          <w:lang w:val="en-US" w:eastAsia="zh-CN" w:bidi="ar-SA"/>
        </w:rPr>
        <w:t>清洗+</w:t>
      </w:r>
      <w:r>
        <w:rPr>
          <w:rFonts w:hint="default" w:ascii="Times New Roman" w:hAnsi="Times New Roman" w:eastAsia="宋体" w:cs="Times New Roman"/>
          <w:color w:val="auto"/>
          <w:spacing w:val="-2"/>
          <w:kern w:val="2"/>
          <w:sz w:val="24"/>
          <w:szCs w:val="24"/>
          <w:lang w:val="en-US" w:eastAsia="zh-CN" w:bidi="ar-SA"/>
        </w:rPr>
        <w:t>消毒+烘干后方可进入养殖场内部。步骤包括：先用高压水枪对车辆高压冲洗干净，</w:t>
      </w:r>
      <w:r>
        <w:rPr>
          <w:rFonts w:hint="default" w:ascii="Times New Roman" w:hAnsi="Times New Roman" w:cs="Times New Roman"/>
          <w:color w:val="auto"/>
          <w:spacing w:val="-2"/>
          <w:kern w:val="2"/>
          <w:sz w:val="24"/>
          <w:szCs w:val="24"/>
          <w:lang w:val="en-US" w:eastAsia="zh-CN" w:bidi="ar-SA"/>
        </w:rPr>
        <w:t>再</w:t>
      </w:r>
      <w:r>
        <w:rPr>
          <w:rFonts w:hint="default" w:ascii="Times New Roman" w:hAnsi="Times New Roman" w:eastAsia="宋体" w:cs="Times New Roman"/>
          <w:color w:val="auto"/>
          <w:spacing w:val="-2"/>
          <w:kern w:val="2"/>
          <w:sz w:val="24"/>
          <w:szCs w:val="24"/>
          <w:lang w:val="en-US" w:eastAsia="zh-CN" w:bidi="ar-SA"/>
        </w:rPr>
        <w:t>使用1:200的过硫酸氢钾溶液进行喷雾消毒，最后进行烘干。</w:t>
      </w:r>
    </w:p>
    <w:p w14:paraId="0C31D3A6">
      <w:pPr>
        <w:adjustRightInd w:val="0"/>
        <w:snapToGrid w:val="0"/>
        <w:spacing w:line="360" w:lineRule="auto"/>
        <w:ind w:firstLine="480" w:firstLineChars="200"/>
        <w:rPr>
          <w:rFonts w:hint="default" w:ascii="Times New Roman" w:hAnsi="Times New Roman" w:eastAsia="宋体" w:cs="Times New Roman"/>
          <w:b w:val="0"/>
          <w:bCs/>
          <w:color w:val="auto"/>
          <w:spacing w:val="-2"/>
          <w:sz w:val="24"/>
          <w:szCs w:val="24"/>
          <w:lang w:val="en-US" w:eastAsia="zh-CN"/>
        </w:rPr>
      </w:pPr>
      <w:r>
        <w:rPr>
          <w:rFonts w:hint="default" w:ascii="Times New Roman" w:hAnsi="Times New Roman" w:cs="Times New Roman"/>
          <w:bCs/>
          <w:color w:val="auto"/>
          <w:sz w:val="24"/>
          <w:szCs w:val="24"/>
        </w:rPr>
        <w:t>①</w:t>
      </w:r>
      <w:r>
        <w:rPr>
          <w:rFonts w:hint="default" w:ascii="Times New Roman" w:hAnsi="Times New Roman" w:eastAsia="宋体" w:cs="Times New Roman"/>
          <w:b w:val="0"/>
          <w:bCs/>
          <w:color w:val="auto"/>
          <w:spacing w:val="-2"/>
          <w:sz w:val="24"/>
          <w:szCs w:val="24"/>
          <w:lang w:val="en-US" w:eastAsia="zh-CN"/>
        </w:rPr>
        <w:t>车辆清洗</w:t>
      </w:r>
    </w:p>
    <w:p w14:paraId="51C94C1B">
      <w:pPr>
        <w:keepNext w:val="0"/>
        <w:keepLines w:val="0"/>
        <w:widowControl/>
        <w:suppressLineNumbers w:val="0"/>
        <w:snapToGrid/>
        <w:spacing w:line="360" w:lineRule="auto"/>
        <w:ind w:firstLine="472" w:firstLineChars="200"/>
        <w:jc w:val="left"/>
        <w:rPr>
          <w:rFonts w:hint="default" w:ascii="Times New Roman" w:hAnsi="Times New Roman" w:eastAsia="宋体" w:cs="Times New Roman"/>
          <w:b w:val="0"/>
          <w:bCs/>
          <w:color w:val="auto"/>
          <w:spacing w:val="-2"/>
          <w:sz w:val="24"/>
          <w:szCs w:val="24"/>
          <w:lang w:val="en-US" w:eastAsia="zh-CN"/>
        </w:rPr>
      </w:pPr>
      <w:r>
        <w:rPr>
          <w:rFonts w:hint="default" w:ascii="Times New Roman" w:hAnsi="Times New Roman" w:eastAsia="宋体" w:cs="Times New Roman"/>
          <w:color w:val="auto"/>
          <w:spacing w:val="-2"/>
          <w:kern w:val="2"/>
          <w:sz w:val="24"/>
          <w:szCs w:val="24"/>
          <w:lang w:val="en-US" w:eastAsia="zh-CN" w:bidi="ar-SA"/>
        </w:rPr>
        <w:t>根据前文，</w:t>
      </w:r>
      <w:r>
        <w:rPr>
          <w:rFonts w:hint="default" w:ascii="Times New Roman" w:hAnsi="Times New Roman" w:eastAsia="宋体" w:cs="Times New Roman"/>
          <w:color w:val="auto"/>
          <w:spacing w:val="-5"/>
          <w:sz w:val="24"/>
          <w:szCs w:val="24"/>
        </w:rPr>
        <w:t>每年需</w:t>
      </w:r>
      <w:r>
        <w:rPr>
          <w:rFonts w:hint="default" w:ascii="Times New Roman" w:hAnsi="Times New Roman" w:eastAsia="宋体" w:cs="Times New Roman"/>
          <w:color w:val="auto"/>
          <w:spacing w:val="-5"/>
          <w:sz w:val="24"/>
          <w:szCs w:val="24"/>
          <w:lang w:eastAsia="zh-CN"/>
        </w:rPr>
        <w:t>洗消运输</w:t>
      </w:r>
      <w:r>
        <w:rPr>
          <w:rFonts w:hint="default" w:ascii="Times New Roman" w:hAnsi="Times New Roman" w:eastAsia="宋体" w:cs="Times New Roman"/>
          <w:color w:val="auto"/>
          <w:spacing w:val="-5"/>
          <w:sz w:val="24"/>
          <w:szCs w:val="24"/>
        </w:rPr>
        <w:t>车辆</w:t>
      </w:r>
      <w:r>
        <w:rPr>
          <w:rFonts w:hint="default" w:ascii="Times New Roman" w:hAnsi="Times New Roman" w:eastAsia="宋体" w:cs="Times New Roman"/>
          <w:color w:val="auto"/>
          <w:spacing w:val="-8"/>
          <w:sz w:val="24"/>
          <w:szCs w:val="24"/>
          <w:lang w:val="en-US" w:eastAsia="zh-CN"/>
        </w:rPr>
        <w:t>507</w:t>
      </w:r>
      <w:r>
        <w:rPr>
          <w:rFonts w:hint="default" w:ascii="Times New Roman" w:hAnsi="Times New Roman" w:eastAsia="宋体" w:cs="Times New Roman"/>
          <w:color w:val="auto"/>
          <w:spacing w:val="-5"/>
          <w:sz w:val="24"/>
          <w:szCs w:val="24"/>
        </w:rPr>
        <w:t>次</w:t>
      </w:r>
      <w:r>
        <w:rPr>
          <w:rFonts w:hint="default" w:ascii="Times New Roman" w:hAnsi="Times New Roman" w:eastAsia="宋体" w:cs="Times New Roman"/>
          <w:color w:val="auto"/>
          <w:spacing w:val="-5"/>
          <w:sz w:val="24"/>
          <w:szCs w:val="24"/>
          <w:lang w:eastAsia="zh-CN"/>
        </w:rPr>
        <w:t>、小轿车</w:t>
      </w:r>
      <w:r>
        <w:rPr>
          <w:rFonts w:hint="default" w:ascii="Times New Roman" w:hAnsi="Times New Roman" w:eastAsia="宋体" w:cs="Times New Roman"/>
          <w:color w:val="auto"/>
          <w:spacing w:val="-5"/>
          <w:sz w:val="24"/>
          <w:szCs w:val="24"/>
          <w:lang w:val="en-US" w:eastAsia="zh-CN"/>
        </w:rPr>
        <w:t>20次</w:t>
      </w:r>
      <w:r>
        <w:rPr>
          <w:rFonts w:hint="default" w:ascii="Times New Roman" w:hAnsi="Times New Roman" w:eastAsia="宋体" w:cs="Times New Roman"/>
          <w:color w:val="auto"/>
          <w:spacing w:val="-2"/>
          <w:kern w:val="2"/>
          <w:sz w:val="24"/>
          <w:szCs w:val="24"/>
          <w:lang w:val="en-US" w:eastAsia="zh-CN" w:bidi="ar-SA"/>
        </w:rPr>
        <w:t>。根据</w:t>
      </w:r>
      <w:r>
        <w:rPr>
          <w:rFonts w:hint="default" w:ascii="Times New Roman" w:hAnsi="Times New Roman" w:cs="Times New Roman"/>
          <w:bCs/>
          <w:color w:val="auto"/>
          <w:sz w:val="24"/>
          <w:szCs w:val="24"/>
        </w:rPr>
        <w:t>《云南省地方标准 用水定额》（DB53/T 168-2019）</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运输车辆清洗用水量按40L/辆计，</w:t>
      </w:r>
      <w:r>
        <w:rPr>
          <w:rFonts w:hint="default" w:ascii="Times New Roman" w:hAnsi="Times New Roman" w:eastAsia="宋体" w:cs="Times New Roman"/>
          <w:color w:val="auto"/>
          <w:spacing w:val="-5"/>
          <w:sz w:val="24"/>
          <w:szCs w:val="24"/>
          <w:lang w:eastAsia="zh-CN"/>
        </w:rPr>
        <w:t>工作人员用车</w:t>
      </w:r>
      <w:r>
        <w:rPr>
          <w:rFonts w:hint="default" w:ascii="Times New Roman" w:hAnsi="Times New Roman" w:cs="Times New Roman"/>
          <w:bCs/>
          <w:color w:val="auto"/>
          <w:sz w:val="24"/>
          <w:szCs w:val="24"/>
          <w:lang w:val="en-US" w:eastAsia="zh-CN"/>
        </w:rPr>
        <w:t>清洗用水量按30L/辆计，经计算，车辆清洗耗水量为20.88m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/a，平均0.065m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/d。</w:t>
      </w:r>
      <w:r>
        <w:rPr>
          <w:rFonts w:hint="default" w:ascii="Times New Roman" w:hAnsi="Times New Roman" w:eastAsia="宋体" w:cs="Times New Roman"/>
          <w:color w:val="auto"/>
          <w:spacing w:val="-2"/>
          <w:kern w:val="2"/>
          <w:sz w:val="24"/>
          <w:szCs w:val="24"/>
          <w:lang w:val="en-US" w:eastAsia="zh-CN" w:bidi="ar-SA"/>
        </w:rPr>
        <w:t>‌</w:t>
      </w:r>
    </w:p>
    <w:p w14:paraId="760066A6">
      <w:pPr>
        <w:adjustRightInd w:val="0"/>
        <w:snapToGrid w:val="0"/>
        <w:spacing w:line="360" w:lineRule="auto"/>
        <w:ind w:firstLine="472" w:firstLineChars="200"/>
        <w:rPr>
          <w:rFonts w:hint="default" w:ascii="Times New Roman" w:hAnsi="Times New Roman" w:cs="Times New Roman"/>
          <w:bCs/>
          <w:color w:val="auto"/>
          <w:sz w:val="24"/>
          <w:szCs w:val="24"/>
        </w:rPr>
      </w:pPr>
      <w:r>
        <w:rPr>
          <w:rFonts w:hint="default" w:ascii="Times New Roman" w:hAnsi="Times New Roman" w:eastAsia="宋体" w:cs="Times New Roman"/>
          <w:b w:val="0"/>
          <w:bCs/>
          <w:color w:val="auto"/>
          <w:spacing w:val="-2"/>
          <w:sz w:val="24"/>
          <w:szCs w:val="24"/>
          <w:lang w:val="en-US" w:eastAsia="zh-CN"/>
        </w:rPr>
        <w:t>②车辆消毒用水</w:t>
      </w:r>
    </w:p>
    <w:p w14:paraId="1731999E">
      <w:pPr>
        <w:adjustRightInd w:val="0"/>
        <w:snapToGrid w:val="0"/>
        <w:spacing w:line="360" w:lineRule="auto"/>
        <w:ind w:firstLine="472" w:firstLineChars="200"/>
        <w:rPr>
          <w:rFonts w:hint="default" w:ascii="Times New Roman" w:hAnsi="Times New Roman" w:eastAsia="宋体" w:cs="Times New Roman"/>
          <w:color w:val="auto"/>
          <w:spacing w:val="-2"/>
          <w:kern w:val="2"/>
          <w:sz w:val="24"/>
          <w:szCs w:val="24"/>
          <w:lang w:val="en-US" w:eastAsia="zh-CN" w:bidi="ar-SA"/>
        </w:rPr>
      </w:pPr>
      <w:r>
        <w:rPr>
          <w:rFonts w:hint="default" w:ascii="Times New Roman" w:hAnsi="Times New Roman" w:eastAsia="宋体" w:cs="Times New Roman"/>
          <w:color w:val="auto"/>
          <w:spacing w:val="-2"/>
          <w:kern w:val="2"/>
          <w:sz w:val="24"/>
          <w:szCs w:val="24"/>
          <w:lang w:val="en-US" w:eastAsia="zh-CN" w:bidi="ar-SA"/>
        </w:rPr>
        <w:t>本项目运输车辆每辆车需消耗150L消毒液，小轿车消耗10L消毒液，项目使用1:200的过硫酸氢钾溶液进行喷雾消毒，总的消毒液使用量为76.25t/a，其中消毒剂使用量为0.38t/a，用水量为75.87</w:t>
      </w:r>
      <w:r>
        <w:rPr>
          <w:rFonts w:hint="default" w:ascii="Times New Roman" w:hAnsi="Times New Roman" w:cs="Times New Roman"/>
          <w:bCs/>
          <w:color w:val="auto"/>
          <w:sz w:val="24"/>
          <w:szCs w:val="24"/>
          <w:lang w:val="en-US" w:eastAsia="zh-CN"/>
        </w:rPr>
        <w:t>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/a。</w:t>
      </w:r>
      <w:r>
        <w:rPr>
          <w:rFonts w:hint="default" w:ascii="Times New Roman" w:hAnsi="Times New Roman" w:cs="Times New Roman"/>
          <w:bCs/>
          <w:color w:val="auto"/>
          <w:sz w:val="24"/>
          <w:szCs w:val="24"/>
          <w:lang w:bidi="zh-CN"/>
        </w:rPr>
        <w:t>喷雾消毒用水</w:t>
      </w:r>
      <w:r>
        <w:rPr>
          <w:rFonts w:hint="default" w:ascii="Times New Roman" w:hAnsi="Times New Roman" w:cs="Times New Roman"/>
          <w:bCs/>
          <w:color w:val="auto"/>
          <w:sz w:val="24"/>
          <w:szCs w:val="24"/>
        </w:rPr>
        <w:t>全部呈蒸发损耗，无废水产生。</w:t>
      </w:r>
    </w:p>
    <w:p w14:paraId="6CD3E4DB">
      <w:pPr>
        <w:pStyle w:val="63"/>
        <w:spacing w:line="360" w:lineRule="auto"/>
        <w:ind w:left="0" w:leftChars="0" w:firstLine="480" w:firstLineChars="200"/>
        <w:rPr>
          <w:rFonts w:hint="default" w:ascii="Times New Roman" w:hAnsi="Times New Roman" w:eastAsia="宋体" w:cs="Times New Roman"/>
          <w:b w:val="0"/>
          <w:bCs/>
          <w:color w:val="auto"/>
          <w:spacing w:val="-2"/>
          <w:sz w:val="24"/>
          <w:szCs w:val="24"/>
        </w:rPr>
      </w:pPr>
      <w:r>
        <w:rPr>
          <w:rFonts w:hint="default" w:ascii="Times New Roman" w:hAnsi="Times New Roman" w:eastAsia="宋体" w:cs="Times New Roman"/>
          <w:b w:val="0"/>
          <w:bCs/>
          <w:color w:val="auto"/>
          <w:sz w:val="24"/>
          <w:szCs w:val="24"/>
          <w:lang w:val="en-US" w:eastAsia="zh-CN"/>
        </w:rPr>
        <w:t>③</w:t>
      </w:r>
      <w:r>
        <w:rPr>
          <w:rFonts w:hint="default" w:ascii="Times New Roman" w:hAnsi="Times New Roman" w:eastAsia="宋体" w:cs="Times New Roman"/>
          <w:b w:val="0"/>
          <w:bCs/>
          <w:color w:val="auto"/>
          <w:spacing w:val="-2"/>
          <w:sz w:val="24"/>
          <w:szCs w:val="24"/>
          <w:lang w:val="en-US" w:eastAsia="zh-CN"/>
        </w:rPr>
        <w:t>喷雾消毒用水</w:t>
      </w:r>
    </w:p>
    <w:p w14:paraId="38381346">
      <w:pPr>
        <w:adjustRightInd w:val="0"/>
        <w:snapToGrid w:val="0"/>
        <w:spacing w:line="360" w:lineRule="auto"/>
        <w:ind w:firstLine="472" w:firstLineChars="200"/>
        <w:rPr>
          <w:rFonts w:hint="default" w:ascii="Times New Roman" w:hAnsi="Times New Roman" w:eastAsia="宋体" w:cs="Times New Roman"/>
          <w:bCs/>
          <w:color w:val="auto"/>
          <w:lang w:val="en-US" w:eastAsia="zh-CN"/>
        </w:rPr>
      </w:pPr>
      <w:r>
        <w:rPr>
          <w:rFonts w:hint="default" w:ascii="Times New Roman" w:hAnsi="Times New Roman" w:eastAsia="宋体" w:cs="Times New Roman"/>
          <w:color w:val="auto"/>
          <w:spacing w:val="-2"/>
          <w:sz w:val="24"/>
          <w:szCs w:val="24"/>
          <w:lang w:val="en-US" w:eastAsia="zh-CN"/>
        </w:rPr>
        <w:t>场区、舍内消毒时消毒液和喷雾治疗所用药品均需用水配制后使用，</w:t>
      </w:r>
      <w:r>
        <w:rPr>
          <w:rFonts w:hint="default" w:ascii="Times New Roman" w:hAnsi="Times New Roman" w:cs="Times New Roman"/>
          <w:color w:val="auto"/>
          <w:sz w:val="24"/>
          <w:szCs w:val="24"/>
          <w:lang w:val="en-US" w:eastAsia="zh-CN"/>
        </w:rPr>
        <w:t>主要使用</w:t>
      </w:r>
      <w:r>
        <w:rPr>
          <w:rFonts w:hint="default" w:ascii="Times New Roman" w:hAnsi="Times New Roman" w:eastAsia="宋体" w:cs="Times New Roman"/>
          <w:b w:val="0"/>
          <w:bCs w:val="0"/>
          <w:color w:val="auto"/>
          <w:sz w:val="24"/>
          <w:szCs w:val="24"/>
          <w:lang w:val="en-US" w:eastAsia="zh-CN"/>
        </w:rPr>
        <w:t>戊二醛、</w:t>
      </w:r>
      <w:r>
        <w:rPr>
          <w:rFonts w:hint="default" w:ascii="Times New Roman" w:hAnsi="Times New Roman" w:cs="Times New Roman"/>
          <w:color w:val="auto"/>
          <w:sz w:val="24"/>
          <w:szCs w:val="24"/>
        </w:rPr>
        <w:t>卫可、疫灭佳</w:t>
      </w:r>
      <w:r>
        <w:rPr>
          <w:rFonts w:hint="default" w:ascii="Times New Roman" w:hAnsi="Times New Roman" w:cs="Times New Roman"/>
          <w:color w:val="auto"/>
          <w:sz w:val="24"/>
          <w:szCs w:val="24"/>
          <w:lang w:val="en-US" w:eastAsia="zh-CN"/>
        </w:rPr>
        <w:t>等消毒剂，</w:t>
      </w:r>
      <w:r>
        <w:rPr>
          <w:rFonts w:hint="default" w:ascii="Times New Roman" w:hAnsi="Times New Roman" w:eastAsia="宋体" w:cs="Times New Roman"/>
          <w:color w:val="auto"/>
          <w:spacing w:val="-2"/>
          <w:sz w:val="24"/>
          <w:szCs w:val="24"/>
          <w:lang w:val="en-US" w:eastAsia="zh-CN"/>
        </w:rPr>
        <w:t>配制比例约为1:200，液体消毒剂消耗量约为0.55t/a，因此消毒液配制用水为110m</w:t>
      </w:r>
      <w:r>
        <w:rPr>
          <w:rFonts w:hint="default" w:ascii="Times New Roman" w:hAnsi="Times New Roman" w:eastAsia="宋体" w:cs="Times New Roman"/>
          <w:color w:val="auto"/>
          <w:spacing w:val="-2"/>
          <w:sz w:val="24"/>
          <w:szCs w:val="24"/>
          <w:vertAlign w:val="superscript"/>
          <w:lang w:val="en-US" w:eastAsia="zh-CN"/>
        </w:rPr>
        <w:t>3</w:t>
      </w:r>
      <w:r>
        <w:rPr>
          <w:rFonts w:hint="default" w:ascii="Times New Roman" w:hAnsi="Times New Roman" w:eastAsia="宋体" w:cs="Times New Roman"/>
          <w:color w:val="auto"/>
          <w:spacing w:val="-2"/>
          <w:sz w:val="24"/>
          <w:szCs w:val="24"/>
          <w:lang w:val="en-US" w:eastAsia="zh-CN"/>
        </w:rPr>
        <w:t>/a，0.34m</w:t>
      </w:r>
      <w:r>
        <w:rPr>
          <w:rFonts w:hint="default" w:ascii="Times New Roman" w:hAnsi="Times New Roman" w:eastAsia="宋体" w:cs="Times New Roman"/>
          <w:color w:val="auto"/>
          <w:spacing w:val="-2"/>
          <w:sz w:val="24"/>
          <w:szCs w:val="24"/>
          <w:vertAlign w:val="superscript"/>
          <w:lang w:val="en-US" w:eastAsia="zh-CN"/>
        </w:rPr>
        <w:t>3</w:t>
      </w:r>
      <w:r>
        <w:rPr>
          <w:rFonts w:hint="default" w:ascii="Times New Roman" w:hAnsi="Times New Roman" w:eastAsia="宋体" w:cs="Times New Roman"/>
          <w:color w:val="auto"/>
          <w:spacing w:val="-2"/>
          <w:sz w:val="24"/>
          <w:szCs w:val="24"/>
          <w:lang w:val="en-US" w:eastAsia="zh-CN"/>
        </w:rPr>
        <w:t>/d。</w:t>
      </w:r>
      <w:r>
        <w:rPr>
          <w:rFonts w:hint="default" w:ascii="Times New Roman" w:hAnsi="Times New Roman" w:cs="Times New Roman"/>
          <w:bCs/>
          <w:color w:val="auto"/>
          <w:sz w:val="24"/>
          <w:szCs w:val="24"/>
          <w:lang w:bidi="zh-CN"/>
        </w:rPr>
        <w:t>喷雾消毒用水</w:t>
      </w:r>
      <w:r>
        <w:rPr>
          <w:rFonts w:hint="default" w:ascii="Times New Roman" w:hAnsi="Times New Roman" w:cs="Times New Roman"/>
          <w:bCs/>
          <w:color w:val="auto"/>
          <w:sz w:val="24"/>
          <w:szCs w:val="24"/>
        </w:rPr>
        <w:t>全部呈蒸发损耗，无废水产生。</w:t>
      </w:r>
    </w:p>
    <w:p w14:paraId="56B2F97B">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val="en-US" w:eastAsia="zh-CN"/>
        </w:rPr>
        <w:t>④</w:t>
      </w:r>
      <w:r>
        <w:rPr>
          <w:rFonts w:hint="default" w:ascii="Times New Roman" w:hAnsi="Times New Roman" w:cs="Times New Roman"/>
          <w:bCs/>
          <w:color w:val="auto"/>
          <w:sz w:val="24"/>
          <w:highlight w:val="none"/>
        </w:rPr>
        <w:t>浸泡消毒用水</w:t>
      </w:r>
    </w:p>
    <w:p w14:paraId="5A2BC8DF">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项目部分进场物资采用浸泡消毒，设有一个1.</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消毒池，消毒用水量约为容积的70%，即约为</w:t>
      </w:r>
      <w:r>
        <w:rPr>
          <w:rFonts w:hint="default" w:ascii="Times New Roman" w:hAnsi="Times New Roman" w:cs="Times New Roman"/>
          <w:bCs/>
          <w:color w:val="auto"/>
          <w:sz w:val="24"/>
          <w:highlight w:val="none"/>
          <w:lang w:val="en-US" w:eastAsia="zh-CN"/>
        </w:rPr>
        <w:t>1.0</w:t>
      </w:r>
      <w:r>
        <w:rPr>
          <w:rFonts w:hint="default" w:ascii="Times New Roman" w:hAnsi="Times New Roman" w:cs="Times New Roman"/>
          <w:bCs/>
          <w:color w:val="auto"/>
          <w:sz w:val="24"/>
          <w:highlight w:val="none"/>
          <w:lang w:bidi="zh-CN"/>
        </w:rPr>
        <w:t>m</w:t>
      </w:r>
      <w:r>
        <w:rPr>
          <w:rFonts w:hint="default" w:ascii="Times New Roman" w:hAnsi="Times New Roman" w:cs="Times New Roman"/>
          <w:bCs/>
          <w:color w:val="auto"/>
          <w:sz w:val="24"/>
          <w:highlight w:val="none"/>
          <w:vertAlign w:val="superscript"/>
          <w:lang w:bidi="zh-CN"/>
        </w:rPr>
        <w:t>3</w:t>
      </w:r>
      <w:r>
        <w:rPr>
          <w:rFonts w:hint="default" w:ascii="Times New Roman" w:hAnsi="Times New Roman" w:cs="Times New Roman"/>
          <w:bCs/>
          <w:color w:val="auto"/>
          <w:sz w:val="24"/>
          <w:highlight w:val="none"/>
          <w:lang w:bidi="zh-CN"/>
        </w:rPr>
        <w:t>/次，消毒用水每周更换一次，则年用水量为</w:t>
      </w:r>
      <w:r>
        <w:rPr>
          <w:rFonts w:hint="default" w:ascii="Times New Roman" w:hAnsi="Times New Roman" w:cs="Times New Roman"/>
          <w:bCs/>
          <w:color w:val="auto"/>
          <w:sz w:val="24"/>
          <w:highlight w:val="none"/>
          <w:lang w:val="en-US" w:bidi="zh-CN"/>
        </w:rPr>
        <w:t>45.7</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。废水产生量按照用水量90%计，则浸泡消毒废水量</w:t>
      </w:r>
      <w:r>
        <w:rPr>
          <w:rFonts w:hint="default" w:ascii="Times New Roman" w:hAnsi="Times New Roman" w:cs="Times New Roman"/>
          <w:bCs/>
          <w:color w:val="auto"/>
          <w:sz w:val="24"/>
          <w:highlight w:val="none"/>
          <w:lang w:val="en-US" w:eastAsia="zh-CN"/>
        </w:rPr>
        <w:t>41.14</w:t>
      </w:r>
      <w:r>
        <w:rPr>
          <w:rFonts w:hint="default" w:ascii="Times New Roman" w:hAnsi="Times New Roman" w:cs="Times New Roman"/>
          <w:bCs/>
          <w:color w:val="auto"/>
          <w:sz w:val="24"/>
          <w:highlight w:val="none"/>
          <w:lang w:bidi="zh-CN"/>
        </w:rPr>
        <w:t>m</w:t>
      </w:r>
      <w:r>
        <w:rPr>
          <w:rFonts w:hint="default" w:ascii="Times New Roman" w:hAnsi="Times New Roman" w:cs="Times New Roman"/>
          <w:bCs/>
          <w:color w:val="auto"/>
          <w:sz w:val="24"/>
          <w:highlight w:val="none"/>
          <w:vertAlign w:val="superscript"/>
          <w:lang w:bidi="zh-CN"/>
        </w:rPr>
        <w:t>3</w:t>
      </w:r>
      <w:r>
        <w:rPr>
          <w:rFonts w:hint="default" w:ascii="Times New Roman" w:hAnsi="Times New Roman" w:cs="Times New Roman"/>
          <w:bCs/>
          <w:color w:val="auto"/>
          <w:sz w:val="24"/>
          <w:highlight w:val="none"/>
          <w:lang w:bidi="zh-CN"/>
        </w:rPr>
        <w:t>/a（0.1</w:t>
      </w:r>
      <w:r>
        <w:rPr>
          <w:rFonts w:hint="default" w:ascii="Times New Roman" w:hAnsi="Times New Roman" w:cs="Times New Roman"/>
          <w:bCs/>
          <w:color w:val="auto"/>
          <w:sz w:val="24"/>
          <w:highlight w:val="none"/>
          <w:lang w:val="en-US" w:bidi="zh-CN"/>
        </w:rPr>
        <w:t>28</w:t>
      </w:r>
      <w:r>
        <w:rPr>
          <w:rFonts w:hint="default" w:ascii="Times New Roman" w:hAnsi="Times New Roman" w:cs="Times New Roman"/>
          <w:bCs/>
          <w:color w:val="auto"/>
          <w:sz w:val="24"/>
          <w:highlight w:val="none"/>
          <w:lang w:bidi="zh-CN"/>
        </w:rPr>
        <w:t>m</w:t>
      </w:r>
      <w:r>
        <w:rPr>
          <w:rFonts w:hint="default" w:ascii="Times New Roman" w:hAnsi="Times New Roman" w:cs="Times New Roman"/>
          <w:bCs/>
          <w:color w:val="auto"/>
          <w:sz w:val="24"/>
          <w:highlight w:val="none"/>
          <w:vertAlign w:val="superscript"/>
          <w:lang w:bidi="zh-CN"/>
        </w:rPr>
        <w:t>3</w:t>
      </w:r>
      <w:r>
        <w:rPr>
          <w:rFonts w:hint="default" w:ascii="Times New Roman" w:hAnsi="Times New Roman" w:cs="Times New Roman"/>
          <w:bCs/>
          <w:color w:val="auto"/>
          <w:sz w:val="24"/>
          <w:highlight w:val="none"/>
          <w:lang w:bidi="zh-CN"/>
        </w:rPr>
        <w:t>/d）。</w:t>
      </w:r>
    </w:p>
    <w:p w14:paraId="393C76ED">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（5）生活用水</w:t>
      </w:r>
    </w:p>
    <w:p w14:paraId="49A57D3B">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本项目建成后员工共1</w:t>
      </w:r>
      <w:r>
        <w:rPr>
          <w:rFonts w:hint="default"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rPr>
        <w:t>人，全部在厂内进行食宿。根据《云南省地方标准 用水定额》（DB53/T168-2019），员工食堂用水量按20L/人·d计，则员工食堂用水量为0.</w:t>
      </w:r>
      <w:r>
        <w:rPr>
          <w:rFonts w:hint="default" w:ascii="Times New Roman" w:hAnsi="Times New Roman" w:cs="Times New Roman"/>
          <w:bCs/>
          <w:color w:val="auto"/>
          <w:sz w:val="24"/>
          <w:highlight w:val="none"/>
          <w:lang w:val="en-US" w:eastAsia="zh-CN"/>
        </w:rPr>
        <w:t>24</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w:t>
      </w:r>
      <w:r>
        <w:rPr>
          <w:rFonts w:hint="default" w:ascii="Times New Roman" w:hAnsi="Times New Roman" w:cs="Times New Roman"/>
          <w:bCs/>
          <w:color w:val="auto"/>
          <w:sz w:val="24"/>
          <w:highlight w:val="none"/>
          <w:lang w:val="en-US" w:eastAsia="zh-CN"/>
        </w:rPr>
        <w:t>87.6</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/a。厂内住宿员工洗漱用水量按80L/人·d计，则员工其他生活用水量为</w:t>
      </w:r>
      <w:r>
        <w:rPr>
          <w:rFonts w:hint="default" w:ascii="Times New Roman" w:hAnsi="Times New Roman" w:cs="Times New Roman"/>
          <w:bCs/>
          <w:color w:val="auto"/>
          <w:sz w:val="24"/>
          <w:highlight w:val="none"/>
          <w:lang w:val="en-US" w:eastAsia="zh-CN"/>
        </w:rPr>
        <w:t>0.96</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w:t>
      </w:r>
      <w:r>
        <w:rPr>
          <w:rFonts w:hint="default" w:ascii="Times New Roman" w:hAnsi="Times New Roman" w:cs="Times New Roman"/>
          <w:bCs/>
          <w:color w:val="auto"/>
          <w:sz w:val="24"/>
          <w:highlight w:val="none"/>
          <w:lang w:val="en-US" w:eastAsia="zh-CN"/>
        </w:rPr>
        <w:t>350.4</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/a。综上，员工办公生活用水量为1.</w:t>
      </w:r>
      <w:r>
        <w:rPr>
          <w:rFonts w:hint="default"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w:t>
      </w:r>
      <w:r>
        <w:rPr>
          <w:rFonts w:hint="default" w:ascii="Times New Roman" w:hAnsi="Times New Roman" w:cs="Times New Roman"/>
          <w:bCs/>
          <w:color w:val="auto"/>
          <w:sz w:val="24"/>
          <w:highlight w:val="none"/>
          <w:lang w:val="en-US" w:eastAsia="zh-CN"/>
        </w:rPr>
        <w:t>438</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w:t>
      </w:r>
    </w:p>
    <w:p w14:paraId="24571A64">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（6）绿化用水</w:t>
      </w:r>
    </w:p>
    <w:p w14:paraId="4702A942">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项目区内绿化面积为</w:t>
      </w:r>
      <w:r>
        <w:rPr>
          <w:rFonts w:hint="default" w:ascii="Times New Roman" w:hAnsi="Times New Roman" w:cs="Times New Roman"/>
          <w:bCs/>
          <w:color w:val="auto"/>
          <w:sz w:val="24"/>
          <w:highlight w:val="none"/>
          <w:lang w:val="en-US" w:eastAsia="zh-CN"/>
        </w:rPr>
        <w:t>1000</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。根据《云南省地方标准 用水定额》（DB53/T168-2019），绿化用水定额按 3.0L/（m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•次）计，根据弥勒市气象资料，弥勒市年平均降雨日以147天，非雨天以218天计，则绿化用水量为</w:t>
      </w:r>
      <w:r>
        <w:rPr>
          <w:rFonts w:hint="default" w:ascii="Times New Roman" w:hAnsi="Times New Roman" w:cs="Times New Roman"/>
          <w:bCs/>
          <w:color w:val="auto"/>
          <w:sz w:val="24"/>
          <w:highlight w:val="none"/>
          <w:lang w:val="en-US" w:eastAsia="zh-CN"/>
        </w:rPr>
        <w:t>3</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w:t>
      </w:r>
      <w:r>
        <w:rPr>
          <w:rFonts w:hint="default" w:ascii="Times New Roman" w:hAnsi="Times New Roman" w:cs="Times New Roman"/>
          <w:bCs/>
          <w:color w:val="auto"/>
          <w:sz w:val="24"/>
          <w:highlight w:val="none"/>
          <w:lang w:val="en-US" w:eastAsia="zh-CN"/>
        </w:rPr>
        <w:t>654</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/a。绿化用水全部通过植物吸收和蒸发损耗。</w:t>
      </w:r>
    </w:p>
    <w:p w14:paraId="2C87023D">
      <w:pPr>
        <w:snapToGrid w:val="0"/>
        <w:spacing w:line="360" w:lineRule="auto"/>
        <w:outlineLvl w:val="4"/>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3.3.2.1.2排水情况</w:t>
      </w:r>
    </w:p>
    <w:p w14:paraId="1CD48F64">
      <w:pPr>
        <w:snapToGrid w:val="0"/>
        <w:spacing w:line="360" w:lineRule="auto"/>
        <w:ind w:firstLine="48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（1）猪尿液</w:t>
      </w:r>
    </w:p>
    <w:p w14:paraId="29FF2FC7">
      <w:pPr>
        <w:pStyle w:val="46"/>
        <w:snapToGrid w:val="0"/>
        <w:ind w:firstLine="482" w:firstLineChars="0"/>
        <w:rPr>
          <w:rFonts w:hint="default" w:ascii="Times New Roman" w:hAnsi="Times New Roman" w:cs="Times New Roman"/>
          <w:b/>
          <w:color w:val="auto"/>
          <w:szCs w:val="21"/>
          <w:highlight w:val="none"/>
        </w:rPr>
      </w:pPr>
      <w:r>
        <w:rPr>
          <w:rFonts w:hint="default" w:ascii="Times New Roman" w:hAnsi="Times New Roman" w:cs="Times New Roman"/>
          <w:color w:val="auto"/>
          <w:highlight w:val="none"/>
        </w:rPr>
        <w:t>根据《畜禽养殖业污染治理工程技术规范》（HJ 497-2009）表A.2，猪尿液排泄系数按照3.3kg/只</w:t>
      </w:r>
      <w:r>
        <w:rPr>
          <w:rFonts w:hint="default" w:ascii="Times New Roman" w:hAnsi="Times New Roman" w:cs="Times New Roman"/>
          <w:color w:val="auto"/>
          <w:highlight w:val="none"/>
        </w:rPr>
        <w:sym w:font="Wingdings 2" w:char="F095"/>
      </w:r>
      <w:r>
        <w:rPr>
          <w:rFonts w:hint="default" w:ascii="Times New Roman" w:hAnsi="Times New Roman" w:cs="Times New Roman"/>
          <w:color w:val="auto"/>
          <w:highlight w:val="none"/>
        </w:rPr>
        <w:t>d计，项目年存栏生猪</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000头，具体产生量见下表：</w:t>
      </w:r>
    </w:p>
    <w:p w14:paraId="3910938E">
      <w:pPr>
        <w:adjustRightInd w:val="0"/>
        <w:snapToGrid w:val="0"/>
        <w:ind w:firstLine="422" w:firstLineChars="20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3.3.2-7</w:t>
      </w:r>
      <w:r>
        <w:rPr>
          <w:rFonts w:hint="default" w:ascii="Times New Roman" w:hAnsi="Times New Roman" w:cs="Times New Roman"/>
          <w:b/>
          <w:color w:val="auto"/>
          <w:szCs w:val="21"/>
          <w:highlight w:val="none"/>
        </w:rPr>
        <w:t xml:space="preserve">     项目猪尿液排放量表</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961"/>
        <w:gridCol w:w="1079"/>
        <w:gridCol w:w="1488"/>
        <w:gridCol w:w="1701"/>
        <w:gridCol w:w="1418"/>
        <w:gridCol w:w="1457"/>
      </w:tblGrid>
      <w:tr w14:paraId="5290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14:paraId="7AE8F42B">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961" w:type="dxa"/>
            <w:vAlign w:val="center"/>
          </w:tcPr>
          <w:p w14:paraId="7C477183">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名称</w:t>
            </w:r>
          </w:p>
        </w:tc>
        <w:tc>
          <w:tcPr>
            <w:tcW w:w="1079" w:type="dxa"/>
            <w:vAlign w:val="center"/>
          </w:tcPr>
          <w:p w14:paraId="683A78B7">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存栏量（头）</w:t>
            </w:r>
          </w:p>
        </w:tc>
        <w:tc>
          <w:tcPr>
            <w:tcW w:w="1488" w:type="dxa"/>
            <w:vAlign w:val="center"/>
          </w:tcPr>
          <w:p w14:paraId="19329EA7">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尿液产污系数</w:t>
            </w:r>
          </w:p>
          <w:p w14:paraId="43200D3D">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bCs/>
                <w:color w:val="auto"/>
                <w:szCs w:val="21"/>
                <w:highlight w:val="none"/>
              </w:rPr>
              <w:t>kg/（头</w:t>
            </w:r>
            <w:r>
              <w:rPr>
                <w:rFonts w:hint="default" w:ascii="Times New Roman" w:hAnsi="Times New Roman" w:cs="Times New Roman"/>
                <w:b/>
                <w:bCs/>
                <w:color w:val="auto"/>
                <w:szCs w:val="21"/>
                <w:highlight w:val="none"/>
              </w:rPr>
              <w:sym w:font="Wingdings 2" w:char="F095"/>
            </w:r>
            <w:r>
              <w:rPr>
                <w:rFonts w:hint="default" w:ascii="Times New Roman" w:hAnsi="Times New Roman" w:cs="Times New Roman"/>
                <w:b/>
                <w:bCs/>
                <w:color w:val="auto"/>
                <w:szCs w:val="21"/>
                <w:highlight w:val="none"/>
              </w:rPr>
              <w:t>d）</w:t>
            </w:r>
          </w:p>
        </w:tc>
        <w:tc>
          <w:tcPr>
            <w:tcW w:w="1701" w:type="dxa"/>
            <w:vAlign w:val="center"/>
          </w:tcPr>
          <w:p w14:paraId="04393798">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尿液产生量（m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/d）</w:t>
            </w:r>
          </w:p>
        </w:tc>
        <w:tc>
          <w:tcPr>
            <w:tcW w:w="1418" w:type="dxa"/>
            <w:vAlign w:val="center"/>
          </w:tcPr>
          <w:p w14:paraId="77A35B00">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年饲养总天数d</w:t>
            </w:r>
          </w:p>
        </w:tc>
        <w:tc>
          <w:tcPr>
            <w:tcW w:w="1457" w:type="dxa"/>
            <w:vAlign w:val="center"/>
          </w:tcPr>
          <w:p w14:paraId="59886FC6">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年产生量</w:t>
            </w:r>
          </w:p>
          <w:p w14:paraId="1F530C03">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/a</w:t>
            </w:r>
          </w:p>
        </w:tc>
      </w:tr>
      <w:tr w14:paraId="6F65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691" w:type="dxa"/>
            <w:vAlign w:val="center"/>
          </w:tcPr>
          <w:p w14:paraId="64606E19">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961" w:type="dxa"/>
            <w:vAlign w:val="center"/>
          </w:tcPr>
          <w:p w14:paraId="54055F70">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育肥猪</w:t>
            </w:r>
          </w:p>
        </w:tc>
        <w:tc>
          <w:tcPr>
            <w:tcW w:w="1079" w:type="dxa"/>
            <w:vAlign w:val="center"/>
          </w:tcPr>
          <w:p w14:paraId="29DBB388">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000</w:t>
            </w:r>
          </w:p>
        </w:tc>
        <w:tc>
          <w:tcPr>
            <w:tcW w:w="1488" w:type="dxa"/>
            <w:vAlign w:val="center"/>
          </w:tcPr>
          <w:p w14:paraId="56D2F1C6">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w:t>
            </w:r>
          </w:p>
        </w:tc>
        <w:tc>
          <w:tcPr>
            <w:tcW w:w="1701" w:type="dxa"/>
            <w:vAlign w:val="center"/>
          </w:tcPr>
          <w:p w14:paraId="7E86D6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13.2</w:t>
            </w:r>
          </w:p>
        </w:tc>
        <w:tc>
          <w:tcPr>
            <w:tcW w:w="1418" w:type="dxa"/>
            <w:vAlign w:val="center"/>
          </w:tcPr>
          <w:p w14:paraId="4CEE30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320</w:t>
            </w:r>
          </w:p>
        </w:tc>
        <w:tc>
          <w:tcPr>
            <w:tcW w:w="1457" w:type="dxa"/>
            <w:vAlign w:val="center"/>
          </w:tcPr>
          <w:p w14:paraId="62B167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4224</w:t>
            </w:r>
          </w:p>
        </w:tc>
      </w:tr>
    </w:tbl>
    <w:p w14:paraId="356D0BBC">
      <w:pPr>
        <w:snapToGrid w:val="0"/>
        <w:spacing w:before="156" w:beforeLines="50" w:line="360" w:lineRule="auto"/>
        <w:ind w:firstLine="48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（2）猪舍冲洗废水</w:t>
      </w:r>
    </w:p>
    <w:p w14:paraId="46B1848F">
      <w:pPr>
        <w:pStyle w:val="46"/>
        <w:snapToGrid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根据用水量分析，猪舍冲洗用水量为</w:t>
      </w:r>
      <w:r>
        <w:rPr>
          <w:rFonts w:hint="default" w:ascii="Times New Roman" w:hAnsi="Times New Roman" w:cs="Times New Roman"/>
          <w:color w:val="auto"/>
          <w:sz w:val="24"/>
          <w:szCs w:val="24"/>
          <w:highlight w:val="none"/>
          <w:lang w:val="en-US" w:eastAsia="zh-CN"/>
        </w:rPr>
        <w:t>11.248</w:t>
      </w:r>
      <w:r>
        <w:rPr>
          <w:rFonts w:hint="default" w:ascii="Times New Roman" w:hAnsi="Times New Roman" w:cs="Times New Roman"/>
          <w:bCs/>
          <w:color w:val="auto"/>
          <w:sz w:val="24"/>
          <w:szCs w:val="24"/>
          <w:highlight w:val="none"/>
        </w:rPr>
        <w:t>m</w:t>
      </w:r>
      <w:r>
        <w:rPr>
          <w:rFonts w:hint="default" w:ascii="Times New Roman" w:hAnsi="Times New Roman" w:cs="Times New Roman"/>
          <w:bCs/>
          <w:color w:val="auto"/>
          <w:sz w:val="24"/>
          <w:szCs w:val="24"/>
          <w:highlight w:val="none"/>
          <w:vertAlign w:val="superscript"/>
        </w:rPr>
        <w:t>3</w:t>
      </w:r>
      <w:r>
        <w:rPr>
          <w:rFonts w:hint="default" w:ascii="Times New Roman" w:hAnsi="Times New Roman" w:cs="Times New Roman"/>
          <w:bCs/>
          <w:color w:val="auto"/>
          <w:sz w:val="24"/>
          <w:szCs w:val="24"/>
          <w:highlight w:val="none"/>
        </w:rPr>
        <w:t>/次，</w:t>
      </w:r>
      <w:r>
        <w:rPr>
          <w:rFonts w:hint="default" w:ascii="Times New Roman" w:hAnsi="Times New Roman" w:eastAsia="宋体" w:cs="Times New Roman"/>
          <w:i w:val="0"/>
          <w:iCs w:val="0"/>
          <w:color w:val="auto"/>
          <w:kern w:val="0"/>
          <w:sz w:val="24"/>
          <w:szCs w:val="24"/>
          <w:u w:val="none"/>
          <w:lang w:val="en-US" w:eastAsia="zh-CN" w:bidi="ar"/>
        </w:rPr>
        <w:t>26.208</w:t>
      </w:r>
      <w:r>
        <w:rPr>
          <w:rFonts w:hint="default" w:ascii="Times New Roman" w:hAnsi="Times New Roman" w:cs="Times New Roman"/>
          <w:bCs/>
          <w:color w:val="auto"/>
          <w:sz w:val="24"/>
          <w:szCs w:val="24"/>
          <w:highlight w:val="none"/>
        </w:rPr>
        <w:t>m</w:t>
      </w:r>
      <w:r>
        <w:rPr>
          <w:rFonts w:hint="default" w:ascii="Times New Roman" w:hAnsi="Times New Roman" w:cs="Times New Roman"/>
          <w:bCs/>
          <w:color w:val="auto"/>
          <w:sz w:val="24"/>
          <w:szCs w:val="24"/>
          <w:highlight w:val="none"/>
          <w:vertAlign w:val="superscript"/>
        </w:rPr>
        <w:t>3</w:t>
      </w:r>
      <w:r>
        <w:rPr>
          <w:rFonts w:hint="default" w:ascii="Times New Roman" w:hAnsi="Times New Roman" w:cs="Times New Roman"/>
          <w:bCs/>
          <w:color w:val="auto"/>
          <w:sz w:val="24"/>
          <w:szCs w:val="24"/>
          <w:highlight w:val="none"/>
        </w:rPr>
        <w:t>/a。</w:t>
      </w:r>
      <w:r>
        <w:rPr>
          <w:rFonts w:hint="default" w:ascii="Times New Roman" w:hAnsi="Times New Roman" w:cs="Times New Roman"/>
          <w:color w:val="auto"/>
          <w:sz w:val="24"/>
          <w:szCs w:val="24"/>
          <w:highlight w:val="none"/>
        </w:rPr>
        <w:t>废水量按90%计，则猪舍冲洗废水产生量为</w:t>
      </w:r>
      <w:r>
        <w:rPr>
          <w:rFonts w:hint="default" w:ascii="Times New Roman" w:hAnsi="Times New Roman" w:cs="Times New Roman"/>
          <w:bCs/>
          <w:color w:val="auto"/>
          <w:sz w:val="24"/>
          <w:szCs w:val="24"/>
          <w:highlight w:val="none"/>
          <w:lang w:val="en-US" w:eastAsia="zh-CN"/>
        </w:rPr>
        <w:t>10.12</w:t>
      </w:r>
      <w:r>
        <w:rPr>
          <w:rFonts w:hint="default" w:ascii="Times New Roman" w:hAnsi="Times New Roman" w:cs="Times New Roman"/>
          <w:bCs/>
          <w:color w:val="auto"/>
          <w:sz w:val="24"/>
          <w:szCs w:val="24"/>
          <w:highlight w:val="none"/>
        </w:rPr>
        <w:t>m</w:t>
      </w:r>
      <w:r>
        <w:rPr>
          <w:rFonts w:hint="default" w:ascii="Times New Roman" w:hAnsi="Times New Roman" w:cs="Times New Roman"/>
          <w:bCs/>
          <w:color w:val="auto"/>
          <w:sz w:val="24"/>
          <w:szCs w:val="24"/>
          <w:highlight w:val="none"/>
          <w:vertAlign w:val="superscript"/>
        </w:rPr>
        <w:t>3</w:t>
      </w:r>
      <w:r>
        <w:rPr>
          <w:rFonts w:hint="default" w:ascii="Times New Roman" w:hAnsi="Times New Roman" w:cs="Times New Roman"/>
          <w:bCs/>
          <w:color w:val="auto"/>
          <w:sz w:val="24"/>
          <w:szCs w:val="24"/>
          <w:highlight w:val="none"/>
        </w:rPr>
        <w:t>/次，</w:t>
      </w:r>
      <w:r>
        <w:rPr>
          <w:rFonts w:hint="default" w:ascii="Times New Roman" w:hAnsi="Times New Roman" w:cs="Times New Roman"/>
          <w:bCs/>
          <w:color w:val="auto"/>
          <w:sz w:val="24"/>
          <w:szCs w:val="24"/>
          <w:highlight w:val="none"/>
          <w:lang w:val="en-US" w:eastAsia="zh-CN"/>
        </w:rPr>
        <w:t>23.59</w:t>
      </w:r>
      <w:r>
        <w:rPr>
          <w:rFonts w:hint="default" w:ascii="Times New Roman" w:hAnsi="Times New Roman" w:cs="Times New Roman"/>
          <w:bCs/>
          <w:color w:val="auto"/>
          <w:sz w:val="24"/>
          <w:szCs w:val="24"/>
          <w:highlight w:val="none"/>
        </w:rPr>
        <w:t>m</w:t>
      </w:r>
      <w:r>
        <w:rPr>
          <w:rFonts w:hint="default" w:ascii="Times New Roman" w:hAnsi="Times New Roman" w:cs="Times New Roman"/>
          <w:bCs/>
          <w:color w:val="auto"/>
          <w:sz w:val="24"/>
          <w:szCs w:val="24"/>
          <w:highlight w:val="none"/>
          <w:vertAlign w:val="superscript"/>
        </w:rPr>
        <w:t>3</w:t>
      </w:r>
      <w:r>
        <w:rPr>
          <w:rFonts w:hint="default" w:ascii="Times New Roman" w:hAnsi="Times New Roman" w:cs="Times New Roman"/>
          <w:bCs/>
          <w:color w:val="auto"/>
          <w:sz w:val="24"/>
          <w:szCs w:val="24"/>
          <w:highlight w:val="none"/>
        </w:rPr>
        <w:t>/a。</w:t>
      </w:r>
    </w:p>
    <w:p w14:paraId="4331467D">
      <w:pPr>
        <w:snapToGrid w:val="0"/>
        <w:spacing w:line="360" w:lineRule="auto"/>
        <w:ind w:firstLine="48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（3）固液分离废水</w:t>
      </w:r>
    </w:p>
    <w:p w14:paraId="5528F9C3">
      <w:pPr>
        <w:snapToGrid w:val="0"/>
        <w:spacing w:line="360" w:lineRule="auto"/>
        <w:ind w:firstLine="482"/>
        <w:rPr>
          <w:rFonts w:hint="default" w:ascii="Times New Roman" w:hAnsi="Times New Roman" w:cs="Times New Roman"/>
          <w:color w:val="auto"/>
          <w:sz w:val="24"/>
          <w:highlight w:val="none"/>
          <w:lang w:bidi="zh-CN"/>
        </w:rPr>
      </w:pPr>
      <w:r>
        <w:rPr>
          <w:rFonts w:hint="default" w:ascii="Times New Roman" w:hAnsi="Times New Roman" w:cs="Times New Roman"/>
          <w:color w:val="auto"/>
          <w:sz w:val="24"/>
          <w:highlight w:val="none"/>
          <w:lang w:val="en-US" w:eastAsia="zh-CN"/>
        </w:rPr>
        <w:t>粪便固液分离废水：</w:t>
      </w:r>
      <w:r>
        <w:rPr>
          <w:rFonts w:hint="default" w:ascii="Times New Roman" w:hAnsi="Times New Roman" w:cs="Times New Roman"/>
          <w:color w:val="auto"/>
          <w:sz w:val="24"/>
          <w:highlight w:val="none"/>
        </w:rPr>
        <w:t>根据《畜禽养殖业污染治理工程技术规范》（HJ 497-2009）表A.2，猪粪便排泄系数按照2</w:t>
      </w:r>
      <w:r>
        <w:rPr>
          <w:rFonts w:hint="default" w:ascii="Times New Roman" w:hAnsi="Times New Roman" w:cs="Times New Roman"/>
          <w:color w:val="auto"/>
          <w:sz w:val="24"/>
          <w:highlight w:val="none"/>
          <w:lang w:val="en-US" w:eastAsia="zh-CN"/>
        </w:rPr>
        <w:t>L</w:t>
      </w:r>
      <w:r>
        <w:rPr>
          <w:rFonts w:hint="default" w:ascii="Times New Roman" w:hAnsi="Times New Roman" w:cs="Times New Roman"/>
          <w:color w:val="auto"/>
          <w:sz w:val="24"/>
          <w:highlight w:val="none"/>
        </w:rPr>
        <w:t>/只</w:t>
      </w:r>
      <w:r>
        <w:rPr>
          <w:rFonts w:hint="default" w:ascii="Times New Roman" w:hAnsi="Times New Roman" w:cs="Times New Roman"/>
          <w:color w:val="auto"/>
          <w:sz w:val="24"/>
          <w:highlight w:val="none"/>
        </w:rPr>
        <w:sym w:font="Wingdings 2" w:char="F095"/>
      </w:r>
      <w:r>
        <w:rPr>
          <w:rFonts w:hint="default" w:ascii="Times New Roman" w:hAnsi="Times New Roman" w:cs="Times New Roman"/>
          <w:color w:val="auto"/>
          <w:sz w:val="24"/>
          <w:highlight w:val="none"/>
        </w:rPr>
        <w:t>d计，则项目粪便产生量为</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lang w:val="en-US" w:eastAsia="zh-CN"/>
        </w:rPr>
        <w:t>2560</w:t>
      </w:r>
      <w:r>
        <w:rPr>
          <w:rFonts w:hint="default" w:ascii="Times New Roman" w:hAnsi="Times New Roman" w:cs="Times New Roman"/>
          <w:color w:val="auto"/>
          <w:sz w:val="24"/>
          <w:highlight w:val="none"/>
        </w:rPr>
        <w:t>t/a。粪</w:t>
      </w:r>
      <w:r>
        <w:rPr>
          <w:rFonts w:hint="default" w:ascii="Times New Roman" w:hAnsi="Times New Roman" w:cs="Times New Roman"/>
          <w:color w:val="auto"/>
          <w:sz w:val="24"/>
          <w:highlight w:val="none"/>
          <w:lang w:bidi="zh-CN"/>
        </w:rPr>
        <w:t>污初始含水率在60%</w:t>
      </w:r>
      <w:r>
        <w:rPr>
          <w:rFonts w:hint="eastAsia" w:ascii="Times New Roman" w:hAnsi="Times New Roman" w:cs="Times New Roman"/>
          <w:color w:val="auto"/>
          <w:sz w:val="24"/>
          <w:highlight w:val="none"/>
          <w:lang w:bidi="zh-CN"/>
        </w:rPr>
        <w:t>～</w:t>
      </w:r>
      <w:r>
        <w:rPr>
          <w:rFonts w:hint="default" w:ascii="Times New Roman" w:hAnsi="Times New Roman" w:cs="Times New Roman"/>
          <w:color w:val="auto"/>
          <w:sz w:val="24"/>
          <w:highlight w:val="none"/>
          <w:lang w:bidi="zh-CN"/>
        </w:rPr>
        <w:t>65%。项目按照65%计，含水量为</w:t>
      </w:r>
      <w:r>
        <w:rPr>
          <w:rFonts w:hint="default" w:ascii="Times New Roman" w:hAnsi="Times New Roman" w:cs="Times New Roman"/>
          <w:color w:val="auto"/>
          <w:sz w:val="24"/>
          <w:highlight w:val="none"/>
          <w:lang w:val="en-US" w:bidi="zh-CN"/>
        </w:rPr>
        <w:t>5.2</w:t>
      </w:r>
      <w:r>
        <w:rPr>
          <w:rFonts w:hint="default" w:ascii="Times New Roman" w:hAnsi="Times New Roman" w:cs="Times New Roman"/>
          <w:color w:val="auto"/>
          <w:sz w:val="24"/>
          <w:highlight w:val="none"/>
          <w:lang w:bidi="zh-CN"/>
        </w:rPr>
        <w:t>t/d、固体量为</w:t>
      </w:r>
      <w:r>
        <w:rPr>
          <w:rFonts w:hint="default" w:ascii="Times New Roman" w:hAnsi="Times New Roman" w:cs="Times New Roman"/>
          <w:color w:val="auto"/>
          <w:sz w:val="24"/>
          <w:highlight w:val="none"/>
          <w:lang w:val="en-US" w:bidi="zh-CN"/>
        </w:rPr>
        <w:t>2.8</w:t>
      </w:r>
      <w:r>
        <w:rPr>
          <w:rFonts w:hint="default" w:ascii="Times New Roman" w:hAnsi="Times New Roman" w:cs="Times New Roman"/>
          <w:color w:val="auto"/>
          <w:sz w:val="24"/>
          <w:highlight w:val="none"/>
          <w:lang w:bidi="zh-CN"/>
        </w:rPr>
        <w:t>t/d；粪便随尿液进入粪尿收集池，通过泵提升后进入固液分离器进行固液分离。结合项目工艺设计参数，固液分离后粪便含水率为50%（含水量为</w:t>
      </w:r>
      <w:r>
        <w:rPr>
          <w:rFonts w:hint="default" w:ascii="Times New Roman" w:hAnsi="Times New Roman" w:cs="Times New Roman"/>
          <w:color w:val="auto"/>
          <w:sz w:val="24"/>
          <w:highlight w:val="none"/>
          <w:lang w:val="en-US" w:bidi="zh-CN"/>
        </w:rPr>
        <w:t>2.8</w:t>
      </w:r>
      <w:r>
        <w:rPr>
          <w:rFonts w:hint="default" w:ascii="Times New Roman" w:hAnsi="Times New Roman" w:cs="Times New Roman"/>
          <w:color w:val="auto"/>
          <w:sz w:val="24"/>
          <w:highlight w:val="none"/>
          <w:lang w:bidi="zh-CN"/>
        </w:rPr>
        <w:t>t/d、固体量为</w:t>
      </w:r>
      <w:r>
        <w:rPr>
          <w:rFonts w:hint="default" w:ascii="Times New Roman" w:hAnsi="Times New Roman" w:cs="Times New Roman"/>
          <w:color w:val="auto"/>
          <w:sz w:val="24"/>
          <w:highlight w:val="none"/>
          <w:lang w:val="en-US" w:bidi="zh-CN"/>
        </w:rPr>
        <w:t>2.8</w:t>
      </w:r>
      <w:r>
        <w:rPr>
          <w:rFonts w:hint="default" w:ascii="Times New Roman" w:hAnsi="Times New Roman" w:cs="Times New Roman"/>
          <w:color w:val="auto"/>
          <w:sz w:val="24"/>
          <w:highlight w:val="none"/>
          <w:lang w:bidi="zh-CN"/>
        </w:rPr>
        <w:t>t/d），则计算得到，固体粪便固液分离产生的废水为</w:t>
      </w:r>
      <w:r>
        <w:rPr>
          <w:rFonts w:hint="default" w:ascii="Times New Roman" w:hAnsi="Times New Roman" w:cs="Times New Roman"/>
          <w:color w:val="auto"/>
          <w:sz w:val="24"/>
          <w:highlight w:val="none"/>
          <w:lang w:val="en-US" w:bidi="zh-CN"/>
        </w:rPr>
        <w:t>2.4</w:t>
      </w:r>
      <w:r>
        <w:rPr>
          <w:rFonts w:hint="default" w:ascii="Times New Roman" w:hAnsi="Times New Roman" w:cs="Times New Roman"/>
          <w:color w:val="auto"/>
          <w:sz w:val="24"/>
          <w:highlight w:val="none"/>
          <w:lang w:bidi="zh-CN"/>
        </w:rPr>
        <w:t>m</w:t>
      </w:r>
      <w:r>
        <w:rPr>
          <w:rFonts w:hint="default" w:ascii="Times New Roman" w:hAnsi="Times New Roman" w:cs="Times New Roman"/>
          <w:color w:val="auto"/>
          <w:sz w:val="24"/>
          <w:highlight w:val="none"/>
          <w:vertAlign w:val="superscript"/>
          <w:lang w:bidi="zh-CN"/>
        </w:rPr>
        <w:t>3</w:t>
      </w:r>
      <w:r>
        <w:rPr>
          <w:rFonts w:hint="default" w:ascii="Times New Roman" w:hAnsi="Times New Roman" w:cs="Times New Roman"/>
          <w:color w:val="auto"/>
          <w:sz w:val="24"/>
          <w:highlight w:val="none"/>
          <w:lang w:bidi="zh-CN"/>
        </w:rPr>
        <w:t>/d，</w:t>
      </w:r>
      <w:r>
        <w:rPr>
          <w:rFonts w:hint="default" w:ascii="Times New Roman" w:hAnsi="Times New Roman" w:cs="Times New Roman"/>
          <w:color w:val="auto"/>
          <w:sz w:val="24"/>
          <w:highlight w:val="none"/>
          <w:lang w:val="en-US" w:bidi="zh-CN"/>
        </w:rPr>
        <w:t>768</w:t>
      </w:r>
      <w:r>
        <w:rPr>
          <w:rFonts w:hint="default" w:ascii="Times New Roman" w:hAnsi="Times New Roman" w:cs="Times New Roman"/>
          <w:color w:val="auto"/>
          <w:sz w:val="24"/>
          <w:highlight w:val="none"/>
          <w:lang w:bidi="zh-CN"/>
        </w:rPr>
        <w:t>m</w:t>
      </w:r>
      <w:r>
        <w:rPr>
          <w:rFonts w:hint="default" w:ascii="Times New Roman" w:hAnsi="Times New Roman" w:cs="Times New Roman"/>
          <w:color w:val="auto"/>
          <w:sz w:val="24"/>
          <w:highlight w:val="none"/>
          <w:vertAlign w:val="superscript"/>
          <w:lang w:bidi="zh-CN"/>
        </w:rPr>
        <w:t>3</w:t>
      </w:r>
      <w:r>
        <w:rPr>
          <w:rFonts w:hint="default" w:ascii="Times New Roman" w:hAnsi="Times New Roman" w:cs="Times New Roman"/>
          <w:color w:val="auto"/>
          <w:sz w:val="24"/>
          <w:highlight w:val="none"/>
          <w:lang w:bidi="zh-CN"/>
        </w:rPr>
        <w:t>/a。废水进入</w:t>
      </w:r>
      <w:r>
        <w:rPr>
          <w:rFonts w:hint="default" w:ascii="Times New Roman" w:hAnsi="Times New Roman" w:cs="Times New Roman"/>
          <w:color w:val="auto"/>
          <w:sz w:val="24"/>
          <w:highlight w:val="none"/>
          <w:lang w:val="en-US" w:bidi="zh-CN"/>
        </w:rPr>
        <w:t>废水收集池</w:t>
      </w:r>
      <w:r>
        <w:rPr>
          <w:rFonts w:hint="default" w:ascii="Times New Roman" w:hAnsi="Times New Roman" w:cs="Times New Roman"/>
          <w:color w:val="auto"/>
          <w:sz w:val="24"/>
          <w:highlight w:val="none"/>
          <w:lang w:bidi="zh-CN"/>
        </w:rPr>
        <w:t>。</w:t>
      </w:r>
    </w:p>
    <w:p w14:paraId="3A80E0A6">
      <w:pPr>
        <w:snapToGrid w:val="0"/>
        <w:spacing w:line="360" w:lineRule="auto"/>
        <w:ind w:firstLine="48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w:t>
      </w:r>
      <w:r>
        <w:rPr>
          <w:rFonts w:hint="default" w:ascii="Times New Roman" w:hAnsi="Times New Roman" w:cs="Times New Roman"/>
          <w:b/>
          <w:color w:val="auto"/>
          <w:sz w:val="24"/>
          <w:highlight w:val="none"/>
          <w:lang w:val="en-US" w:eastAsia="zh-CN"/>
        </w:rPr>
        <w:t>堆粪棚</w:t>
      </w:r>
      <w:r>
        <w:rPr>
          <w:rFonts w:hint="default" w:ascii="Times New Roman" w:hAnsi="Times New Roman" w:cs="Times New Roman"/>
          <w:b/>
          <w:color w:val="auto"/>
          <w:sz w:val="24"/>
          <w:highlight w:val="none"/>
        </w:rPr>
        <w:t>渗滤液</w:t>
      </w:r>
    </w:p>
    <w:p w14:paraId="68F8A5F9">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rPr>
        <w:t>项目</w:t>
      </w:r>
      <w:r>
        <w:rPr>
          <w:rFonts w:hint="default" w:ascii="Times New Roman" w:hAnsi="Times New Roman" w:cs="Times New Roman"/>
          <w:color w:val="auto"/>
          <w:sz w:val="24"/>
          <w:lang w:val="en-US" w:eastAsia="zh-CN"/>
        </w:rPr>
        <w:t>堆粪棚堆肥物料为</w:t>
      </w:r>
      <w:r>
        <w:rPr>
          <w:rFonts w:hint="default" w:ascii="Times New Roman" w:hAnsi="Times New Roman" w:cs="Times New Roman"/>
          <w:color w:val="auto"/>
          <w:sz w:val="24"/>
        </w:rPr>
        <w:t>粪便及饲料残渣</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同时需添加锯末、秸秆粉、菌体等将含水率调至50%左右后进行堆肥发酵，</w:t>
      </w:r>
      <w:r>
        <w:rPr>
          <w:rFonts w:hint="default" w:ascii="Times New Roman" w:hAnsi="Times New Roman" w:cs="Times New Roman"/>
          <w:color w:val="auto"/>
          <w:sz w:val="24"/>
          <w:lang w:val="en-US" w:eastAsia="zh-CN"/>
        </w:rPr>
        <w:t>堆肥</w:t>
      </w:r>
      <w:r>
        <w:rPr>
          <w:rFonts w:hint="default" w:ascii="Times New Roman" w:hAnsi="Times New Roman" w:cs="Times New Roman"/>
          <w:color w:val="auto"/>
          <w:sz w:val="24"/>
        </w:rPr>
        <w:t>过程中会有渗滤液产生，渗滤液主要来源于粪便中含水量，故渗滤液主要考虑粪便产生的量</w:t>
      </w:r>
      <w:r>
        <w:rPr>
          <w:rFonts w:hint="default" w:ascii="Times New Roman" w:hAnsi="Times New Roman" w:cs="Times New Roman"/>
          <w:color w:val="auto"/>
          <w:sz w:val="24"/>
          <w:lang w:eastAsia="zh-CN"/>
        </w:rPr>
        <w:t>。</w:t>
      </w:r>
    </w:p>
    <w:p w14:paraId="6D64B3AB">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经过固液分离后，进入</w:t>
      </w:r>
      <w:r>
        <w:rPr>
          <w:rFonts w:hint="default" w:ascii="Times New Roman" w:hAnsi="Times New Roman" w:cs="Times New Roman"/>
          <w:color w:val="auto"/>
          <w:sz w:val="24"/>
          <w:highlight w:val="none"/>
          <w:lang w:eastAsia="zh-CN"/>
        </w:rPr>
        <w:t>堆粪棚</w:t>
      </w:r>
      <w:r>
        <w:rPr>
          <w:rFonts w:hint="default" w:ascii="Times New Roman" w:hAnsi="Times New Roman" w:cs="Times New Roman"/>
          <w:color w:val="auto"/>
          <w:sz w:val="24"/>
          <w:highlight w:val="none"/>
        </w:rPr>
        <w:t>的粪便</w:t>
      </w:r>
      <w:r>
        <w:rPr>
          <w:rFonts w:hint="default" w:ascii="Times New Roman" w:hAnsi="Times New Roman" w:cs="Times New Roman"/>
          <w:color w:val="auto"/>
          <w:sz w:val="24"/>
          <w:highlight w:val="none"/>
          <w:lang w:val="en-US" w:eastAsia="zh-CN"/>
        </w:rPr>
        <w:t>量为</w:t>
      </w:r>
      <w:r>
        <w:rPr>
          <w:rFonts w:hint="default" w:ascii="Times New Roman" w:hAnsi="Times New Roman" w:cs="Times New Roman"/>
          <w:color w:val="auto"/>
          <w:sz w:val="24"/>
          <w:lang w:val="en-US" w:eastAsia="zh-CN"/>
        </w:rPr>
        <w:t>5.6</w:t>
      </w:r>
      <w:r>
        <w:rPr>
          <w:rFonts w:hint="default" w:ascii="Times New Roman" w:hAnsi="Times New Roman" w:cs="Times New Roman"/>
          <w:color w:val="auto"/>
          <w:sz w:val="24"/>
        </w:rPr>
        <w:t>t/</w:t>
      </w:r>
      <w:r>
        <w:rPr>
          <w:rFonts w:hint="default" w:ascii="Times New Roman" w:hAnsi="Times New Roman" w:cs="Times New Roman"/>
          <w:color w:val="auto"/>
          <w:sz w:val="24"/>
          <w:lang w:val="en-US" w:eastAsia="zh-CN"/>
        </w:rPr>
        <w:t>d、1792</w:t>
      </w:r>
      <w:r>
        <w:rPr>
          <w:rFonts w:hint="default" w:ascii="Times New Roman" w:hAnsi="Times New Roman" w:cs="Times New Roman"/>
          <w:color w:val="auto"/>
          <w:sz w:val="24"/>
        </w:rPr>
        <w:t>t/a，</w:t>
      </w:r>
      <w:r>
        <w:rPr>
          <w:rFonts w:hint="default" w:ascii="Times New Roman" w:hAnsi="Times New Roman" w:cs="Times New Roman"/>
          <w:color w:val="auto"/>
          <w:sz w:val="24"/>
          <w:highlight w:val="none"/>
          <w:lang w:val="en-US" w:eastAsia="zh-CN"/>
        </w:rPr>
        <w:t>渗滤液</w:t>
      </w:r>
      <w:r>
        <w:rPr>
          <w:rFonts w:hint="default" w:ascii="Times New Roman" w:hAnsi="Times New Roman" w:cs="Times New Roman"/>
          <w:color w:val="auto"/>
          <w:sz w:val="24"/>
          <w:highlight w:val="none"/>
        </w:rPr>
        <w:t>产生量约为</w:t>
      </w:r>
      <w:r>
        <w:rPr>
          <w:rFonts w:hint="default" w:ascii="Times New Roman" w:hAnsi="Times New Roman" w:cs="Times New Roman"/>
          <w:color w:val="auto"/>
          <w:sz w:val="24"/>
          <w:highlight w:val="none"/>
          <w:lang w:eastAsia="zh-CN"/>
        </w:rPr>
        <w:t>粪便</w:t>
      </w:r>
      <w:r>
        <w:rPr>
          <w:rFonts w:hint="default" w:ascii="Times New Roman" w:hAnsi="Times New Roman" w:cs="Times New Roman"/>
          <w:color w:val="auto"/>
          <w:sz w:val="24"/>
          <w:highlight w:val="none"/>
        </w:rPr>
        <w:t>量的5%，则</w:t>
      </w:r>
      <w:r>
        <w:rPr>
          <w:rFonts w:hint="default" w:ascii="Times New Roman" w:hAnsi="Times New Roman" w:cs="Times New Roman"/>
          <w:color w:val="auto"/>
          <w:sz w:val="24"/>
          <w:highlight w:val="none"/>
          <w:lang w:eastAsia="zh-CN"/>
        </w:rPr>
        <w:t>粪便</w:t>
      </w:r>
      <w:r>
        <w:rPr>
          <w:rFonts w:hint="default" w:ascii="Times New Roman" w:hAnsi="Times New Roman" w:cs="Times New Roman"/>
          <w:color w:val="auto"/>
          <w:sz w:val="24"/>
          <w:highlight w:val="none"/>
        </w:rPr>
        <w:t>堆肥渗滤液产生量为</w:t>
      </w:r>
      <w:r>
        <w:rPr>
          <w:rFonts w:hint="default" w:ascii="Times New Roman" w:hAnsi="Times New Roman" w:cs="Times New Roman"/>
          <w:color w:val="auto"/>
          <w:sz w:val="24"/>
          <w:highlight w:val="none"/>
          <w:lang w:val="en-US" w:bidi="zh-CN"/>
        </w:rPr>
        <w:t>0.28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lang w:val="en-US" w:eastAsia="zh-CN"/>
        </w:rPr>
        <w:t>89.6</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w:t>
      </w:r>
      <w:r>
        <w:rPr>
          <w:rFonts w:hint="default" w:ascii="Times New Roman" w:hAnsi="Times New Roman" w:cs="Times New Roman"/>
          <w:color w:val="auto"/>
          <w:sz w:val="24"/>
          <w:highlight w:val="none"/>
        </w:rPr>
        <w:t>。</w:t>
      </w:r>
    </w:p>
    <w:p w14:paraId="1CA7A848">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rPr>
        <w:t>堆</w:t>
      </w:r>
      <w:r>
        <w:rPr>
          <w:rFonts w:hint="default" w:ascii="Times New Roman" w:hAnsi="Times New Roman" w:cs="Times New Roman"/>
          <w:color w:val="auto"/>
          <w:sz w:val="24"/>
          <w:lang w:val="en-US" w:eastAsia="zh-CN"/>
        </w:rPr>
        <w:t>粪棚</w:t>
      </w:r>
      <w:r>
        <w:rPr>
          <w:rFonts w:hint="default" w:ascii="Times New Roman" w:hAnsi="Times New Roman" w:cs="Times New Roman"/>
          <w:color w:val="auto"/>
          <w:sz w:val="24"/>
        </w:rPr>
        <w:t>四周设置截污沟，产生的渗滤液通过截污沟收集后进入</w:t>
      </w:r>
      <w:r>
        <w:rPr>
          <w:rFonts w:hint="default" w:ascii="Times New Roman" w:hAnsi="Times New Roman" w:cs="Times New Roman"/>
          <w:color w:val="auto"/>
          <w:sz w:val="24"/>
          <w:lang w:val="en-US" w:eastAsia="zh-CN"/>
        </w:rPr>
        <w:t>废水收集池</w:t>
      </w:r>
      <w:r>
        <w:rPr>
          <w:rFonts w:hint="default" w:ascii="Times New Roman" w:hAnsi="Times New Roman" w:cs="Times New Roman"/>
          <w:color w:val="auto"/>
          <w:sz w:val="24"/>
        </w:rPr>
        <w:t>。</w:t>
      </w:r>
    </w:p>
    <w:p w14:paraId="29EA087E">
      <w:pPr>
        <w:snapToGrid w:val="0"/>
        <w:spacing w:line="360" w:lineRule="auto"/>
        <w:ind w:firstLine="48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5</w:t>
      </w:r>
      <w:r>
        <w:rPr>
          <w:rFonts w:hint="default" w:ascii="Times New Roman" w:hAnsi="Times New Roman" w:cs="Times New Roman"/>
          <w:b/>
          <w:color w:val="auto"/>
          <w:sz w:val="24"/>
          <w:highlight w:val="none"/>
        </w:rPr>
        <w:t>）</w:t>
      </w:r>
      <w:r>
        <w:rPr>
          <w:rFonts w:hint="default" w:ascii="Times New Roman" w:hAnsi="Times New Roman" w:cs="Times New Roman"/>
          <w:b/>
          <w:bCs/>
          <w:color w:val="auto"/>
          <w:sz w:val="24"/>
          <w:highlight w:val="none"/>
          <w:lang w:val="en-US" w:eastAsia="zh-CN"/>
        </w:rPr>
        <w:t>洗消</w:t>
      </w:r>
      <w:r>
        <w:rPr>
          <w:rFonts w:hint="default" w:ascii="Times New Roman" w:hAnsi="Times New Roman" w:cs="Times New Roman"/>
          <w:b/>
          <w:bCs/>
          <w:color w:val="auto"/>
          <w:sz w:val="24"/>
          <w:highlight w:val="none"/>
        </w:rPr>
        <w:t>废水</w:t>
      </w:r>
    </w:p>
    <w:p w14:paraId="00F24C4F">
      <w:pPr>
        <w:keepNext w:val="0"/>
        <w:keepLines w:val="0"/>
        <w:widowControl/>
        <w:suppressLineNumbers w:val="0"/>
        <w:snapToGrid/>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bCs/>
          <w:color w:val="auto"/>
          <w:sz w:val="24"/>
          <w:szCs w:val="24"/>
          <w:lang w:val="en-US" w:eastAsia="zh-CN"/>
        </w:rPr>
        <w:t>根据前文，</w:t>
      </w:r>
      <w:r>
        <w:rPr>
          <w:rFonts w:hint="default" w:ascii="Times New Roman" w:hAnsi="Times New Roman" w:eastAsia="宋体" w:cs="Times New Roman"/>
          <w:color w:val="auto"/>
          <w:spacing w:val="-11"/>
          <w:sz w:val="24"/>
          <w:szCs w:val="24"/>
        </w:rPr>
        <w:t>洗消</w:t>
      </w:r>
      <w:r>
        <w:rPr>
          <w:rFonts w:hint="default" w:ascii="Times New Roman" w:hAnsi="Times New Roman" w:eastAsia="宋体" w:cs="Times New Roman"/>
          <w:color w:val="auto"/>
          <w:spacing w:val="-11"/>
          <w:sz w:val="24"/>
          <w:szCs w:val="24"/>
          <w:lang w:eastAsia="zh-CN"/>
        </w:rPr>
        <w:t>棚</w:t>
      </w:r>
      <w:r>
        <w:rPr>
          <w:rFonts w:hint="default" w:ascii="Times New Roman" w:hAnsi="Times New Roman" w:eastAsia="宋体" w:cs="Times New Roman"/>
          <w:color w:val="auto"/>
          <w:spacing w:val="-11"/>
          <w:sz w:val="24"/>
          <w:szCs w:val="24"/>
        </w:rPr>
        <w:t>车辆</w:t>
      </w:r>
      <w:r>
        <w:rPr>
          <w:rFonts w:hint="default" w:ascii="Times New Roman" w:hAnsi="Times New Roman" w:eastAsia="宋体" w:cs="Times New Roman"/>
          <w:color w:val="auto"/>
          <w:spacing w:val="-11"/>
          <w:sz w:val="24"/>
          <w:szCs w:val="24"/>
          <w:lang w:val="en-US" w:eastAsia="zh-CN"/>
        </w:rPr>
        <w:t>清</w:t>
      </w:r>
      <w:r>
        <w:rPr>
          <w:rFonts w:hint="default" w:ascii="Times New Roman" w:hAnsi="Times New Roman" w:cs="Times New Roman"/>
          <w:bCs/>
          <w:color w:val="auto"/>
          <w:sz w:val="24"/>
          <w:szCs w:val="24"/>
          <w:lang w:val="en-US" w:eastAsia="zh-CN"/>
        </w:rPr>
        <w:t>洗耗水量为20.88m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/a，平均0.065m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/d。</w:t>
      </w:r>
      <w:r>
        <w:rPr>
          <w:rFonts w:hint="default" w:ascii="Times New Roman" w:hAnsi="Times New Roman" w:eastAsia="宋体" w:cs="Times New Roman"/>
          <w:color w:val="auto"/>
          <w:spacing w:val="-7"/>
          <w:sz w:val="24"/>
          <w:szCs w:val="24"/>
          <w:lang w:val="en-US" w:eastAsia="zh-CN"/>
        </w:rPr>
        <w:t>废水产生量按用水量的90%，经计算，本项目车辆清洗废水产生量为</w:t>
      </w:r>
      <w:r>
        <w:rPr>
          <w:rFonts w:hint="default" w:ascii="Times New Roman" w:hAnsi="Times New Roman" w:cs="Times New Roman"/>
          <w:bCs/>
          <w:color w:val="auto"/>
          <w:sz w:val="24"/>
          <w:szCs w:val="24"/>
          <w:lang w:val="en-US" w:bidi="zh-CN"/>
        </w:rPr>
        <w:t>0.059</w:t>
      </w:r>
      <w:r>
        <w:rPr>
          <w:rFonts w:hint="default" w:ascii="Times New Roman" w:hAnsi="Times New Roman" w:eastAsia="宋体" w:cs="Times New Roman"/>
          <w:color w:val="auto"/>
          <w:spacing w:val="-7"/>
          <w:sz w:val="24"/>
          <w:szCs w:val="24"/>
          <w:lang w:val="en-US" w:eastAsia="zh-CN"/>
        </w:rPr>
        <w:t>m</w:t>
      </w:r>
      <w:r>
        <w:rPr>
          <w:rFonts w:hint="default" w:ascii="Times New Roman" w:hAnsi="Times New Roman" w:eastAsia="宋体" w:cs="Times New Roman"/>
          <w:color w:val="auto"/>
          <w:spacing w:val="-7"/>
          <w:sz w:val="24"/>
          <w:szCs w:val="24"/>
          <w:vertAlign w:val="superscript"/>
          <w:lang w:val="en-US" w:eastAsia="zh-CN"/>
        </w:rPr>
        <w:t>3</w:t>
      </w:r>
      <w:r>
        <w:rPr>
          <w:rFonts w:hint="default" w:ascii="Times New Roman" w:hAnsi="Times New Roman" w:eastAsia="宋体" w:cs="Times New Roman"/>
          <w:color w:val="auto"/>
          <w:spacing w:val="-7"/>
          <w:sz w:val="24"/>
          <w:szCs w:val="24"/>
          <w:lang w:val="en-US" w:eastAsia="zh-CN"/>
        </w:rPr>
        <w:t>/d，18.79</w:t>
      </w:r>
      <w:r>
        <w:rPr>
          <w:rFonts w:hint="default" w:ascii="Times New Roman" w:hAnsi="Times New Roman" w:eastAsia="宋体" w:cs="Times New Roman"/>
          <w:color w:val="auto"/>
          <w:spacing w:val="-11"/>
          <w:sz w:val="24"/>
          <w:szCs w:val="24"/>
        </w:rPr>
        <w:t>m</w:t>
      </w:r>
      <w:r>
        <w:rPr>
          <w:rFonts w:hint="default" w:ascii="Times New Roman" w:hAnsi="Times New Roman" w:cs="Times New Roman"/>
          <w:color w:val="auto"/>
          <w:spacing w:val="-11"/>
          <w:sz w:val="24"/>
          <w:szCs w:val="24"/>
          <w:vertAlign w:val="superscript"/>
          <w:lang w:val="en-US" w:eastAsia="zh-CN"/>
        </w:rPr>
        <w:t>3</w:t>
      </w:r>
      <w:r>
        <w:rPr>
          <w:rFonts w:hint="default" w:ascii="Times New Roman" w:hAnsi="Times New Roman" w:eastAsia="宋体" w:cs="Times New Roman"/>
          <w:color w:val="auto"/>
          <w:spacing w:val="-11"/>
          <w:sz w:val="24"/>
          <w:szCs w:val="24"/>
        </w:rPr>
        <w:t>/a</w:t>
      </w:r>
      <w:r>
        <w:rPr>
          <w:rFonts w:hint="default" w:ascii="Times New Roman" w:hAnsi="Times New Roman" w:eastAsia="宋体" w:cs="Times New Roman"/>
          <w:color w:val="auto"/>
          <w:spacing w:val="-11"/>
          <w:sz w:val="24"/>
          <w:szCs w:val="24"/>
          <w:lang w:eastAsia="zh-CN"/>
        </w:rPr>
        <w:t>。</w:t>
      </w:r>
      <w:r>
        <w:rPr>
          <w:rFonts w:hint="default" w:ascii="Times New Roman" w:hAnsi="Times New Roman" w:cs="Times New Roman"/>
          <w:bCs/>
          <w:color w:val="auto"/>
          <w:sz w:val="24"/>
          <w:highlight w:val="none"/>
          <w:lang w:bidi="zh-CN"/>
        </w:rPr>
        <w:t>浸泡消毒废水量</w:t>
      </w:r>
      <w:r>
        <w:rPr>
          <w:rFonts w:hint="default" w:ascii="Times New Roman" w:hAnsi="Times New Roman" w:cs="Times New Roman"/>
          <w:bCs/>
          <w:color w:val="auto"/>
          <w:sz w:val="24"/>
          <w:highlight w:val="none"/>
          <w:lang w:val="en-US" w:eastAsia="zh-CN" w:bidi="zh-CN"/>
        </w:rPr>
        <w:t>41.14</w:t>
      </w:r>
      <w:r>
        <w:rPr>
          <w:rFonts w:hint="default" w:ascii="Times New Roman" w:hAnsi="Times New Roman" w:cs="Times New Roman"/>
          <w:bCs/>
          <w:color w:val="auto"/>
          <w:sz w:val="24"/>
          <w:highlight w:val="none"/>
          <w:lang w:bidi="zh-CN"/>
        </w:rPr>
        <w:t>m</w:t>
      </w:r>
      <w:r>
        <w:rPr>
          <w:rFonts w:hint="default" w:ascii="Times New Roman" w:hAnsi="Times New Roman" w:cs="Times New Roman"/>
          <w:bCs/>
          <w:color w:val="auto"/>
          <w:sz w:val="24"/>
          <w:highlight w:val="none"/>
          <w:vertAlign w:val="superscript"/>
          <w:lang w:bidi="zh-CN"/>
        </w:rPr>
        <w:t>3</w:t>
      </w:r>
      <w:r>
        <w:rPr>
          <w:rFonts w:hint="default" w:ascii="Times New Roman" w:hAnsi="Times New Roman" w:cs="Times New Roman"/>
          <w:bCs/>
          <w:color w:val="auto"/>
          <w:sz w:val="24"/>
          <w:highlight w:val="none"/>
          <w:lang w:bidi="zh-CN"/>
        </w:rPr>
        <w:t>/a（0.1</w:t>
      </w:r>
      <w:r>
        <w:rPr>
          <w:rFonts w:hint="default" w:ascii="Times New Roman" w:hAnsi="Times New Roman" w:cs="Times New Roman"/>
          <w:bCs/>
          <w:color w:val="auto"/>
          <w:sz w:val="24"/>
          <w:highlight w:val="none"/>
          <w:lang w:val="en-US" w:bidi="zh-CN"/>
        </w:rPr>
        <w:t>28</w:t>
      </w:r>
      <w:r>
        <w:rPr>
          <w:rFonts w:hint="default" w:ascii="Times New Roman" w:hAnsi="Times New Roman" w:cs="Times New Roman"/>
          <w:bCs/>
          <w:color w:val="auto"/>
          <w:sz w:val="24"/>
          <w:highlight w:val="none"/>
          <w:lang w:bidi="zh-CN"/>
        </w:rPr>
        <w:t>m</w:t>
      </w:r>
      <w:r>
        <w:rPr>
          <w:rFonts w:hint="default" w:ascii="Times New Roman" w:hAnsi="Times New Roman" w:cs="Times New Roman"/>
          <w:bCs/>
          <w:color w:val="auto"/>
          <w:sz w:val="24"/>
          <w:highlight w:val="none"/>
          <w:vertAlign w:val="superscript"/>
          <w:lang w:bidi="zh-CN"/>
        </w:rPr>
        <w:t>3</w:t>
      </w:r>
      <w:r>
        <w:rPr>
          <w:rFonts w:hint="default" w:ascii="Times New Roman" w:hAnsi="Times New Roman" w:cs="Times New Roman"/>
          <w:bCs/>
          <w:color w:val="auto"/>
          <w:sz w:val="24"/>
          <w:highlight w:val="none"/>
          <w:lang w:bidi="zh-CN"/>
        </w:rPr>
        <w:t>/d）。</w:t>
      </w:r>
      <w:r>
        <w:rPr>
          <w:rFonts w:hint="default" w:ascii="Times New Roman" w:hAnsi="Times New Roman" w:cs="Times New Roman"/>
          <w:bCs/>
          <w:color w:val="auto"/>
          <w:sz w:val="24"/>
          <w:highlight w:val="none"/>
          <w:lang w:val="en-US" w:bidi="zh-CN"/>
        </w:rPr>
        <w:t>洗消废水产生量共计0.187</w:t>
      </w:r>
      <w:r>
        <w:rPr>
          <w:rFonts w:hint="default" w:ascii="Times New Roman" w:hAnsi="Times New Roman" w:eastAsia="宋体" w:cs="Times New Roman"/>
          <w:color w:val="auto"/>
          <w:spacing w:val="-7"/>
          <w:sz w:val="24"/>
          <w:szCs w:val="24"/>
          <w:lang w:val="en-US" w:eastAsia="zh-CN"/>
        </w:rPr>
        <w:t>m</w:t>
      </w:r>
      <w:r>
        <w:rPr>
          <w:rFonts w:hint="default" w:ascii="Times New Roman" w:hAnsi="Times New Roman" w:eastAsia="宋体" w:cs="Times New Roman"/>
          <w:color w:val="auto"/>
          <w:spacing w:val="-7"/>
          <w:sz w:val="24"/>
          <w:szCs w:val="24"/>
          <w:vertAlign w:val="superscript"/>
          <w:lang w:val="en-US" w:eastAsia="zh-CN"/>
        </w:rPr>
        <w:t>3</w:t>
      </w:r>
      <w:r>
        <w:rPr>
          <w:rFonts w:hint="default" w:ascii="Times New Roman" w:hAnsi="Times New Roman" w:eastAsia="宋体" w:cs="Times New Roman"/>
          <w:color w:val="auto"/>
          <w:spacing w:val="-7"/>
          <w:sz w:val="24"/>
          <w:szCs w:val="24"/>
          <w:lang w:val="en-US" w:eastAsia="zh-CN"/>
        </w:rPr>
        <w:t>/d，59.93</w:t>
      </w:r>
      <w:r>
        <w:rPr>
          <w:rFonts w:hint="default" w:ascii="Times New Roman" w:hAnsi="Times New Roman" w:eastAsia="宋体" w:cs="Times New Roman"/>
          <w:color w:val="auto"/>
          <w:spacing w:val="-11"/>
          <w:sz w:val="24"/>
          <w:szCs w:val="24"/>
        </w:rPr>
        <w:t>m</w:t>
      </w:r>
      <w:r>
        <w:rPr>
          <w:rFonts w:hint="default" w:ascii="Times New Roman" w:hAnsi="Times New Roman" w:cs="Times New Roman"/>
          <w:color w:val="auto"/>
          <w:spacing w:val="-11"/>
          <w:sz w:val="24"/>
          <w:szCs w:val="24"/>
          <w:vertAlign w:val="superscript"/>
          <w:lang w:val="en-US" w:eastAsia="zh-CN"/>
        </w:rPr>
        <w:t>3</w:t>
      </w:r>
      <w:r>
        <w:rPr>
          <w:rFonts w:hint="default" w:ascii="Times New Roman" w:hAnsi="Times New Roman" w:eastAsia="宋体" w:cs="Times New Roman"/>
          <w:color w:val="auto"/>
          <w:spacing w:val="-11"/>
          <w:sz w:val="24"/>
          <w:szCs w:val="24"/>
        </w:rPr>
        <w:t>/a</w:t>
      </w:r>
      <w:r>
        <w:rPr>
          <w:rFonts w:hint="default" w:ascii="Times New Roman" w:hAnsi="Times New Roman" w:cs="Times New Roman"/>
          <w:bCs/>
          <w:color w:val="auto"/>
          <w:sz w:val="24"/>
          <w:highlight w:val="none"/>
          <w:lang w:bidi="zh-CN"/>
        </w:rPr>
        <w:t>。废水进入</w:t>
      </w:r>
      <w:r>
        <w:rPr>
          <w:rFonts w:hint="default" w:ascii="Times New Roman" w:hAnsi="Times New Roman" w:cs="Times New Roman"/>
          <w:bCs/>
          <w:color w:val="auto"/>
          <w:sz w:val="24"/>
          <w:highlight w:val="none"/>
          <w:lang w:val="en-US" w:bidi="zh-CN"/>
        </w:rPr>
        <w:t>废水收集池</w:t>
      </w:r>
      <w:r>
        <w:rPr>
          <w:rFonts w:hint="default" w:ascii="Times New Roman" w:hAnsi="Times New Roman" w:cs="Times New Roman"/>
          <w:bCs/>
          <w:color w:val="auto"/>
          <w:sz w:val="24"/>
          <w:highlight w:val="none"/>
          <w:lang w:bidi="zh-CN"/>
        </w:rPr>
        <w:t>。</w:t>
      </w:r>
    </w:p>
    <w:p w14:paraId="081D972A">
      <w:pPr>
        <w:numPr>
          <w:ilvl w:val="0"/>
          <w:numId w:val="0"/>
        </w:numPr>
        <w:snapToGrid w:val="0"/>
        <w:spacing w:line="360" w:lineRule="auto"/>
        <w:ind w:firstLine="482" w:firstLineChars="200"/>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（6）水帘降温废水</w:t>
      </w:r>
    </w:p>
    <w:p w14:paraId="29D886A5">
      <w:pPr>
        <w:keepNext w:val="0"/>
        <w:keepLines w:val="0"/>
        <w:widowControl/>
        <w:suppressLineNumbers w:val="0"/>
        <w:snapToGrid/>
        <w:spacing w:line="360" w:lineRule="auto"/>
        <w:ind w:firstLine="480" w:firstLineChars="200"/>
        <w:jc w:val="left"/>
        <w:rPr>
          <w:rFonts w:hint="default" w:ascii="Times New Roman" w:hAnsi="Times New Roman" w:eastAsia="宋体" w:cs="Times New Roman"/>
          <w:bCs/>
          <w:color w:val="auto"/>
          <w:sz w:val="24"/>
          <w:highlight w:val="none"/>
          <w:lang w:val="en-US" w:eastAsia="zh-CN" w:bidi="zh-CN"/>
        </w:rPr>
      </w:pPr>
      <w:r>
        <w:rPr>
          <w:rFonts w:hint="default" w:ascii="Times New Roman" w:hAnsi="Times New Roman" w:eastAsia="宋体" w:cs="Times New Roman"/>
          <w:bCs/>
          <w:color w:val="auto"/>
          <w:sz w:val="24"/>
          <w:highlight w:val="none"/>
          <w:lang w:val="en-US" w:eastAsia="zh-CN" w:bidi="zh-CN"/>
        </w:rPr>
        <w:t>根据前文分析，水帘降温废水排放量为10m</w:t>
      </w:r>
      <w:r>
        <w:rPr>
          <w:rFonts w:hint="default" w:ascii="Times New Roman" w:hAnsi="Times New Roman" w:eastAsia="宋体" w:cs="Times New Roman"/>
          <w:bCs/>
          <w:color w:val="auto"/>
          <w:sz w:val="24"/>
          <w:highlight w:val="none"/>
          <w:vertAlign w:val="superscript"/>
          <w:lang w:val="en-US" w:eastAsia="zh-CN" w:bidi="zh-CN"/>
        </w:rPr>
        <w:t>3</w:t>
      </w:r>
      <w:r>
        <w:rPr>
          <w:rFonts w:hint="default" w:ascii="Times New Roman" w:hAnsi="Times New Roman" w:eastAsia="宋体" w:cs="Times New Roman"/>
          <w:bCs/>
          <w:color w:val="auto"/>
          <w:sz w:val="24"/>
          <w:highlight w:val="none"/>
          <w:lang w:val="en-US" w:eastAsia="zh-CN" w:bidi="zh-CN"/>
        </w:rPr>
        <w:t>/a</w:t>
      </w:r>
      <w:r>
        <w:rPr>
          <w:rFonts w:hint="default" w:ascii="Times New Roman" w:hAnsi="Times New Roman" w:cs="Times New Roman"/>
          <w:bCs/>
          <w:color w:val="auto"/>
          <w:sz w:val="24"/>
          <w:highlight w:val="none"/>
          <w:lang w:val="en-US" w:eastAsia="zh-CN" w:bidi="zh-CN"/>
        </w:rPr>
        <w:t>（1次）</w:t>
      </w:r>
      <w:r>
        <w:rPr>
          <w:rFonts w:hint="default" w:ascii="Times New Roman" w:hAnsi="Times New Roman" w:eastAsia="宋体" w:cs="Times New Roman"/>
          <w:bCs/>
          <w:color w:val="auto"/>
          <w:sz w:val="24"/>
          <w:highlight w:val="none"/>
          <w:lang w:val="en-US" w:eastAsia="zh-CN" w:bidi="zh-CN"/>
        </w:rPr>
        <w:t>。平均0.03m³/d。</w:t>
      </w:r>
    </w:p>
    <w:p w14:paraId="02D398D8">
      <w:pPr>
        <w:snapToGrid w:val="0"/>
        <w:spacing w:line="360" w:lineRule="auto"/>
        <w:ind w:firstLine="48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7</w:t>
      </w:r>
      <w:r>
        <w:rPr>
          <w:rFonts w:hint="default" w:ascii="Times New Roman" w:hAnsi="Times New Roman" w:cs="Times New Roman"/>
          <w:b/>
          <w:color w:val="auto"/>
          <w:sz w:val="24"/>
          <w:highlight w:val="none"/>
        </w:rPr>
        <w:t>）</w:t>
      </w:r>
      <w:r>
        <w:rPr>
          <w:rFonts w:hint="eastAsia" w:ascii="Times New Roman" w:hAnsi="Times New Roman" w:cs="Times New Roman"/>
          <w:b/>
          <w:color w:val="auto"/>
          <w:sz w:val="24"/>
          <w:highlight w:val="none"/>
          <w:lang w:eastAsia="zh-CN"/>
        </w:rPr>
        <w:t>生活污水</w:t>
      </w:r>
    </w:p>
    <w:p w14:paraId="4D99FFD3">
      <w:pPr>
        <w:snapToGrid w:val="0"/>
        <w:spacing w:line="360" w:lineRule="auto"/>
        <w:ind w:firstLine="482"/>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食堂废水及</w:t>
      </w:r>
      <w:r>
        <w:rPr>
          <w:rFonts w:hint="eastAsia" w:cs="Times New Roman"/>
          <w:bCs/>
          <w:color w:val="auto"/>
          <w:sz w:val="24"/>
          <w:highlight w:val="none"/>
          <w:lang w:eastAsia="zh-CN"/>
        </w:rPr>
        <w:t>生活污水</w:t>
      </w:r>
      <w:r>
        <w:rPr>
          <w:rFonts w:hint="default" w:ascii="Times New Roman" w:hAnsi="Times New Roman" w:cs="Times New Roman"/>
          <w:bCs/>
          <w:color w:val="auto"/>
          <w:sz w:val="24"/>
          <w:highlight w:val="none"/>
        </w:rPr>
        <w:t>产生量按照用水量90%计，则食堂废水量为0.2</w:t>
      </w:r>
      <w:r>
        <w:rPr>
          <w:rFonts w:hint="default" w:ascii="Times New Roman" w:hAnsi="Times New Roman" w:cs="Times New Roman"/>
          <w:bCs/>
          <w:color w:val="auto"/>
          <w:sz w:val="24"/>
          <w:highlight w:val="none"/>
          <w:lang w:val="en-US" w:eastAsia="zh-CN"/>
        </w:rPr>
        <w:t>16</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w:t>
      </w:r>
      <w:r>
        <w:rPr>
          <w:rFonts w:hint="default" w:ascii="Times New Roman" w:hAnsi="Times New Roman" w:cs="Times New Roman"/>
          <w:bCs/>
          <w:color w:val="auto"/>
          <w:sz w:val="24"/>
          <w:highlight w:val="none"/>
          <w:lang w:val="en-US" w:eastAsia="zh-CN"/>
        </w:rPr>
        <w:t>78.84</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/a；其余洗漱等废水量为</w:t>
      </w:r>
      <w:r>
        <w:rPr>
          <w:rFonts w:hint="default" w:ascii="Times New Roman" w:hAnsi="Times New Roman" w:cs="Times New Roman"/>
          <w:bCs/>
          <w:color w:val="auto"/>
          <w:sz w:val="24"/>
          <w:highlight w:val="none"/>
          <w:lang w:val="en-US" w:eastAsia="zh-CN"/>
        </w:rPr>
        <w:t>0.864</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w:t>
      </w:r>
      <w:r>
        <w:rPr>
          <w:rFonts w:hint="default" w:ascii="Times New Roman" w:hAnsi="Times New Roman" w:cs="Times New Roman"/>
          <w:bCs/>
          <w:color w:val="auto"/>
          <w:sz w:val="24"/>
          <w:highlight w:val="none"/>
          <w:lang w:val="en-US" w:eastAsia="zh-CN"/>
        </w:rPr>
        <w:t>315.36</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/a。则员工生活污水产生量为1.</w:t>
      </w:r>
      <w:r>
        <w:rPr>
          <w:rFonts w:hint="default" w:ascii="Times New Roman" w:hAnsi="Times New Roman" w:cs="Times New Roman"/>
          <w:bCs/>
          <w:color w:val="auto"/>
          <w:sz w:val="24"/>
          <w:highlight w:val="none"/>
          <w:lang w:val="en-US" w:eastAsia="zh-CN"/>
        </w:rPr>
        <w:t>08</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/d、</w:t>
      </w:r>
      <w:r>
        <w:rPr>
          <w:rFonts w:hint="default" w:ascii="Times New Roman" w:hAnsi="Times New Roman" w:cs="Times New Roman"/>
          <w:bCs/>
          <w:color w:val="auto"/>
          <w:sz w:val="24"/>
          <w:highlight w:val="none"/>
          <w:lang w:val="en-US" w:eastAsia="zh-CN"/>
        </w:rPr>
        <w:t>394.2</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w:t>
      </w:r>
    </w:p>
    <w:p w14:paraId="6B6C9DC8">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生活污水中的食堂废水经隔油池预处理后，与其它生活污水一起进入化粪池</w:t>
      </w:r>
      <w:r>
        <w:rPr>
          <w:rFonts w:hint="default" w:ascii="Times New Roman" w:hAnsi="Times New Roman" w:cs="Times New Roman"/>
          <w:bCs/>
          <w:color w:val="auto"/>
          <w:sz w:val="24"/>
          <w:highlight w:val="none"/>
          <w:lang w:val="en-US" w:eastAsia="zh-CN"/>
        </w:rPr>
        <w:t>处理后</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rPr>
        <w:t>进入</w:t>
      </w:r>
      <w:r>
        <w:rPr>
          <w:rFonts w:hint="default" w:ascii="Times New Roman" w:hAnsi="Times New Roman" w:cs="Times New Roman"/>
          <w:color w:val="auto"/>
          <w:sz w:val="24"/>
          <w:lang w:val="en-US" w:eastAsia="zh-CN"/>
        </w:rPr>
        <w:t>废水收集池</w:t>
      </w:r>
      <w:r>
        <w:rPr>
          <w:rFonts w:hint="default" w:ascii="Times New Roman" w:hAnsi="Times New Roman" w:cs="Times New Roman"/>
          <w:color w:val="auto"/>
          <w:sz w:val="24"/>
        </w:rPr>
        <w:t>。</w:t>
      </w:r>
    </w:p>
    <w:p w14:paraId="0424B4BB">
      <w:pPr>
        <w:snapToGrid w:val="0"/>
        <w:spacing w:line="360" w:lineRule="auto"/>
        <w:ind w:firstLine="482"/>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8</w:t>
      </w:r>
      <w:r>
        <w:rPr>
          <w:rFonts w:hint="default" w:ascii="Times New Roman" w:hAnsi="Times New Roman" w:cs="Times New Roman"/>
          <w:b/>
          <w:bCs/>
          <w:color w:val="auto"/>
          <w:sz w:val="24"/>
          <w:highlight w:val="none"/>
        </w:rPr>
        <w:t>）初期雨水</w:t>
      </w:r>
    </w:p>
    <w:p w14:paraId="7918002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为防止场内地表散落物料等随雨水冲刷进入地表水体，在雨水沟渠末端设置初期雨水池。</w:t>
      </w:r>
    </w:p>
    <w:p w14:paraId="71A699C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根据《室外排水设计规范》（GB50014-2006）规定，雨水量按下式进行计算：</w:t>
      </w:r>
    </w:p>
    <w:p w14:paraId="1363FC02">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Q=10×a×q×F</w:t>
      </w:r>
    </w:p>
    <w:p w14:paraId="13D118A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式中：Q——雨水流量（m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p>
    <w:p w14:paraId="51EFD56D">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a——径流系数，</w:t>
      </w:r>
      <w:r>
        <w:rPr>
          <w:rFonts w:hint="eastAsia" w:cs="Times New Roman"/>
          <w:color w:val="auto"/>
          <w:sz w:val="24"/>
          <w:lang w:val="en-US" w:eastAsia="zh-CN"/>
        </w:rPr>
        <w:t>混凝土地</w:t>
      </w:r>
      <w:r>
        <w:rPr>
          <w:rFonts w:hint="default" w:ascii="Times New Roman" w:hAnsi="Times New Roman" w:cs="Times New Roman"/>
          <w:color w:val="auto"/>
          <w:sz w:val="24"/>
        </w:rPr>
        <w:t>面取0.</w:t>
      </w:r>
      <w:r>
        <w:rPr>
          <w:rFonts w:hint="eastAsia" w:cs="Times New Roman"/>
          <w:color w:val="auto"/>
          <w:sz w:val="24"/>
          <w:lang w:val="en-US" w:eastAsia="zh-CN"/>
        </w:rPr>
        <w:t>9</w:t>
      </w:r>
      <w:r>
        <w:rPr>
          <w:rFonts w:hint="default" w:ascii="Times New Roman" w:hAnsi="Times New Roman" w:cs="Times New Roman"/>
          <w:color w:val="auto"/>
          <w:sz w:val="24"/>
        </w:rPr>
        <w:t>；</w:t>
      </w:r>
    </w:p>
    <w:p w14:paraId="580B9FE2">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q——降雨强度，mm，取弥勒市最大24h降雨量144.7mm；</w:t>
      </w:r>
    </w:p>
    <w:p w14:paraId="01162579">
      <w:pPr>
        <w:spacing w:line="360" w:lineRule="auto"/>
        <w:ind w:firstLine="1260" w:firstLineChars="600"/>
        <w:rPr>
          <w:rFonts w:hint="default" w:ascii="Times New Roman" w:hAnsi="Times New Roman" w:cs="Times New Roman"/>
          <w:color w:val="auto"/>
          <w:sz w:val="24"/>
        </w:rPr>
      </w:pPr>
      <w:r>
        <w:rPr>
          <w:rFonts w:hint="default" w:ascii="Times New Roman" w:hAnsi="Times New Roman" w:cs="Times New Roman"/>
          <w:color w:val="auto"/>
        </w:rPr>
        <w:t>F</w:t>
      </w:r>
      <w:r>
        <w:rPr>
          <w:rFonts w:hint="default" w:ascii="Times New Roman" w:hAnsi="Times New Roman" w:cs="Times New Roman"/>
          <w:color w:val="auto"/>
          <w:sz w:val="24"/>
        </w:rPr>
        <w:t>——汇水面积（hm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r>
        <w:rPr>
          <w:rFonts w:hint="default" w:ascii="Times New Roman" w:hAnsi="Times New Roman" w:cs="Times New Roman"/>
          <w:color w:val="auto"/>
          <w:sz w:val="24"/>
          <w:highlight w:val="none"/>
        </w:rPr>
        <w:t>项目道路及硬化面积</w:t>
      </w:r>
      <w:r>
        <w:rPr>
          <w:rFonts w:hint="eastAsia" w:cs="Times New Roman"/>
          <w:color w:val="auto"/>
          <w:sz w:val="24"/>
          <w:highlight w:val="none"/>
          <w:lang w:val="en-US" w:eastAsia="zh-CN"/>
        </w:rPr>
        <w:t>0.28h</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rPr>
        <w:t>。</w:t>
      </w:r>
    </w:p>
    <w:p w14:paraId="277A4810">
      <w:pPr>
        <w:pStyle w:val="64"/>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bCs/>
          <w:color w:val="auto"/>
          <w:sz w:val="24"/>
        </w:rPr>
        <w:t>经上述计算可知，雨天地表径流产生量为</w:t>
      </w:r>
      <w:r>
        <w:rPr>
          <w:rFonts w:hint="eastAsia" w:cs="Times New Roman"/>
          <w:bCs/>
          <w:color w:val="auto"/>
          <w:sz w:val="24"/>
          <w:lang w:val="en-US" w:eastAsia="zh-CN"/>
        </w:rPr>
        <w:t>1172.07</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/d，约</w:t>
      </w:r>
      <w:r>
        <w:rPr>
          <w:rFonts w:hint="eastAsia" w:cs="Times New Roman"/>
          <w:bCs/>
          <w:color w:val="auto"/>
          <w:sz w:val="24"/>
          <w:lang w:val="en-US" w:eastAsia="zh-CN"/>
        </w:rPr>
        <w:t>48.84</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/h。</w:t>
      </w:r>
      <w:r>
        <w:rPr>
          <w:rFonts w:hint="default" w:ascii="Times New Roman" w:hAnsi="Times New Roman" w:eastAsia="宋体" w:cs="Times New Roman"/>
          <w:color w:val="auto"/>
          <w:sz w:val="24"/>
          <w:szCs w:val="24"/>
        </w:rPr>
        <w:t>本次评价考虑对前15min的雨水进行收集，则前15min初期雨水量为</w:t>
      </w:r>
      <w:r>
        <w:rPr>
          <w:rFonts w:hint="eastAsia" w:cs="Times New Roman"/>
          <w:color w:val="auto"/>
          <w:sz w:val="24"/>
          <w:szCs w:val="24"/>
          <w:lang w:val="en-US" w:eastAsia="zh-CN"/>
        </w:rPr>
        <w:t>12.21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。本次评价考虑1.2的系数，初期雨水收集池容积应不低于</w:t>
      </w:r>
      <w:r>
        <w:rPr>
          <w:rFonts w:hint="eastAsia" w:cs="Times New Roman"/>
          <w:color w:val="auto"/>
          <w:sz w:val="24"/>
          <w:szCs w:val="24"/>
          <w:lang w:val="en-US" w:eastAsia="zh-CN"/>
        </w:rPr>
        <w:t>14.65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highlight w:val="none"/>
          <w:lang w:val="en-US" w:eastAsia="zh-CN"/>
        </w:rPr>
        <w:t>项目建设</w:t>
      </w:r>
      <w:r>
        <w:rPr>
          <w:rFonts w:hint="default" w:ascii="Times New Roman" w:hAnsi="Times New Roman" w:cs="Times New Roman"/>
          <w:color w:val="auto"/>
          <w:sz w:val="24"/>
          <w:highlight w:val="none"/>
        </w:rPr>
        <w:t>1个</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的初期雨水收集池用于收集项目区产生的初期雨水，初期雨水池进水口设置切换阀，收集降雨前15min雨水（沉淀后晴天用于厂区绿化），15min后调整切换阀，使雨水排入场外雨水沟渠。</w:t>
      </w:r>
    </w:p>
    <w:p w14:paraId="59F8F918">
      <w:pPr>
        <w:snapToGrid w:val="0"/>
        <w:spacing w:line="360" w:lineRule="auto"/>
        <w:outlineLvl w:val="4"/>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3.3.2.1.3水平衡</w:t>
      </w:r>
    </w:p>
    <w:p w14:paraId="2B037230">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综上，项目运营期用水量及排放量情况见表</w:t>
      </w:r>
      <w:r>
        <w:rPr>
          <w:rFonts w:hint="default" w:ascii="Times New Roman" w:hAnsi="Times New Roman" w:cs="Times New Roman"/>
          <w:color w:val="auto"/>
          <w:sz w:val="24"/>
          <w:highlight w:val="none"/>
          <w:lang w:val="en-US" w:eastAsia="zh-CN"/>
        </w:rPr>
        <w:t>3.3.2-8</w:t>
      </w:r>
      <w:r>
        <w:rPr>
          <w:rFonts w:hint="default" w:ascii="Times New Roman" w:hAnsi="Times New Roman" w:cs="Times New Roman"/>
          <w:color w:val="auto"/>
          <w:sz w:val="24"/>
          <w:highlight w:val="none"/>
        </w:rPr>
        <w:t>。</w:t>
      </w:r>
    </w:p>
    <w:p w14:paraId="4129E7C4">
      <w:pPr>
        <w:adjustRightInd w:val="0"/>
        <w:snapToGrid w:val="0"/>
        <w:ind w:firstLine="422" w:firstLineChars="200"/>
        <w:jc w:val="center"/>
        <w:rPr>
          <w:rFonts w:hint="default" w:ascii="Times New Roman" w:hAnsi="Times New Roman" w:cs="Times New Roman"/>
          <w:b/>
          <w:color w:val="auto"/>
          <w:szCs w:val="21"/>
          <w:highlight w:val="none"/>
        </w:rPr>
        <w:sectPr>
          <w:pgSz w:w="11907" w:h="16840"/>
          <w:pgMar w:top="1531" w:right="1797" w:bottom="1440"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06D6B76">
      <w:pPr>
        <w:adjustRightInd w:val="0"/>
        <w:snapToGrid w:val="0"/>
        <w:ind w:firstLine="422" w:firstLineChars="20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3.3.2-8</w:t>
      </w:r>
      <w:r>
        <w:rPr>
          <w:rFonts w:hint="default" w:ascii="Times New Roman" w:hAnsi="Times New Roman" w:cs="Times New Roman"/>
          <w:b/>
          <w:color w:val="auto"/>
          <w:szCs w:val="21"/>
          <w:highlight w:val="none"/>
        </w:rPr>
        <w:t xml:space="preserve">   项目用水及污水产排情况一览表</w:t>
      </w:r>
    </w:p>
    <w:tbl>
      <w:tblPr>
        <w:tblStyle w:val="23"/>
        <w:tblW w:w="14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550"/>
        <w:gridCol w:w="1235"/>
        <w:gridCol w:w="1246"/>
        <w:gridCol w:w="2114"/>
        <w:gridCol w:w="1260"/>
        <w:gridCol w:w="1344"/>
        <w:gridCol w:w="778"/>
        <w:gridCol w:w="3600"/>
      </w:tblGrid>
      <w:tr w14:paraId="2B55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8" w:type="dxa"/>
            <w:gridSpan w:val="2"/>
            <w:vMerge w:val="restart"/>
            <w:vAlign w:val="center"/>
          </w:tcPr>
          <w:p w14:paraId="5B7F1B6F">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用水类别</w:t>
            </w:r>
          </w:p>
        </w:tc>
        <w:tc>
          <w:tcPr>
            <w:tcW w:w="2481" w:type="dxa"/>
            <w:gridSpan w:val="2"/>
            <w:vAlign w:val="center"/>
          </w:tcPr>
          <w:p w14:paraId="06C7ED2E">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用水量</w:t>
            </w:r>
          </w:p>
        </w:tc>
        <w:tc>
          <w:tcPr>
            <w:tcW w:w="2114" w:type="dxa"/>
            <w:vMerge w:val="restart"/>
            <w:vAlign w:val="center"/>
          </w:tcPr>
          <w:p w14:paraId="67E8A3C1">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产污系数</w:t>
            </w:r>
          </w:p>
        </w:tc>
        <w:tc>
          <w:tcPr>
            <w:tcW w:w="2604" w:type="dxa"/>
            <w:gridSpan w:val="2"/>
            <w:vAlign w:val="center"/>
          </w:tcPr>
          <w:p w14:paraId="71073CAB">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废水产生量</w:t>
            </w:r>
          </w:p>
        </w:tc>
        <w:tc>
          <w:tcPr>
            <w:tcW w:w="778" w:type="dxa"/>
            <w:vMerge w:val="restart"/>
            <w:vAlign w:val="center"/>
          </w:tcPr>
          <w:p w14:paraId="0D740DBF">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排放量</w:t>
            </w:r>
          </w:p>
        </w:tc>
        <w:tc>
          <w:tcPr>
            <w:tcW w:w="3600" w:type="dxa"/>
            <w:vMerge w:val="restart"/>
            <w:vAlign w:val="center"/>
          </w:tcPr>
          <w:p w14:paraId="0FC12D5E">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14:paraId="45BC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8" w:type="dxa"/>
            <w:gridSpan w:val="2"/>
            <w:vMerge w:val="continue"/>
            <w:vAlign w:val="center"/>
          </w:tcPr>
          <w:p w14:paraId="5E791501">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p>
        </w:tc>
        <w:tc>
          <w:tcPr>
            <w:tcW w:w="1235" w:type="dxa"/>
            <w:vAlign w:val="center"/>
          </w:tcPr>
          <w:p w14:paraId="798BCFF1">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/d</w:t>
            </w:r>
          </w:p>
        </w:tc>
        <w:tc>
          <w:tcPr>
            <w:tcW w:w="1246" w:type="dxa"/>
            <w:vAlign w:val="center"/>
          </w:tcPr>
          <w:p w14:paraId="6B3E6C35">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/a</w:t>
            </w:r>
          </w:p>
        </w:tc>
        <w:tc>
          <w:tcPr>
            <w:tcW w:w="2114" w:type="dxa"/>
            <w:vMerge w:val="continue"/>
            <w:vAlign w:val="center"/>
          </w:tcPr>
          <w:p w14:paraId="4D58EFDD">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p>
        </w:tc>
        <w:tc>
          <w:tcPr>
            <w:tcW w:w="1260" w:type="dxa"/>
            <w:vAlign w:val="center"/>
          </w:tcPr>
          <w:p w14:paraId="4889CF87">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/d</w:t>
            </w:r>
          </w:p>
        </w:tc>
        <w:tc>
          <w:tcPr>
            <w:tcW w:w="1344" w:type="dxa"/>
            <w:vAlign w:val="center"/>
          </w:tcPr>
          <w:p w14:paraId="4F43A925">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/a</w:t>
            </w:r>
          </w:p>
        </w:tc>
        <w:tc>
          <w:tcPr>
            <w:tcW w:w="778" w:type="dxa"/>
            <w:vMerge w:val="continue"/>
            <w:vAlign w:val="center"/>
          </w:tcPr>
          <w:p w14:paraId="4E6D851C">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p>
        </w:tc>
        <w:tc>
          <w:tcPr>
            <w:tcW w:w="3600" w:type="dxa"/>
            <w:vMerge w:val="continue"/>
            <w:vAlign w:val="center"/>
          </w:tcPr>
          <w:p w14:paraId="4C59E827">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color w:val="auto"/>
                <w:szCs w:val="21"/>
                <w:highlight w:val="none"/>
              </w:rPr>
            </w:pPr>
          </w:p>
        </w:tc>
      </w:tr>
      <w:tr w14:paraId="50A4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8" w:type="dxa"/>
            <w:gridSpan w:val="2"/>
            <w:vMerge w:val="restart"/>
            <w:vAlign w:val="center"/>
          </w:tcPr>
          <w:p w14:paraId="62FFF6F8">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猪饮水</w:t>
            </w:r>
          </w:p>
        </w:tc>
        <w:tc>
          <w:tcPr>
            <w:tcW w:w="1235" w:type="dxa"/>
            <w:vMerge w:val="restart"/>
            <w:vAlign w:val="center"/>
          </w:tcPr>
          <w:p w14:paraId="50348BD6">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28</w:t>
            </w:r>
          </w:p>
        </w:tc>
        <w:tc>
          <w:tcPr>
            <w:tcW w:w="1246" w:type="dxa"/>
            <w:vMerge w:val="restart"/>
            <w:vAlign w:val="center"/>
          </w:tcPr>
          <w:p w14:paraId="57C0A2F0">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8960</w:t>
            </w:r>
          </w:p>
        </w:tc>
        <w:tc>
          <w:tcPr>
            <w:tcW w:w="2114" w:type="dxa"/>
            <w:vAlign w:val="center"/>
          </w:tcPr>
          <w:p w14:paraId="21DFAD58">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尿液</w:t>
            </w:r>
          </w:p>
        </w:tc>
        <w:tc>
          <w:tcPr>
            <w:tcW w:w="1260" w:type="dxa"/>
            <w:vAlign w:val="center"/>
          </w:tcPr>
          <w:p w14:paraId="5D18F8B8">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13.2</w:t>
            </w:r>
          </w:p>
        </w:tc>
        <w:tc>
          <w:tcPr>
            <w:tcW w:w="1344" w:type="dxa"/>
            <w:vAlign w:val="center"/>
          </w:tcPr>
          <w:p w14:paraId="30BBACD0">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4224</w:t>
            </w:r>
          </w:p>
        </w:tc>
        <w:tc>
          <w:tcPr>
            <w:tcW w:w="778" w:type="dxa"/>
            <w:vAlign w:val="center"/>
          </w:tcPr>
          <w:p w14:paraId="52C4A56B">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3600" w:type="dxa"/>
            <w:vMerge w:val="restart"/>
            <w:vAlign w:val="center"/>
          </w:tcPr>
          <w:p w14:paraId="7DD4AD0B">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18"/>
                <w:szCs w:val="18"/>
                <w:highlight w:val="none"/>
                <w:lang w:val="en-US" w:eastAsia="zh-CN"/>
              </w:rPr>
              <w:t>依托弥勒温氏畜牧有限公司新哨种猪场建设项目污水处理站处理后用于绿化及农田灌溉。</w:t>
            </w:r>
          </w:p>
        </w:tc>
      </w:tr>
      <w:tr w14:paraId="34D7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8" w:type="dxa"/>
            <w:gridSpan w:val="2"/>
            <w:vMerge w:val="continue"/>
            <w:vAlign w:val="center"/>
          </w:tcPr>
          <w:p w14:paraId="76523445">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235" w:type="dxa"/>
            <w:vMerge w:val="continue"/>
            <w:vAlign w:val="center"/>
          </w:tcPr>
          <w:p w14:paraId="101D4D69">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246" w:type="dxa"/>
            <w:vMerge w:val="continue"/>
            <w:vAlign w:val="center"/>
          </w:tcPr>
          <w:p w14:paraId="6F2ADE4E">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114" w:type="dxa"/>
            <w:vAlign w:val="center"/>
          </w:tcPr>
          <w:p w14:paraId="6C844F3D">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粪便</w:t>
            </w:r>
            <w:r>
              <w:rPr>
                <w:rFonts w:hint="default" w:ascii="Times New Roman" w:hAnsi="Times New Roman" w:cs="Times New Roman"/>
                <w:color w:val="auto"/>
                <w:szCs w:val="21"/>
                <w:highlight w:val="none"/>
                <w:lang w:val="en-US" w:eastAsia="zh-CN"/>
              </w:rPr>
              <w:t>固液分离废水</w:t>
            </w:r>
          </w:p>
        </w:tc>
        <w:tc>
          <w:tcPr>
            <w:tcW w:w="1260" w:type="dxa"/>
            <w:vAlign w:val="center"/>
          </w:tcPr>
          <w:p w14:paraId="529F730F">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4"/>
                <w:highlight w:val="none"/>
                <w:lang w:val="en-US" w:bidi="zh-CN"/>
              </w:rPr>
              <w:t>2.4</w:t>
            </w:r>
          </w:p>
        </w:tc>
        <w:tc>
          <w:tcPr>
            <w:tcW w:w="1344" w:type="dxa"/>
            <w:vAlign w:val="center"/>
          </w:tcPr>
          <w:p w14:paraId="3BD58C58">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4"/>
                <w:highlight w:val="none"/>
                <w:lang w:val="en-US" w:bidi="zh-CN"/>
              </w:rPr>
              <w:t>768</w:t>
            </w:r>
          </w:p>
        </w:tc>
        <w:tc>
          <w:tcPr>
            <w:tcW w:w="778" w:type="dxa"/>
            <w:vAlign w:val="center"/>
          </w:tcPr>
          <w:p w14:paraId="13DEC849">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w:t>
            </w:r>
          </w:p>
        </w:tc>
        <w:tc>
          <w:tcPr>
            <w:tcW w:w="3600" w:type="dxa"/>
            <w:vMerge w:val="continue"/>
            <w:vAlign w:val="center"/>
          </w:tcPr>
          <w:p w14:paraId="341D2789">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r>
      <w:tr w14:paraId="65FA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8" w:type="dxa"/>
            <w:gridSpan w:val="2"/>
            <w:vAlign w:val="center"/>
          </w:tcPr>
          <w:p w14:paraId="3C2BF9AA">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猪舍冲洗用水</w:t>
            </w:r>
          </w:p>
        </w:tc>
        <w:tc>
          <w:tcPr>
            <w:tcW w:w="1235" w:type="dxa"/>
            <w:vAlign w:val="center"/>
          </w:tcPr>
          <w:p w14:paraId="79C5753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11.248</w:t>
            </w:r>
            <w:r>
              <w:rPr>
                <w:rFonts w:hint="default" w:ascii="Times New Roman" w:hAnsi="Times New Roman" w:cs="Times New Roman"/>
                <w:b/>
                <w:color w:val="auto"/>
                <w:szCs w:val="21"/>
                <w:highlight w:val="none"/>
              </w:rPr>
              <w:t>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val="en-US" w:eastAsia="zh-CN"/>
              </w:rPr>
              <w:t>次</w:t>
            </w:r>
          </w:p>
        </w:tc>
        <w:tc>
          <w:tcPr>
            <w:tcW w:w="1246" w:type="dxa"/>
            <w:vAlign w:val="center"/>
          </w:tcPr>
          <w:p w14:paraId="6C5CBBAE">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2"/>
                <w:szCs w:val="22"/>
                <w:u w:val="none"/>
                <w:lang w:val="en-US" w:eastAsia="zh-CN" w:bidi="ar"/>
              </w:rPr>
              <w:t>26.208</w:t>
            </w:r>
          </w:p>
        </w:tc>
        <w:tc>
          <w:tcPr>
            <w:tcW w:w="2114" w:type="dxa"/>
            <w:vAlign w:val="center"/>
          </w:tcPr>
          <w:p w14:paraId="28348856">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0.9</w:t>
            </w:r>
          </w:p>
        </w:tc>
        <w:tc>
          <w:tcPr>
            <w:tcW w:w="1260" w:type="dxa"/>
            <w:vAlign w:val="center"/>
          </w:tcPr>
          <w:p w14:paraId="6B134CB0">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highlight w:val="none"/>
                <w:lang w:val="en-US" w:eastAsia="zh-CN"/>
              </w:rPr>
              <w:t>10.12</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/次</w:t>
            </w:r>
          </w:p>
        </w:tc>
        <w:tc>
          <w:tcPr>
            <w:tcW w:w="1344" w:type="dxa"/>
            <w:vAlign w:val="center"/>
          </w:tcPr>
          <w:p w14:paraId="25282F01">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highlight w:val="none"/>
                <w:lang w:val="en-US" w:eastAsia="zh-CN"/>
              </w:rPr>
              <w:t>23.59</w:t>
            </w:r>
          </w:p>
        </w:tc>
        <w:tc>
          <w:tcPr>
            <w:tcW w:w="778" w:type="dxa"/>
            <w:vAlign w:val="center"/>
          </w:tcPr>
          <w:p w14:paraId="48418B4F">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3600" w:type="dxa"/>
            <w:vMerge w:val="continue"/>
            <w:vAlign w:val="center"/>
          </w:tcPr>
          <w:p w14:paraId="14EB7658">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r>
      <w:tr w14:paraId="4DDD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8" w:type="dxa"/>
            <w:gridSpan w:val="2"/>
            <w:vAlign w:val="center"/>
          </w:tcPr>
          <w:p w14:paraId="6F241074">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粪便堆肥渗滤液</w:t>
            </w:r>
          </w:p>
        </w:tc>
        <w:tc>
          <w:tcPr>
            <w:tcW w:w="1235" w:type="dxa"/>
            <w:vAlign w:val="center"/>
          </w:tcPr>
          <w:p w14:paraId="076544F3">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46" w:type="dxa"/>
            <w:vAlign w:val="center"/>
          </w:tcPr>
          <w:p w14:paraId="46A8EA94">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2114" w:type="dxa"/>
            <w:vAlign w:val="center"/>
          </w:tcPr>
          <w:p w14:paraId="34774221">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vAlign w:val="center"/>
          </w:tcPr>
          <w:p w14:paraId="2075BE03">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4"/>
                <w:highlight w:val="none"/>
                <w:lang w:val="en-US" w:bidi="zh-CN"/>
              </w:rPr>
              <w:t>0.28</w:t>
            </w:r>
          </w:p>
        </w:tc>
        <w:tc>
          <w:tcPr>
            <w:tcW w:w="1344" w:type="dxa"/>
            <w:vAlign w:val="center"/>
          </w:tcPr>
          <w:p w14:paraId="35568353">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4"/>
                <w:highlight w:val="none"/>
                <w:lang w:val="en-US" w:eastAsia="zh-CN"/>
              </w:rPr>
              <w:t>89.6</w:t>
            </w:r>
          </w:p>
        </w:tc>
        <w:tc>
          <w:tcPr>
            <w:tcW w:w="778" w:type="dxa"/>
            <w:vAlign w:val="center"/>
          </w:tcPr>
          <w:p w14:paraId="528F1433">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w:t>
            </w:r>
          </w:p>
        </w:tc>
        <w:tc>
          <w:tcPr>
            <w:tcW w:w="3600" w:type="dxa"/>
            <w:vMerge w:val="continue"/>
            <w:vAlign w:val="center"/>
          </w:tcPr>
          <w:p w14:paraId="053468A8">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r>
      <w:tr w14:paraId="2B48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8" w:type="dxa"/>
            <w:gridSpan w:val="2"/>
            <w:vAlign w:val="center"/>
          </w:tcPr>
          <w:p w14:paraId="7D4DCF02">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rPr>
              <w:t>水帘降温补充用水</w:t>
            </w:r>
          </w:p>
        </w:tc>
        <w:tc>
          <w:tcPr>
            <w:tcW w:w="1235" w:type="dxa"/>
            <w:vAlign w:val="center"/>
          </w:tcPr>
          <w:p w14:paraId="3CA21EDB">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highlight w:val="none"/>
                <w:lang w:val="en-US" w:eastAsia="zh-CN"/>
              </w:rPr>
              <w:t>0.5</w:t>
            </w:r>
          </w:p>
        </w:tc>
        <w:tc>
          <w:tcPr>
            <w:tcW w:w="1246" w:type="dxa"/>
            <w:vAlign w:val="center"/>
          </w:tcPr>
          <w:p w14:paraId="0D62F502">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highlight w:val="none"/>
                <w:lang w:val="en-US" w:eastAsia="zh-CN"/>
              </w:rPr>
              <w:t>46</w:t>
            </w:r>
          </w:p>
        </w:tc>
        <w:tc>
          <w:tcPr>
            <w:tcW w:w="2114" w:type="dxa"/>
            <w:vAlign w:val="center"/>
          </w:tcPr>
          <w:p w14:paraId="12E1AC7D">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vAlign w:val="center"/>
          </w:tcPr>
          <w:p w14:paraId="7F958FED">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b/>
                <w:color w:val="auto"/>
                <w:szCs w:val="21"/>
                <w:highlight w:val="none"/>
              </w:rPr>
              <w:t>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val="en-US" w:eastAsia="zh-CN"/>
              </w:rPr>
              <w:t>次</w:t>
            </w:r>
          </w:p>
        </w:tc>
        <w:tc>
          <w:tcPr>
            <w:tcW w:w="1344" w:type="dxa"/>
            <w:vAlign w:val="center"/>
          </w:tcPr>
          <w:p w14:paraId="6545490C">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778" w:type="dxa"/>
            <w:vAlign w:val="center"/>
          </w:tcPr>
          <w:p w14:paraId="06285CCE">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w:t>
            </w:r>
          </w:p>
        </w:tc>
        <w:tc>
          <w:tcPr>
            <w:tcW w:w="3600" w:type="dxa"/>
            <w:vMerge w:val="continue"/>
            <w:vAlign w:val="center"/>
          </w:tcPr>
          <w:p w14:paraId="624FFF41">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r>
      <w:tr w14:paraId="4FB8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8" w:type="dxa"/>
            <w:gridSpan w:val="2"/>
            <w:vAlign w:val="center"/>
          </w:tcPr>
          <w:p w14:paraId="58A5DF6E">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浸泡消毒用水</w:t>
            </w:r>
          </w:p>
        </w:tc>
        <w:tc>
          <w:tcPr>
            <w:tcW w:w="1235" w:type="dxa"/>
            <w:vAlign w:val="center"/>
          </w:tcPr>
          <w:p w14:paraId="33DB93F3">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0.143</w:t>
            </w:r>
          </w:p>
        </w:tc>
        <w:tc>
          <w:tcPr>
            <w:tcW w:w="1246" w:type="dxa"/>
            <w:vAlign w:val="center"/>
          </w:tcPr>
          <w:p w14:paraId="74710A13">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highlight w:val="none"/>
                <w:lang w:val="en-US" w:bidi="zh-CN"/>
              </w:rPr>
              <w:t>45.7</w:t>
            </w:r>
          </w:p>
        </w:tc>
        <w:tc>
          <w:tcPr>
            <w:tcW w:w="2114" w:type="dxa"/>
            <w:vAlign w:val="center"/>
          </w:tcPr>
          <w:p w14:paraId="247F2EE7">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0.9</w:t>
            </w:r>
          </w:p>
        </w:tc>
        <w:tc>
          <w:tcPr>
            <w:tcW w:w="1260" w:type="dxa"/>
            <w:vAlign w:val="center"/>
          </w:tcPr>
          <w:p w14:paraId="5A484601">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highlight w:val="none"/>
                <w:lang w:bidi="zh-CN"/>
              </w:rPr>
              <w:t>0.1</w:t>
            </w:r>
            <w:r>
              <w:rPr>
                <w:rFonts w:hint="default" w:ascii="Times New Roman" w:hAnsi="Times New Roman" w:cs="Times New Roman"/>
                <w:bCs/>
                <w:color w:val="auto"/>
                <w:sz w:val="24"/>
                <w:highlight w:val="none"/>
                <w:lang w:val="en-US" w:bidi="zh-CN"/>
              </w:rPr>
              <w:t>28</w:t>
            </w:r>
          </w:p>
        </w:tc>
        <w:tc>
          <w:tcPr>
            <w:tcW w:w="1344" w:type="dxa"/>
            <w:vAlign w:val="center"/>
          </w:tcPr>
          <w:p w14:paraId="03A3DADF">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highlight w:val="none"/>
                <w:lang w:val="en-US" w:eastAsia="zh-CN" w:bidi="zh-CN"/>
              </w:rPr>
              <w:t>41.14</w:t>
            </w:r>
          </w:p>
        </w:tc>
        <w:tc>
          <w:tcPr>
            <w:tcW w:w="778" w:type="dxa"/>
            <w:vAlign w:val="center"/>
          </w:tcPr>
          <w:p w14:paraId="2158DF70">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3600" w:type="dxa"/>
            <w:vMerge w:val="continue"/>
            <w:vAlign w:val="center"/>
          </w:tcPr>
          <w:p w14:paraId="48367DFF">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r>
      <w:tr w14:paraId="4018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8" w:type="dxa"/>
            <w:gridSpan w:val="2"/>
            <w:vAlign w:val="center"/>
          </w:tcPr>
          <w:p w14:paraId="7E28203C">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车辆清洗用水</w:t>
            </w:r>
          </w:p>
        </w:tc>
        <w:tc>
          <w:tcPr>
            <w:tcW w:w="1235" w:type="dxa"/>
            <w:vAlign w:val="center"/>
          </w:tcPr>
          <w:p w14:paraId="31AB7153">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szCs w:val="24"/>
                <w:lang w:val="en-US" w:eastAsia="zh-CN"/>
              </w:rPr>
              <w:t>0.065</w:t>
            </w:r>
          </w:p>
        </w:tc>
        <w:tc>
          <w:tcPr>
            <w:tcW w:w="1246" w:type="dxa"/>
            <w:vAlign w:val="center"/>
          </w:tcPr>
          <w:p w14:paraId="6D3B1912">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szCs w:val="24"/>
                <w:lang w:val="en-US" w:eastAsia="zh-CN"/>
              </w:rPr>
              <w:t>20.88</w:t>
            </w:r>
          </w:p>
        </w:tc>
        <w:tc>
          <w:tcPr>
            <w:tcW w:w="2114" w:type="dxa"/>
            <w:vAlign w:val="center"/>
          </w:tcPr>
          <w:p w14:paraId="57E81ECA">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0.9</w:t>
            </w:r>
          </w:p>
        </w:tc>
        <w:tc>
          <w:tcPr>
            <w:tcW w:w="1260" w:type="dxa"/>
            <w:vAlign w:val="center"/>
          </w:tcPr>
          <w:p w14:paraId="4F2EAD86">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szCs w:val="24"/>
                <w:lang w:val="en-US" w:bidi="zh-CN"/>
              </w:rPr>
              <w:t>0.059</w:t>
            </w:r>
          </w:p>
        </w:tc>
        <w:tc>
          <w:tcPr>
            <w:tcW w:w="1344" w:type="dxa"/>
            <w:vAlign w:val="center"/>
          </w:tcPr>
          <w:p w14:paraId="5718E1C3">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pacing w:val="-7"/>
                <w:sz w:val="24"/>
                <w:szCs w:val="24"/>
                <w:lang w:val="en-US" w:eastAsia="zh-CN"/>
              </w:rPr>
              <w:t>18.79</w:t>
            </w:r>
          </w:p>
        </w:tc>
        <w:tc>
          <w:tcPr>
            <w:tcW w:w="778" w:type="dxa"/>
            <w:vAlign w:val="center"/>
          </w:tcPr>
          <w:p w14:paraId="32113803">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3600" w:type="dxa"/>
            <w:vMerge w:val="continue"/>
            <w:vAlign w:val="center"/>
          </w:tcPr>
          <w:p w14:paraId="55A175DF">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p>
        </w:tc>
      </w:tr>
      <w:tr w14:paraId="3117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8" w:type="dxa"/>
            <w:gridSpan w:val="2"/>
            <w:vAlign w:val="center"/>
          </w:tcPr>
          <w:p w14:paraId="4E84AC25">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喷雾消毒用水</w:t>
            </w:r>
          </w:p>
        </w:tc>
        <w:tc>
          <w:tcPr>
            <w:tcW w:w="1235" w:type="dxa"/>
            <w:vAlign w:val="center"/>
          </w:tcPr>
          <w:p w14:paraId="3AEF71D5">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pacing w:val="-2"/>
                <w:sz w:val="24"/>
                <w:szCs w:val="24"/>
                <w:lang w:val="en-US" w:eastAsia="zh-CN"/>
              </w:rPr>
              <w:t>0.34</w:t>
            </w:r>
          </w:p>
        </w:tc>
        <w:tc>
          <w:tcPr>
            <w:tcW w:w="1246" w:type="dxa"/>
            <w:vAlign w:val="center"/>
          </w:tcPr>
          <w:p w14:paraId="3829524B">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w:t>
            </w:r>
          </w:p>
        </w:tc>
        <w:tc>
          <w:tcPr>
            <w:tcW w:w="2114" w:type="dxa"/>
            <w:vAlign w:val="center"/>
          </w:tcPr>
          <w:p w14:paraId="6B5780D0">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vAlign w:val="center"/>
          </w:tcPr>
          <w:p w14:paraId="47007328">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1344" w:type="dxa"/>
            <w:vAlign w:val="center"/>
          </w:tcPr>
          <w:p w14:paraId="537B3679">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778" w:type="dxa"/>
            <w:vAlign w:val="center"/>
          </w:tcPr>
          <w:p w14:paraId="3D32718E">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3600" w:type="dxa"/>
            <w:vAlign w:val="center"/>
          </w:tcPr>
          <w:p w14:paraId="273796E4">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蒸发损耗</w:t>
            </w:r>
          </w:p>
        </w:tc>
      </w:tr>
      <w:tr w14:paraId="2B7F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8" w:type="dxa"/>
            <w:vMerge w:val="restart"/>
            <w:vAlign w:val="center"/>
          </w:tcPr>
          <w:p w14:paraId="528774FA">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办公生活</w:t>
            </w:r>
          </w:p>
        </w:tc>
        <w:tc>
          <w:tcPr>
            <w:tcW w:w="1550" w:type="dxa"/>
            <w:vAlign w:val="center"/>
          </w:tcPr>
          <w:p w14:paraId="249DEB0E">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食堂</w:t>
            </w:r>
          </w:p>
        </w:tc>
        <w:tc>
          <w:tcPr>
            <w:tcW w:w="1235" w:type="dxa"/>
            <w:vAlign w:val="center"/>
          </w:tcPr>
          <w:p w14:paraId="197168DA">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highlight w:val="none"/>
              </w:rPr>
              <w:t>0.</w:t>
            </w:r>
            <w:r>
              <w:rPr>
                <w:rFonts w:hint="default" w:ascii="Times New Roman" w:hAnsi="Times New Roman" w:cs="Times New Roman"/>
                <w:bCs/>
                <w:color w:val="auto"/>
                <w:sz w:val="24"/>
                <w:highlight w:val="none"/>
                <w:lang w:val="en-US" w:eastAsia="zh-CN"/>
              </w:rPr>
              <w:t>24</w:t>
            </w:r>
          </w:p>
        </w:tc>
        <w:tc>
          <w:tcPr>
            <w:tcW w:w="1246" w:type="dxa"/>
            <w:vAlign w:val="center"/>
          </w:tcPr>
          <w:p w14:paraId="24CDEFAC">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highlight w:val="none"/>
                <w:lang w:val="en-US" w:eastAsia="zh-CN"/>
              </w:rPr>
              <w:t>87.6</w:t>
            </w:r>
          </w:p>
        </w:tc>
        <w:tc>
          <w:tcPr>
            <w:tcW w:w="2114" w:type="dxa"/>
            <w:vAlign w:val="center"/>
          </w:tcPr>
          <w:p w14:paraId="3EF75011">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0.9</w:t>
            </w:r>
          </w:p>
        </w:tc>
        <w:tc>
          <w:tcPr>
            <w:tcW w:w="1260" w:type="dxa"/>
            <w:vAlign w:val="center"/>
          </w:tcPr>
          <w:p w14:paraId="1DA280AB">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highlight w:val="none"/>
              </w:rPr>
              <w:t>0.2</w:t>
            </w:r>
            <w:r>
              <w:rPr>
                <w:rFonts w:hint="default" w:ascii="Times New Roman" w:hAnsi="Times New Roman" w:cs="Times New Roman"/>
                <w:bCs/>
                <w:color w:val="auto"/>
                <w:sz w:val="24"/>
                <w:highlight w:val="none"/>
                <w:lang w:val="en-US" w:eastAsia="zh-CN"/>
              </w:rPr>
              <w:t>16</w:t>
            </w:r>
          </w:p>
        </w:tc>
        <w:tc>
          <w:tcPr>
            <w:tcW w:w="1344" w:type="dxa"/>
            <w:vAlign w:val="center"/>
          </w:tcPr>
          <w:p w14:paraId="4877D1A9">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highlight w:val="none"/>
                <w:lang w:val="en-US" w:eastAsia="zh-CN"/>
              </w:rPr>
              <w:t>78.84</w:t>
            </w:r>
          </w:p>
        </w:tc>
        <w:tc>
          <w:tcPr>
            <w:tcW w:w="778" w:type="dxa"/>
            <w:vMerge w:val="restart"/>
            <w:vAlign w:val="center"/>
          </w:tcPr>
          <w:p w14:paraId="4C29C5FE">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3600" w:type="dxa"/>
            <w:vMerge w:val="restart"/>
            <w:vAlign w:val="center"/>
          </w:tcPr>
          <w:p w14:paraId="7181B5FC">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食堂废水经隔油池处理后与</w:t>
            </w:r>
            <w:r>
              <w:rPr>
                <w:rFonts w:hint="eastAsia" w:ascii="Times New Roman" w:hAnsi="Times New Roman" w:cs="Times New Roman"/>
                <w:color w:val="auto"/>
                <w:szCs w:val="21"/>
                <w:highlight w:val="none"/>
                <w:lang w:eastAsia="zh-CN"/>
              </w:rPr>
              <w:t>生活污水</w:t>
            </w:r>
            <w:r>
              <w:rPr>
                <w:rFonts w:hint="default" w:ascii="Times New Roman" w:hAnsi="Times New Roman" w:cs="Times New Roman"/>
                <w:color w:val="auto"/>
                <w:szCs w:val="21"/>
                <w:highlight w:val="none"/>
              </w:rPr>
              <w:t>一起进入化粪池，再进入</w:t>
            </w:r>
            <w:r>
              <w:rPr>
                <w:rFonts w:hint="default" w:ascii="Times New Roman" w:hAnsi="Times New Roman" w:cs="Times New Roman"/>
                <w:color w:val="auto"/>
                <w:szCs w:val="21"/>
                <w:highlight w:val="none"/>
                <w:lang w:val="en-US" w:eastAsia="zh-CN"/>
              </w:rPr>
              <w:t>废水收集池</w:t>
            </w:r>
          </w:p>
        </w:tc>
      </w:tr>
      <w:tr w14:paraId="0479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8" w:type="dxa"/>
            <w:vMerge w:val="continue"/>
            <w:vAlign w:val="center"/>
          </w:tcPr>
          <w:p w14:paraId="4D6371F5">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550" w:type="dxa"/>
            <w:vAlign w:val="center"/>
          </w:tcPr>
          <w:p w14:paraId="271DB4E6">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其余办公生活</w:t>
            </w:r>
          </w:p>
        </w:tc>
        <w:tc>
          <w:tcPr>
            <w:tcW w:w="1235" w:type="dxa"/>
            <w:vAlign w:val="center"/>
          </w:tcPr>
          <w:p w14:paraId="13D0EF95">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highlight w:val="none"/>
                <w:lang w:val="en-US" w:eastAsia="zh-CN"/>
              </w:rPr>
              <w:t>0.96</w:t>
            </w:r>
          </w:p>
        </w:tc>
        <w:tc>
          <w:tcPr>
            <w:tcW w:w="1246" w:type="dxa"/>
            <w:vAlign w:val="center"/>
          </w:tcPr>
          <w:p w14:paraId="0E5B4AE3">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highlight w:val="none"/>
                <w:lang w:val="en-US" w:eastAsia="zh-CN"/>
              </w:rPr>
              <w:t>350.4</w:t>
            </w:r>
          </w:p>
        </w:tc>
        <w:tc>
          <w:tcPr>
            <w:tcW w:w="2114" w:type="dxa"/>
            <w:vAlign w:val="center"/>
          </w:tcPr>
          <w:p w14:paraId="5071ECE9">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0.9</w:t>
            </w:r>
          </w:p>
        </w:tc>
        <w:tc>
          <w:tcPr>
            <w:tcW w:w="1260" w:type="dxa"/>
            <w:vAlign w:val="center"/>
          </w:tcPr>
          <w:p w14:paraId="559A62EE">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highlight w:val="none"/>
                <w:lang w:val="en-US" w:eastAsia="zh-CN"/>
              </w:rPr>
              <w:t>0.864</w:t>
            </w:r>
          </w:p>
        </w:tc>
        <w:tc>
          <w:tcPr>
            <w:tcW w:w="1344" w:type="dxa"/>
            <w:vAlign w:val="center"/>
          </w:tcPr>
          <w:p w14:paraId="267B82E9">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highlight w:val="none"/>
                <w:lang w:val="en-US" w:eastAsia="zh-CN"/>
              </w:rPr>
              <w:t>315.36</w:t>
            </w:r>
          </w:p>
        </w:tc>
        <w:tc>
          <w:tcPr>
            <w:tcW w:w="778" w:type="dxa"/>
            <w:vMerge w:val="continue"/>
            <w:vAlign w:val="center"/>
          </w:tcPr>
          <w:p w14:paraId="17DED004">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3600" w:type="dxa"/>
            <w:vMerge w:val="continue"/>
            <w:vAlign w:val="center"/>
          </w:tcPr>
          <w:p w14:paraId="21CC48A2">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r>
      <w:tr w14:paraId="48C0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8" w:type="dxa"/>
            <w:vMerge w:val="restart"/>
            <w:vAlign w:val="center"/>
          </w:tcPr>
          <w:p w14:paraId="5009D892">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绿化</w:t>
            </w:r>
          </w:p>
        </w:tc>
        <w:tc>
          <w:tcPr>
            <w:tcW w:w="1550" w:type="dxa"/>
            <w:vAlign w:val="center"/>
          </w:tcPr>
          <w:p w14:paraId="08434934">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非雨天</w:t>
            </w:r>
          </w:p>
        </w:tc>
        <w:tc>
          <w:tcPr>
            <w:tcW w:w="1235" w:type="dxa"/>
            <w:vAlign w:val="center"/>
          </w:tcPr>
          <w:p w14:paraId="3D0CFA22">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highlight w:val="none"/>
                <w:lang w:val="en-US" w:eastAsia="zh-CN"/>
              </w:rPr>
              <w:t>3</w:t>
            </w:r>
          </w:p>
        </w:tc>
        <w:tc>
          <w:tcPr>
            <w:tcW w:w="1246" w:type="dxa"/>
            <w:vMerge w:val="restart"/>
            <w:vAlign w:val="center"/>
          </w:tcPr>
          <w:p w14:paraId="58F1172B">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4"/>
                <w:highlight w:val="none"/>
                <w:lang w:val="en-US" w:eastAsia="zh-CN"/>
              </w:rPr>
              <w:t>654</w:t>
            </w:r>
          </w:p>
        </w:tc>
        <w:tc>
          <w:tcPr>
            <w:tcW w:w="2114" w:type="dxa"/>
            <w:vAlign w:val="center"/>
          </w:tcPr>
          <w:p w14:paraId="6515C597">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vMerge w:val="restart"/>
            <w:vAlign w:val="center"/>
          </w:tcPr>
          <w:p w14:paraId="2AC6EAF5">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1344" w:type="dxa"/>
            <w:vMerge w:val="restart"/>
            <w:vAlign w:val="center"/>
          </w:tcPr>
          <w:p w14:paraId="17ED2658">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778" w:type="dxa"/>
            <w:vAlign w:val="center"/>
          </w:tcPr>
          <w:p w14:paraId="0532E73C">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3600" w:type="dxa"/>
            <w:vMerge w:val="restart"/>
            <w:vAlign w:val="center"/>
          </w:tcPr>
          <w:p w14:paraId="642B89FF">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r>
      <w:tr w14:paraId="23B8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8" w:type="dxa"/>
            <w:vMerge w:val="continue"/>
            <w:vAlign w:val="center"/>
          </w:tcPr>
          <w:p w14:paraId="44DCC9A8">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550" w:type="dxa"/>
            <w:vAlign w:val="center"/>
          </w:tcPr>
          <w:p w14:paraId="4FDD1E3A">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雨天</w:t>
            </w:r>
          </w:p>
        </w:tc>
        <w:tc>
          <w:tcPr>
            <w:tcW w:w="1235" w:type="dxa"/>
            <w:vAlign w:val="center"/>
          </w:tcPr>
          <w:p w14:paraId="741D3630">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1246" w:type="dxa"/>
            <w:vMerge w:val="continue"/>
            <w:vAlign w:val="center"/>
          </w:tcPr>
          <w:p w14:paraId="12BF80B0">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114" w:type="dxa"/>
            <w:vAlign w:val="center"/>
          </w:tcPr>
          <w:p w14:paraId="5A5EFB3A">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vMerge w:val="continue"/>
            <w:vAlign w:val="center"/>
          </w:tcPr>
          <w:p w14:paraId="03437EA2">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344" w:type="dxa"/>
            <w:vMerge w:val="continue"/>
            <w:vAlign w:val="center"/>
          </w:tcPr>
          <w:p w14:paraId="1447DB39">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778" w:type="dxa"/>
            <w:vAlign w:val="center"/>
          </w:tcPr>
          <w:p w14:paraId="4C87E076">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3600" w:type="dxa"/>
            <w:vMerge w:val="continue"/>
            <w:vAlign w:val="center"/>
          </w:tcPr>
          <w:p w14:paraId="5E9A703D">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r>
      <w:tr w14:paraId="40F5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8" w:type="dxa"/>
            <w:gridSpan w:val="2"/>
            <w:vAlign w:val="center"/>
          </w:tcPr>
          <w:p w14:paraId="0A3C638F">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1235" w:type="dxa"/>
            <w:shd w:val="clear" w:color="auto" w:fill="auto"/>
            <w:vAlign w:val="center"/>
          </w:tcPr>
          <w:p w14:paraId="5A0845F2">
            <w:pPr>
              <w:keepNext w:val="0"/>
              <w:keepLines w:val="0"/>
              <w:widowControl/>
              <w:suppressLineNumbers w:val="0"/>
              <w:jc w:val="right"/>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44.496</w:t>
            </w:r>
          </w:p>
        </w:tc>
        <w:tc>
          <w:tcPr>
            <w:tcW w:w="1246" w:type="dxa"/>
            <w:shd w:val="clear" w:color="auto" w:fill="auto"/>
            <w:vAlign w:val="center"/>
          </w:tcPr>
          <w:p w14:paraId="6E0BE61C">
            <w:pPr>
              <w:keepNext w:val="0"/>
              <w:keepLines w:val="0"/>
              <w:widowControl/>
              <w:suppressLineNumbers w:val="0"/>
              <w:jc w:val="right"/>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10300.788</w:t>
            </w:r>
          </w:p>
        </w:tc>
        <w:tc>
          <w:tcPr>
            <w:tcW w:w="2114" w:type="dxa"/>
            <w:vAlign w:val="center"/>
          </w:tcPr>
          <w:p w14:paraId="1835DB0F">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1260" w:type="dxa"/>
            <w:shd w:val="clear" w:color="auto" w:fill="auto"/>
            <w:vAlign w:val="center"/>
          </w:tcPr>
          <w:p w14:paraId="3BDE081E">
            <w:pPr>
              <w:keepNext w:val="0"/>
              <w:keepLines w:val="0"/>
              <w:widowControl/>
              <w:suppressLineNumbers w:val="0"/>
              <w:jc w:val="right"/>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37.267</w:t>
            </w:r>
          </w:p>
        </w:tc>
        <w:tc>
          <w:tcPr>
            <w:tcW w:w="1344" w:type="dxa"/>
            <w:shd w:val="clear" w:color="auto" w:fill="auto"/>
            <w:vAlign w:val="center"/>
          </w:tcPr>
          <w:p w14:paraId="697C2C57">
            <w:pPr>
              <w:keepNext w:val="0"/>
              <w:keepLines w:val="0"/>
              <w:widowControl/>
              <w:suppressLineNumbers w:val="0"/>
              <w:jc w:val="right"/>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5569.32</w:t>
            </w:r>
          </w:p>
        </w:tc>
        <w:tc>
          <w:tcPr>
            <w:tcW w:w="778" w:type="dxa"/>
            <w:vAlign w:val="center"/>
          </w:tcPr>
          <w:p w14:paraId="36213E2D">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3600" w:type="dxa"/>
            <w:vMerge w:val="continue"/>
            <w:vAlign w:val="center"/>
          </w:tcPr>
          <w:p w14:paraId="65B38361">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Cs w:val="21"/>
                <w:highlight w:val="none"/>
              </w:rPr>
            </w:pPr>
          </w:p>
        </w:tc>
      </w:tr>
    </w:tbl>
    <w:p w14:paraId="627EA25A">
      <w:pPr>
        <w:snapToGrid w:val="0"/>
        <w:spacing w:before="156" w:beforeLines="50" w:line="360" w:lineRule="auto"/>
        <w:ind w:firstLine="482"/>
        <w:rPr>
          <w:rFonts w:hint="default" w:ascii="Times New Roman" w:hAnsi="Times New Roman" w:cs="Times New Roman"/>
          <w:color w:val="auto"/>
          <w:sz w:val="24"/>
          <w:highlight w:val="none"/>
        </w:rPr>
        <w:sectPr>
          <w:pgSz w:w="16840" w:h="11907" w:orient="landscape"/>
          <w:pgMar w:top="1531" w:right="1531" w:bottom="1797"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4B807CA">
      <w:pPr>
        <w:snapToGrid w:val="0"/>
        <w:spacing w:before="156" w:beforeLines="50"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综上，项目水平衡见图</w:t>
      </w:r>
      <w:r>
        <w:rPr>
          <w:rFonts w:hint="default" w:ascii="Times New Roman" w:hAnsi="Times New Roman" w:cs="Times New Roman"/>
          <w:color w:val="auto"/>
          <w:sz w:val="24"/>
          <w:highlight w:val="none"/>
          <w:lang w:val="en-US" w:eastAsia="zh-CN"/>
        </w:rPr>
        <w:t>3.3.2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p>
    <w:p w14:paraId="5C7D6D6D">
      <w:pPr>
        <w:snapToGrid w:val="0"/>
        <w:spacing w:line="36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8" o:spt="75" type="#_x0000_t75" style="height:330.45pt;width:462.25pt;" o:ole="t" filled="f" o:preferrelative="t" stroked="f" coordsize="21600,21600">
            <v:path/>
            <v:fill on="f" focussize="0,0"/>
            <v:stroke on="f"/>
            <v:imagedata r:id="rId48" o:title=""/>
            <o:lock v:ext="edit" aspectratio="f"/>
            <w10:wrap type="none"/>
            <w10:anchorlock/>
          </v:shape>
          <o:OLEObject Type="Embed" ProgID="Visio.Drawing.11" ShapeID="_x0000_i1028" DrawAspect="Content" ObjectID="_1468075728" r:id="rId47">
            <o:LockedField>false</o:LockedField>
          </o:OLEObject>
        </w:object>
      </w:r>
    </w:p>
    <w:p w14:paraId="354459A0">
      <w:pPr>
        <w:snapToGrid w:val="0"/>
        <w:spacing w:line="360"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图</w:t>
      </w:r>
      <w:r>
        <w:rPr>
          <w:rFonts w:hint="default" w:ascii="Times New Roman" w:hAnsi="Times New Roman" w:cs="Times New Roman"/>
          <w:b/>
          <w:color w:val="auto"/>
          <w:szCs w:val="21"/>
          <w:highlight w:val="none"/>
          <w:lang w:val="en-US" w:eastAsia="zh-CN"/>
        </w:rPr>
        <w:t>3.3.2</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val="en-US" w:eastAsia="zh-CN"/>
        </w:rPr>
        <w:t>1</w:t>
      </w:r>
      <w:r>
        <w:rPr>
          <w:rFonts w:hint="default" w:ascii="Times New Roman" w:hAnsi="Times New Roman" w:cs="Times New Roman"/>
          <w:b/>
          <w:color w:val="auto"/>
          <w:szCs w:val="21"/>
          <w:highlight w:val="none"/>
        </w:rPr>
        <w:t xml:space="preserve">    项目水平衡图    单位：m</w:t>
      </w:r>
      <w:r>
        <w:rPr>
          <w:rFonts w:hint="default" w:ascii="Times New Roman" w:hAnsi="Times New Roman" w:cs="Times New Roman"/>
          <w:b/>
          <w:color w:val="auto"/>
          <w:szCs w:val="21"/>
          <w:highlight w:val="none"/>
          <w:vertAlign w:val="superscript"/>
        </w:rPr>
        <w:t>3</w:t>
      </w:r>
      <w:r>
        <w:rPr>
          <w:rFonts w:hint="default" w:ascii="Times New Roman" w:hAnsi="Times New Roman" w:cs="Times New Roman"/>
          <w:b/>
          <w:color w:val="auto"/>
          <w:szCs w:val="21"/>
          <w:highlight w:val="none"/>
        </w:rPr>
        <w:t>/d</w:t>
      </w:r>
    </w:p>
    <w:p w14:paraId="35648DF7">
      <w:pPr>
        <w:pStyle w:val="15"/>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注：水平衡按照最不利情况给出，即猪舍冲洗废水及水帘降温废水按照最大量当日给出。猪舍不冲洗时（存栏期）及不排放水帘降温废水时，废水量为16.019m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w:t>
      </w:r>
    </w:p>
    <w:p w14:paraId="4A3B5ACA">
      <w:pPr>
        <w:snapToGrid w:val="0"/>
        <w:spacing w:line="360" w:lineRule="auto"/>
        <w:outlineLvl w:val="4"/>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3.3.2.1.4水污染物产生情况</w:t>
      </w:r>
    </w:p>
    <w:p w14:paraId="23FC76A9">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rPr>
        <w:t>养殖废水：本项目清粪方式为干清粪工艺，养殖废水水质参照《规模畜禽养殖场污染防治最佳可行技术指南（试行）》（HJ-BAT-10）中“表2畜禽养殖主要水污染物产生量及其性质”中 “猪-干清粪”，以及《畜禽养殖业污染物排放标准编制说明》中的工程调查数据进行核算，环评取最大值，则废水中主要污染物产生浓度分别为COD</w:t>
      </w:r>
      <w:r>
        <w:rPr>
          <w:rFonts w:hint="default" w:ascii="Times New Roman" w:hAnsi="Times New Roman" w:cs="Times New Roman"/>
          <w:color w:val="auto"/>
          <w:sz w:val="24"/>
          <w:vertAlign w:val="subscript"/>
        </w:rPr>
        <w:t>cr</w:t>
      </w:r>
      <w:r>
        <w:rPr>
          <w:rFonts w:hint="default" w:ascii="Times New Roman" w:hAnsi="Times New Roman" w:cs="Times New Roman"/>
          <w:color w:val="auto"/>
          <w:sz w:val="24"/>
        </w:rPr>
        <w:t>2770mg/L、BOD</w:t>
      </w:r>
      <w:r>
        <w:rPr>
          <w:rFonts w:hint="default" w:ascii="Times New Roman" w:hAnsi="Times New Roman" w:cs="Times New Roman"/>
          <w:color w:val="auto"/>
          <w:sz w:val="24"/>
          <w:vertAlign w:val="subscript"/>
        </w:rPr>
        <w:t xml:space="preserve">5 </w:t>
      </w:r>
      <w:r>
        <w:rPr>
          <w:rFonts w:hint="default" w:ascii="Times New Roman" w:hAnsi="Times New Roman" w:cs="Times New Roman"/>
          <w:color w:val="auto"/>
          <w:sz w:val="24"/>
        </w:rPr>
        <w:t>1400mg/L、NH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 290mg/L、SS 2300mg/L、TN 420mg/L、TP 50mg/L、pH6.3~7.5、</w:t>
      </w:r>
      <w:r>
        <w:rPr>
          <w:rFonts w:hint="default" w:ascii="Times New Roman" w:hAnsi="Times New Roman" w:cs="Times New Roman"/>
          <w:bCs/>
          <w:color w:val="auto"/>
          <w:sz w:val="24"/>
        </w:rPr>
        <w:t>粪大肠菌群数2.0×10</w:t>
      </w:r>
      <w:r>
        <w:rPr>
          <w:rFonts w:hint="default" w:ascii="Times New Roman" w:hAnsi="Times New Roman" w:cs="Times New Roman"/>
          <w:bCs/>
          <w:color w:val="auto"/>
          <w:sz w:val="24"/>
          <w:vertAlign w:val="superscript"/>
        </w:rPr>
        <w:t>6</w:t>
      </w:r>
      <w:r>
        <w:rPr>
          <w:rFonts w:hint="default" w:ascii="Times New Roman" w:hAnsi="Times New Roman" w:cs="Times New Roman"/>
          <w:bCs/>
          <w:color w:val="auto"/>
          <w:sz w:val="24"/>
        </w:rPr>
        <w:t>个/L、蛔虫卵32个/L</w:t>
      </w:r>
      <w:r>
        <w:rPr>
          <w:rFonts w:hint="default" w:ascii="Times New Roman" w:hAnsi="Times New Roman" w:cs="Times New Roman"/>
          <w:color w:val="auto"/>
          <w:sz w:val="24"/>
        </w:rPr>
        <w:t>。</w:t>
      </w:r>
    </w:p>
    <w:p w14:paraId="45DB074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生活废水：参考《排放源统计调查产排污核算方法和系数手册》（生态环境部公告2021 第42号）中生活源产排污核算方法和系数手册，云南属于第六区，废水中各污染物浓度分别为COD：325mg/L、</w:t>
      </w:r>
      <w:r>
        <w:rPr>
          <w:rFonts w:hint="default" w:ascii="Times New Roman" w:hAnsi="Times New Roman" w:cs="Times New Roman"/>
          <w:color w:val="auto"/>
          <w:sz w:val="24"/>
          <w:highlight w:val="none"/>
        </w:rPr>
        <w:t>BOD</w:t>
      </w:r>
      <w:r>
        <w:rPr>
          <w:rFonts w:hint="default" w:ascii="Times New Roman" w:hAnsi="Times New Roman" w:cs="Times New Roman"/>
          <w:color w:val="auto"/>
          <w:sz w:val="24"/>
          <w:highlight w:val="none"/>
          <w:vertAlign w:val="subscript"/>
        </w:rPr>
        <w:t xml:space="preserve">5 </w:t>
      </w:r>
      <w:r>
        <w:rPr>
          <w:rFonts w:hint="default" w:ascii="Times New Roman" w:hAnsi="Times New Roman" w:cs="Times New Roman"/>
          <w:color w:val="auto"/>
          <w:sz w:val="24"/>
          <w:highlight w:val="none"/>
        </w:rPr>
        <w:t>190mg/L、</w:t>
      </w:r>
      <w:r>
        <w:rPr>
          <w:rFonts w:hint="default" w:ascii="Times New Roman" w:hAnsi="Times New Roman" w:cs="Times New Roman"/>
          <w:bCs/>
          <w:color w:val="auto"/>
          <w:sz w:val="24"/>
          <w:highlight w:val="none"/>
        </w:rPr>
        <w:t>SS：200mg/L、NH</w:t>
      </w:r>
      <w:r>
        <w:rPr>
          <w:rFonts w:hint="default" w:ascii="Times New Roman" w:hAnsi="Times New Roman" w:cs="Times New Roman"/>
          <w:bCs/>
          <w:color w:val="auto"/>
          <w:sz w:val="24"/>
          <w:highlight w:val="none"/>
          <w:vertAlign w:val="subscript"/>
        </w:rPr>
        <w:t>3</w:t>
      </w:r>
      <w:r>
        <w:rPr>
          <w:rFonts w:hint="default" w:ascii="Times New Roman" w:hAnsi="Times New Roman" w:cs="Times New Roman"/>
          <w:bCs/>
          <w:color w:val="auto"/>
          <w:sz w:val="24"/>
          <w:highlight w:val="none"/>
        </w:rPr>
        <w:t>-N：37.7mg/L，TP：6.06mg/L、TN：49.8mg/L。</w:t>
      </w:r>
      <w:r>
        <w:rPr>
          <w:rFonts w:hint="default" w:ascii="Times New Roman" w:hAnsi="Times New Roman" w:cs="Times New Roman"/>
          <w:color w:val="auto"/>
          <w:sz w:val="24"/>
          <w:highlight w:val="none"/>
        </w:rPr>
        <w:t>其中食堂废水动植物油浓度为20mg/L，油水分离器对动植物油去除效率取40%，经隔油池处理后按照</w:t>
      </w:r>
      <w:r>
        <w:rPr>
          <w:rFonts w:hint="default" w:ascii="Times New Roman" w:hAnsi="Times New Roman" w:cs="Times New Roman"/>
          <w:bCs/>
          <w:color w:val="auto"/>
          <w:sz w:val="24"/>
          <w:highlight w:val="none"/>
        </w:rPr>
        <w:t>12mg/L计</w:t>
      </w:r>
      <w:r>
        <w:rPr>
          <w:rFonts w:hint="default" w:ascii="Times New Roman" w:hAnsi="Times New Roman" w:cs="Times New Roman"/>
          <w:color w:val="auto"/>
          <w:sz w:val="24"/>
          <w:highlight w:val="none"/>
        </w:rPr>
        <w:t>。化粪池对各项污染物的去除效率为COD：15%、SS：20%、BOD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：9%、氨氮：3%、总磷：5%、总氮：3%。</w:t>
      </w:r>
    </w:p>
    <w:p w14:paraId="72F988F6">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项目废水源强见表</w:t>
      </w:r>
      <w:r>
        <w:rPr>
          <w:rFonts w:hint="default" w:ascii="Times New Roman" w:hAnsi="Times New Roman" w:cs="Times New Roman"/>
          <w:color w:val="auto"/>
          <w:sz w:val="24"/>
          <w:highlight w:val="none"/>
          <w:lang w:val="en-US" w:eastAsia="zh-CN"/>
        </w:rPr>
        <w:t>3.3.2-9</w:t>
      </w:r>
      <w:r>
        <w:rPr>
          <w:rFonts w:hint="default" w:ascii="Times New Roman" w:hAnsi="Times New Roman" w:cs="Times New Roman"/>
          <w:color w:val="auto"/>
          <w:sz w:val="24"/>
          <w:highlight w:val="none"/>
        </w:rPr>
        <w:t>。</w:t>
      </w:r>
    </w:p>
    <w:p w14:paraId="2517A5D3">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rPr>
        <w:t>3.3.2-9</w:t>
      </w:r>
      <w:r>
        <w:rPr>
          <w:rFonts w:hint="default" w:ascii="Times New Roman" w:hAnsi="Times New Roman" w:cs="Times New Roman"/>
          <w:b/>
          <w:bCs/>
          <w:color w:val="auto"/>
          <w:highlight w:val="none"/>
        </w:rPr>
        <w:t xml:space="preserve">   项目废水水质情况表</w:t>
      </w:r>
    </w:p>
    <w:tbl>
      <w:tblPr>
        <w:tblStyle w:val="23"/>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2373"/>
        <w:gridCol w:w="1759"/>
        <w:gridCol w:w="1418"/>
        <w:gridCol w:w="1317"/>
      </w:tblGrid>
      <w:tr w14:paraId="3BC3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vAlign w:val="center"/>
          </w:tcPr>
          <w:p w14:paraId="72CDF906">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来源</w:t>
            </w:r>
          </w:p>
        </w:tc>
        <w:tc>
          <w:tcPr>
            <w:tcW w:w="2373" w:type="dxa"/>
            <w:vAlign w:val="center"/>
          </w:tcPr>
          <w:p w14:paraId="3113204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污染因子</w:t>
            </w:r>
          </w:p>
        </w:tc>
        <w:tc>
          <w:tcPr>
            <w:tcW w:w="1759" w:type="dxa"/>
            <w:vAlign w:val="center"/>
          </w:tcPr>
          <w:p w14:paraId="0680420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产生浓度（mg/L）</w:t>
            </w:r>
          </w:p>
        </w:tc>
        <w:tc>
          <w:tcPr>
            <w:tcW w:w="1418" w:type="dxa"/>
            <w:vAlign w:val="center"/>
          </w:tcPr>
          <w:p w14:paraId="7873474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产生量（t/a）</w:t>
            </w:r>
          </w:p>
        </w:tc>
        <w:tc>
          <w:tcPr>
            <w:tcW w:w="1317" w:type="dxa"/>
            <w:vAlign w:val="center"/>
          </w:tcPr>
          <w:p w14:paraId="1BD01A5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color w:val="auto"/>
                <w:sz w:val="18"/>
                <w:szCs w:val="18"/>
                <w:highlight w:val="none"/>
              </w:rPr>
              <w:t>处理措施</w:t>
            </w:r>
          </w:p>
        </w:tc>
      </w:tr>
      <w:tr w14:paraId="66445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vMerge w:val="restart"/>
            <w:vAlign w:val="center"/>
          </w:tcPr>
          <w:p w14:paraId="6051E138">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养殖废水</w:t>
            </w:r>
          </w:p>
          <w:p w14:paraId="7B2E3DD6">
            <w:pPr>
              <w:pStyle w:val="15"/>
              <w:keepNext w:val="0"/>
              <w:keepLines w:val="0"/>
              <w:suppressLineNumbers w:val="0"/>
              <w:spacing w:before="0" w:beforeAutospacing="0" w:after="0" w:afterAutospacing="0"/>
              <w:ind w:left="0" w:right="0" w:firstLine="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5175.12</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/d）</w:t>
            </w:r>
          </w:p>
        </w:tc>
        <w:tc>
          <w:tcPr>
            <w:tcW w:w="2373" w:type="dxa"/>
            <w:vAlign w:val="center"/>
          </w:tcPr>
          <w:p w14:paraId="18EF38C6">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COD</w:t>
            </w:r>
          </w:p>
        </w:tc>
        <w:tc>
          <w:tcPr>
            <w:tcW w:w="1759" w:type="dxa"/>
            <w:vAlign w:val="center"/>
          </w:tcPr>
          <w:p w14:paraId="7B74EF6F">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rPr>
              <w:t>2770</w:t>
            </w:r>
          </w:p>
        </w:tc>
        <w:tc>
          <w:tcPr>
            <w:tcW w:w="1418" w:type="dxa"/>
            <w:vAlign w:val="center"/>
          </w:tcPr>
          <w:p w14:paraId="41FB2779">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14.34</w:t>
            </w:r>
          </w:p>
        </w:tc>
        <w:tc>
          <w:tcPr>
            <w:tcW w:w="1317" w:type="dxa"/>
            <w:vMerge w:val="restart"/>
            <w:vAlign w:val="center"/>
          </w:tcPr>
          <w:p w14:paraId="454E4E9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rPr>
              <w:t>食堂废水经隔油池处理后，与其他生活废水一起</w:t>
            </w:r>
            <w:r>
              <w:rPr>
                <w:rFonts w:hint="default" w:ascii="Times New Roman" w:hAnsi="Times New Roman" w:cs="Times New Roman"/>
                <w:bCs/>
                <w:color w:val="auto"/>
                <w:sz w:val="18"/>
                <w:szCs w:val="18"/>
                <w:highlight w:val="none"/>
                <w:lang w:val="en-US" w:eastAsia="zh-CN"/>
              </w:rPr>
              <w:t>经化粪池处理，与养殖废水一起进入废水收集池，依托</w:t>
            </w:r>
            <w:r>
              <w:rPr>
                <w:rFonts w:hint="default" w:ascii="Times New Roman" w:hAnsi="Times New Roman" w:cs="Times New Roman"/>
                <w:bCs/>
                <w:color w:val="auto"/>
                <w:sz w:val="18"/>
                <w:szCs w:val="18"/>
                <w:highlight w:val="none"/>
                <w:lang w:val="en-US" w:eastAsia="zh-CN"/>
              </w:rPr>
              <mc:AlternateContent>
                <mc:Choice Requires="wps">
                  <w:drawing>
                    <wp:anchor distT="0" distB="0" distL="114300" distR="114300" simplePos="0" relativeHeight="251673600" behindDoc="0" locked="0" layoutInCell="0" allowOverlap="1">
                      <wp:simplePos x="0" y="0"/>
                      <wp:positionH relativeFrom="page">
                        <wp:posOffset>1123315</wp:posOffset>
                      </wp:positionH>
                      <wp:positionV relativeFrom="page">
                        <wp:posOffset>775335</wp:posOffset>
                      </wp:positionV>
                      <wp:extent cx="5315585" cy="9525"/>
                      <wp:effectExtent l="0" t="0" r="0" b="0"/>
                      <wp:wrapNone/>
                      <wp:docPr id="34" name="任意多边形 34"/>
                      <wp:cNvGraphicFramePr/>
                      <a:graphic xmlns:a="http://schemas.openxmlformats.org/drawingml/2006/main">
                        <a:graphicData uri="http://schemas.microsoft.com/office/word/2010/wordprocessingShape">
                          <wps:wsp>
                            <wps:cNvSpPr/>
                            <wps:spPr>
                              <a:xfrm>
                                <a:off x="0" y="0"/>
                                <a:ext cx="5315585" cy="9525"/>
                              </a:xfrm>
                              <a:custGeom>
                                <a:avLst/>
                                <a:gdLst/>
                                <a:ahLst/>
                                <a:cxnLst/>
                                <a:pathLst>
                                  <a:path w="8370" h="15">
                                    <a:moveTo>
                                      <a:pt x="0" y="14"/>
                                    </a:moveTo>
                                    <a:lnTo>
                                      <a:pt x="8370" y="14"/>
                                    </a:lnTo>
                                    <a:lnTo>
                                      <a:pt x="8370" y="0"/>
                                    </a:lnTo>
                                    <a:lnTo>
                                      <a:pt x="0" y="0"/>
                                    </a:lnTo>
                                    <a:lnTo>
                                      <a:pt x="0" y="14"/>
                                    </a:lnTo>
                                    <a:close/>
                                  </a:path>
                                </a:pathLst>
                              </a:custGeom>
                              <a:solidFill>
                                <a:srgbClr val="000000"/>
                              </a:solidFill>
                              <a:ln>
                                <a:noFill/>
                              </a:ln>
                            </wps:spPr>
                            <wps:txbx>
                              <w:txbxContent>
                                <w:p w14:paraId="43BCC258">
                                  <w:pPr>
                                    <w:jc w:val="center"/>
                                    <w:rPr>
                                      <w:rFonts w:hint="eastAsia" w:eastAsia="宋体"/>
                                      <w:lang w:eastAsia="zh-CN"/>
                                    </w:rPr>
                                  </w:pPr>
                                  <w:r>
                                    <w:rPr>
                                      <w:rFonts w:hint="eastAsia"/>
                                      <w:lang w:eastAsia="zh-CN"/>
                                    </w:rPr>
                                    <w:t>。</w:t>
                                  </w:r>
                                </w:p>
                              </w:txbxContent>
                            </wps:txbx>
                            <wps:bodyPr upright="1"/>
                          </wps:wsp>
                        </a:graphicData>
                      </a:graphic>
                    </wp:anchor>
                  </w:drawing>
                </mc:Choice>
                <mc:Fallback>
                  <w:pict>
                    <v:shape id="_x0000_s1026" o:spid="_x0000_s1026" o:spt="100" style="position:absolute;left:0pt;margin-left:88.45pt;margin-top:61.05pt;height:0.75pt;width:418.55pt;mso-position-horizontal-relative:page;mso-position-vertical-relative:page;z-index:251673600;mso-width-relative:page;mso-height-relative:page;" fillcolor="#000000" filled="t" stroked="f" coordsize="8370,15" o:allowincell="f" o:gfxdata="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wEpf7aAAAA&#10;DAEAAA8AAAAAAAAAAQAgAAAAIgAAAGRycy9kb3ducmV2LnhtbFBLAQIUABQAAAAIAIdO4kD97ZTJ&#10;GwIAAIkEAAAOAAAAAAAAAAEAIAAAACkBAABkcnMvZTJvRG9jLnhtbFBLBQYAAAAABgAGAFkBAAC2&#10;BQAAAAA=&#10;" path="m0,14l8370,14,8370,0,0,0,0,14xe">
                      <v:path textboxrect="0,0,8370,15"/>
                      <v:fill on="t" focussize="0,0"/>
                      <v:stroke on="f"/>
                      <v:imagedata o:title=""/>
                      <o:lock v:ext="edit" aspectratio="f"/>
                      <v:textbox>
                        <w:txbxContent>
                          <w:p w14:paraId="43BCC258">
                            <w:pPr>
                              <w:jc w:val="center"/>
                              <w:rPr>
                                <w:rFonts w:hint="eastAsia" w:eastAsia="宋体"/>
                                <w:lang w:eastAsia="zh-CN"/>
                              </w:rPr>
                            </w:pPr>
                            <w:r>
                              <w:rPr>
                                <w:rFonts w:hint="eastAsia"/>
                                <w:lang w:eastAsia="zh-CN"/>
                              </w:rPr>
                              <w:t>。</w:t>
                            </w:r>
                          </w:p>
                        </w:txbxContent>
                      </v:textbox>
                    </v:shape>
                  </w:pict>
                </mc:Fallback>
              </mc:AlternateContent>
            </w:r>
            <w:r>
              <w:rPr>
                <w:rFonts w:hint="default" w:ascii="Times New Roman" w:hAnsi="Times New Roman" w:cs="Times New Roman"/>
                <w:bCs/>
                <w:color w:val="auto"/>
                <w:sz w:val="18"/>
                <w:szCs w:val="18"/>
                <w:highlight w:val="none"/>
                <w:lang w:val="en-US" w:eastAsia="zh-CN"/>
              </w:rPr>
              <w:t>弥勒温氏畜牧有限公司新哨种猪场建设项目污水处理站处理后用于绿化及农田灌溉。</w:t>
            </w:r>
          </w:p>
        </w:tc>
      </w:tr>
      <w:tr w14:paraId="3AC1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vMerge w:val="continue"/>
            <w:vAlign w:val="center"/>
          </w:tcPr>
          <w:p w14:paraId="7F93D396">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235A96B3">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BOD</w:t>
            </w:r>
            <w:r>
              <w:rPr>
                <w:rFonts w:hint="default" w:ascii="Times New Roman" w:hAnsi="Times New Roman" w:cs="Times New Roman"/>
                <w:bCs/>
                <w:color w:val="auto"/>
                <w:sz w:val="18"/>
                <w:szCs w:val="18"/>
                <w:highlight w:val="none"/>
                <w:vertAlign w:val="subscript"/>
              </w:rPr>
              <w:t>5</w:t>
            </w:r>
          </w:p>
        </w:tc>
        <w:tc>
          <w:tcPr>
            <w:tcW w:w="1759" w:type="dxa"/>
            <w:vAlign w:val="center"/>
          </w:tcPr>
          <w:p w14:paraId="040FD7EB">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rPr>
              <w:t>1400</w:t>
            </w:r>
          </w:p>
        </w:tc>
        <w:tc>
          <w:tcPr>
            <w:tcW w:w="1418" w:type="dxa"/>
            <w:vAlign w:val="center"/>
          </w:tcPr>
          <w:p w14:paraId="53DED38F">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7.25</w:t>
            </w:r>
          </w:p>
        </w:tc>
        <w:tc>
          <w:tcPr>
            <w:tcW w:w="1317" w:type="dxa"/>
            <w:vMerge w:val="continue"/>
            <w:vAlign w:val="center"/>
          </w:tcPr>
          <w:p w14:paraId="18DE8436">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3A00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vMerge w:val="continue"/>
            <w:vAlign w:val="center"/>
          </w:tcPr>
          <w:p w14:paraId="42728089">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2704B309">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SS</w:t>
            </w:r>
          </w:p>
        </w:tc>
        <w:tc>
          <w:tcPr>
            <w:tcW w:w="1759" w:type="dxa"/>
            <w:vAlign w:val="center"/>
          </w:tcPr>
          <w:p w14:paraId="2C22A676">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rPr>
              <w:t>2300</w:t>
            </w:r>
          </w:p>
        </w:tc>
        <w:tc>
          <w:tcPr>
            <w:tcW w:w="1418" w:type="dxa"/>
            <w:vAlign w:val="center"/>
          </w:tcPr>
          <w:p w14:paraId="375E37FE">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11.90</w:t>
            </w:r>
          </w:p>
        </w:tc>
        <w:tc>
          <w:tcPr>
            <w:tcW w:w="1317" w:type="dxa"/>
            <w:vMerge w:val="continue"/>
            <w:vAlign w:val="center"/>
          </w:tcPr>
          <w:p w14:paraId="7BBECA2B">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73C4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vMerge w:val="continue"/>
            <w:vAlign w:val="center"/>
          </w:tcPr>
          <w:p w14:paraId="7625C0C7">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42110109">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NH</w:t>
            </w:r>
            <w:r>
              <w:rPr>
                <w:rFonts w:hint="default" w:ascii="Times New Roman" w:hAnsi="Times New Roman" w:cs="Times New Roman"/>
                <w:bCs/>
                <w:color w:val="auto"/>
                <w:sz w:val="18"/>
                <w:szCs w:val="18"/>
                <w:highlight w:val="none"/>
                <w:vertAlign w:val="subscript"/>
              </w:rPr>
              <w:t>3</w:t>
            </w:r>
            <w:r>
              <w:rPr>
                <w:rFonts w:hint="default" w:ascii="Times New Roman" w:hAnsi="Times New Roman" w:cs="Times New Roman"/>
                <w:bCs/>
                <w:color w:val="auto"/>
                <w:sz w:val="18"/>
                <w:szCs w:val="18"/>
                <w:highlight w:val="none"/>
              </w:rPr>
              <w:t>-N</w:t>
            </w:r>
          </w:p>
        </w:tc>
        <w:tc>
          <w:tcPr>
            <w:tcW w:w="1759" w:type="dxa"/>
            <w:vAlign w:val="center"/>
          </w:tcPr>
          <w:p w14:paraId="7BFE45FA">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rPr>
              <w:t>290</w:t>
            </w:r>
          </w:p>
        </w:tc>
        <w:tc>
          <w:tcPr>
            <w:tcW w:w="1418" w:type="dxa"/>
            <w:vAlign w:val="center"/>
          </w:tcPr>
          <w:p w14:paraId="47CA317D">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1.50</w:t>
            </w:r>
          </w:p>
        </w:tc>
        <w:tc>
          <w:tcPr>
            <w:tcW w:w="1317" w:type="dxa"/>
            <w:vMerge w:val="continue"/>
            <w:vAlign w:val="center"/>
          </w:tcPr>
          <w:p w14:paraId="50D7F06F">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3A9C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vMerge w:val="continue"/>
            <w:vAlign w:val="center"/>
          </w:tcPr>
          <w:p w14:paraId="12A12CA4">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04AB93A3">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TN</w:t>
            </w:r>
          </w:p>
        </w:tc>
        <w:tc>
          <w:tcPr>
            <w:tcW w:w="1759" w:type="dxa"/>
            <w:vAlign w:val="center"/>
          </w:tcPr>
          <w:p w14:paraId="6007A6F3">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rPr>
              <w:t>420</w:t>
            </w:r>
          </w:p>
        </w:tc>
        <w:tc>
          <w:tcPr>
            <w:tcW w:w="1418" w:type="dxa"/>
            <w:vAlign w:val="center"/>
          </w:tcPr>
          <w:p w14:paraId="4AACDFCA">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2.17</w:t>
            </w:r>
          </w:p>
        </w:tc>
        <w:tc>
          <w:tcPr>
            <w:tcW w:w="1317" w:type="dxa"/>
            <w:vMerge w:val="continue"/>
            <w:vAlign w:val="center"/>
          </w:tcPr>
          <w:p w14:paraId="5F51A504">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1CDF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vMerge w:val="continue"/>
            <w:vAlign w:val="center"/>
          </w:tcPr>
          <w:p w14:paraId="1571B9DE">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0FA90C82">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TP</w:t>
            </w:r>
          </w:p>
        </w:tc>
        <w:tc>
          <w:tcPr>
            <w:tcW w:w="1759" w:type="dxa"/>
            <w:vAlign w:val="center"/>
          </w:tcPr>
          <w:p w14:paraId="69497061">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rPr>
              <w:t>50</w:t>
            </w:r>
          </w:p>
        </w:tc>
        <w:tc>
          <w:tcPr>
            <w:tcW w:w="1418" w:type="dxa"/>
            <w:vAlign w:val="center"/>
          </w:tcPr>
          <w:p w14:paraId="0B9DD0D8">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0.258</w:t>
            </w:r>
          </w:p>
        </w:tc>
        <w:tc>
          <w:tcPr>
            <w:tcW w:w="1317" w:type="dxa"/>
            <w:vMerge w:val="continue"/>
            <w:vAlign w:val="center"/>
          </w:tcPr>
          <w:p w14:paraId="43F0C167">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3BDD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vMerge w:val="continue"/>
            <w:vAlign w:val="center"/>
          </w:tcPr>
          <w:p w14:paraId="0797CEAB">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3C91BF1C">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pH</w:t>
            </w:r>
          </w:p>
        </w:tc>
        <w:tc>
          <w:tcPr>
            <w:tcW w:w="1759" w:type="dxa"/>
            <w:vAlign w:val="center"/>
          </w:tcPr>
          <w:p w14:paraId="71F814C5">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6.3~7.5</w:t>
            </w:r>
          </w:p>
        </w:tc>
        <w:tc>
          <w:tcPr>
            <w:tcW w:w="1418" w:type="dxa"/>
            <w:vAlign w:val="center"/>
          </w:tcPr>
          <w:p w14:paraId="29635123">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p>
        </w:tc>
        <w:tc>
          <w:tcPr>
            <w:tcW w:w="1317" w:type="dxa"/>
            <w:vMerge w:val="continue"/>
            <w:vAlign w:val="center"/>
          </w:tcPr>
          <w:p w14:paraId="7A781619">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4CC4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vMerge w:val="continue"/>
            <w:vAlign w:val="center"/>
          </w:tcPr>
          <w:p w14:paraId="058C6F63">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77678D8E">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粪大肠菌群数（个/L）</w:t>
            </w:r>
          </w:p>
        </w:tc>
        <w:tc>
          <w:tcPr>
            <w:tcW w:w="1759" w:type="dxa"/>
            <w:vAlign w:val="center"/>
          </w:tcPr>
          <w:p w14:paraId="11066B74">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2.0×10</w:t>
            </w:r>
            <w:r>
              <w:rPr>
                <w:rFonts w:hint="default" w:ascii="Times New Roman" w:hAnsi="Times New Roman" w:cs="Times New Roman"/>
                <w:bCs/>
                <w:color w:val="auto"/>
                <w:sz w:val="18"/>
                <w:szCs w:val="18"/>
                <w:highlight w:val="none"/>
                <w:vertAlign w:val="superscript"/>
              </w:rPr>
              <w:t>6</w:t>
            </w:r>
          </w:p>
        </w:tc>
        <w:tc>
          <w:tcPr>
            <w:tcW w:w="1418" w:type="dxa"/>
            <w:vAlign w:val="center"/>
          </w:tcPr>
          <w:p w14:paraId="4BAFDE4C">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w:t>
            </w:r>
            <w:r>
              <w:rPr>
                <w:rFonts w:hint="default" w:ascii="Times New Roman" w:hAnsi="Times New Roman" w:cs="Times New Roman"/>
                <w:bCs/>
                <w:color w:val="auto"/>
                <w:sz w:val="18"/>
                <w:szCs w:val="18"/>
                <w:highlight w:val="none"/>
                <w:lang w:val="en-US" w:eastAsia="zh-CN"/>
              </w:rPr>
              <w:t>035</w:t>
            </w:r>
            <w:r>
              <w:rPr>
                <w:rFonts w:hint="default" w:ascii="Times New Roman" w:hAnsi="Times New Roman" w:cs="Times New Roman"/>
                <w:bCs/>
                <w:color w:val="auto"/>
                <w:sz w:val="18"/>
                <w:szCs w:val="18"/>
                <w:highlight w:val="none"/>
              </w:rPr>
              <w:t>×10</w:t>
            </w:r>
            <w:r>
              <w:rPr>
                <w:rFonts w:hint="default" w:ascii="Times New Roman" w:hAnsi="Times New Roman" w:cs="Times New Roman"/>
                <w:bCs/>
                <w:color w:val="auto"/>
                <w:sz w:val="18"/>
                <w:szCs w:val="18"/>
                <w:highlight w:val="none"/>
                <w:vertAlign w:val="superscript"/>
              </w:rPr>
              <w:t>13</w:t>
            </w:r>
            <w:r>
              <w:rPr>
                <w:rFonts w:hint="default" w:ascii="Times New Roman" w:hAnsi="Times New Roman" w:cs="Times New Roman"/>
                <w:bCs/>
                <w:color w:val="auto"/>
                <w:sz w:val="18"/>
                <w:szCs w:val="18"/>
                <w:highlight w:val="none"/>
              </w:rPr>
              <w:t>个</w:t>
            </w:r>
          </w:p>
        </w:tc>
        <w:tc>
          <w:tcPr>
            <w:tcW w:w="1317" w:type="dxa"/>
            <w:vMerge w:val="continue"/>
            <w:vAlign w:val="center"/>
          </w:tcPr>
          <w:p w14:paraId="5B1EDFC5">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1004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1928" w:type="dxa"/>
            <w:vMerge w:val="continue"/>
            <w:vAlign w:val="center"/>
          </w:tcPr>
          <w:p w14:paraId="706A518B">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406399A5">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蛔虫卵（个/L）</w:t>
            </w:r>
          </w:p>
        </w:tc>
        <w:tc>
          <w:tcPr>
            <w:tcW w:w="1759" w:type="dxa"/>
            <w:vAlign w:val="center"/>
          </w:tcPr>
          <w:p w14:paraId="51400F90">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32</w:t>
            </w:r>
          </w:p>
        </w:tc>
        <w:tc>
          <w:tcPr>
            <w:tcW w:w="1418" w:type="dxa"/>
            <w:vAlign w:val="center"/>
          </w:tcPr>
          <w:p w14:paraId="685819CC">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val="en-US" w:eastAsia="zh-CN"/>
              </w:rPr>
              <w:t>1.656</w:t>
            </w:r>
            <w:r>
              <w:rPr>
                <w:rFonts w:hint="default" w:ascii="Times New Roman" w:hAnsi="Times New Roman" w:cs="Times New Roman"/>
                <w:bCs/>
                <w:color w:val="auto"/>
                <w:sz w:val="18"/>
                <w:szCs w:val="18"/>
                <w:highlight w:val="none"/>
              </w:rPr>
              <w:t>×10</w:t>
            </w:r>
            <w:r>
              <w:rPr>
                <w:rFonts w:hint="default" w:ascii="Times New Roman" w:hAnsi="Times New Roman" w:cs="Times New Roman"/>
                <w:bCs/>
                <w:color w:val="auto"/>
                <w:sz w:val="18"/>
                <w:szCs w:val="18"/>
                <w:highlight w:val="none"/>
                <w:vertAlign w:val="superscript"/>
              </w:rPr>
              <w:t>8</w:t>
            </w:r>
            <w:r>
              <w:rPr>
                <w:rFonts w:hint="default" w:ascii="Times New Roman" w:hAnsi="Times New Roman" w:cs="Times New Roman"/>
                <w:bCs/>
                <w:color w:val="auto"/>
                <w:sz w:val="18"/>
                <w:szCs w:val="18"/>
                <w:highlight w:val="none"/>
              </w:rPr>
              <w:t>个</w:t>
            </w:r>
          </w:p>
        </w:tc>
        <w:tc>
          <w:tcPr>
            <w:tcW w:w="1317" w:type="dxa"/>
            <w:vMerge w:val="continue"/>
            <w:vAlign w:val="center"/>
          </w:tcPr>
          <w:p w14:paraId="7BDD1A6F">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64F2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vMerge w:val="restart"/>
            <w:vAlign w:val="center"/>
          </w:tcPr>
          <w:p w14:paraId="32845261">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生活废水</w:t>
            </w:r>
          </w:p>
          <w:p w14:paraId="0C66C432">
            <w:pPr>
              <w:pStyle w:val="15"/>
              <w:keepNext w:val="0"/>
              <w:keepLines w:val="0"/>
              <w:suppressLineNumbers w:val="0"/>
              <w:spacing w:before="0" w:beforeAutospacing="0" w:after="0" w:afterAutospacing="0"/>
              <w:ind w:left="0" w:right="0" w:firstLine="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394.2</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a</w:t>
            </w:r>
            <w:r>
              <w:rPr>
                <w:rFonts w:hint="default" w:ascii="Times New Roman" w:hAnsi="Times New Roman" w:cs="Times New Roman"/>
                <w:color w:val="auto"/>
                <w:sz w:val="18"/>
                <w:szCs w:val="18"/>
                <w:highlight w:val="none"/>
              </w:rPr>
              <w:t>）</w:t>
            </w:r>
          </w:p>
        </w:tc>
        <w:tc>
          <w:tcPr>
            <w:tcW w:w="2373" w:type="dxa"/>
            <w:vAlign w:val="center"/>
          </w:tcPr>
          <w:p w14:paraId="25C1DAC6">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COD</w:t>
            </w:r>
          </w:p>
        </w:tc>
        <w:tc>
          <w:tcPr>
            <w:tcW w:w="1759" w:type="dxa"/>
            <w:vAlign w:val="center"/>
          </w:tcPr>
          <w:p w14:paraId="70F960F6">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325</w:t>
            </w:r>
          </w:p>
        </w:tc>
        <w:tc>
          <w:tcPr>
            <w:tcW w:w="1418" w:type="dxa"/>
            <w:vAlign w:val="center"/>
          </w:tcPr>
          <w:p w14:paraId="31B5EE0A">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0.128</w:t>
            </w:r>
          </w:p>
        </w:tc>
        <w:tc>
          <w:tcPr>
            <w:tcW w:w="1317" w:type="dxa"/>
            <w:vMerge w:val="continue"/>
            <w:vAlign w:val="center"/>
          </w:tcPr>
          <w:p w14:paraId="47B7FAB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18"/>
                <w:szCs w:val="18"/>
                <w:highlight w:val="none"/>
                <w:lang w:val="en-US" w:eastAsia="zh-CN"/>
              </w:rPr>
            </w:pPr>
          </w:p>
        </w:tc>
      </w:tr>
      <w:tr w14:paraId="4704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vMerge w:val="continue"/>
            <w:vAlign w:val="center"/>
          </w:tcPr>
          <w:p w14:paraId="11AD7E55">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3D7B3FF3">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BOD</w:t>
            </w:r>
            <w:r>
              <w:rPr>
                <w:rFonts w:hint="default" w:ascii="Times New Roman" w:hAnsi="Times New Roman" w:cs="Times New Roman"/>
                <w:bCs/>
                <w:color w:val="auto"/>
                <w:sz w:val="18"/>
                <w:szCs w:val="18"/>
                <w:highlight w:val="none"/>
                <w:vertAlign w:val="subscript"/>
              </w:rPr>
              <w:t>5</w:t>
            </w:r>
          </w:p>
        </w:tc>
        <w:tc>
          <w:tcPr>
            <w:tcW w:w="1759" w:type="dxa"/>
            <w:vAlign w:val="center"/>
          </w:tcPr>
          <w:p w14:paraId="5859E690">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190</w:t>
            </w:r>
          </w:p>
        </w:tc>
        <w:tc>
          <w:tcPr>
            <w:tcW w:w="1418" w:type="dxa"/>
            <w:vAlign w:val="center"/>
          </w:tcPr>
          <w:p w14:paraId="0A5FB152">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0.075</w:t>
            </w:r>
          </w:p>
        </w:tc>
        <w:tc>
          <w:tcPr>
            <w:tcW w:w="1317" w:type="dxa"/>
            <w:vMerge w:val="continue"/>
            <w:vAlign w:val="center"/>
          </w:tcPr>
          <w:p w14:paraId="14E29213">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5A6E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vMerge w:val="continue"/>
            <w:vAlign w:val="center"/>
          </w:tcPr>
          <w:p w14:paraId="202BC27E">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0CFA9325">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SS</w:t>
            </w:r>
          </w:p>
        </w:tc>
        <w:tc>
          <w:tcPr>
            <w:tcW w:w="1759" w:type="dxa"/>
            <w:vAlign w:val="center"/>
          </w:tcPr>
          <w:p w14:paraId="44457964">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200</w:t>
            </w:r>
          </w:p>
        </w:tc>
        <w:tc>
          <w:tcPr>
            <w:tcW w:w="1418" w:type="dxa"/>
            <w:vAlign w:val="center"/>
          </w:tcPr>
          <w:p w14:paraId="46883919">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0.079</w:t>
            </w:r>
          </w:p>
        </w:tc>
        <w:tc>
          <w:tcPr>
            <w:tcW w:w="1317" w:type="dxa"/>
            <w:vMerge w:val="continue"/>
            <w:vAlign w:val="center"/>
          </w:tcPr>
          <w:p w14:paraId="17CD6272">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5B55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vMerge w:val="continue"/>
            <w:vAlign w:val="center"/>
          </w:tcPr>
          <w:p w14:paraId="6846860C">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4AB55C5E">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NH</w:t>
            </w:r>
            <w:r>
              <w:rPr>
                <w:rFonts w:hint="default" w:ascii="Times New Roman" w:hAnsi="Times New Roman" w:cs="Times New Roman"/>
                <w:bCs/>
                <w:color w:val="auto"/>
                <w:sz w:val="18"/>
                <w:szCs w:val="18"/>
                <w:highlight w:val="none"/>
                <w:vertAlign w:val="subscript"/>
              </w:rPr>
              <w:t>3</w:t>
            </w:r>
            <w:r>
              <w:rPr>
                <w:rFonts w:hint="default" w:ascii="Times New Roman" w:hAnsi="Times New Roman" w:cs="Times New Roman"/>
                <w:bCs/>
                <w:color w:val="auto"/>
                <w:sz w:val="18"/>
                <w:szCs w:val="18"/>
                <w:highlight w:val="none"/>
              </w:rPr>
              <w:t>-N</w:t>
            </w:r>
          </w:p>
        </w:tc>
        <w:tc>
          <w:tcPr>
            <w:tcW w:w="1759" w:type="dxa"/>
            <w:vAlign w:val="center"/>
          </w:tcPr>
          <w:p w14:paraId="0940BFCA">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37.7</w:t>
            </w:r>
          </w:p>
        </w:tc>
        <w:tc>
          <w:tcPr>
            <w:tcW w:w="1418" w:type="dxa"/>
            <w:vAlign w:val="center"/>
          </w:tcPr>
          <w:p w14:paraId="563D4C26">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0.0149</w:t>
            </w:r>
          </w:p>
        </w:tc>
        <w:tc>
          <w:tcPr>
            <w:tcW w:w="1317" w:type="dxa"/>
            <w:vMerge w:val="continue"/>
            <w:vAlign w:val="center"/>
          </w:tcPr>
          <w:p w14:paraId="646123C7">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1EE6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vMerge w:val="continue"/>
            <w:vAlign w:val="center"/>
          </w:tcPr>
          <w:p w14:paraId="23B2BDA7">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2EFCA5DE">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TN</w:t>
            </w:r>
          </w:p>
        </w:tc>
        <w:tc>
          <w:tcPr>
            <w:tcW w:w="1759" w:type="dxa"/>
            <w:vAlign w:val="center"/>
          </w:tcPr>
          <w:p w14:paraId="7FA7836B">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49.8</w:t>
            </w:r>
          </w:p>
        </w:tc>
        <w:tc>
          <w:tcPr>
            <w:tcW w:w="1418" w:type="dxa"/>
            <w:vAlign w:val="center"/>
          </w:tcPr>
          <w:p w14:paraId="23AC03CD">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0.0196</w:t>
            </w:r>
          </w:p>
        </w:tc>
        <w:tc>
          <w:tcPr>
            <w:tcW w:w="1317" w:type="dxa"/>
            <w:vMerge w:val="continue"/>
            <w:vAlign w:val="center"/>
          </w:tcPr>
          <w:p w14:paraId="7CDD88FC">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609F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vMerge w:val="continue"/>
            <w:vAlign w:val="center"/>
          </w:tcPr>
          <w:p w14:paraId="6DD1FA5A">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6C8D0C21">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TP</w:t>
            </w:r>
          </w:p>
        </w:tc>
        <w:tc>
          <w:tcPr>
            <w:tcW w:w="1759" w:type="dxa"/>
            <w:vAlign w:val="center"/>
          </w:tcPr>
          <w:p w14:paraId="4A21E16E">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6.06</w:t>
            </w:r>
          </w:p>
        </w:tc>
        <w:tc>
          <w:tcPr>
            <w:tcW w:w="1418" w:type="dxa"/>
            <w:vAlign w:val="center"/>
          </w:tcPr>
          <w:p w14:paraId="72236E58">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0.00239</w:t>
            </w:r>
          </w:p>
        </w:tc>
        <w:tc>
          <w:tcPr>
            <w:tcW w:w="1317" w:type="dxa"/>
            <w:vMerge w:val="continue"/>
            <w:vAlign w:val="center"/>
          </w:tcPr>
          <w:p w14:paraId="27B90F50">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3EA1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8" w:type="dxa"/>
            <w:vMerge w:val="continue"/>
            <w:vAlign w:val="center"/>
          </w:tcPr>
          <w:p w14:paraId="07CFBDBF">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781500FA">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动植物油</w:t>
            </w:r>
          </w:p>
        </w:tc>
        <w:tc>
          <w:tcPr>
            <w:tcW w:w="1759" w:type="dxa"/>
            <w:vAlign w:val="center"/>
          </w:tcPr>
          <w:p w14:paraId="6BBCD9E7">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12</w:t>
            </w:r>
          </w:p>
        </w:tc>
        <w:tc>
          <w:tcPr>
            <w:tcW w:w="1418" w:type="dxa"/>
            <w:vAlign w:val="center"/>
          </w:tcPr>
          <w:p w14:paraId="12CFC220">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0.00473</w:t>
            </w:r>
          </w:p>
        </w:tc>
        <w:tc>
          <w:tcPr>
            <w:tcW w:w="1317" w:type="dxa"/>
            <w:vMerge w:val="continue"/>
            <w:vAlign w:val="center"/>
          </w:tcPr>
          <w:p w14:paraId="127A30F3">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265C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928" w:type="dxa"/>
            <w:vMerge w:val="restart"/>
            <w:vAlign w:val="center"/>
          </w:tcPr>
          <w:p w14:paraId="26BAB554">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18"/>
                <w:szCs w:val="18"/>
                <w:highlight w:val="none"/>
              </w:rPr>
              <w:t>养殖废水及办公生活废水</w:t>
            </w:r>
            <w:r>
              <w:rPr>
                <w:rFonts w:hint="default" w:ascii="Times New Roman" w:hAnsi="Times New Roman" w:eastAsia="宋体" w:cs="Times New Roman"/>
                <w:i w:val="0"/>
                <w:iCs w:val="0"/>
                <w:color w:val="auto"/>
                <w:kern w:val="0"/>
                <w:sz w:val="18"/>
                <w:szCs w:val="18"/>
                <w:u w:val="none"/>
                <w:lang w:val="en-US" w:eastAsia="zh-CN" w:bidi="ar"/>
              </w:rPr>
              <w:t>5569.32</w:t>
            </w:r>
          </w:p>
        </w:tc>
        <w:tc>
          <w:tcPr>
            <w:tcW w:w="2373" w:type="dxa"/>
            <w:vAlign w:val="center"/>
          </w:tcPr>
          <w:p w14:paraId="31922ED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COD</w:t>
            </w:r>
            <w:r>
              <w:rPr>
                <w:rFonts w:hint="default" w:ascii="Times New Roman" w:hAnsi="Times New Roman" w:cs="Times New Roman"/>
                <w:color w:val="auto"/>
                <w:sz w:val="18"/>
                <w:szCs w:val="18"/>
                <w:highlight w:val="none"/>
                <w:vertAlign w:val="subscript"/>
              </w:rPr>
              <w:t>cr</w:t>
            </w:r>
          </w:p>
        </w:tc>
        <w:tc>
          <w:tcPr>
            <w:tcW w:w="1759" w:type="dxa"/>
            <w:vAlign w:val="center"/>
          </w:tcPr>
          <w:p w14:paraId="6C65ED4C">
            <w:pPr>
              <w:keepNext w:val="0"/>
              <w:keepLines w:val="0"/>
              <w:widowControl/>
              <w:suppressLineNumbers w:val="0"/>
              <w:jc w:val="center"/>
              <w:textAlignment w:val="center"/>
              <w:rPr>
                <w:rFonts w:hint="default" w:ascii="Times New Roman" w:hAnsi="Times New Roman" w:cs="Times New Roman"/>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2597.80</w:t>
            </w:r>
          </w:p>
        </w:tc>
        <w:tc>
          <w:tcPr>
            <w:tcW w:w="1418" w:type="dxa"/>
            <w:vAlign w:val="center"/>
          </w:tcPr>
          <w:p w14:paraId="01E5C255">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14.468</w:t>
            </w:r>
          </w:p>
        </w:tc>
        <w:tc>
          <w:tcPr>
            <w:tcW w:w="1317" w:type="dxa"/>
            <w:vMerge w:val="continue"/>
            <w:vAlign w:val="center"/>
          </w:tcPr>
          <w:p w14:paraId="1BD6959E">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736D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928" w:type="dxa"/>
            <w:vMerge w:val="continue"/>
            <w:vAlign w:val="center"/>
          </w:tcPr>
          <w:p w14:paraId="1CA9260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p>
        </w:tc>
        <w:tc>
          <w:tcPr>
            <w:tcW w:w="2373" w:type="dxa"/>
            <w:vAlign w:val="center"/>
          </w:tcPr>
          <w:p w14:paraId="385E6C1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BOD</w:t>
            </w:r>
            <w:r>
              <w:rPr>
                <w:rFonts w:hint="default" w:ascii="Times New Roman" w:hAnsi="Times New Roman" w:cs="Times New Roman"/>
                <w:bCs/>
                <w:color w:val="auto"/>
                <w:sz w:val="18"/>
                <w:szCs w:val="18"/>
                <w:highlight w:val="none"/>
                <w:vertAlign w:val="subscript"/>
              </w:rPr>
              <w:t>5</w:t>
            </w:r>
          </w:p>
        </w:tc>
        <w:tc>
          <w:tcPr>
            <w:tcW w:w="1759" w:type="dxa"/>
            <w:vAlign w:val="center"/>
          </w:tcPr>
          <w:p w14:paraId="2538A966">
            <w:pPr>
              <w:keepNext w:val="0"/>
              <w:keepLines w:val="0"/>
              <w:widowControl/>
              <w:suppressLineNumbers w:val="0"/>
              <w:jc w:val="center"/>
              <w:textAlignment w:val="center"/>
              <w:rPr>
                <w:rFonts w:hint="default" w:ascii="Times New Roman" w:hAnsi="Times New Roman" w:cs="Times New Roman"/>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1315.24</w:t>
            </w:r>
          </w:p>
        </w:tc>
        <w:tc>
          <w:tcPr>
            <w:tcW w:w="1418" w:type="dxa"/>
            <w:vAlign w:val="center"/>
          </w:tcPr>
          <w:p w14:paraId="59F3B4C6">
            <w:pPr>
              <w:keepNext w:val="0"/>
              <w:keepLines w:val="0"/>
              <w:widowControl/>
              <w:suppressLineNumbers w:val="0"/>
              <w:jc w:val="center"/>
              <w:textAlignment w:val="center"/>
              <w:rPr>
                <w:rFonts w:hint="default" w:ascii="Times New Roman" w:hAnsi="Times New Roman" w:cs="Times New Roman"/>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7.325</w:t>
            </w:r>
          </w:p>
        </w:tc>
        <w:tc>
          <w:tcPr>
            <w:tcW w:w="1317" w:type="dxa"/>
            <w:vMerge w:val="continue"/>
            <w:vAlign w:val="center"/>
          </w:tcPr>
          <w:p w14:paraId="314832EA">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72E4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928" w:type="dxa"/>
            <w:vMerge w:val="continue"/>
            <w:vAlign w:val="center"/>
          </w:tcPr>
          <w:p w14:paraId="00AD08A3">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4D21037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SS</w:t>
            </w:r>
          </w:p>
        </w:tc>
        <w:tc>
          <w:tcPr>
            <w:tcW w:w="1759" w:type="dxa"/>
            <w:vAlign w:val="center"/>
          </w:tcPr>
          <w:p w14:paraId="4C7F65E1">
            <w:pPr>
              <w:keepNext w:val="0"/>
              <w:keepLines w:val="0"/>
              <w:widowControl/>
              <w:suppressLineNumbers w:val="0"/>
              <w:jc w:val="center"/>
              <w:textAlignment w:val="center"/>
              <w:rPr>
                <w:rFonts w:hint="default" w:ascii="Times New Roman" w:hAnsi="Times New Roman" w:cs="Times New Roman"/>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2150.89</w:t>
            </w:r>
          </w:p>
        </w:tc>
        <w:tc>
          <w:tcPr>
            <w:tcW w:w="1418" w:type="dxa"/>
            <w:vAlign w:val="center"/>
          </w:tcPr>
          <w:p w14:paraId="498398B4">
            <w:pPr>
              <w:keepNext w:val="0"/>
              <w:keepLines w:val="0"/>
              <w:widowControl/>
              <w:suppressLineNumbers w:val="0"/>
              <w:jc w:val="center"/>
              <w:textAlignment w:val="center"/>
              <w:rPr>
                <w:rFonts w:hint="default" w:ascii="Times New Roman" w:hAnsi="Times New Roman" w:cs="Times New Roman"/>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11.979</w:t>
            </w:r>
          </w:p>
        </w:tc>
        <w:tc>
          <w:tcPr>
            <w:tcW w:w="1317" w:type="dxa"/>
            <w:vMerge w:val="continue"/>
            <w:vAlign w:val="center"/>
          </w:tcPr>
          <w:p w14:paraId="268FD575">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5B1D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928" w:type="dxa"/>
            <w:vMerge w:val="continue"/>
            <w:vAlign w:val="center"/>
          </w:tcPr>
          <w:p w14:paraId="6AD864E4">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6490663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NH</w:t>
            </w:r>
            <w:r>
              <w:rPr>
                <w:rFonts w:hint="default" w:ascii="Times New Roman" w:hAnsi="Times New Roman" w:cs="Times New Roman"/>
                <w:bCs/>
                <w:color w:val="auto"/>
                <w:sz w:val="18"/>
                <w:szCs w:val="18"/>
                <w:highlight w:val="none"/>
                <w:vertAlign w:val="subscript"/>
              </w:rPr>
              <w:t>3</w:t>
            </w:r>
            <w:r>
              <w:rPr>
                <w:rFonts w:hint="default" w:ascii="Times New Roman" w:hAnsi="Times New Roman" w:cs="Times New Roman"/>
                <w:bCs/>
                <w:color w:val="auto"/>
                <w:sz w:val="18"/>
                <w:szCs w:val="18"/>
                <w:highlight w:val="none"/>
              </w:rPr>
              <w:t>-N</w:t>
            </w:r>
          </w:p>
        </w:tc>
        <w:tc>
          <w:tcPr>
            <w:tcW w:w="1759" w:type="dxa"/>
            <w:vAlign w:val="center"/>
          </w:tcPr>
          <w:p w14:paraId="346E80AD">
            <w:pPr>
              <w:keepNext w:val="0"/>
              <w:keepLines w:val="0"/>
              <w:widowControl/>
              <w:suppressLineNumbers w:val="0"/>
              <w:jc w:val="center"/>
              <w:textAlignment w:val="center"/>
              <w:rPr>
                <w:rFonts w:hint="default" w:ascii="Times New Roman" w:hAnsi="Times New Roman" w:cs="Times New Roman"/>
                <w:bCs/>
                <w:color w:val="auto"/>
                <w:sz w:val="18"/>
                <w:szCs w:val="18"/>
                <w:highlight w:val="none"/>
                <w:lang w:val="en-US"/>
              </w:rPr>
            </w:pPr>
            <w:r>
              <w:rPr>
                <w:rFonts w:hint="default" w:ascii="Times New Roman" w:hAnsi="Times New Roman" w:eastAsia="宋体" w:cs="Times New Roman"/>
                <w:i w:val="0"/>
                <w:iCs w:val="0"/>
                <w:color w:val="auto"/>
                <w:kern w:val="0"/>
                <w:sz w:val="18"/>
                <w:szCs w:val="18"/>
                <w:u w:val="none"/>
                <w:lang w:val="en-US" w:eastAsia="zh-CN" w:bidi="ar"/>
              </w:rPr>
              <w:t>272.01</w:t>
            </w:r>
          </w:p>
        </w:tc>
        <w:tc>
          <w:tcPr>
            <w:tcW w:w="1418" w:type="dxa"/>
            <w:vAlign w:val="center"/>
          </w:tcPr>
          <w:p w14:paraId="6B3F952D">
            <w:pPr>
              <w:keepNext w:val="0"/>
              <w:keepLines w:val="0"/>
              <w:widowControl/>
              <w:suppressLineNumbers w:val="0"/>
              <w:jc w:val="center"/>
              <w:textAlignment w:val="center"/>
              <w:rPr>
                <w:rFonts w:hint="default" w:ascii="Times New Roman" w:hAnsi="Times New Roman" w:cs="Times New Roman"/>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1.5149</w:t>
            </w:r>
          </w:p>
        </w:tc>
        <w:tc>
          <w:tcPr>
            <w:tcW w:w="1317" w:type="dxa"/>
            <w:vMerge w:val="continue"/>
            <w:vAlign w:val="center"/>
          </w:tcPr>
          <w:p w14:paraId="7FE87E2F">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1812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928" w:type="dxa"/>
            <w:vMerge w:val="continue"/>
            <w:vAlign w:val="center"/>
          </w:tcPr>
          <w:p w14:paraId="64234AA9">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5FD67E3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TN</w:t>
            </w:r>
          </w:p>
        </w:tc>
        <w:tc>
          <w:tcPr>
            <w:tcW w:w="1759" w:type="dxa"/>
            <w:vAlign w:val="center"/>
          </w:tcPr>
          <w:p w14:paraId="113D8C82">
            <w:pPr>
              <w:keepNext w:val="0"/>
              <w:keepLines w:val="0"/>
              <w:widowControl/>
              <w:suppressLineNumbers w:val="0"/>
              <w:jc w:val="center"/>
              <w:textAlignment w:val="center"/>
              <w:rPr>
                <w:rFonts w:hint="default" w:ascii="Times New Roman" w:hAnsi="Times New Roman" w:cs="Times New Roman"/>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393.15</w:t>
            </w:r>
          </w:p>
        </w:tc>
        <w:tc>
          <w:tcPr>
            <w:tcW w:w="1418" w:type="dxa"/>
            <w:vAlign w:val="center"/>
          </w:tcPr>
          <w:p w14:paraId="5A453437">
            <w:pPr>
              <w:keepNext w:val="0"/>
              <w:keepLines w:val="0"/>
              <w:widowControl/>
              <w:suppressLineNumbers w:val="0"/>
              <w:jc w:val="center"/>
              <w:textAlignment w:val="center"/>
              <w:rPr>
                <w:rFonts w:hint="default" w:ascii="Times New Roman" w:hAnsi="Times New Roman" w:cs="Times New Roman"/>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2.1896</w:t>
            </w:r>
          </w:p>
        </w:tc>
        <w:tc>
          <w:tcPr>
            <w:tcW w:w="1317" w:type="dxa"/>
            <w:vMerge w:val="continue"/>
            <w:vAlign w:val="center"/>
          </w:tcPr>
          <w:p w14:paraId="47657A43">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3804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928" w:type="dxa"/>
            <w:vMerge w:val="continue"/>
            <w:vAlign w:val="center"/>
          </w:tcPr>
          <w:p w14:paraId="2AAF8E92">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3920B32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TP</w:t>
            </w:r>
          </w:p>
        </w:tc>
        <w:tc>
          <w:tcPr>
            <w:tcW w:w="1759" w:type="dxa"/>
            <w:vAlign w:val="center"/>
          </w:tcPr>
          <w:p w14:paraId="5058C9DA">
            <w:pPr>
              <w:keepNext w:val="0"/>
              <w:keepLines w:val="0"/>
              <w:widowControl/>
              <w:suppressLineNumbers w:val="0"/>
              <w:jc w:val="center"/>
              <w:textAlignment w:val="center"/>
              <w:rPr>
                <w:rFonts w:hint="default" w:ascii="Times New Roman" w:hAnsi="Times New Roman" w:cs="Times New Roman"/>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46.75</w:t>
            </w:r>
          </w:p>
        </w:tc>
        <w:tc>
          <w:tcPr>
            <w:tcW w:w="1418" w:type="dxa"/>
            <w:vAlign w:val="center"/>
          </w:tcPr>
          <w:p w14:paraId="6E1F4CC2">
            <w:pPr>
              <w:keepNext w:val="0"/>
              <w:keepLines w:val="0"/>
              <w:widowControl/>
              <w:suppressLineNumbers w:val="0"/>
              <w:jc w:val="center"/>
              <w:textAlignment w:val="center"/>
              <w:rPr>
                <w:rFonts w:hint="default" w:ascii="Times New Roman" w:hAnsi="Times New Roman" w:cs="Times New Roman"/>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0.26039</w:t>
            </w:r>
          </w:p>
        </w:tc>
        <w:tc>
          <w:tcPr>
            <w:tcW w:w="1317" w:type="dxa"/>
            <w:vMerge w:val="continue"/>
            <w:vAlign w:val="center"/>
          </w:tcPr>
          <w:p w14:paraId="19D4F6F8">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0821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928" w:type="dxa"/>
            <w:vMerge w:val="continue"/>
            <w:vAlign w:val="center"/>
          </w:tcPr>
          <w:p w14:paraId="2B8552A7">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531C98F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pH</w:t>
            </w:r>
          </w:p>
        </w:tc>
        <w:tc>
          <w:tcPr>
            <w:tcW w:w="1759" w:type="dxa"/>
            <w:vAlign w:val="center"/>
          </w:tcPr>
          <w:p w14:paraId="3E8B3394">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6.3~7.5</w:t>
            </w:r>
          </w:p>
        </w:tc>
        <w:tc>
          <w:tcPr>
            <w:tcW w:w="1418" w:type="dxa"/>
            <w:vAlign w:val="center"/>
          </w:tcPr>
          <w:p w14:paraId="608C095B">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p>
        </w:tc>
        <w:tc>
          <w:tcPr>
            <w:tcW w:w="1317" w:type="dxa"/>
            <w:vMerge w:val="continue"/>
            <w:vAlign w:val="center"/>
          </w:tcPr>
          <w:p w14:paraId="0F9AFB02">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73FA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928" w:type="dxa"/>
            <w:vMerge w:val="continue"/>
            <w:vAlign w:val="center"/>
          </w:tcPr>
          <w:p w14:paraId="07656FA0">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72237AE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粪大肠菌群数（个/L）</w:t>
            </w:r>
          </w:p>
        </w:tc>
        <w:tc>
          <w:tcPr>
            <w:tcW w:w="1759" w:type="dxa"/>
            <w:vAlign w:val="center"/>
          </w:tcPr>
          <w:p w14:paraId="2DCCE7FA">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2.0×10</w:t>
            </w:r>
            <w:r>
              <w:rPr>
                <w:rFonts w:hint="default" w:ascii="Times New Roman" w:hAnsi="Times New Roman" w:cs="Times New Roman"/>
                <w:bCs/>
                <w:color w:val="auto"/>
                <w:sz w:val="18"/>
                <w:szCs w:val="18"/>
                <w:highlight w:val="none"/>
                <w:vertAlign w:val="superscript"/>
              </w:rPr>
              <w:t>6</w:t>
            </w:r>
          </w:p>
        </w:tc>
        <w:tc>
          <w:tcPr>
            <w:tcW w:w="1418" w:type="dxa"/>
            <w:vAlign w:val="center"/>
          </w:tcPr>
          <w:p w14:paraId="0CED497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w:t>
            </w:r>
            <w:r>
              <w:rPr>
                <w:rFonts w:hint="default" w:ascii="Times New Roman" w:hAnsi="Times New Roman" w:cs="Times New Roman"/>
                <w:bCs/>
                <w:color w:val="auto"/>
                <w:sz w:val="18"/>
                <w:szCs w:val="18"/>
                <w:highlight w:val="none"/>
                <w:lang w:val="en-US" w:eastAsia="zh-CN"/>
              </w:rPr>
              <w:t>035</w:t>
            </w:r>
            <w:r>
              <w:rPr>
                <w:rFonts w:hint="default" w:ascii="Times New Roman" w:hAnsi="Times New Roman" w:cs="Times New Roman"/>
                <w:bCs/>
                <w:color w:val="auto"/>
                <w:sz w:val="18"/>
                <w:szCs w:val="18"/>
                <w:highlight w:val="none"/>
              </w:rPr>
              <w:t>×10</w:t>
            </w:r>
            <w:r>
              <w:rPr>
                <w:rFonts w:hint="default" w:ascii="Times New Roman" w:hAnsi="Times New Roman" w:cs="Times New Roman"/>
                <w:bCs/>
                <w:color w:val="auto"/>
                <w:sz w:val="18"/>
                <w:szCs w:val="18"/>
                <w:highlight w:val="none"/>
                <w:vertAlign w:val="superscript"/>
              </w:rPr>
              <w:t>13</w:t>
            </w:r>
            <w:r>
              <w:rPr>
                <w:rFonts w:hint="default" w:ascii="Times New Roman" w:hAnsi="Times New Roman" w:cs="Times New Roman"/>
                <w:bCs/>
                <w:color w:val="auto"/>
                <w:sz w:val="18"/>
                <w:szCs w:val="18"/>
                <w:highlight w:val="none"/>
              </w:rPr>
              <w:t>个</w:t>
            </w:r>
          </w:p>
        </w:tc>
        <w:tc>
          <w:tcPr>
            <w:tcW w:w="1317" w:type="dxa"/>
            <w:vMerge w:val="continue"/>
            <w:vAlign w:val="center"/>
          </w:tcPr>
          <w:p w14:paraId="16F96140">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42A3F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928" w:type="dxa"/>
            <w:vMerge w:val="continue"/>
            <w:vAlign w:val="center"/>
          </w:tcPr>
          <w:p w14:paraId="21A67925">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32BC88E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蛔虫卵（个/L）</w:t>
            </w:r>
          </w:p>
        </w:tc>
        <w:tc>
          <w:tcPr>
            <w:tcW w:w="1759" w:type="dxa"/>
            <w:vAlign w:val="center"/>
          </w:tcPr>
          <w:p w14:paraId="5532C0F8">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32</w:t>
            </w:r>
          </w:p>
        </w:tc>
        <w:tc>
          <w:tcPr>
            <w:tcW w:w="1418" w:type="dxa"/>
            <w:vAlign w:val="center"/>
          </w:tcPr>
          <w:p w14:paraId="55757AF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val="en-US" w:eastAsia="zh-CN"/>
              </w:rPr>
              <w:t>1.656</w:t>
            </w:r>
            <w:r>
              <w:rPr>
                <w:rFonts w:hint="default" w:ascii="Times New Roman" w:hAnsi="Times New Roman" w:cs="Times New Roman"/>
                <w:bCs/>
                <w:color w:val="auto"/>
                <w:sz w:val="18"/>
                <w:szCs w:val="18"/>
                <w:highlight w:val="none"/>
              </w:rPr>
              <w:t>×10</w:t>
            </w:r>
            <w:r>
              <w:rPr>
                <w:rFonts w:hint="default" w:ascii="Times New Roman" w:hAnsi="Times New Roman" w:cs="Times New Roman"/>
                <w:bCs/>
                <w:color w:val="auto"/>
                <w:sz w:val="18"/>
                <w:szCs w:val="18"/>
                <w:highlight w:val="none"/>
                <w:vertAlign w:val="superscript"/>
              </w:rPr>
              <w:t>8</w:t>
            </w:r>
            <w:r>
              <w:rPr>
                <w:rFonts w:hint="default" w:ascii="Times New Roman" w:hAnsi="Times New Roman" w:cs="Times New Roman"/>
                <w:bCs/>
                <w:color w:val="auto"/>
                <w:sz w:val="18"/>
                <w:szCs w:val="18"/>
                <w:highlight w:val="none"/>
              </w:rPr>
              <w:t>个</w:t>
            </w:r>
          </w:p>
        </w:tc>
        <w:tc>
          <w:tcPr>
            <w:tcW w:w="1317" w:type="dxa"/>
            <w:vMerge w:val="continue"/>
            <w:vAlign w:val="center"/>
          </w:tcPr>
          <w:p w14:paraId="0B6BA649">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r w14:paraId="64E8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928" w:type="dxa"/>
            <w:vMerge w:val="continue"/>
            <w:vAlign w:val="center"/>
          </w:tcPr>
          <w:p w14:paraId="216AB15B">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373" w:type="dxa"/>
            <w:vAlign w:val="center"/>
          </w:tcPr>
          <w:p w14:paraId="7B62DF3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动植物油</w:t>
            </w:r>
          </w:p>
        </w:tc>
        <w:tc>
          <w:tcPr>
            <w:tcW w:w="1759" w:type="dxa"/>
            <w:vAlign w:val="center"/>
          </w:tcPr>
          <w:p w14:paraId="129E40D9">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12</w:t>
            </w:r>
          </w:p>
        </w:tc>
        <w:tc>
          <w:tcPr>
            <w:tcW w:w="1418" w:type="dxa"/>
            <w:vAlign w:val="center"/>
          </w:tcPr>
          <w:p w14:paraId="19F5D190">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0.00473</w:t>
            </w:r>
          </w:p>
        </w:tc>
        <w:tc>
          <w:tcPr>
            <w:tcW w:w="1317" w:type="dxa"/>
            <w:vMerge w:val="continue"/>
            <w:vAlign w:val="center"/>
          </w:tcPr>
          <w:p w14:paraId="0375DB82">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r>
    </w:tbl>
    <w:p w14:paraId="5B5D2FF4">
      <w:pPr>
        <w:adjustRightInd w:val="0"/>
        <w:snapToGrid w:val="0"/>
        <w:spacing w:before="312" w:beforeLines="100"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w:t>
      </w:r>
      <w:r>
        <w:rPr>
          <w:rFonts w:hint="default" w:ascii="Times New Roman" w:hAnsi="Times New Roman" w:cs="Times New Roman"/>
          <w:b/>
          <w:bCs/>
          <w:color w:val="auto"/>
          <w:sz w:val="24"/>
          <w:highlight w:val="none"/>
          <w:lang w:val="en-US" w:eastAsia="zh-CN"/>
        </w:rPr>
        <w:t>3</w:t>
      </w:r>
      <w:r>
        <w:rPr>
          <w:rFonts w:hint="default" w:ascii="Times New Roman" w:hAnsi="Times New Roman" w:cs="Times New Roman"/>
          <w:b/>
          <w:bCs/>
          <w:color w:val="auto"/>
          <w:sz w:val="24"/>
          <w:highlight w:val="none"/>
        </w:rPr>
        <w:t>.2.3噪声</w:t>
      </w:r>
    </w:p>
    <w:p w14:paraId="30C15254">
      <w:pPr>
        <w:snapToGrid w:val="0"/>
        <w:spacing w:line="360" w:lineRule="auto"/>
        <w:ind w:firstLine="480" w:firstLineChars="20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项目运营期产生的噪声主要包括设备噪声、猪叫声和交通噪声等。由于项目区在保证充足水及粮食、合理喂养的情况下，猪群较为安静，且猪群噪声为间断噪声，可忽略不计；交通噪声为移动声源，为间断噪声，主要进行定性分析。因此项目噪声主要考虑设备噪声，项目通过采取建筑隔声、设备安装基础</w:t>
      </w:r>
      <w:r>
        <w:rPr>
          <w:rFonts w:hint="default" w:ascii="Times New Roman" w:hAnsi="Times New Roman" w:cs="Times New Roman"/>
          <w:color w:val="auto"/>
          <w:sz w:val="24"/>
          <w:szCs w:val="24"/>
          <w:lang w:eastAsia="zh-CN"/>
        </w:rPr>
        <w:t>减振、</w:t>
      </w:r>
      <w:r>
        <w:rPr>
          <w:rFonts w:hint="default" w:ascii="Times New Roman" w:hAnsi="Times New Roman" w:cs="Times New Roman"/>
          <w:color w:val="auto"/>
          <w:sz w:val="24"/>
          <w:szCs w:val="24"/>
          <w:lang w:val="en-US" w:eastAsia="zh-CN"/>
        </w:rPr>
        <w:t>消音器等</w:t>
      </w:r>
      <w:r>
        <w:rPr>
          <w:rFonts w:hint="default" w:ascii="Times New Roman" w:hAnsi="Times New Roman" w:cs="Times New Roman"/>
          <w:color w:val="auto"/>
          <w:sz w:val="24"/>
          <w:szCs w:val="24"/>
          <w:lang w:eastAsia="zh-CN"/>
        </w:rPr>
        <w:t>来</w:t>
      </w:r>
      <w:r>
        <w:rPr>
          <w:rFonts w:hint="default" w:ascii="Times New Roman" w:hAnsi="Times New Roman" w:cs="Times New Roman"/>
          <w:color w:val="auto"/>
          <w:sz w:val="24"/>
          <w:szCs w:val="24"/>
        </w:rPr>
        <w:t>减轻噪声对外环境的影响。项目主要产噪设备及降噪措施见下表</w:t>
      </w:r>
      <w:r>
        <w:rPr>
          <w:rFonts w:hint="default" w:ascii="Times New Roman" w:hAnsi="Times New Roman" w:cs="Times New Roman"/>
          <w:color w:val="auto"/>
          <w:sz w:val="24"/>
          <w:szCs w:val="24"/>
          <w:lang w:val="en-US" w:bidi="zh-CN"/>
        </w:rPr>
        <w:t>3.3.2</w:t>
      </w:r>
      <w:r>
        <w:rPr>
          <w:rFonts w:hint="default" w:ascii="Times New Roman" w:hAnsi="Times New Roman" w:cs="Times New Roman"/>
          <w:color w:val="auto"/>
          <w:sz w:val="24"/>
          <w:szCs w:val="24"/>
          <w:lang w:bidi="zh-CN"/>
        </w:rPr>
        <w:t>-</w:t>
      </w:r>
      <w:r>
        <w:rPr>
          <w:rFonts w:hint="default" w:ascii="Times New Roman" w:hAnsi="Times New Roman" w:cs="Times New Roman"/>
          <w:color w:val="auto"/>
          <w:sz w:val="24"/>
          <w:szCs w:val="24"/>
          <w:lang w:val="en-US" w:bidi="zh-CN"/>
        </w:rPr>
        <w:t>10、表3.3.2</w:t>
      </w:r>
      <w:r>
        <w:rPr>
          <w:rFonts w:hint="default" w:ascii="Times New Roman" w:hAnsi="Times New Roman" w:cs="Times New Roman"/>
          <w:color w:val="auto"/>
          <w:sz w:val="24"/>
          <w:szCs w:val="24"/>
          <w:lang w:bidi="zh-CN"/>
        </w:rPr>
        <w:t>-</w:t>
      </w:r>
      <w:r>
        <w:rPr>
          <w:rFonts w:hint="default" w:ascii="Times New Roman" w:hAnsi="Times New Roman" w:cs="Times New Roman"/>
          <w:color w:val="auto"/>
          <w:sz w:val="24"/>
          <w:szCs w:val="24"/>
          <w:lang w:val="en-US" w:bidi="zh-CN"/>
        </w:rPr>
        <w:t>11。</w:t>
      </w:r>
    </w:p>
    <w:p w14:paraId="50DFA8C6">
      <w:pPr>
        <w:adjustRightInd w:val="0"/>
        <w:snapToGrid w:val="0"/>
        <w:spacing w:line="240" w:lineRule="auto"/>
        <w:jc w:val="center"/>
        <w:rPr>
          <w:rFonts w:hint="default" w:ascii="Times New Roman" w:hAnsi="Times New Roman" w:cs="Times New Roman"/>
          <w:b/>
          <w:bCs/>
          <w:color w:val="auto"/>
          <w:sz w:val="21"/>
          <w:szCs w:val="21"/>
        </w:rPr>
      </w:pPr>
    </w:p>
    <w:p w14:paraId="36A6FD1A">
      <w:pPr>
        <w:adjustRightInd w:val="0"/>
        <w:snapToGrid w:val="0"/>
        <w:spacing w:line="240" w:lineRule="auto"/>
        <w:jc w:val="center"/>
        <w:rPr>
          <w:rFonts w:hint="default" w:ascii="Times New Roman" w:hAnsi="Times New Roman" w:cs="Times New Roman"/>
          <w:b/>
          <w:bCs/>
          <w:color w:val="auto"/>
          <w:sz w:val="21"/>
          <w:szCs w:val="21"/>
        </w:rPr>
      </w:pPr>
    </w:p>
    <w:p w14:paraId="40C06AF0">
      <w:pPr>
        <w:adjustRightInd w:val="0"/>
        <w:snapToGrid w:val="0"/>
        <w:spacing w:line="240" w:lineRule="auto"/>
        <w:jc w:val="center"/>
        <w:rPr>
          <w:rFonts w:hint="default" w:ascii="Times New Roman" w:hAnsi="Times New Roman" w:cs="Times New Roman"/>
          <w:b/>
          <w:bCs/>
          <w:color w:val="auto"/>
          <w:sz w:val="21"/>
          <w:szCs w:val="21"/>
        </w:rPr>
      </w:pPr>
    </w:p>
    <w:p w14:paraId="7B5A4D97">
      <w:pPr>
        <w:jc w:val="center"/>
        <w:rPr>
          <w:rFonts w:hint="default" w:ascii="Times New Roman" w:hAnsi="Times New Roman" w:cs="Times New Roman"/>
          <w:b/>
          <w:bCs/>
          <w:color w:val="auto"/>
          <w:highlight w:val="none"/>
        </w:rPr>
        <w:sectPr>
          <w:pgSz w:w="11907" w:h="16840"/>
          <w:pgMar w:top="1531" w:right="1797" w:bottom="1440"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9B3BCB4">
      <w:pPr>
        <w:adjustRightInd w:val="0"/>
        <w:snapToGrid w:val="0"/>
        <w:spacing w:line="240" w:lineRule="auto"/>
        <w:jc w:val="center"/>
        <w:rPr>
          <w:rFonts w:hint="default" w:ascii="Times New Roman" w:hAnsi="Times New Roman" w:cs="Times New Roman"/>
          <w:b/>
          <w:bCs/>
          <w:color w:val="auto"/>
          <w:sz w:val="21"/>
          <w:szCs w:val="21"/>
        </w:rPr>
        <w:sectPr>
          <w:pgSz w:w="16839" w:h="11907" w:orient="landscape"/>
          <w:pgMar w:top="1582" w:right="1321" w:bottom="1582" w:left="1281" w:header="851" w:footer="992" w:gutter="0"/>
          <w:pgBorders>
            <w:top w:val="none" w:sz="0" w:space="0"/>
            <w:left w:val="none" w:sz="0" w:space="0"/>
            <w:bottom w:val="none" w:sz="0" w:space="0"/>
            <w:right w:val="none" w:sz="0" w:space="0"/>
          </w:pgBorders>
          <w:pgNumType w:fmt="decimal"/>
          <w:cols w:space="720" w:num="1"/>
          <w:docGrid w:linePitch="312" w:charSpace="0"/>
        </w:sectPr>
      </w:pPr>
    </w:p>
    <w:p w14:paraId="1B2B5A5F">
      <w:pPr>
        <w:adjustRightInd w:val="0"/>
        <w:snapToGrid w:val="0"/>
        <w:spacing w:line="240" w:lineRule="auto"/>
        <w:jc w:val="center"/>
        <w:rPr>
          <w:rFonts w:hint="default" w:ascii="Times New Roman" w:hAnsi="Times New Roman" w:cs="Times New Roman"/>
          <w:color w:val="auto"/>
          <w:sz w:val="14"/>
          <w:szCs w:val="14"/>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rPr>
        <w:t>3.3.2</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rPr>
        <w:t>10</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 xml:space="preserve"> 运营期室内噪声源强一览表</w:t>
      </w:r>
      <w:r>
        <w:rPr>
          <w:rFonts w:hint="default" w:ascii="Times New Roman" w:hAnsi="Times New Roman" w:cs="Times New Roman"/>
          <w:color w:val="auto"/>
          <w:sz w:val="14"/>
          <w:szCs w:val="14"/>
        </w:rPr>
        <w:tab/>
      </w:r>
    </w:p>
    <w:tbl>
      <w:tblPr>
        <w:tblStyle w:val="23"/>
        <w:tblW w:w="14271"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40"/>
        <w:gridCol w:w="1095"/>
        <w:gridCol w:w="915"/>
        <w:gridCol w:w="945"/>
        <w:gridCol w:w="1061"/>
        <w:gridCol w:w="1056"/>
        <w:gridCol w:w="728"/>
        <w:gridCol w:w="335"/>
        <w:gridCol w:w="1354"/>
        <w:gridCol w:w="1639"/>
        <w:gridCol w:w="1084"/>
        <w:gridCol w:w="1454"/>
        <w:gridCol w:w="1142"/>
        <w:gridCol w:w="923"/>
      </w:tblGrid>
      <w:tr w14:paraId="2BF6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540" w:type="dxa"/>
            <w:vMerge w:val="restart"/>
            <w:shd w:val="clear" w:color="auto" w:fill="F0F0F0"/>
            <w:vAlign w:val="center"/>
          </w:tcPr>
          <w:p w14:paraId="3BBC568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序号</w:t>
            </w:r>
          </w:p>
        </w:tc>
        <w:tc>
          <w:tcPr>
            <w:tcW w:w="1095" w:type="dxa"/>
            <w:vMerge w:val="restart"/>
            <w:shd w:val="clear" w:color="auto" w:fill="F0F0F0"/>
            <w:vAlign w:val="center"/>
          </w:tcPr>
          <w:p w14:paraId="3A03A08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建筑物名称</w:t>
            </w:r>
          </w:p>
        </w:tc>
        <w:tc>
          <w:tcPr>
            <w:tcW w:w="915" w:type="dxa"/>
            <w:vMerge w:val="restart"/>
            <w:shd w:val="clear" w:color="auto" w:fill="F0F0F0"/>
            <w:vAlign w:val="center"/>
          </w:tcPr>
          <w:p w14:paraId="25EF716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声源名称</w:t>
            </w:r>
          </w:p>
        </w:tc>
        <w:tc>
          <w:tcPr>
            <w:tcW w:w="945" w:type="dxa"/>
            <w:shd w:val="clear" w:color="auto" w:fill="F0F0F0"/>
            <w:vAlign w:val="center"/>
          </w:tcPr>
          <w:p w14:paraId="599F39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声源源强</w:t>
            </w:r>
          </w:p>
        </w:tc>
        <w:tc>
          <w:tcPr>
            <w:tcW w:w="1061" w:type="dxa"/>
            <w:vMerge w:val="restart"/>
            <w:shd w:val="clear" w:color="auto" w:fill="F0F0F0"/>
            <w:vAlign w:val="center"/>
          </w:tcPr>
          <w:p w14:paraId="0ED0703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声源控制措施</w:t>
            </w:r>
          </w:p>
        </w:tc>
        <w:tc>
          <w:tcPr>
            <w:tcW w:w="2119" w:type="dxa"/>
            <w:gridSpan w:val="3"/>
            <w:shd w:val="clear" w:color="auto" w:fill="F0F0F0"/>
            <w:vAlign w:val="center"/>
          </w:tcPr>
          <w:p w14:paraId="4D06601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空间相对位置/m</w:t>
            </w:r>
          </w:p>
        </w:tc>
        <w:tc>
          <w:tcPr>
            <w:tcW w:w="1354" w:type="dxa"/>
            <w:vMerge w:val="restart"/>
            <w:shd w:val="clear" w:color="auto" w:fill="F0F0F0"/>
            <w:vAlign w:val="center"/>
          </w:tcPr>
          <w:p w14:paraId="143F334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距室内边界距离/m</w:t>
            </w:r>
          </w:p>
        </w:tc>
        <w:tc>
          <w:tcPr>
            <w:tcW w:w="1639" w:type="dxa"/>
            <w:vMerge w:val="restart"/>
            <w:shd w:val="clear" w:color="auto" w:fill="F0F0F0"/>
            <w:vAlign w:val="center"/>
          </w:tcPr>
          <w:p w14:paraId="6594BC2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室内边界声级/dB(A)</w:t>
            </w:r>
          </w:p>
        </w:tc>
        <w:tc>
          <w:tcPr>
            <w:tcW w:w="1084" w:type="dxa"/>
            <w:vMerge w:val="restart"/>
            <w:shd w:val="clear" w:color="auto" w:fill="F0F0F0"/>
            <w:vAlign w:val="center"/>
          </w:tcPr>
          <w:p w14:paraId="7C107DF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运行时段</w:t>
            </w:r>
          </w:p>
        </w:tc>
        <w:tc>
          <w:tcPr>
            <w:tcW w:w="1454" w:type="dxa"/>
            <w:vMerge w:val="restart"/>
            <w:shd w:val="clear" w:color="auto" w:fill="F0F0F0"/>
            <w:vAlign w:val="center"/>
          </w:tcPr>
          <w:p w14:paraId="10F576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建筑物插入损失/dB(A)</w:t>
            </w:r>
          </w:p>
        </w:tc>
        <w:tc>
          <w:tcPr>
            <w:tcW w:w="2065" w:type="dxa"/>
            <w:gridSpan w:val="2"/>
            <w:shd w:val="clear" w:color="auto" w:fill="F0F0F0"/>
            <w:vAlign w:val="center"/>
          </w:tcPr>
          <w:p w14:paraId="00C2596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建筑物外噪声</w:t>
            </w:r>
          </w:p>
        </w:tc>
      </w:tr>
      <w:tr w14:paraId="2DA2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dxa"/>
            <w:vMerge w:val="continue"/>
            <w:shd w:val="clear" w:color="auto" w:fill="F0F0F0"/>
            <w:vAlign w:val="center"/>
          </w:tcPr>
          <w:p w14:paraId="4B66E061">
            <w:pPr>
              <w:jc w:val="center"/>
              <w:rPr>
                <w:rFonts w:hint="default" w:ascii="Times New Roman" w:hAnsi="Times New Roman" w:eastAsia="宋体" w:cs="Times New Roman"/>
                <w:i w:val="0"/>
                <w:iCs w:val="0"/>
                <w:color w:val="auto"/>
                <w:sz w:val="18"/>
                <w:szCs w:val="18"/>
                <w:u w:val="none"/>
              </w:rPr>
            </w:pPr>
          </w:p>
        </w:tc>
        <w:tc>
          <w:tcPr>
            <w:tcW w:w="1095" w:type="dxa"/>
            <w:vMerge w:val="continue"/>
            <w:shd w:val="clear" w:color="auto" w:fill="F0F0F0"/>
            <w:vAlign w:val="center"/>
          </w:tcPr>
          <w:p w14:paraId="59493B41">
            <w:pPr>
              <w:jc w:val="center"/>
              <w:rPr>
                <w:rFonts w:hint="default" w:ascii="Times New Roman" w:hAnsi="Times New Roman" w:eastAsia="宋体" w:cs="Times New Roman"/>
                <w:i w:val="0"/>
                <w:iCs w:val="0"/>
                <w:color w:val="auto"/>
                <w:sz w:val="18"/>
                <w:szCs w:val="18"/>
                <w:u w:val="none"/>
              </w:rPr>
            </w:pPr>
          </w:p>
        </w:tc>
        <w:tc>
          <w:tcPr>
            <w:tcW w:w="915" w:type="dxa"/>
            <w:vMerge w:val="continue"/>
            <w:shd w:val="clear" w:color="auto" w:fill="F0F0F0"/>
            <w:vAlign w:val="center"/>
          </w:tcPr>
          <w:p w14:paraId="03953CDD">
            <w:pPr>
              <w:jc w:val="center"/>
              <w:rPr>
                <w:rFonts w:hint="default" w:ascii="Times New Roman" w:hAnsi="Times New Roman" w:eastAsia="宋体" w:cs="Times New Roman"/>
                <w:i w:val="0"/>
                <w:iCs w:val="0"/>
                <w:color w:val="auto"/>
                <w:sz w:val="18"/>
                <w:szCs w:val="18"/>
                <w:u w:val="none"/>
              </w:rPr>
            </w:pPr>
          </w:p>
        </w:tc>
        <w:tc>
          <w:tcPr>
            <w:tcW w:w="945" w:type="dxa"/>
            <w:shd w:val="clear" w:color="auto" w:fill="F0F0F0"/>
            <w:vAlign w:val="center"/>
          </w:tcPr>
          <w:p w14:paraId="169D3C8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声功率级</w:t>
            </w:r>
            <w:r>
              <w:rPr>
                <w:rFonts w:hint="default" w:ascii="Times New Roman" w:hAnsi="Times New Roman" w:eastAsia="宋体" w:cs="Times New Roman"/>
                <w:i w:val="0"/>
                <w:iCs w:val="0"/>
                <w:color w:val="auto"/>
                <w:kern w:val="0"/>
                <w:sz w:val="18"/>
                <w:szCs w:val="18"/>
                <w:u w:val="none"/>
                <w:lang w:val="en-US" w:eastAsia="zh-CN" w:bidi="ar"/>
              </w:rPr>
              <w:br w:type="textWrapping"/>
            </w:r>
            <w:r>
              <w:rPr>
                <w:rFonts w:hint="default" w:ascii="Times New Roman" w:hAnsi="Times New Roman" w:eastAsia="宋体" w:cs="Times New Roman"/>
                <w:i w:val="0"/>
                <w:iCs w:val="0"/>
                <w:color w:val="auto"/>
                <w:kern w:val="0"/>
                <w:sz w:val="18"/>
                <w:szCs w:val="18"/>
                <w:u w:val="none"/>
                <w:lang w:val="en-US" w:eastAsia="zh-CN" w:bidi="ar"/>
              </w:rPr>
              <w:t>/dB(A</w:t>
            </w:r>
          </w:p>
        </w:tc>
        <w:tc>
          <w:tcPr>
            <w:tcW w:w="1061" w:type="dxa"/>
            <w:vMerge w:val="continue"/>
            <w:shd w:val="clear" w:color="auto" w:fill="F0F0F0"/>
            <w:vAlign w:val="center"/>
          </w:tcPr>
          <w:p w14:paraId="4D5E620A">
            <w:pPr>
              <w:jc w:val="center"/>
              <w:rPr>
                <w:rFonts w:hint="default" w:ascii="Times New Roman" w:hAnsi="Times New Roman" w:eastAsia="宋体" w:cs="Times New Roman"/>
                <w:i w:val="0"/>
                <w:iCs w:val="0"/>
                <w:color w:val="auto"/>
                <w:sz w:val="18"/>
                <w:szCs w:val="18"/>
                <w:u w:val="none"/>
              </w:rPr>
            </w:pPr>
          </w:p>
        </w:tc>
        <w:tc>
          <w:tcPr>
            <w:tcW w:w="1056" w:type="dxa"/>
            <w:shd w:val="clear" w:color="auto" w:fill="F0F0F0"/>
            <w:vAlign w:val="center"/>
          </w:tcPr>
          <w:p w14:paraId="57BD819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X</w:t>
            </w:r>
          </w:p>
        </w:tc>
        <w:tc>
          <w:tcPr>
            <w:tcW w:w="728" w:type="dxa"/>
            <w:shd w:val="clear" w:color="auto" w:fill="F0F0F0"/>
            <w:vAlign w:val="center"/>
          </w:tcPr>
          <w:p w14:paraId="3CC144E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Y</w:t>
            </w:r>
          </w:p>
        </w:tc>
        <w:tc>
          <w:tcPr>
            <w:tcW w:w="335" w:type="dxa"/>
            <w:shd w:val="clear" w:color="auto" w:fill="F0F0F0"/>
            <w:vAlign w:val="center"/>
          </w:tcPr>
          <w:p w14:paraId="62665C1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Z</w:t>
            </w:r>
          </w:p>
        </w:tc>
        <w:tc>
          <w:tcPr>
            <w:tcW w:w="1354" w:type="dxa"/>
            <w:vMerge w:val="continue"/>
            <w:shd w:val="clear" w:color="auto" w:fill="F0F0F0"/>
            <w:vAlign w:val="center"/>
          </w:tcPr>
          <w:p w14:paraId="5356F6DA">
            <w:pPr>
              <w:jc w:val="center"/>
              <w:rPr>
                <w:rFonts w:hint="default" w:ascii="Times New Roman" w:hAnsi="Times New Roman" w:eastAsia="宋体" w:cs="Times New Roman"/>
                <w:i w:val="0"/>
                <w:iCs w:val="0"/>
                <w:color w:val="auto"/>
                <w:sz w:val="18"/>
                <w:szCs w:val="18"/>
                <w:u w:val="none"/>
              </w:rPr>
            </w:pPr>
          </w:p>
        </w:tc>
        <w:tc>
          <w:tcPr>
            <w:tcW w:w="1639" w:type="dxa"/>
            <w:vMerge w:val="continue"/>
            <w:shd w:val="clear" w:color="auto" w:fill="F0F0F0"/>
            <w:vAlign w:val="center"/>
          </w:tcPr>
          <w:p w14:paraId="15BBE3A3">
            <w:pPr>
              <w:jc w:val="center"/>
              <w:rPr>
                <w:rFonts w:hint="default" w:ascii="Times New Roman" w:hAnsi="Times New Roman" w:eastAsia="宋体" w:cs="Times New Roman"/>
                <w:i w:val="0"/>
                <w:iCs w:val="0"/>
                <w:color w:val="auto"/>
                <w:sz w:val="18"/>
                <w:szCs w:val="18"/>
                <w:u w:val="none"/>
              </w:rPr>
            </w:pPr>
          </w:p>
        </w:tc>
        <w:tc>
          <w:tcPr>
            <w:tcW w:w="1084" w:type="dxa"/>
            <w:vMerge w:val="continue"/>
            <w:shd w:val="clear" w:color="auto" w:fill="F0F0F0"/>
            <w:vAlign w:val="center"/>
          </w:tcPr>
          <w:p w14:paraId="0559D4AA">
            <w:pPr>
              <w:jc w:val="center"/>
              <w:rPr>
                <w:rFonts w:hint="default" w:ascii="Times New Roman" w:hAnsi="Times New Roman" w:eastAsia="宋体" w:cs="Times New Roman"/>
                <w:i w:val="0"/>
                <w:iCs w:val="0"/>
                <w:color w:val="auto"/>
                <w:sz w:val="18"/>
                <w:szCs w:val="18"/>
                <w:u w:val="none"/>
              </w:rPr>
            </w:pPr>
          </w:p>
        </w:tc>
        <w:tc>
          <w:tcPr>
            <w:tcW w:w="1454" w:type="dxa"/>
            <w:vMerge w:val="continue"/>
            <w:shd w:val="clear" w:color="auto" w:fill="F0F0F0"/>
            <w:vAlign w:val="center"/>
          </w:tcPr>
          <w:p w14:paraId="2C2760CE">
            <w:pPr>
              <w:jc w:val="center"/>
              <w:rPr>
                <w:rFonts w:hint="default" w:ascii="Times New Roman" w:hAnsi="Times New Roman" w:eastAsia="宋体" w:cs="Times New Roman"/>
                <w:i w:val="0"/>
                <w:iCs w:val="0"/>
                <w:color w:val="auto"/>
                <w:sz w:val="18"/>
                <w:szCs w:val="18"/>
                <w:u w:val="none"/>
              </w:rPr>
            </w:pPr>
          </w:p>
        </w:tc>
        <w:tc>
          <w:tcPr>
            <w:tcW w:w="1142" w:type="dxa"/>
            <w:shd w:val="clear" w:color="auto" w:fill="F0F0F0"/>
            <w:vAlign w:val="center"/>
          </w:tcPr>
          <w:p w14:paraId="0100AE2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声压级/dB(A)</w:t>
            </w:r>
          </w:p>
        </w:tc>
        <w:tc>
          <w:tcPr>
            <w:tcW w:w="923" w:type="dxa"/>
            <w:shd w:val="clear" w:color="auto" w:fill="F0F0F0"/>
            <w:vAlign w:val="center"/>
          </w:tcPr>
          <w:p w14:paraId="35B7528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建筑物外距离</w:t>
            </w:r>
          </w:p>
        </w:tc>
      </w:tr>
      <w:tr w14:paraId="2848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dxa"/>
            <w:shd w:val="clear" w:color="auto" w:fill="FFFFFF"/>
            <w:vAlign w:val="center"/>
          </w:tcPr>
          <w:p w14:paraId="13267B1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095" w:type="dxa"/>
            <w:vMerge w:val="restart"/>
            <w:shd w:val="clear" w:color="auto" w:fill="FFFFFF"/>
            <w:vAlign w:val="center"/>
          </w:tcPr>
          <w:p w14:paraId="01607CE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堆粪棚</w:t>
            </w:r>
          </w:p>
        </w:tc>
        <w:tc>
          <w:tcPr>
            <w:tcW w:w="915" w:type="dxa"/>
            <w:shd w:val="clear" w:color="auto" w:fill="FFFFFF"/>
            <w:vAlign w:val="center"/>
          </w:tcPr>
          <w:p w14:paraId="43865B0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翻堆机</w:t>
            </w:r>
          </w:p>
        </w:tc>
        <w:tc>
          <w:tcPr>
            <w:tcW w:w="945" w:type="dxa"/>
            <w:shd w:val="clear" w:color="auto" w:fill="FFFFFF"/>
            <w:vAlign w:val="center"/>
          </w:tcPr>
          <w:p w14:paraId="3131AAE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061" w:type="dxa"/>
            <w:vMerge w:val="restart"/>
            <w:shd w:val="clear" w:color="auto" w:fill="FFFFFF"/>
            <w:vAlign w:val="center"/>
          </w:tcPr>
          <w:p w14:paraId="04767C1D">
            <w:pPr>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建筑隔声</w:t>
            </w:r>
          </w:p>
        </w:tc>
        <w:tc>
          <w:tcPr>
            <w:tcW w:w="1056" w:type="dxa"/>
            <w:shd w:val="clear" w:color="auto" w:fill="FFFFFF"/>
            <w:vAlign w:val="center"/>
          </w:tcPr>
          <w:p w14:paraId="24A00E0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136.05</w:t>
            </w:r>
          </w:p>
        </w:tc>
        <w:tc>
          <w:tcPr>
            <w:tcW w:w="728" w:type="dxa"/>
            <w:shd w:val="clear" w:color="auto" w:fill="FFFFFF"/>
            <w:vAlign w:val="center"/>
          </w:tcPr>
          <w:p w14:paraId="7F58BCA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82.05</w:t>
            </w:r>
          </w:p>
        </w:tc>
        <w:tc>
          <w:tcPr>
            <w:tcW w:w="335" w:type="dxa"/>
            <w:shd w:val="clear" w:color="auto" w:fill="FFFFFF"/>
            <w:vAlign w:val="center"/>
          </w:tcPr>
          <w:p w14:paraId="3CC0633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54" w:type="dxa"/>
            <w:shd w:val="clear" w:color="auto" w:fill="FFFFFF"/>
            <w:vAlign w:val="center"/>
          </w:tcPr>
          <w:p w14:paraId="09A3D0A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7.23</w:t>
            </w:r>
          </w:p>
        </w:tc>
        <w:tc>
          <w:tcPr>
            <w:tcW w:w="1639" w:type="dxa"/>
            <w:shd w:val="clear" w:color="auto" w:fill="FFFFFF"/>
            <w:vAlign w:val="center"/>
          </w:tcPr>
          <w:p w14:paraId="5040B91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72.90</w:t>
            </w:r>
          </w:p>
        </w:tc>
        <w:tc>
          <w:tcPr>
            <w:tcW w:w="1084" w:type="dxa"/>
            <w:shd w:val="clear" w:color="auto" w:fill="FFFFFF"/>
            <w:vAlign w:val="center"/>
          </w:tcPr>
          <w:p w14:paraId="623CD6C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c>
          <w:tcPr>
            <w:tcW w:w="1454" w:type="dxa"/>
            <w:shd w:val="clear" w:color="auto" w:fill="FFFFFF"/>
            <w:vAlign w:val="center"/>
          </w:tcPr>
          <w:p w14:paraId="666920D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1142" w:type="dxa"/>
            <w:shd w:val="clear" w:color="auto" w:fill="FFFFFF"/>
            <w:vAlign w:val="center"/>
          </w:tcPr>
          <w:p w14:paraId="7EC7177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46.90</w:t>
            </w:r>
          </w:p>
        </w:tc>
        <w:tc>
          <w:tcPr>
            <w:tcW w:w="923" w:type="dxa"/>
            <w:shd w:val="clear" w:color="auto" w:fill="FFFFFF"/>
            <w:vAlign w:val="center"/>
          </w:tcPr>
          <w:p w14:paraId="1A2C169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3054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dxa"/>
            <w:shd w:val="clear" w:color="auto" w:fill="auto"/>
            <w:vAlign w:val="center"/>
          </w:tcPr>
          <w:p w14:paraId="58B3191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95" w:type="dxa"/>
            <w:vMerge w:val="continue"/>
            <w:shd w:val="clear" w:color="auto" w:fill="auto"/>
            <w:vAlign w:val="center"/>
          </w:tcPr>
          <w:p w14:paraId="5DF5064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p>
        </w:tc>
        <w:tc>
          <w:tcPr>
            <w:tcW w:w="915" w:type="dxa"/>
            <w:shd w:val="clear" w:color="auto" w:fill="auto"/>
            <w:vAlign w:val="center"/>
          </w:tcPr>
          <w:p w14:paraId="4A54172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翻堆机</w:t>
            </w:r>
          </w:p>
        </w:tc>
        <w:tc>
          <w:tcPr>
            <w:tcW w:w="945" w:type="dxa"/>
            <w:shd w:val="clear" w:color="auto" w:fill="auto"/>
            <w:vAlign w:val="center"/>
          </w:tcPr>
          <w:p w14:paraId="0E37824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061" w:type="dxa"/>
            <w:vMerge w:val="continue"/>
            <w:shd w:val="clear" w:color="auto" w:fill="auto"/>
            <w:vAlign w:val="center"/>
          </w:tcPr>
          <w:p w14:paraId="43EE68C9">
            <w:pPr>
              <w:jc w:val="center"/>
              <w:rPr>
                <w:rFonts w:hint="default" w:ascii="Times New Roman" w:hAnsi="Times New Roman" w:eastAsia="宋体" w:cs="Times New Roman"/>
                <w:i w:val="0"/>
                <w:iCs w:val="0"/>
                <w:color w:val="auto"/>
                <w:sz w:val="18"/>
                <w:szCs w:val="18"/>
                <w:u w:val="none"/>
              </w:rPr>
            </w:pPr>
          </w:p>
        </w:tc>
        <w:tc>
          <w:tcPr>
            <w:tcW w:w="1056" w:type="dxa"/>
            <w:shd w:val="clear" w:color="auto" w:fill="auto"/>
            <w:vAlign w:val="center"/>
          </w:tcPr>
          <w:p w14:paraId="4766BE0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136.05</w:t>
            </w:r>
          </w:p>
        </w:tc>
        <w:tc>
          <w:tcPr>
            <w:tcW w:w="728" w:type="dxa"/>
            <w:shd w:val="clear" w:color="auto" w:fill="auto"/>
            <w:vAlign w:val="center"/>
          </w:tcPr>
          <w:p w14:paraId="1F53DD6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82.05</w:t>
            </w:r>
          </w:p>
        </w:tc>
        <w:tc>
          <w:tcPr>
            <w:tcW w:w="335" w:type="dxa"/>
            <w:shd w:val="clear" w:color="auto" w:fill="auto"/>
            <w:vAlign w:val="center"/>
          </w:tcPr>
          <w:p w14:paraId="114AFB1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54" w:type="dxa"/>
            <w:shd w:val="clear" w:color="auto" w:fill="auto"/>
            <w:vAlign w:val="center"/>
          </w:tcPr>
          <w:p w14:paraId="38A6EAF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28.36</w:t>
            </w:r>
          </w:p>
        </w:tc>
        <w:tc>
          <w:tcPr>
            <w:tcW w:w="1639" w:type="dxa"/>
            <w:shd w:val="clear" w:color="auto" w:fill="auto"/>
            <w:vAlign w:val="center"/>
          </w:tcPr>
          <w:p w14:paraId="470985D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72.86</w:t>
            </w:r>
          </w:p>
        </w:tc>
        <w:tc>
          <w:tcPr>
            <w:tcW w:w="1084" w:type="dxa"/>
            <w:shd w:val="clear" w:color="auto" w:fill="auto"/>
            <w:vAlign w:val="center"/>
          </w:tcPr>
          <w:p w14:paraId="5A3CC14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c>
          <w:tcPr>
            <w:tcW w:w="1454" w:type="dxa"/>
            <w:shd w:val="clear" w:color="auto" w:fill="auto"/>
            <w:vAlign w:val="center"/>
          </w:tcPr>
          <w:p w14:paraId="0DFA8D4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1142" w:type="dxa"/>
            <w:shd w:val="clear" w:color="auto" w:fill="auto"/>
            <w:vAlign w:val="center"/>
          </w:tcPr>
          <w:p w14:paraId="54608F3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46.86</w:t>
            </w:r>
          </w:p>
        </w:tc>
        <w:tc>
          <w:tcPr>
            <w:tcW w:w="923" w:type="dxa"/>
            <w:shd w:val="clear" w:color="auto" w:fill="auto"/>
            <w:vAlign w:val="center"/>
          </w:tcPr>
          <w:p w14:paraId="699EF1E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167F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540" w:type="dxa"/>
            <w:shd w:val="clear" w:color="auto" w:fill="FFFFFF"/>
            <w:vAlign w:val="center"/>
          </w:tcPr>
          <w:p w14:paraId="5905D16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1095" w:type="dxa"/>
            <w:vMerge w:val="continue"/>
            <w:shd w:val="clear" w:color="auto" w:fill="FFFFFF"/>
            <w:vAlign w:val="center"/>
          </w:tcPr>
          <w:p w14:paraId="70DE60F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p>
        </w:tc>
        <w:tc>
          <w:tcPr>
            <w:tcW w:w="915" w:type="dxa"/>
            <w:shd w:val="clear" w:color="auto" w:fill="FFFFFF"/>
            <w:vAlign w:val="center"/>
          </w:tcPr>
          <w:p w14:paraId="3C577C2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翻堆机</w:t>
            </w:r>
          </w:p>
        </w:tc>
        <w:tc>
          <w:tcPr>
            <w:tcW w:w="945" w:type="dxa"/>
            <w:shd w:val="clear" w:color="auto" w:fill="FFFFFF"/>
            <w:vAlign w:val="center"/>
          </w:tcPr>
          <w:p w14:paraId="4D64B25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061" w:type="dxa"/>
            <w:vMerge w:val="continue"/>
            <w:shd w:val="clear" w:color="auto" w:fill="FFFFFF"/>
            <w:vAlign w:val="center"/>
          </w:tcPr>
          <w:p w14:paraId="40306C66">
            <w:pPr>
              <w:jc w:val="center"/>
              <w:rPr>
                <w:rFonts w:hint="default" w:ascii="Times New Roman" w:hAnsi="Times New Roman" w:eastAsia="宋体" w:cs="Times New Roman"/>
                <w:i w:val="0"/>
                <w:iCs w:val="0"/>
                <w:color w:val="auto"/>
                <w:sz w:val="18"/>
                <w:szCs w:val="18"/>
                <w:u w:val="none"/>
              </w:rPr>
            </w:pPr>
          </w:p>
        </w:tc>
        <w:tc>
          <w:tcPr>
            <w:tcW w:w="1056" w:type="dxa"/>
            <w:shd w:val="clear" w:color="auto" w:fill="FFFFFF"/>
            <w:vAlign w:val="center"/>
          </w:tcPr>
          <w:p w14:paraId="68AAE76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136.05</w:t>
            </w:r>
          </w:p>
        </w:tc>
        <w:tc>
          <w:tcPr>
            <w:tcW w:w="728" w:type="dxa"/>
            <w:shd w:val="clear" w:color="auto" w:fill="FFFFFF"/>
            <w:vAlign w:val="center"/>
          </w:tcPr>
          <w:p w14:paraId="100B99B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82.05</w:t>
            </w:r>
          </w:p>
        </w:tc>
        <w:tc>
          <w:tcPr>
            <w:tcW w:w="335" w:type="dxa"/>
            <w:shd w:val="clear" w:color="auto" w:fill="FFFFFF"/>
            <w:vAlign w:val="center"/>
          </w:tcPr>
          <w:p w14:paraId="4BE9798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54" w:type="dxa"/>
            <w:shd w:val="clear" w:color="auto" w:fill="FFFFFF"/>
            <w:vAlign w:val="center"/>
          </w:tcPr>
          <w:p w14:paraId="3A5E1F0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13.27</w:t>
            </w:r>
          </w:p>
        </w:tc>
        <w:tc>
          <w:tcPr>
            <w:tcW w:w="1639" w:type="dxa"/>
            <w:shd w:val="clear" w:color="auto" w:fill="FFFFFF"/>
            <w:vAlign w:val="center"/>
          </w:tcPr>
          <w:p w14:paraId="3BA714D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72.87</w:t>
            </w:r>
          </w:p>
        </w:tc>
        <w:tc>
          <w:tcPr>
            <w:tcW w:w="1084" w:type="dxa"/>
            <w:shd w:val="clear" w:color="auto" w:fill="FFFFFF"/>
            <w:vAlign w:val="center"/>
          </w:tcPr>
          <w:p w14:paraId="3DAA674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c>
          <w:tcPr>
            <w:tcW w:w="1454" w:type="dxa"/>
            <w:shd w:val="clear" w:color="auto" w:fill="FFFFFF"/>
            <w:vAlign w:val="center"/>
          </w:tcPr>
          <w:p w14:paraId="6D3A580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1142" w:type="dxa"/>
            <w:shd w:val="clear" w:color="auto" w:fill="FFFFFF"/>
            <w:vAlign w:val="center"/>
          </w:tcPr>
          <w:p w14:paraId="539BDF5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46.87</w:t>
            </w:r>
          </w:p>
        </w:tc>
        <w:tc>
          <w:tcPr>
            <w:tcW w:w="923" w:type="dxa"/>
            <w:shd w:val="clear" w:color="auto" w:fill="FFFFFF"/>
            <w:vAlign w:val="center"/>
          </w:tcPr>
          <w:p w14:paraId="58712CD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430B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dxa"/>
            <w:shd w:val="clear" w:color="auto" w:fill="auto"/>
            <w:vAlign w:val="center"/>
          </w:tcPr>
          <w:p w14:paraId="760F0F1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1095" w:type="dxa"/>
            <w:vMerge w:val="continue"/>
            <w:shd w:val="clear" w:color="auto" w:fill="auto"/>
            <w:vAlign w:val="center"/>
          </w:tcPr>
          <w:p w14:paraId="7C50FBF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p>
        </w:tc>
        <w:tc>
          <w:tcPr>
            <w:tcW w:w="915" w:type="dxa"/>
            <w:shd w:val="clear" w:color="auto" w:fill="auto"/>
            <w:vAlign w:val="center"/>
          </w:tcPr>
          <w:p w14:paraId="5922658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翻堆机</w:t>
            </w:r>
          </w:p>
        </w:tc>
        <w:tc>
          <w:tcPr>
            <w:tcW w:w="945" w:type="dxa"/>
            <w:shd w:val="clear" w:color="auto" w:fill="auto"/>
            <w:vAlign w:val="center"/>
          </w:tcPr>
          <w:p w14:paraId="76023B1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061" w:type="dxa"/>
            <w:vMerge w:val="continue"/>
            <w:shd w:val="clear" w:color="auto" w:fill="auto"/>
            <w:vAlign w:val="center"/>
          </w:tcPr>
          <w:p w14:paraId="2C6E2EFF">
            <w:pPr>
              <w:jc w:val="center"/>
              <w:rPr>
                <w:rFonts w:hint="default" w:ascii="Times New Roman" w:hAnsi="Times New Roman" w:eastAsia="宋体" w:cs="Times New Roman"/>
                <w:i w:val="0"/>
                <w:iCs w:val="0"/>
                <w:color w:val="auto"/>
                <w:sz w:val="18"/>
                <w:szCs w:val="18"/>
                <w:u w:val="none"/>
              </w:rPr>
            </w:pPr>
          </w:p>
        </w:tc>
        <w:tc>
          <w:tcPr>
            <w:tcW w:w="1056" w:type="dxa"/>
            <w:shd w:val="clear" w:color="auto" w:fill="auto"/>
            <w:vAlign w:val="center"/>
          </w:tcPr>
          <w:p w14:paraId="3208A9B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136.05</w:t>
            </w:r>
          </w:p>
        </w:tc>
        <w:tc>
          <w:tcPr>
            <w:tcW w:w="728" w:type="dxa"/>
            <w:shd w:val="clear" w:color="auto" w:fill="auto"/>
            <w:vAlign w:val="center"/>
          </w:tcPr>
          <w:p w14:paraId="356BA47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82.05</w:t>
            </w:r>
          </w:p>
        </w:tc>
        <w:tc>
          <w:tcPr>
            <w:tcW w:w="335" w:type="dxa"/>
            <w:shd w:val="clear" w:color="auto" w:fill="auto"/>
            <w:vAlign w:val="center"/>
          </w:tcPr>
          <w:p w14:paraId="0CAF97D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54" w:type="dxa"/>
            <w:shd w:val="clear" w:color="auto" w:fill="auto"/>
            <w:vAlign w:val="center"/>
          </w:tcPr>
          <w:p w14:paraId="20B71F3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5.49</w:t>
            </w:r>
          </w:p>
        </w:tc>
        <w:tc>
          <w:tcPr>
            <w:tcW w:w="1639" w:type="dxa"/>
            <w:shd w:val="clear" w:color="auto" w:fill="auto"/>
            <w:vAlign w:val="center"/>
          </w:tcPr>
          <w:p w14:paraId="553024E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72.92</w:t>
            </w:r>
          </w:p>
        </w:tc>
        <w:tc>
          <w:tcPr>
            <w:tcW w:w="1084" w:type="dxa"/>
            <w:shd w:val="clear" w:color="auto" w:fill="auto"/>
            <w:vAlign w:val="center"/>
          </w:tcPr>
          <w:p w14:paraId="2E51E15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c>
          <w:tcPr>
            <w:tcW w:w="1454" w:type="dxa"/>
            <w:shd w:val="clear" w:color="auto" w:fill="auto"/>
            <w:vAlign w:val="center"/>
          </w:tcPr>
          <w:p w14:paraId="446C647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1142" w:type="dxa"/>
            <w:shd w:val="clear" w:color="auto" w:fill="auto"/>
            <w:vAlign w:val="center"/>
          </w:tcPr>
          <w:p w14:paraId="213E845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46.92</w:t>
            </w:r>
          </w:p>
        </w:tc>
        <w:tc>
          <w:tcPr>
            <w:tcW w:w="923" w:type="dxa"/>
            <w:shd w:val="clear" w:color="auto" w:fill="auto"/>
            <w:vAlign w:val="center"/>
          </w:tcPr>
          <w:p w14:paraId="5A4431F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r w14:paraId="0895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0" w:type="dxa"/>
            <w:shd w:val="clear" w:color="auto" w:fill="FFFFFF"/>
            <w:vAlign w:val="center"/>
          </w:tcPr>
          <w:p w14:paraId="56A2152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1095" w:type="dxa"/>
            <w:vMerge w:val="continue"/>
            <w:shd w:val="clear" w:color="auto" w:fill="FFFFFF"/>
            <w:vAlign w:val="center"/>
          </w:tcPr>
          <w:p w14:paraId="34F4D75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p>
        </w:tc>
        <w:tc>
          <w:tcPr>
            <w:tcW w:w="915" w:type="dxa"/>
            <w:shd w:val="clear" w:color="auto" w:fill="FFFFFF"/>
            <w:vAlign w:val="center"/>
          </w:tcPr>
          <w:p w14:paraId="0446B34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翻堆机</w:t>
            </w:r>
          </w:p>
        </w:tc>
        <w:tc>
          <w:tcPr>
            <w:tcW w:w="945" w:type="dxa"/>
            <w:shd w:val="clear" w:color="auto" w:fill="FFFFFF"/>
            <w:vAlign w:val="center"/>
          </w:tcPr>
          <w:p w14:paraId="3DBA76A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1061" w:type="dxa"/>
            <w:vMerge w:val="continue"/>
            <w:shd w:val="clear" w:color="auto" w:fill="FFFFFF"/>
            <w:vAlign w:val="center"/>
          </w:tcPr>
          <w:p w14:paraId="6498D5E8">
            <w:pPr>
              <w:jc w:val="center"/>
              <w:rPr>
                <w:rFonts w:hint="default" w:ascii="Times New Roman" w:hAnsi="Times New Roman" w:eastAsia="宋体" w:cs="Times New Roman"/>
                <w:i w:val="0"/>
                <w:iCs w:val="0"/>
                <w:color w:val="auto"/>
                <w:sz w:val="18"/>
                <w:szCs w:val="18"/>
                <w:u w:val="none"/>
              </w:rPr>
            </w:pPr>
          </w:p>
        </w:tc>
        <w:tc>
          <w:tcPr>
            <w:tcW w:w="1056" w:type="dxa"/>
            <w:shd w:val="clear" w:color="auto" w:fill="FFFFFF"/>
            <w:vAlign w:val="center"/>
          </w:tcPr>
          <w:p w14:paraId="7C2A91B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136.05</w:t>
            </w:r>
          </w:p>
        </w:tc>
        <w:tc>
          <w:tcPr>
            <w:tcW w:w="728" w:type="dxa"/>
            <w:shd w:val="clear" w:color="auto" w:fill="FFFFFF"/>
            <w:vAlign w:val="center"/>
          </w:tcPr>
          <w:p w14:paraId="6C998FA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82.05</w:t>
            </w:r>
          </w:p>
        </w:tc>
        <w:tc>
          <w:tcPr>
            <w:tcW w:w="335" w:type="dxa"/>
            <w:shd w:val="clear" w:color="auto" w:fill="FFFFFF"/>
            <w:vAlign w:val="center"/>
          </w:tcPr>
          <w:p w14:paraId="38B0D1F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54" w:type="dxa"/>
            <w:shd w:val="clear" w:color="auto" w:fill="FFFFFF"/>
            <w:vAlign w:val="center"/>
          </w:tcPr>
          <w:p w14:paraId="5272D17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5.63</w:t>
            </w:r>
          </w:p>
        </w:tc>
        <w:tc>
          <w:tcPr>
            <w:tcW w:w="1639" w:type="dxa"/>
            <w:shd w:val="clear" w:color="auto" w:fill="FFFFFF"/>
            <w:vAlign w:val="center"/>
          </w:tcPr>
          <w:p w14:paraId="514E2A4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72.92</w:t>
            </w:r>
          </w:p>
        </w:tc>
        <w:tc>
          <w:tcPr>
            <w:tcW w:w="1084" w:type="dxa"/>
            <w:shd w:val="clear" w:color="auto" w:fill="FFFFFF"/>
            <w:vAlign w:val="center"/>
          </w:tcPr>
          <w:p w14:paraId="151903A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c>
          <w:tcPr>
            <w:tcW w:w="1454" w:type="dxa"/>
            <w:shd w:val="clear" w:color="auto" w:fill="FFFFFF"/>
            <w:vAlign w:val="center"/>
          </w:tcPr>
          <w:p w14:paraId="45C5AC5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1142" w:type="dxa"/>
            <w:shd w:val="clear" w:color="auto" w:fill="FFFFFF"/>
            <w:vAlign w:val="center"/>
          </w:tcPr>
          <w:p w14:paraId="3140DC3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46.92</w:t>
            </w:r>
          </w:p>
        </w:tc>
        <w:tc>
          <w:tcPr>
            <w:tcW w:w="923" w:type="dxa"/>
            <w:shd w:val="clear" w:color="auto" w:fill="FFFFFF"/>
            <w:vAlign w:val="center"/>
          </w:tcPr>
          <w:p w14:paraId="7110F1F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r>
    </w:tbl>
    <w:p w14:paraId="7212CBC1">
      <w:pPr>
        <w:autoSpaceDE w:val="0"/>
        <w:autoSpaceDN w:val="0"/>
        <w:adjustRightInd w:val="0"/>
        <w:spacing w:line="240" w:lineRule="auto"/>
        <w:ind w:firstLine="422" w:firstLineChars="200"/>
        <w:jc w:val="left"/>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bidi="zh-CN"/>
        </w:rPr>
        <w:t>注：</w:t>
      </w:r>
      <w:r>
        <w:rPr>
          <w:rFonts w:hint="default" w:ascii="Times New Roman" w:hAnsi="Times New Roman" w:cs="Times New Roman"/>
          <w:b/>
          <w:bCs/>
          <w:color w:val="auto"/>
          <w:sz w:val="21"/>
          <w:szCs w:val="21"/>
        </w:rPr>
        <w:t>表中坐标以103°29′27.384″,24°16′56.784″设置为</w:t>
      </w:r>
      <w:r>
        <w:rPr>
          <w:rFonts w:hint="default" w:ascii="Times New Roman" w:hAnsi="Times New Roman" w:cs="Times New Roman"/>
          <w:b/>
          <w:bCs/>
          <w:color w:val="auto"/>
          <w:sz w:val="21"/>
          <w:szCs w:val="21"/>
          <w:lang w:val="en-US" w:eastAsia="zh-CN"/>
        </w:rPr>
        <w:t>原点</w:t>
      </w:r>
      <w:r>
        <w:rPr>
          <w:rFonts w:hint="default" w:ascii="Times New Roman" w:hAnsi="Times New Roman" w:cs="Times New Roman"/>
          <w:b/>
          <w:bCs/>
          <w:color w:val="auto"/>
          <w:sz w:val="21"/>
          <w:szCs w:val="21"/>
        </w:rPr>
        <w:t>（0,0），正东向为X轴正方向，正北向为Y轴正方向</w:t>
      </w:r>
    </w:p>
    <w:p w14:paraId="17455678">
      <w:pPr>
        <w:autoSpaceDE w:val="0"/>
        <w:autoSpaceDN w:val="0"/>
        <w:adjustRightInd w:val="0"/>
        <w:spacing w:line="240" w:lineRule="auto"/>
        <w:ind w:firstLine="422" w:firstLineChars="200"/>
        <w:jc w:val="center"/>
        <w:rPr>
          <w:rFonts w:hint="default" w:ascii="Times New Roman" w:hAnsi="Times New Roman" w:cs="Times New Roman"/>
          <w:b/>
          <w:bCs/>
          <w:color w:val="auto"/>
          <w:sz w:val="21"/>
          <w:szCs w:val="21"/>
        </w:rPr>
      </w:pPr>
    </w:p>
    <w:p w14:paraId="30031E6D">
      <w:pPr>
        <w:autoSpaceDE w:val="0"/>
        <w:autoSpaceDN w:val="0"/>
        <w:adjustRightInd w:val="0"/>
        <w:spacing w:line="240" w:lineRule="auto"/>
        <w:ind w:firstLine="422" w:firstLineChars="200"/>
        <w:jc w:val="center"/>
        <w:rPr>
          <w:rFonts w:hint="default" w:ascii="Times New Roman" w:hAnsi="Times New Roman" w:cs="Times New Roman"/>
          <w:b/>
          <w:bCs/>
          <w:color w:val="auto"/>
          <w:sz w:val="21"/>
          <w:szCs w:val="21"/>
        </w:rPr>
      </w:pPr>
    </w:p>
    <w:p w14:paraId="036C14A5">
      <w:pPr>
        <w:autoSpaceDE w:val="0"/>
        <w:autoSpaceDN w:val="0"/>
        <w:adjustRightInd w:val="0"/>
        <w:spacing w:line="240" w:lineRule="auto"/>
        <w:ind w:firstLine="422" w:firstLineChars="200"/>
        <w:jc w:val="center"/>
        <w:rPr>
          <w:rFonts w:hint="default" w:ascii="Times New Roman" w:hAnsi="Times New Roman" w:cs="Times New Roman"/>
          <w:b/>
          <w:bCs/>
          <w:color w:val="auto"/>
          <w:sz w:val="21"/>
          <w:szCs w:val="21"/>
        </w:rPr>
      </w:pPr>
    </w:p>
    <w:p w14:paraId="2E9F8D5A">
      <w:pPr>
        <w:autoSpaceDE w:val="0"/>
        <w:autoSpaceDN w:val="0"/>
        <w:adjustRightInd w:val="0"/>
        <w:spacing w:line="240" w:lineRule="auto"/>
        <w:ind w:firstLine="422" w:firstLineChars="200"/>
        <w:jc w:val="center"/>
        <w:rPr>
          <w:rFonts w:hint="default" w:ascii="Times New Roman" w:hAnsi="Times New Roman" w:cs="Times New Roman"/>
          <w:b/>
          <w:bCs/>
          <w:color w:val="auto"/>
          <w:sz w:val="21"/>
          <w:szCs w:val="21"/>
        </w:rPr>
      </w:pPr>
    </w:p>
    <w:p w14:paraId="76530CEB">
      <w:pPr>
        <w:autoSpaceDE w:val="0"/>
        <w:autoSpaceDN w:val="0"/>
        <w:adjustRightInd w:val="0"/>
        <w:spacing w:line="240" w:lineRule="auto"/>
        <w:ind w:firstLine="422" w:firstLineChars="200"/>
        <w:jc w:val="center"/>
        <w:rPr>
          <w:rFonts w:hint="default" w:ascii="Times New Roman" w:hAnsi="Times New Roman" w:cs="Times New Roman"/>
          <w:b/>
          <w:bCs/>
          <w:color w:val="auto"/>
          <w:sz w:val="21"/>
          <w:szCs w:val="21"/>
        </w:rPr>
      </w:pPr>
    </w:p>
    <w:p w14:paraId="30E3FCC6">
      <w:pPr>
        <w:autoSpaceDE w:val="0"/>
        <w:autoSpaceDN w:val="0"/>
        <w:adjustRightInd w:val="0"/>
        <w:spacing w:line="240" w:lineRule="auto"/>
        <w:ind w:firstLine="422" w:firstLineChars="200"/>
        <w:jc w:val="center"/>
        <w:rPr>
          <w:rFonts w:hint="default" w:ascii="Times New Roman" w:hAnsi="Times New Roman" w:cs="Times New Roman"/>
          <w:b/>
          <w:bCs/>
          <w:color w:val="auto"/>
          <w:sz w:val="21"/>
          <w:szCs w:val="21"/>
        </w:rPr>
      </w:pPr>
    </w:p>
    <w:p w14:paraId="6CA53B90">
      <w:pPr>
        <w:autoSpaceDE w:val="0"/>
        <w:autoSpaceDN w:val="0"/>
        <w:adjustRightInd w:val="0"/>
        <w:spacing w:line="240" w:lineRule="auto"/>
        <w:ind w:firstLine="422" w:firstLineChars="200"/>
        <w:jc w:val="center"/>
        <w:rPr>
          <w:rFonts w:hint="default" w:ascii="Times New Roman" w:hAnsi="Times New Roman" w:cs="Times New Roman"/>
          <w:b/>
          <w:bCs/>
          <w:color w:val="auto"/>
          <w:sz w:val="21"/>
          <w:szCs w:val="21"/>
        </w:rPr>
      </w:pPr>
    </w:p>
    <w:p w14:paraId="4441858C">
      <w:pPr>
        <w:autoSpaceDE w:val="0"/>
        <w:autoSpaceDN w:val="0"/>
        <w:adjustRightInd w:val="0"/>
        <w:spacing w:line="240" w:lineRule="auto"/>
        <w:ind w:firstLine="422" w:firstLineChars="200"/>
        <w:jc w:val="center"/>
        <w:rPr>
          <w:rFonts w:hint="default" w:ascii="Times New Roman" w:hAnsi="Times New Roman" w:cs="Times New Roman"/>
          <w:b/>
          <w:bCs/>
          <w:color w:val="auto"/>
          <w:sz w:val="21"/>
          <w:szCs w:val="21"/>
        </w:rPr>
      </w:pPr>
    </w:p>
    <w:p w14:paraId="31C60DEC">
      <w:pPr>
        <w:autoSpaceDE w:val="0"/>
        <w:autoSpaceDN w:val="0"/>
        <w:adjustRightInd w:val="0"/>
        <w:spacing w:line="240" w:lineRule="auto"/>
        <w:ind w:firstLine="422" w:firstLineChars="200"/>
        <w:jc w:val="center"/>
        <w:rPr>
          <w:rFonts w:hint="default" w:ascii="Times New Roman" w:hAnsi="Times New Roman" w:cs="Times New Roman"/>
          <w:b/>
          <w:bCs/>
          <w:color w:val="auto"/>
          <w:sz w:val="21"/>
          <w:szCs w:val="21"/>
        </w:rPr>
      </w:pPr>
    </w:p>
    <w:p w14:paraId="39C99BB4">
      <w:pPr>
        <w:autoSpaceDE w:val="0"/>
        <w:autoSpaceDN w:val="0"/>
        <w:adjustRightInd w:val="0"/>
        <w:spacing w:line="240" w:lineRule="auto"/>
        <w:ind w:firstLine="422" w:firstLineChars="200"/>
        <w:jc w:val="center"/>
        <w:rPr>
          <w:rFonts w:hint="default" w:ascii="Times New Roman" w:hAnsi="Times New Roman" w:cs="Times New Roman"/>
          <w:b/>
          <w:bCs/>
          <w:color w:val="auto"/>
          <w:sz w:val="21"/>
          <w:szCs w:val="21"/>
        </w:rPr>
      </w:pPr>
    </w:p>
    <w:p w14:paraId="108A29AD">
      <w:pPr>
        <w:autoSpaceDE w:val="0"/>
        <w:autoSpaceDN w:val="0"/>
        <w:adjustRightInd w:val="0"/>
        <w:spacing w:line="240" w:lineRule="auto"/>
        <w:ind w:firstLine="422" w:firstLineChars="200"/>
        <w:jc w:val="center"/>
        <w:rPr>
          <w:rFonts w:hint="default" w:ascii="Times New Roman" w:hAnsi="Times New Roman" w:cs="Times New Roman"/>
          <w:b/>
          <w:bCs/>
          <w:color w:val="auto"/>
          <w:sz w:val="21"/>
          <w:szCs w:val="21"/>
        </w:rPr>
      </w:pPr>
    </w:p>
    <w:p w14:paraId="1E258BED">
      <w:pPr>
        <w:autoSpaceDE w:val="0"/>
        <w:autoSpaceDN w:val="0"/>
        <w:adjustRightInd w:val="0"/>
        <w:spacing w:line="240" w:lineRule="auto"/>
        <w:ind w:firstLine="422" w:firstLineChars="200"/>
        <w:jc w:val="center"/>
        <w:rPr>
          <w:rFonts w:hint="default" w:ascii="Times New Roman" w:hAnsi="Times New Roman" w:cs="Times New Roman"/>
          <w:b/>
          <w:bCs/>
          <w:color w:val="auto"/>
          <w:sz w:val="21"/>
          <w:szCs w:val="21"/>
        </w:rPr>
      </w:pPr>
    </w:p>
    <w:p w14:paraId="0B668B02">
      <w:pPr>
        <w:autoSpaceDE w:val="0"/>
        <w:autoSpaceDN w:val="0"/>
        <w:adjustRightInd w:val="0"/>
        <w:spacing w:line="240" w:lineRule="auto"/>
        <w:jc w:val="both"/>
        <w:rPr>
          <w:rFonts w:hint="default" w:ascii="Times New Roman" w:hAnsi="Times New Roman" w:cs="Times New Roman"/>
          <w:b/>
          <w:bCs/>
          <w:color w:val="auto"/>
          <w:sz w:val="21"/>
          <w:szCs w:val="21"/>
        </w:rPr>
      </w:pPr>
    </w:p>
    <w:p w14:paraId="45416048">
      <w:pPr>
        <w:autoSpaceDE w:val="0"/>
        <w:autoSpaceDN w:val="0"/>
        <w:adjustRightInd w:val="0"/>
        <w:spacing w:line="240" w:lineRule="auto"/>
        <w:ind w:firstLine="422" w:firstLineChars="200"/>
        <w:jc w:val="center"/>
        <w:rPr>
          <w:rFonts w:hint="default" w:ascii="Times New Roman" w:hAnsi="Times New Roman" w:cs="Times New Roman"/>
          <w:b/>
          <w:bCs/>
          <w:color w:val="auto"/>
          <w:sz w:val="21"/>
          <w:szCs w:val="21"/>
        </w:rPr>
        <w:sectPr>
          <w:type w:val="continuous"/>
          <w:pgSz w:w="16839" w:h="11907" w:orient="landscape"/>
          <w:pgMar w:top="1582" w:right="1321" w:bottom="1582" w:left="1281" w:header="851" w:footer="992" w:gutter="0"/>
          <w:pgBorders>
            <w:top w:val="none" w:sz="0" w:space="0"/>
            <w:left w:val="none" w:sz="0" w:space="0"/>
            <w:bottom w:val="none" w:sz="0" w:space="0"/>
            <w:right w:val="none" w:sz="0" w:space="0"/>
          </w:pgBorders>
          <w:pgNumType w:fmt="decimal"/>
          <w:cols w:space="720" w:num="1"/>
          <w:docGrid w:linePitch="312" w:charSpace="0"/>
        </w:sectPr>
      </w:pPr>
    </w:p>
    <w:p w14:paraId="23F846A3">
      <w:pPr>
        <w:autoSpaceDE w:val="0"/>
        <w:autoSpaceDN w:val="0"/>
        <w:adjustRightInd w:val="0"/>
        <w:spacing w:line="240" w:lineRule="auto"/>
        <w:ind w:firstLine="422" w:firstLineChars="200"/>
        <w:jc w:val="center"/>
        <w:rPr>
          <w:rFonts w:hint="default" w:ascii="Times New Roman" w:hAnsi="Times New Roman" w:cs="Times New Roman"/>
          <w:b/>
          <w:color w:val="auto"/>
          <w:kern w:val="0"/>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rPr>
        <w:t>3.3.2</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rPr>
        <w:t>11</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 xml:space="preserve"> 运营期室外噪声源强一览表</w:t>
      </w:r>
    </w:p>
    <w:tbl>
      <w:tblPr>
        <w:tblStyle w:val="23"/>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5"/>
        <w:gridCol w:w="2086"/>
        <w:gridCol w:w="800"/>
        <w:gridCol w:w="800"/>
        <w:gridCol w:w="327"/>
        <w:gridCol w:w="959"/>
        <w:gridCol w:w="2107"/>
        <w:gridCol w:w="1016"/>
      </w:tblGrid>
      <w:tr w14:paraId="691E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95" w:type="dxa"/>
            <w:vMerge w:val="restart"/>
            <w:shd w:val="clear" w:color="auto" w:fill="F0F0F0"/>
            <w:vAlign w:val="center"/>
          </w:tcPr>
          <w:p w14:paraId="1EA1870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序号</w:t>
            </w:r>
          </w:p>
        </w:tc>
        <w:tc>
          <w:tcPr>
            <w:tcW w:w="2086" w:type="dxa"/>
            <w:vMerge w:val="restart"/>
            <w:shd w:val="clear" w:color="auto" w:fill="F0F0F0"/>
            <w:vAlign w:val="center"/>
          </w:tcPr>
          <w:p w14:paraId="717E574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声源名称</w:t>
            </w:r>
          </w:p>
        </w:tc>
        <w:tc>
          <w:tcPr>
            <w:tcW w:w="1927" w:type="dxa"/>
            <w:gridSpan w:val="3"/>
            <w:shd w:val="clear" w:color="auto" w:fill="F0F0F0"/>
            <w:vAlign w:val="center"/>
          </w:tcPr>
          <w:p w14:paraId="5DB0D91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空间相对位置/m</w:t>
            </w:r>
          </w:p>
        </w:tc>
        <w:tc>
          <w:tcPr>
            <w:tcW w:w="959" w:type="dxa"/>
            <w:shd w:val="clear" w:color="auto" w:fill="F0F0F0"/>
            <w:vAlign w:val="center"/>
          </w:tcPr>
          <w:p w14:paraId="7824DE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声源源强</w:t>
            </w:r>
          </w:p>
        </w:tc>
        <w:tc>
          <w:tcPr>
            <w:tcW w:w="2107" w:type="dxa"/>
            <w:vMerge w:val="restart"/>
            <w:shd w:val="clear" w:color="auto" w:fill="F0F0F0"/>
            <w:vAlign w:val="center"/>
          </w:tcPr>
          <w:p w14:paraId="2464B76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声源控制措施</w:t>
            </w:r>
          </w:p>
        </w:tc>
        <w:tc>
          <w:tcPr>
            <w:tcW w:w="1016" w:type="dxa"/>
            <w:vMerge w:val="restart"/>
            <w:shd w:val="clear" w:color="auto" w:fill="F0F0F0"/>
            <w:vAlign w:val="center"/>
          </w:tcPr>
          <w:p w14:paraId="4D6BB6F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运行时段</w:t>
            </w:r>
          </w:p>
        </w:tc>
      </w:tr>
      <w:tr w14:paraId="70B0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Merge w:val="continue"/>
            <w:shd w:val="clear" w:color="auto" w:fill="F0F0F0"/>
            <w:vAlign w:val="center"/>
          </w:tcPr>
          <w:p w14:paraId="3E5C296E">
            <w:pPr>
              <w:jc w:val="center"/>
              <w:rPr>
                <w:rFonts w:hint="default" w:ascii="Times New Roman" w:hAnsi="Times New Roman" w:eastAsia="宋体" w:cs="Times New Roman"/>
                <w:i w:val="0"/>
                <w:iCs w:val="0"/>
                <w:color w:val="auto"/>
                <w:sz w:val="18"/>
                <w:szCs w:val="18"/>
                <w:u w:val="none"/>
              </w:rPr>
            </w:pPr>
          </w:p>
        </w:tc>
        <w:tc>
          <w:tcPr>
            <w:tcW w:w="2086" w:type="dxa"/>
            <w:vMerge w:val="continue"/>
            <w:shd w:val="clear" w:color="auto" w:fill="F0F0F0"/>
            <w:vAlign w:val="center"/>
          </w:tcPr>
          <w:p w14:paraId="4B558ADD">
            <w:pPr>
              <w:jc w:val="center"/>
              <w:rPr>
                <w:rFonts w:hint="default" w:ascii="Times New Roman" w:hAnsi="Times New Roman" w:eastAsia="宋体" w:cs="Times New Roman"/>
                <w:i w:val="0"/>
                <w:iCs w:val="0"/>
                <w:color w:val="auto"/>
                <w:sz w:val="18"/>
                <w:szCs w:val="18"/>
                <w:u w:val="none"/>
              </w:rPr>
            </w:pPr>
          </w:p>
        </w:tc>
        <w:tc>
          <w:tcPr>
            <w:tcW w:w="800" w:type="dxa"/>
            <w:shd w:val="clear" w:color="auto" w:fill="F0F0F0"/>
            <w:vAlign w:val="center"/>
          </w:tcPr>
          <w:p w14:paraId="11A2FAE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X</w:t>
            </w:r>
          </w:p>
        </w:tc>
        <w:tc>
          <w:tcPr>
            <w:tcW w:w="800" w:type="dxa"/>
            <w:shd w:val="clear" w:color="auto" w:fill="F0F0F0"/>
            <w:vAlign w:val="center"/>
          </w:tcPr>
          <w:p w14:paraId="65531E2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Y</w:t>
            </w:r>
          </w:p>
        </w:tc>
        <w:tc>
          <w:tcPr>
            <w:tcW w:w="327" w:type="dxa"/>
            <w:shd w:val="clear" w:color="auto" w:fill="F0F0F0"/>
            <w:vAlign w:val="center"/>
          </w:tcPr>
          <w:p w14:paraId="29A6DDB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Z</w:t>
            </w:r>
          </w:p>
        </w:tc>
        <w:tc>
          <w:tcPr>
            <w:tcW w:w="959" w:type="dxa"/>
            <w:shd w:val="clear" w:color="auto" w:fill="F0F0F0"/>
            <w:vAlign w:val="center"/>
          </w:tcPr>
          <w:p w14:paraId="4C81CB4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声功率级</w:t>
            </w:r>
            <w:r>
              <w:rPr>
                <w:rFonts w:hint="default" w:ascii="Times New Roman" w:hAnsi="Times New Roman" w:eastAsia="宋体" w:cs="Times New Roman"/>
                <w:i w:val="0"/>
                <w:iCs w:val="0"/>
                <w:color w:val="auto"/>
                <w:kern w:val="0"/>
                <w:sz w:val="18"/>
                <w:szCs w:val="18"/>
                <w:u w:val="none"/>
                <w:lang w:val="en-US" w:eastAsia="zh-CN" w:bidi="ar"/>
              </w:rPr>
              <w:br w:type="textWrapping"/>
            </w:r>
            <w:r>
              <w:rPr>
                <w:rFonts w:hint="default" w:ascii="Times New Roman" w:hAnsi="Times New Roman" w:eastAsia="宋体" w:cs="Times New Roman"/>
                <w:i w:val="0"/>
                <w:iCs w:val="0"/>
                <w:color w:val="auto"/>
                <w:kern w:val="0"/>
                <w:sz w:val="18"/>
                <w:szCs w:val="18"/>
                <w:u w:val="none"/>
                <w:lang w:val="en-US" w:eastAsia="zh-CN" w:bidi="ar"/>
              </w:rPr>
              <w:t>/dB(A</w:t>
            </w:r>
          </w:p>
        </w:tc>
        <w:tc>
          <w:tcPr>
            <w:tcW w:w="2107" w:type="dxa"/>
            <w:vMerge w:val="continue"/>
            <w:shd w:val="clear" w:color="auto" w:fill="F0F0F0"/>
            <w:vAlign w:val="center"/>
          </w:tcPr>
          <w:p w14:paraId="5F19C02E">
            <w:pPr>
              <w:jc w:val="center"/>
              <w:rPr>
                <w:rFonts w:hint="default" w:ascii="Times New Roman" w:hAnsi="Times New Roman" w:eastAsia="宋体" w:cs="Times New Roman"/>
                <w:i w:val="0"/>
                <w:iCs w:val="0"/>
                <w:color w:val="auto"/>
                <w:sz w:val="18"/>
                <w:szCs w:val="18"/>
                <w:u w:val="none"/>
              </w:rPr>
            </w:pPr>
          </w:p>
        </w:tc>
        <w:tc>
          <w:tcPr>
            <w:tcW w:w="1016" w:type="dxa"/>
            <w:vMerge w:val="continue"/>
            <w:shd w:val="clear" w:color="auto" w:fill="F0F0F0"/>
            <w:vAlign w:val="center"/>
          </w:tcPr>
          <w:p w14:paraId="32EC9C2C">
            <w:pPr>
              <w:jc w:val="center"/>
              <w:rPr>
                <w:rFonts w:hint="default" w:ascii="Times New Roman" w:hAnsi="Times New Roman" w:eastAsia="宋体" w:cs="Times New Roman"/>
                <w:i w:val="0"/>
                <w:iCs w:val="0"/>
                <w:color w:val="auto"/>
                <w:sz w:val="18"/>
                <w:szCs w:val="18"/>
                <w:u w:val="none"/>
              </w:rPr>
            </w:pPr>
          </w:p>
        </w:tc>
      </w:tr>
      <w:tr w14:paraId="6CCD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95" w:type="dxa"/>
            <w:shd w:val="clear" w:color="auto" w:fill="FFFFFF"/>
            <w:vAlign w:val="center"/>
          </w:tcPr>
          <w:p w14:paraId="4629FC4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2086" w:type="dxa"/>
            <w:shd w:val="clear" w:color="auto" w:fill="FFFFFF"/>
            <w:vAlign w:val="center"/>
          </w:tcPr>
          <w:p w14:paraId="20F3694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水泵</w:t>
            </w:r>
          </w:p>
        </w:tc>
        <w:tc>
          <w:tcPr>
            <w:tcW w:w="800" w:type="dxa"/>
            <w:shd w:val="clear" w:color="auto" w:fill="FFFFFF"/>
            <w:vAlign w:val="center"/>
          </w:tcPr>
          <w:p w14:paraId="2258FF1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151.41</w:t>
            </w:r>
          </w:p>
        </w:tc>
        <w:tc>
          <w:tcPr>
            <w:tcW w:w="800" w:type="dxa"/>
            <w:shd w:val="clear" w:color="auto" w:fill="FFFFFF"/>
            <w:vAlign w:val="center"/>
          </w:tcPr>
          <w:p w14:paraId="07D0A5E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125.57</w:t>
            </w:r>
          </w:p>
        </w:tc>
        <w:tc>
          <w:tcPr>
            <w:tcW w:w="327" w:type="dxa"/>
            <w:shd w:val="clear" w:color="auto" w:fill="FFFFFF"/>
            <w:vAlign w:val="center"/>
          </w:tcPr>
          <w:p w14:paraId="5BFA6E3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696B1E7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2107" w:type="dxa"/>
            <w:shd w:val="clear" w:color="auto" w:fill="FFFFFF"/>
            <w:vAlign w:val="center"/>
          </w:tcPr>
          <w:p w14:paraId="1421733D">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基础减振、隔声罩壳</w:t>
            </w:r>
          </w:p>
        </w:tc>
        <w:tc>
          <w:tcPr>
            <w:tcW w:w="1016" w:type="dxa"/>
            <w:shd w:val="clear" w:color="auto" w:fill="FFFFFF"/>
            <w:vAlign w:val="center"/>
          </w:tcPr>
          <w:p w14:paraId="4F27953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0B48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4DC1E67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2086" w:type="dxa"/>
            <w:shd w:val="clear" w:color="auto" w:fill="auto"/>
            <w:vAlign w:val="center"/>
          </w:tcPr>
          <w:p w14:paraId="7CAD922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固液分离设备</w:t>
            </w:r>
          </w:p>
        </w:tc>
        <w:tc>
          <w:tcPr>
            <w:tcW w:w="800" w:type="dxa"/>
            <w:shd w:val="clear" w:color="auto" w:fill="auto"/>
            <w:vAlign w:val="center"/>
          </w:tcPr>
          <w:p w14:paraId="0A75791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168.8</w:t>
            </w:r>
          </w:p>
        </w:tc>
        <w:tc>
          <w:tcPr>
            <w:tcW w:w="800" w:type="dxa"/>
            <w:shd w:val="clear" w:color="auto" w:fill="auto"/>
            <w:vAlign w:val="center"/>
          </w:tcPr>
          <w:p w14:paraId="35CB75A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104.26</w:t>
            </w:r>
          </w:p>
        </w:tc>
        <w:tc>
          <w:tcPr>
            <w:tcW w:w="327" w:type="dxa"/>
            <w:shd w:val="clear" w:color="auto" w:fill="auto"/>
            <w:vAlign w:val="center"/>
          </w:tcPr>
          <w:p w14:paraId="33A0A01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5D4887F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w:t>
            </w:r>
          </w:p>
        </w:tc>
        <w:tc>
          <w:tcPr>
            <w:tcW w:w="2107" w:type="dxa"/>
            <w:shd w:val="clear" w:color="auto" w:fill="auto"/>
            <w:vAlign w:val="center"/>
          </w:tcPr>
          <w:p w14:paraId="7B015FD3">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7C8D37E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0C20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44F99CF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3</w:t>
            </w:r>
          </w:p>
        </w:tc>
        <w:tc>
          <w:tcPr>
            <w:tcW w:w="2086" w:type="dxa"/>
            <w:shd w:val="clear" w:color="auto" w:fill="auto"/>
            <w:vAlign w:val="center"/>
          </w:tcPr>
          <w:p w14:paraId="71B1D3F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冷库风冷式室外机组</w:t>
            </w:r>
          </w:p>
        </w:tc>
        <w:tc>
          <w:tcPr>
            <w:tcW w:w="800" w:type="dxa"/>
            <w:shd w:val="clear" w:color="auto" w:fill="auto"/>
            <w:vAlign w:val="center"/>
          </w:tcPr>
          <w:p w14:paraId="01786AD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84.73</w:t>
            </w:r>
          </w:p>
        </w:tc>
        <w:tc>
          <w:tcPr>
            <w:tcW w:w="800" w:type="dxa"/>
            <w:shd w:val="clear" w:color="auto" w:fill="auto"/>
            <w:vAlign w:val="center"/>
          </w:tcPr>
          <w:p w14:paraId="3CACC5D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87.54</w:t>
            </w:r>
          </w:p>
        </w:tc>
        <w:tc>
          <w:tcPr>
            <w:tcW w:w="327" w:type="dxa"/>
            <w:shd w:val="clear" w:color="auto" w:fill="auto"/>
            <w:vAlign w:val="center"/>
          </w:tcPr>
          <w:p w14:paraId="17F562A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2D24498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054115AF">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基础减振、隔声罩壳</w:t>
            </w:r>
          </w:p>
        </w:tc>
        <w:tc>
          <w:tcPr>
            <w:tcW w:w="1016" w:type="dxa"/>
            <w:shd w:val="clear" w:color="auto" w:fill="auto"/>
            <w:vAlign w:val="center"/>
          </w:tcPr>
          <w:p w14:paraId="4301F44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484D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695" w:type="dxa"/>
            <w:shd w:val="clear" w:color="auto" w:fill="FFFFFF"/>
            <w:vAlign w:val="center"/>
          </w:tcPr>
          <w:p w14:paraId="15A8D6F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2086" w:type="dxa"/>
            <w:shd w:val="clear" w:color="auto" w:fill="FFFFFF"/>
            <w:vAlign w:val="center"/>
          </w:tcPr>
          <w:p w14:paraId="1183EB8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冷库风冷式室外机组</w:t>
            </w:r>
          </w:p>
        </w:tc>
        <w:tc>
          <w:tcPr>
            <w:tcW w:w="800" w:type="dxa"/>
            <w:shd w:val="clear" w:color="auto" w:fill="FFFFFF"/>
            <w:vAlign w:val="center"/>
          </w:tcPr>
          <w:p w14:paraId="7CABB8D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84.73</w:t>
            </w:r>
          </w:p>
        </w:tc>
        <w:tc>
          <w:tcPr>
            <w:tcW w:w="800" w:type="dxa"/>
            <w:shd w:val="clear" w:color="auto" w:fill="FFFFFF"/>
            <w:vAlign w:val="center"/>
          </w:tcPr>
          <w:p w14:paraId="6C24034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87.54</w:t>
            </w:r>
          </w:p>
        </w:tc>
        <w:tc>
          <w:tcPr>
            <w:tcW w:w="327" w:type="dxa"/>
            <w:shd w:val="clear" w:color="auto" w:fill="FFFFFF"/>
            <w:vAlign w:val="center"/>
          </w:tcPr>
          <w:p w14:paraId="76C6F21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1567E06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236A1A73">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基础减振、隔声罩壳</w:t>
            </w:r>
          </w:p>
        </w:tc>
        <w:tc>
          <w:tcPr>
            <w:tcW w:w="1016" w:type="dxa"/>
            <w:shd w:val="clear" w:color="auto" w:fill="FFFFFF"/>
            <w:vAlign w:val="center"/>
          </w:tcPr>
          <w:p w14:paraId="4F006C4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38B1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0DAF6E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w:t>
            </w:r>
          </w:p>
        </w:tc>
        <w:tc>
          <w:tcPr>
            <w:tcW w:w="2086" w:type="dxa"/>
            <w:shd w:val="clear" w:color="auto" w:fill="FFFFFF"/>
            <w:vAlign w:val="center"/>
          </w:tcPr>
          <w:p w14:paraId="0F3581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1#天然气燃烧器</w:t>
            </w:r>
          </w:p>
        </w:tc>
        <w:tc>
          <w:tcPr>
            <w:tcW w:w="800" w:type="dxa"/>
            <w:shd w:val="clear" w:color="auto" w:fill="FFFFFF"/>
            <w:vAlign w:val="center"/>
          </w:tcPr>
          <w:p w14:paraId="17F25B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120.71</w:t>
            </w:r>
          </w:p>
        </w:tc>
        <w:tc>
          <w:tcPr>
            <w:tcW w:w="800" w:type="dxa"/>
            <w:shd w:val="clear" w:color="auto" w:fill="FFFFFF"/>
            <w:vAlign w:val="center"/>
          </w:tcPr>
          <w:p w14:paraId="1FA666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5.47</w:t>
            </w:r>
          </w:p>
        </w:tc>
        <w:tc>
          <w:tcPr>
            <w:tcW w:w="327" w:type="dxa"/>
            <w:shd w:val="clear" w:color="auto" w:fill="FFFFFF"/>
            <w:vAlign w:val="center"/>
          </w:tcPr>
          <w:p w14:paraId="1ABF52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6A0747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75</w:t>
            </w:r>
          </w:p>
        </w:tc>
        <w:tc>
          <w:tcPr>
            <w:tcW w:w="2107" w:type="dxa"/>
            <w:shd w:val="clear" w:color="auto" w:fill="FFFFFF"/>
            <w:vAlign w:val="center"/>
          </w:tcPr>
          <w:p w14:paraId="391B94F3">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基础减振、消音器</w:t>
            </w:r>
          </w:p>
        </w:tc>
        <w:tc>
          <w:tcPr>
            <w:tcW w:w="1016" w:type="dxa"/>
            <w:shd w:val="clear" w:color="auto" w:fill="FFFFFF"/>
            <w:vAlign w:val="center"/>
          </w:tcPr>
          <w:p w14:paraId="70E8BC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2300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3EC1321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2086" w:type="dxa"/>
            <w:shd w:val="clear" w:color="auto" w:fill="auto"/>
            <w:vAlign w:val="center"/>
          </w:tcPr>
          <w:p w14:paraId="3CB5174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2#天然气燃烧器</w:t>
            </w:r>
          </w:p>
        </w:tc>
        <w:tc>
          <w:tcPr>
            <w:tcW w:w="800" w:type="dxa"/>
            <w:shd w:val="clear" w:color="auto" w:fill="auto"/>
            <w:vAlign w:val="center"/>
          </w:tcPr>
          <w:p w14:paraId="6C13346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120.94</w:t>
            </w:r>
          </w:p>
        </w:tc>
        <w:tc>
          <w:tcPr>
            <w:tcW w:w="800" w:type="dxa"/>
            <w:shd w:val="clear" w:color="auto" w:fill="auto"/>
            <w:vAlign w:val="center"/>
          </w:tcPr>
          <w:p w14:paraId="497F9DC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1.12</w:t>
            </w:r>
          </w:p>
        </w:tc>
        <w:tc>
          <w:tcPr>
            <w:tcW w:w="327" w:type="dxa"/>
            <w:shd w:val="clear" w:color="auto" w:fill="auto"/>
            <w:vAlign w:val="center"/>
          </w:tcPr>
          <w:p w14:paraId="373B1D5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6F3E476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w:t>
            </w:r>
          </w:p>
        </w:tc>
        <w:tc>
          <w:tcPr>
            <w:tcW w:w="2107" w:type="dxa"/>
            <w:shd w:val="clear" w:color="auto" w:fill="auto"/>
            <w:vAlign w:val="center"/>
          </w:tcPr>
          <w:p w14:paraId="760FB079">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基础减振、消音器</w:t>
            </w:r>
          </w:p>
        </w:tc>
        <w:tc>
          <w:tcPr>
            <w:tcW w:w="1016" w:type="dxa"/>
            <w:shd w:val="clear" w:color="auto" w:fill="auto"/>
            <w:vAlign w:val="center"/>
          </w:tcPr>
          <w:p w14:paraId="4BB2C21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226A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00A772E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w:t>
            </w:r>
          </w:p>
        </w:tc>
        <w:tc>
          <w:tcPr>
            <w:tcW w:w="2086" w:type="dxa"/>
            <w:shd w:val="clear" w:color="auto" w:fill="FFFFFF"/>
            <w:vAlign w:val="center"/>
          </w:tcPr>
          <w:p w14:paraId="3EBA6F5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3#天然气燃烧器</w:t>
            </w:r>
          </w:p>
        </w:tc>
        <w:tc>
          <w:tcPr>
            <w:tcW w:w="800" w:type="dxa"/>
            <w:shd w:val="clear" w:color="auto" w:fill="FFFFFF"/>
            <w:vAlign w:val="center"/>
          </w:tcPr>
          <w:p w14:paraId="57E67A9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120.94</w:t>
            </w:r>
          </w:p>
        </w:tc>
        <w:tc>
          <w:tcPr>
            <w:tcW w:w="800" w:type="dxa"/>
            <w:shd w:val="clear" w:color="auto" w:fill="FFFFFF"/>
            <w:vAlign w:val="center"/>
          </w:tcPr>
          <w:p w14:paraId="0FD713B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-2.21</w:t>
            </w:r>
          </w:p>
        </w:tc>
        <w:tc>
          <w:tcPr>
            <w:tcW w:w="327" w:type="dxa"/>
            <w:shd w:val="clear" w:color="auto" w:fill="FFFFFF"/>
            <w:vAlign w:val="center"/>
          </w:tcPr>
          <w:p w14:paraId="6396603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5CD8D9D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w:t>
            </w:r>
          </w:p>
        </w:tc>
        <w:tc>
          <w:tcPr>
            <w:tcW w:w="2107" w:type="dxa"/>
            <w:shd w:val="clear" w:color="auto" w:fill="FFFFFF"/>
            <w:vAlign w:val="center"/>
          </w:tcPr>
          <w:p w14:paraId="7C4748B1">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基础减振、消音器</w:t>
            </w:r>
          </w:p>
        </w:tc>
        <w:tc>
          <w:tcPr>
            <w:tcW w:w="1016" w:type="dxa"/>
            <w:shd w:val="clear" w:color="auto" w:fill="FFFFFF"/>
            <w:vAlign w:val="center"/>
          </w:tcPr>
          <w:p w14:paraId="1AAD345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0725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711CE5F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2086" w:type="dxa"/>
            <w:shd w:val="clear" w:color="auto" w:fill="auto"/>
            <w:vAlign w:val="center"/>
          </w:tcPr>
          <w:p w14:paraId="6CA88F4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4#天然气燃烧器</w:t>
            </w:r>
          </w:p>
        </w:tc>
        <w:tc>
          <w:tcPr>
            <w:tcW w:w="800" w:type="dxa"/>
            <w:shd w:val="clear" w:color="auto" w:fill="auto"/>
            <w:vAlign w:val="center"/>
          </w:tcPr>
          <w:p w14:paraId="68B5C75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128.38</w:t>
            </w:r>
          </w:p>
        </w:tc>
        <w:tc>
          <w:tcPr>
            <w:tcW w:w="800" w:type="dxa"/>
            <w:shd w:val="clear" w:color="auto" w:fill="auto"/>
            <w:vAlign w:val="center"/>
          </w:tcPr>
          <w:p w14:paraId="5AF916A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5.74</w:t>
            </w:r>
          </w:p>
        </w:tc>
        <w:tc>
          <w:tcPr>
            <w:tcW w:w="327" w:type="dxa"/>
            <w:shd w:val="clear" w:color="auto" w:fill="auto"/>
            <w:vAlign w:val="center"/>
          </w:tcPr>
          <w:p w14:paraId="5D79A26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5229C86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w:t>
            </w:r>
          </w:p>
        </w:tc>
        <w:tc>
          <w:tcPr>
            <w:tcW w:w="2107" w:type="dxa"/>
            <w:shd w:val="clear" w:color="auto" w:fill="auto"/>
            <w:vAlign w:val="center"/>
          </w:tcPr>
          <w:p w14:paraId="20935F68">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基础减振、消音器</w:t>
            </w:r>
          </w:p>
        </w:tc>
        <w:tc>
          <w:tcPr>
            <w:tcW w:w="1016" w:type="dxa"/>
            <w:shd w:val="clear" w:color="auto" w:fill="auto"/>
            <w:vAlign w:val="center"/>
          </w:tcPr>
          <w:p w14:paraId="6A8CCF1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2CD0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69638BC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w:t>
            </w:r>
          </w:p>
        </w:tc>
        <w:tc>
          <w:tcPr>
            <w:tcW w:w="2086" w:type="dxa"/>
            <w:shd w:val="clear" w:color="auto" w:fill="FFFFFF"/>
            <w:vAlign w:val="center"/>
          </w:tcPr>
          <w:p w14:paraId="6BFE552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5#天然气燃烧器</w:t>
            </w:r>
          </w:p>
        </w:tc>
        <w:tc>
          <w:tcPr>
            <w:tcW w:w="800" w:type="dxa"/>
            <w:shd w:val="clear" w:color="auto" w:fill="FFFFFF"/>
            <w:vAlign w:val="center"/>
          </w:tcPr>
          <w:p w14:paraId="4D03699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128.64</w:t>
            </w:r>
          </w:p>
        </w:tc>
        <w:tc>
          <w:tcPr>
            <w:tcW w:w="800" w:type="dxa"/>
            <w:shd w:val="clear" w:color="auto" w:fill="FFFFFF"/>
            <w:vAlign w:val="center"/>
          </w:tcPr>
          <w:p w14:paraId="4C9F44C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1.38</w:t>
            </w:r>
          </w:p>
        </w:tc>
        <w:tc>
          <w:tcPr>
            <w:tcW w:w="327" w:type="dxa"/>
            <w:shd w:val="clear" w:color="auto" w:fill="FFFFFF"/>
            <w:vAlign w:val="center"/>
          </w:tcPr>
          <w:p w14:paraId="0B1D184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6762267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w:t>
            </w:r>
          </w:p>
        </w:tc>
        <w:tc>
          <w:tcPr>
            <w:tcW w:w="2107" w:type="dxa"/>
            <w:shd w:val="clear" w:color="auto" w:fill="FFFFFF"/>
            <w:vAlign w:val="center"/>
          </w:tcPr>
          <w:p w14:paraId="2A1887C2">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基础减振、消音器</w:t>
            </w:r>
          </w:p>
        </w:tc>
        <w:tc>
          <w:tcPr>
            <w:tcW w:w="1016" w:type="dxa"/>
            <w:shd w:val="clear" w:color="auto" w:fill="FFFFFF"/>
            <w:vAlign w:val="center"/>
          </w:tcPr>
          <w:p w14:paraId="313E485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2107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715EF35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2086" w:type="dxa"/>
            <w:shd w:val="clear" w:color="auto" w:fill="auto"/>
            <w:vAlign w:val="center"/>
          </w:tcPr>
          <w:p w14:paraId="72200C4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6#天然气燃烧器</w:t>
            </w:r>
          </w:p>
        </w:tc>
        <w:tc>
          <w:tcPr>
            <w:tcW w:w="800" w:type="dxa"/>
            <w:shd w:val="clear" w:color="auto" w:fill="auto"/>
            <w:vAlign w:val="center"/>
          </w:tcPr>
          <w:p w14:paraId="4CD9058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129.15</w:t>
            </w:r>
          </w:p>
        </w:tc>
        <w:tc>
          <w:tcPr>
            <w:tcW w:w="800" w:type="dxa"/>
            <w:shd w:val="clear" w:color="auto" w:fill="auto"/>
            <w:vAlign w:val="center"/>
          </w:tcPr>
          <w:p w14:paraId="215D833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-2.21</w:t>
            </w:r>
          </w:p>
        </w:tc>
        <w:tc>
          <w:tcPr>
            <w:tcW w:w="327" w:type="dxa"/>
            <w:shd w:val="clear" w:color="auto" w:fill="auto"/>
            <w:vAlign w:val="center"/>
          </w:tcPr>
          <w:p w14:paraId="287DDD4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7999AE5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w:t>
            </w:r>
          </w:p>
        </w:tc>
        <w:tc>
          <w:tcPr>
            <w:tcW w:w="2107" w:type="dxa"/>
            <w:shd w:val="clear" w:color="auto" w:fill="auto"/>
            <w:vAlign w:val="center"/>
          </w:tcPr>
          <w:p w14:paraId="573F9975">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基础减振、消音器</w:t>
            </w:r>
          </w:p>
        </w:tc>
        <w:tc>
          <w:tcPr>
            <w:tcW w:w="1016" w:type="dxa"/>
            <w:shd w:val="clear" w:color="auto" w:fill="auto"/>
            <w:vAlign w:val="center"/>
          </w:tcPr>
          <w:p w14:paraId="52B2B19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45FB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4B83057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w:t>
            </w:r>
          </w:p>
        </w:tc>
        <w:tc>
          <w:tcPr>
            <w:tcW w:w="2086" w:type="dxa"/>
            <w:shd w:val="clear" w:color="auto" w:fill="FFFFFF"/>
            <w:vAlign w:val="center"/>
          </w:tcPr>
          <w:p w14:paraId="4B9CC4B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1号风机组</w:t>
            </w:r>
          </w:p>
        </w:tc>
        <w:tc>
          <w:tcPr>
            <w:tcW w:w="800" w:type="dxa"/>
            <w:shd w:val="clear" w:color="auto" w:fill="FFFFFF"/>
            <w:vAlign w:val="center"/>
          </w:tcPr>
          <w:p w14:paraId="2898A71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183.84</w:t>
            </w:r>
          </w:p>
        </w:tc>
        <w:tc>
          <w:tcPr>
            <w:tcW w:w="800" w:type="dxa"/>
            <w:shd w:val="clear" w:color="auto" w:fill="FFFFFF"/>
            <w:vAlign w:val="center"/>
          </w:tcPr>
          <w:p w14:paraId="6352561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138.4</w:t>
            </w:r>
          </w:p>
        </w:tc>
        <w:tc>
          <w:tcPr>
            <w:tcW w:w="327" w:type="dxa"/>
            <w:shd w:val="clear" w:color="auto" w:fill="FFFFFF"/>
            <w:vAlign w:val="center"/>
          </w:tcPr>
          <w:p w14:paraId="19D088E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650D69F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4A5E2666">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344314F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09C2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726C947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2086" w:type="dxa"/>
            <w:shd w:val="clear" w:color="auto" w:fill="auto"/>
            <w:vAlign w:val="center"/>
          </w:tcPr>
          <w:p w14:paraId="779F648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1号风机组</w:t>
            </w:r>
          </w:p>
        </w:tc>
        <w:tc>
          <w:tcPr>
            <w:tcW w:w="800" w:type="dxa"/>
            <w:shd w:val="clear" w:color="auto" w:fill="auto"/>
            <w:vAlign w:val="center"/>
          </w:tcPr>
          <w:p w14:paraId="16FD082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183.84</w:t>
            </w:r>
          </w:p>
        </w:tc>
        <w:tc>
          <w:tcPr>
            <w:tcW w:w="800" w:type="dxa"/>
            <w:shd w:val="clear" w:color="auto" w:fill="auto"/>
            <w:vAlign w:val="center"/>
          </w:tcPr>
          <w:p w14:paraId="4979B05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138.4</w:t>
            </w:r>
          </w:p>
        </w:tc>
        <w:tc>
          <w:tcPr>
            <w:tcW w:w="327" w:type="dxa"/>
            <w:shd w:val="clear" w:color="auto" w:fill="auto"/>
            <w:vAlign w:val="center"/>
          </w:tcPr>
          <w:p w14:paraId="77E7CF8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147CEE6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78AB8B13">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0C8458F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1585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7AD2659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w:t>
            </w:r>
          </w:p>
        </w:tc>
        <w:tc>
          <w:tcPr>
            <w:tcW w:w="2086" w:type="dxa"/>
            <w:shd w:val="clear" w:color="auto" w:fill="FFFFFF"/>
            <w:vAlign w:val="center"/>
          </w:tcPr>
          <w:p w14:paraId="4D9D4AF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2号风机组</w:t>
            </w:r>
          </w:p>
        </w:tc>
        <w:tc>
          <w:tcPr>
            <w:tcW w:w="800" w:type="dxa"/>
            <w:shd w:val="clear" w:color="auto" w:fill="FFFFFF"/>
            <w:vAlign w:val="center"/>
          </w:tcPr>
          <w:p w14:paraId="1789A7D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183.84</w:t>
            </w:r>
          </w:p>
        </w:tc>
        <w:tc>
          <w:tcPr>
            <w:tcW w:w="800" w:type="dxa"/>
            <w:shd w:val="clear" w:color="auto" w:fill="FFFFFF"/>
            <w:vAlign w:val="center"/>
          </w:tcPr>
          <w:p w14:paraId="127EE8D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126.23</w:t>
            </w:r>
          </w:p>
        </w:tc>
        <w:tc>
          <w:tcPr>
            <w:tcW w:w="327" w:type="dxa"/>
            <w:shd w:val="clear" w:color="auto" w:fill="FFFFFF"/>
            <w:vAlign w:val="center"/>
          </w:tcPr>
          <w:p w14:paraId="0835B3D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1C0CB3D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1AFC1722">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5A0CB12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25C6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4309F66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2086" w:type="dxa"/>
            <w:shd w:val="clear" w:color="auto" w:fill="auto"/>
            <w:vAlign w:val="center"/>
          </w:tcPr>
          <w:p w14:paraId="6A06E04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2号风机组</w:t>
            </w:r>
          </w:p>
        </w:tc>
        <w:tc>
          <w:tcPr>
            <w:tcW w:w="800" w:type="dxa"/>
            <w:shd w:val="clear" w:color="auto" w:fill="auto"/>
            <w:vAlign w:val="center"/>
          </w:tcPr>
          <w:p w14:paraId="3077753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183.84</w:t>
            </w:r>
          </w:p>
        </w:tc>
        <w:tc>
          <w:tcPr>
            <w:tcW w:w="800" w:type="dxa"/>
            <w:shd w:val="clear" w:color="auto" w:fill="auto"/>
            <w:vAlign w:val="center"/>
          </w:tcPr>
          <w:p w14:paraId="7FB9614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126.23</w:t>
            </w:r>
          </w:p>
        </w:tc>
        <w:tc>
          <w:tcPr>
            <w:tcW w:w="327" w:type="dxa"/>
            <w:shd w:val="clear" w:color="auto" w:fill="auto"/>
            <w:vAlign w:val="center"/>
          </w:tcPr>
          <w:p w14:paraId="4A5B90C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2DE5C8A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1BBE8DA7">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3B1A8C4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5EFF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1599ABC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2086" w:type="dxa"/>
            <w:shd w:val="clear" w:color="auto" w:fill="FFFFFF"/>
            <w:vAlign w:val="center"/>
          </w:tcPr>
          <w:p w14:paraId="41A9155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3号风机组</w:t>
            </w:r>
          </w:p>
        </w:tc>
        <w:tc>
          <w:tcPr>
            <w:tcW w:w="800" w:type="dxa"/>
            <w:shd w:val="clear" w:color="auto" w:fill="FFFFFF"/>
            <w:vAlign w:val="center"/>
          </w:tcPr>
          <w:p w14:paraId="34F79D5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183.84</w:t>
            </w:r>
          </w:p>
        </w:tc>
        <w:tc>
          <w:tcPr>
            <w:tcW w:w="800" w:type="dxa"/>
            <w:shd w:val="clear" w:color="auto" w:fill="FFFFFF"/>
            <w:vAlign w:val="center"/>
          </w:tcPr>
          <w:p w14:paraId="798A941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115.88</w:t>
            </w:r>
          </w:p>
        </w:tc>
        <w:tc>
          <w:tcPr>
            <w:tcW w:w="327" w:type="dxa"/>
            <w:shd w:val="clear" w:color="auto" w:fill="FFFFFF"/>
            <w:vAlign w:val="center"/>
          </w:tcPr>
          <w:p w14:paraId="0366C1D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66DB0F3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35115D62">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3932CAE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511E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1525F35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2086" w:type="dxa"/>
            <w:shd w:val="clear" w:color="auto" w:fill="auto"/>
            <w:vAlign w:val="center"/>
          </w:tcPr>
          <w:p w14:paraId="63C114C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3号风机组</w:t>
            </w:r>
          </w:p>
        </w:tc>
        <w:tc>
          <w:tcPr>
            <w:tcW w:w="800" w:type="dxa"/>
            <w:shd w:val="clear" w:color="auto" w:fill="auto"/>
            <w:vAlign w:val="center"/>
          </w:tcPr>
          <w:p w14:paraId="16D2337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183.84</w:t>
            </w:r>
          </w:p>
        </w:tc>
        <w:tc>
          <w:tcPr>
            <w:tcW w:w="800" w:type="dxa"/>
            <w:shd w:val="clear" w:color="auto" w:fill="auto"/>
            <w:vAlign w:val="center"/>
          </w:tcPr>
          <w:p w14:paraId="47C4110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115.88</w:t>
            </w:r>
          </w:p>
        </w:tc>
        <w:tc>
          <w:tcPr>
            <w:tcW w:w="327" w:type="dxa"/>
            <w:shd w:val="clear" w:color="auto" w:fill="auto"/>
            <w:vAlign w:val="center"/>
          </w:tcPr>
          <w:p w14:paraId="22FCDDE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53A66F0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44B9985E">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2E76DC0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0E6D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7B9A7AA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2086" w:type="dxa"/>
            <w:shd w:val="clear" w:color="auto" w:fill="FFFFFF"/>
            <w:vAlign w:val="center"/>
          </w:tcPr>
          <w:p w14:paraId="2A3FC47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4号风机组</w:t>
            </w:r>
          </w:p>
        </w:tc>
        <w:tc>
          <w:tcPr>
            <w:tcW w:w="800" w:type="dxa"/>
            <w:shd w:val="clear" w:color="auto" w:fill="FFFFFF"/>
            <w:vAlign w:val="center"/>
          </w:tcPr>
          <w:p w14:paraId="5888BE0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183.23</w:t>
            </w:r>
          </w:p>
        </w:tc>
        <w:tc>
          <w:tcPr>
            <w:tcW w:w="800" w:type="dxa"/>
            <w:shd w:val="clear" w:color="auto" w:fill="FFFFFF"/>
            <w:vAlign w:val="center"/>
          </w:tcPr>
          <w:p w14:paraId="37B70C4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103.71</w:t>
            </w:r>
          </w:p>
        </w:tc>
        <w:tc>
          <w:tcPr>
            <w:tcW w:w="327" w:type="dxa"/>
            <w:shd w:val="clear" w:color="auto" w:fill="FFFFFF"/>
            <w:vAlign w:val="center"/>
          </w:tcPr>
          <w:p w14:paraId="4D74486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006B348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60F47F04">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3AF6BC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6361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154A8A3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2086" w:type="dxa"/>
            <w:shd w:val="clear" w:color="auto" w:fill="auto"/>
            <w:vAlign w:val="center"/>
          </w:tcPr>
          <w:p w14:paraId="7D3E96D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4号风机组</w:t>
            </w:r>
          </w:p>
        </w:tc>
        <w:tc>
          <w:tcPr>
            <w:tcW w:w="800" w:type="dxa"/>
            <w:shd w:val="clear" w:color="auto" w:fill="auto"/>
            <w:vAlign w:val="center"/>
          </w:tcPr>
          <w:p w14:paraId="3873685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183.23</w:t>
            </w:r>
          </w:p>
        </w:tc>
        <w:tc>
          <w:tcPr>
            <w:tcW w:w="800" w:type="dxa"/>
            <w:shd w:val="clear" w:color="auto" w:fill="auto"/>
            <w:vAlign w:val="center"/>
          </w:tcPr>
          <w:p w14:paraId="0779CD3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103.71</w:t>
            </w:r>
          </w:p>
        </w:tc>
        <w:tc>
          <w:tcPr>
            <w:tcW w:w="327" w:type="dxa"/>
            <w:shd w:val="clear" w:color="auto" w:fill="auto"/>
            <w:vAlign w:val="center"/>
          </w:tcPr>
          <w:p w14:paraId="6F4795F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6635749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5F02A57A">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43F239E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7AA1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22118DE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p>
        </w:tc>
        <w:tc>
          <w:tcPr>
            <w:tcW w:w="2086" w:type="dxa"/>
            <w:shd w:val="clear" w:color="auto" w:fill="FFFFFF"/>
            <w:vAlign w:val="center"/>
          </w:tcPr>
          <w:p w14:paraId="3D25935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5号风机组</w:t>
            </w:r>
          </w:p>
        </w:tc>
        <w:tc>
          <w:tcPr>
            <w:tcW w:w="800" w:type="dxa"/>
            <w:shd w:val="clear" w:color="auto" w:fill="FFFFFF"/>
            <w:vAlign w:val="center"/>
          </w:tcPr>
          <w:p w14:paraId="7BCC939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231.31</w:t>
            </w:r>
          </w:p>
        </w:tc>
        <w:tc>
          <w:tcPr>
            <w:tcW w:w="800" w:type="dxa"/>
            <w:shd w:val="clear" w:color="auto" w:fill="FFFFFF"/>
            <w:vAlign w:val="center"/>
          </w:tcPr>
          <w:p w14:paraId="3300536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140.84</w:t>
            </w:r>
          </w:p>
        </w:tc>
        <w:tc>
          <w:tcPr>
            <w:tcW w:w="327" w:type="dxa"/>
            <w:shd w:val="clear" w:color="auto" w:fill="FFFFFF"/>
            <w:vAlign w:val="center"/>
          </w:tcPr>
          <w:p w14:paraId="637175F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40A2D96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2E8B2038">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6733CCA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7413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2F916AD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2086" w:type="dxa"/>
            <w:shd w:val="clear" w:color="auto" w:fill="auto"/>
            <w:vAlign w:val="center"/>
          </w:tcPr>
          <w:p w14:paraId="4CA8175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5号风机组</w:t>
            </w:r>
          </w:p>
        </w:tc>
        <w:tc>
          <w:tcPr>
            <w:tcW w:w="800" w:type="dxa"/>
            <w:shd w:val="clear" w:color="auto" w:fill="auto"/>
            <w:vAlign w:val="center"/>
          </w:tcPr>
          <w:p w14:paraId="7E60BC4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231.31</w:t>
            </w:r>
          </w:p>
        </w:tc>
        <w:tc>
          <w:tcPr>
            <w:tcW w:w="800" w:type="dxa"/>
            <w:shd w:val="clear" w:color="auto" w:fill="auto"/>
            <w:vAlign w:val="center"/>
          </w:tcPr>
          <w:p w14:paraId="1FD7EAD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140.84</w:t>
            </w:r>
          </w:p>
        </w:tc>
        <w:tc>
          <w:tcPr>
            <w:tcW w:w="327" w:type="dxa"/>
            <w:shd w:val="clear" w:color="auto" w:fill="auto"/>
            <w:vAlign w:val="center"/>
          </w:tcPr>
          <w:p w14:paraId="4319D5D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26CE2BE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10499520">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5544AB1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503C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3134E57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w:t>
            </w:r>
          </w:p>
        </w:tc>
        <w:tc>
          <w:tcPr>
            <w:tcW w:w="2086" w:type="dxa"/>
            <w:shd w:val="clear" w:color="auto" w:fill="FFFFFF"/>
            <w:vAlign w:val="center"/>
          </w:tcPr>
          <w:p w14:paraId="1D577AC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6号风机组</w:t>
            </w:r>
          </w:p>
        </w:tc>
        <w:tc>
          <w:tcPr>
            <w:tcW w:w="800" w:type="dxa"/>
            <w:shd w:val="clear" w:color="auto" w:fill="FFFFFF"/>
            <w:vAlign w:val="center"/>
          </w:tcPr>
          <w:p w14:paraId="1CB30FE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231.31</w:t>
            </w:r>
          </w:p>
        </w:tc>
        <w:tc>
          <w:tcPr>
            <w:tcW w:w="800" w:type="dxa"/>
            <w:shd w:val="clear" w:color="auto" w:fill="FFFFFF"/>
            <w:vAlign w:val="center"/>
          </w:tcPr>
          <w:p w14:paraId="6B38B2F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128.66</w:t>
            </w:r>
          </w:p>
        </w:tc>
        <w:tc>
          <w:tcPr>
            <w:tcW w:w="327" w:type="dxa"/>
            <w:shd w:val="clear" w:color="auto" w:fill="FFFFFF"/>
            <w:vAlign w:val="center"/>
          </w:tcPr>
          <w:p w14:paraId="52A84C2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60C3E19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2FCA0A73">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038E47C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0B01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95" w:type="dxa"/>
            <w:shd w:val="clear" w:color="auto" w:fill="auto"/>
            <w:vAlign w:val="center"/>
          </w:tcPr>
          <w:p w14:paraId="1C88A84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p>
        </w:tc>
        <w:tc>
          <w:tcPr>
            <w:tcW w:w="2086" w:type="dxa"/>
            <w:shd w:val="clear" w:color="auto" w:fill="auto"/>
            <w:vAlign w:val="center"/>
          </w:tcPr>
          <w:p w14:paraId="1617A4D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6号风机组</w:t>
            </w:r>
          </w:p>
        </w:tc>
        <w:tc>
          <w:tcPr>
            <w:tcW w:w="800" w:type="dxa"/>
            <w:shd w:val="clear" w:color="auto" w:fill="auto"/>
            <w:vAlign w:val="center"/>
          </w:tcPr>
          <w:p w14:paraId="4AA7E01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231.31</w:t>
            </w:r>
          </w:p>
        </w:tc>
        <w:tc>
          <w:tcPr>
            <w:tcW w:w="800" w:type="dxa"/>
            <w:shd w:val="clear" w:color="auto" w:fill="auto"/>
            <w:vAlign w:val="center"/>
          </w:tcPr>
          <w:p w14:paraId="0F9D7DE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128.66</w:t>
            </w:r>
          </w:p>
        </w:tc>
        <w:tc>
          <w:tcPr>
            <w:tcW w:w="327" w:type="dxa"/>
            <w:shd w:val="clear" w:color="auto" w:fill="auto"/>
            <w:vAlign w:val="center"/>
          </w:tcPr>
          <w:p w14:paraId="51CBEC0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00BDEFF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12EEB4EC">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5D5D3D5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638A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67E4622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w:t>
            </w:r>
          </w:p>
        </w:tc>
        <w:tc>
          <w:tcPr>
            <w:tcW w:w="2086" w:type="dxa"/>
            <w:shd w:val="clear" w:color="auto" w:fill="FFFFFF"/>
            <w:vAlign w:val="center"/>
          </w:tcPr>
          <w:p w14:paraId="0403BDF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7号风机组</w:t>
            </w:r>
          </w:p>
        </w:tc>
        <w:tc>
          <w:tcPr>
            <w:tcW w:w="800" w:type="dxa"/>
            <w:shd w:val="clear" w:color="auto" w:fill="FFFFFF"/>
            <w:vAlign w:val="center"/>
          </w:tcPr>
          <w:p w14:paraId="144BA55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230.7</w:t>
            </w:r>
          </w:p>
        </w:tc>
        <w:tc>
          <w:tcPr>
            <w:tcW w:w="800" w:type="dxa"/>
            <w:shd w:val="clear" w:color="auto" w:fill="FFFFFF"/>
            <w:vAlign w:val="center"/>
          </w:tcPr>
          <w:p w14:paraId="22A7087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115.88</w:t>
            </w:r>
          </w:p>
        </w:tc>
        <w:tc>
          <w:tcPr>
            <w:tcW w:w="327" w:type="dxa"/>
            <w:shd w:val="clear" w:color="auto" w:fill="FFFFFF"/>
            <w:vAlign w:val="center"/>
          </w:tcPr>
          <w:p w14:paraId="3983926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05CCDC4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2DE29193">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6FE4A7B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5850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2839ECE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2086" w:type="dxa"/>
            <w:shd w:val="clear" w:color="auto" w:fill="auto"/>
            <w:vAlign w:val="center"/>
          </w:tcPr>
          <w:p w14:paraId="089EB98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7号风机组</w:t>
            </w:r>
          </w:p>
        </w:tc>
        <w:tc>
          <w:tcPr>
            <w:tcW w:w="800" w:type="dxa"/>
            <w:shd w:val="clear" w:color="auto" w:fill="auto"/>
            <w:vAlign w:val="center"/>
          </w:tcPr>
          <w:p w14:paraId="7DCC8A6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230.7</w:t>
            </w:r>
          </w:p>
        </w:tc>
        <w:tc>
          <w:tcPr>
            <w:tcW w:w="800" w:type="dxa"/>
            <w:shd w:val="clear" w:color="auto" w:fill="auto"/>
            <w:vAlign w:val="center"/>
          </w:tcPr>
          <w:p w14:paraId="6D7FA3C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115.88</w:t>
            </w:r>
          </w:p>
        </w:tc>
        <w:tc>
          <w:tcPr>
            <w:tcW w:w="327" w:type="dxa"/>
            <w:shd w:val="clear" w:color="auto" w:fill="auto"/>
            <w:vAlign w:val="center"/>
          </w:tcPr>
          <w:p w14:paraId="715D394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1B2EC1C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2CB74423">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163A865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7915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6C1DEA0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2086" w:type="dxa"/>
            <w:shd w:val="clear" w:color="auto" w:fill="FFFFFF"/>
            <w:vAlign w:val="center"/>
          </w:tcPr>
          <w:p w14:paraId="7AC8D00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8号风机组</w:t>
            </w:r>
          </w:p>
        </w:tc>
        <w:tc>
          <w:tcPr>
            <w:tcW w:w="800" w:type="dxa"/>
            <w:shd w:val="clear" w:color="auto" w:fill="FFFFFF"/>
            <w:vAlign w:val="center"/>
          </w:tcPr>
          <w:p w14:paraId="5662F2F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231.31</w:t>
            </w:r>
          </w:p>
        </w:tc>
        <w:tc>
          <w:tcPr>
            <w:tcW w:w="800" w:type="dxa"/>
            <w:shd w:val="clear" w:color="auto" w:fill="FFFFFF"/>
            <w:vAlign w:val="center"/>
          </w:tcPr>
          <w:p w14:paraId="4C3E579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104.32</w:t>
            </w:r>
          </w:p>
        </w:tc>
        <w:tc>
          <w:tcPr>
            <w:tcW w:w="327" w:type="dxa"/>
            <w:shd w:val="clear" w:color="auto" w:fill="FFFFFF"/>
            <w:vAlign w:val="center"/>
          </w:tcPr>
          <w:p w14:paraId="7DA76C3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66437A1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1E35E1DC">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689BEBE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08D7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3E8B007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c>
          <w:tcPr>
            <w:tcW w:w="2086" w:type="dxa"/>
            <w:shd w:val="clear" w:color="auto" w:fill="auto"/>
            <w:vAlign w:val="center"/>
          </w:tcPr>
          <w:p w14:paraId="7BC8C99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8号风机组</w:t>
            </w:r>
          </w:p>
        </w:tc>
        <w:tc>
          <w:tcPr>
            <w:tcW w:w="800" w:type="dxa"/>
            <w:shd w:val="clear" w:color="auto" w:fill="auto"/>
            <w:vAlign w:val="center"/>
          </w:tcPr>
          <w:p w14:paraId="4F36B1D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231.31</w:t>
            </w:r>
          </w:p>
        </w:tc>
        <w:tc>
          <w:tcPr>
            <w:tcW w:w="800" w:type="dxa"/>
            <w:shd w:val="clear" w:color="auto" w:fill="auto"/>
            <w:vAlign w:val="center"/>
          </w:tcPr>
          <w:p w14:paraId="47C8D34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104.32</w:t>
            </w:r>
          </w:p>
        </w:tc>
        <w:tc>
          <w:tcPr>
            <w:tcW w:w="327" w:type="dxa"/>
            <w:shd w:val="clear" w:color="auto" w:fill="auto"/>
            <w:vAlign w:val="center"/>
          </w:tcPr>
          <w:p w14:paraId="461F3C9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4FB8711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4476AC1F">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0B831F9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096A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02CCBD0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w:t>
            </w:r>
          </w:p>
        </w:tc>
        <w:tc>
          <w:tcPr>
            <w:tcW w:w="2086" w:type="dxa"/>
            <w:shd w:val="clear" w:color="auto" w:fill="FFFFFF"/>
            <w:vAlign w:val="center"/>
          </w:tcPr>
          <w:p w14:paraId="229AD36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9号风机组</w:t>
            </w:r>
          </w:p>
        </w:tc>
        <w:tc>
          <w:tcPr>
            <w:tcW w:w="800" w:type="dxa"/>
            <w:shd w:val="clear" w:color="auto" w:fill="FFFFFF"/>
            <w:vAlign w:val="center"/>
          </w:tcPr>
          <w:p w14:paraId="426EF2B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192.97</w:t>
            </w:r>
          </w:p>
        </w:tc>
        <w:tc>
          <w:tcPr>
            <w:tcW w:w="800" w:type="dxa"/>
            <w:shd w:val="clear" w:color="auto" w:fill="FFFFFF"/>
            <w:vAlign w:val="center"/>
          </w:tcPr>
          <w:p w14:paraId="595CE1E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73.29</w:t>
            </w:r>
          </w:p>
        </w:tc>
        <w:tc>
          <w:tcPr>
            <w:tcW w:w="327" w:type="dxa"/>
            <w:shd w:val="clear" w:color="auto" w:fill="FFFFFF"/>
            <w:vAlign w:val="center"/>
          </w:tcPr>
          <w:p w14:paraId="6FE588E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1DE4988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6378F735">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38892AD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0C97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2B1C5AE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w:t>
            </w:r>
          </w:p>
        </w:tc>
        <w:tc>
          <w:tcPr>
            <w:tcW w:w="2086" w:type="dxa"/>
            <w:shd w:val="clear" w:color="auto" w:fill="auto"/>
            <w:vAlign w:val="center"/>
          </w:tcPr>
          <w:p w14:paraId="47A5AA8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9号风机组</w:t>
            </w:r>
          </w:p>
        </w:tc>
        <w:tc>
          <w:tcPr>
            <w:tcW w:w="800" w:type="dxa"/>
            <w:shd w:val="clear" w:color="auto" w:fill="auto"/>
            <w:vAlign w:val="center"/>
          </w:tcPr>
          <w:p w14:paraId="685E76F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192.97</w:t>
            </w:r>
          </w:p>
        </w:tc>
        <w:tc>
          <w:tcPr>
            <w:tcW w:w="800" w:type="dxa"/>
            <w:shd w:val="clear" w:color="auto" w:fill="auto"/>
            <w:vAlign w:val="center"/>
          </w:tcPr>
          <w:p w14:paraId="5B5354A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73.29</w:t>
            </w:r>
          </w:p>
        </w:tc>
        <w:tc>
          <w:tcPr>
            <w:tcW w:w="327" w:type="dxa"/>
            <w:shd w:val="clear" w:color="auto" w:fill="auto"/>
            <w:vAlign w:val="center"/>
          </w:tcPr>
          <w:p w14:paraId="4AF7C25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655CF08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0C8B96EE">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6242453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701E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95" w:type="dxa"/>
            <w:shd w:val="clear" w:color="auto" w:fill="FFFFFF"/>
            <w:vAlign w:val="center"/>
          </w:tcPr>
          <w:p w14:paraId="2BFCDB8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w:t>
            </w:r>
          </w:p>
        </w:tc>
        <w:tc>
          <w:tcPr>
            <w:tcW w:w="2086" w:type="dxa"/>
            <w:shd w:val="clear" w:color="auto" w:fill="FFFFFF"/>
            <w:vAlign w:val="center"/>
          </w:tcPr>
          <w:p w14:paraId="315A4AD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10号风机组</w:t>
            </w:r>
          </w:p>
        </w:tc>
        <w:tc>
          <w:tcPr>
            <w:tcW w:w="800" w:type="dxa"/>
            <w:shd w:val="clear" w:color="auto" w:fill="FFFFFF"/>
            <w:vAlign w:val="center"/>
          </w:tcPr>
          <w:p w14:paraId="12A95CF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192.97</w:t>
            </w:r>
          </w:p>
        </w:tc>
        <w:tc>
          <w:tcPr>
            <w:tcW w:w="800" w:type="dxa"/>
            <w:shd w:val="clear" w:color="auto" w:fill="FFFFFF"/>
            <w:vAlign w:val="center"/>
          </w:tcPr>
          <w:p w14:paraId="7D8517F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62.94</w:t>
            </w:r>
          </w:p>
        </w:tc>
        <w:tc>
          <w:tcPr>
            <w:tcW w:w="327" w:type="dxa"/>
            <w:shd w:val="clear" w:color="auto" w:fill="FFFFFF"/>
            <w:vAlign w:val="center"/>
          </w:tcPr>
          <w:p w14:paraId="270FB7D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216F149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046FFB1B">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1455B02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443D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95" w:type="dxa"/>
            <w:shd w:val="clear" w:color="auto" w:fill="auto"/>
            <w:vAlign w:val="center"/>
          </w:tcPr>
          <w:p w14:paraId="3E0EC32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w:t>
            </w:r>
          </w:p>
        </w:tc>
        <w:tc>
          <w:tcPr>
            <w:tcW w:w="2086" w:type="dxa"/>
            <w:shd w:val="clear" w:color="auto" w:fill="auto"/>
            <w:vAlign w:val="center"/>
          </w:tcPr>
          <w:p w14:paraId="214B260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10号风机组</w:t>
            </w:r>
          </w:p>
        </w:tc>
        <w:tc>
          <w:tcPr>
            <w:tcW w:w="800" w:type="dxa"/>
            <w:shd w:val="clear" w:color="auto" w:fill="auto"/>
            <w:vAlign w:val="center"/>
          </w:tcPr>
          <w:p w14:paraId="2A2CA36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192.97</w:t>
            </w:r>
          </w:p>
        </w:tc>
        <w:tc>
          <w:tcPr>
            <w:tcW w:w="800" w:type="dxa"/>
            <w:shd w:val="clear" w:color="auto" w:fill="auto"/>
            <w:vAlign w:val="center"/>
          </w:tcPr>
          <w:p w14:paraId="32B3C45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62.94</w:t>
            </w:r>
          </w:p>
        </w:tc>
        <w:tc>
          <w:tcPr>
            <w:tcW w:w="327" w:type="dxa"/>
            <w:shd w:val="clear" w:color="auto" w:fill="auto"/>
            <w:vAlign w:val="center"/>
          </w:tcPr>
          <w:p w14:paraId="0290968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129725A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29E65277">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2FD28BE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60CB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3386CDC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w:t>
            </w:r>
          </w:p>
        </w:tc>
        <w:tc>
          <w:tcPr>
            <w:tcW w:w="2086" w:type="dxa"/>
            <w:shd w:val="clear" w:color="auto" w:fill="FFFFFF"/>
            <w:vAlign w:val="center"/>
          </w:tcPr>
          <w:p w14:paraId="03B7A19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11号风机组</w:t>
            </w:r>
          </w:p>
        </w:tc>
        <w:tc>
          <w:tcPr>
            <w:tcW w:w="800" w:type="dxa"/>
            <w:shd w:val="clear" w:color="auto" w:fill="FFFFFF"/>
            <w:vAlign w:val="center"/>
          </w:tcPr>
          <w:p w14:paraId="50F67F5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192.97</w:t>
            </w:r>
          </w:p>
        </w:tc>
        <w:tc>
          <w:tcPr>
            <w:tcW w:w="800" w:type="dxa"/>
            <w:shd w:val="clear" w:color="auto" w:fill="FFFFFF"/>
            <w:vAlign w:val="center"/>
          </w:tcPr>
          <w:p w14:paraId="640CBA1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51.38</w:t>
            </w:r>
          </w:p>
        </w:tc>
        <w:tc>
          <w:tcPr>
            <w:tcW w:w="327" w:type="dxa"/>
            <w:shd w:val="clear" w:color="auto" w:fill="FFFFFF"/>
            <w:vAlign w:val="center"/>
          </w:tcPr>
          <w:p w14:paraId="0CCBC2D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0A851C6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2B361C28">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6B2DEE6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4C02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95" w:type="dxa"/>
            <w:shd w:val="clear" w:color="auto" w:fill="auto"/>
            <w:vAlign w:val="center"/>
          </w:tcPr>
          <w:p w14:paraId="63BBA6C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2086" w:type="dxa"/>
            <w:shd w:val="clear" w:color="auto" w:fill="auto"/>
            <w:vAlign w:val="center"/>
          </w:tcPr>
          <w:p w14:paraId="79AD84A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11号风机组</w:t>
            </w:r>
          </w:p>
        </w:tc>
        <w:tc>
          <w:tcPr>
            <w:tcW w:w="800" w:type="dxa"/>
            <w:shd w:val="clear" w:color="auto" w:fill="auto"/>
            <w:vAlign w:val="center"/>
          </w:tcPr>
          <w:p w14:paraId="02CD6B3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192.97</w:t>
            </w:r>
          </w:p>
        </w:tc>
        <w:tc>
          <w:tcPr>
            <w:tcW w:w="800" w:type="dxa"/>
            <w:shd w:val="clear" w:color="auto" w:fill="auto"/>
            <w:vAlign w:val="center"/>
          </w:tcPr>
          <w:p w14:paraId="079A216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51.38</w:t>
            </w:r>
          </w:p>
        </w:tc>
        <w:tc>
          <w:tcPr>
            <w:tcW w:w="327" w:type="dxa"/>
            <w:shd w:val="clear" w:color="auto" w:fill="auto"/>
            <w:vAlign w:val="center"/>
          </w:tcPr>
          <w:p w14:paraId="6299FB4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6A25EC2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02658242">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146761C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7209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95" w:type="dxa"/>
            <w:shd w:val="clear" w:color="auto" w:fill="FFFFFF"/>
            <w:vAlign w:val="center"/>
          </w:tcPr>
          <w:p w14:paraId="41080CD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w:t>
            </w:r>
          </w:p>
        </w:tc>
        <w:tc>
          <w:tcPr>
            <w:tcW w:w="2086" w:type="dxa"/>
            <w:shd w:val="clear" w:color="auto" w:fill="FFFFFF"/>
            <w:vAlign w:val="center"/>
          </w:tcPr>
          <w:p w14:paraId="660FAE7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12号风机组</w:t>
            </w:r>
          </w:p>
        </w:tc>
        <w:tc>
          <w:tcPr>
            <w:tcW w:w="800" w:type="dxa"/>
            <w:shd w:val="clear" w:color="auto" w:fill="FFFFFF"/>
            <w:vAlign w:val="center"/>
          </w:tcPr>
          <w:p w14:paraId="7D91A9F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194.18</w:t>
            </w:r>
          </w:p>
        </w:tc>
        <w:tc>
          <w:tcPr>
            <w:tcW w:w="800" w:type="dxa"/>
            <w:shd w:val="clear" w:color="auto" w:fill="FFFFFF"/>
            <w:vAlign w:val="center"/>
          </w:tcPr>
          <w:p w14:paraId="4139DA2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40.42</w:t>
            </w:r>
          </w:p>
        </w:tc>
        <w:tc>
          <w:tcPr>
            <w:tcW w:w="327" w:type="dxa"/>
            <w:shd w:val="clear" w:color="auto" w:fill="FFFFFF"/>
            <w:vAlign w:val="center"/>
          </w:tcPr>
          <w:p w14:paraId="5E13005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60CBF2A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7C980415">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34636F9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08D5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6F6D820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w:t>
            </w:r>
          </w:p>
        </w:tc>
        <w:tc>
          <w:tcPr>
            <w:tcW w:w="2086" w:type="dxa"/>
            <w:shd w:val="clear" w:color="auto" w:fill="auto"/>
            <w:vAlign w:val="center"/>
          </w:tcPr>
          <w:p w14:paraId="6F79BD3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12号风机组</w:t>
            </w:r>
          </w:p>
        </w:tc>
        <w:tc>
          <w:tcPr>
            <w:tcW w:w="800" w:type="dxa"/>
            <w:shd w:val="clear" w:color="auto" w:fill="auto"/>
            <w:vAlign w:val="center"/>
          </w:tcPr>
          <w:p w14:paraId="7EA2707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194.18</w:t>
            </w:r>
          </w:p>
        </w:tc>
        <w:tc>
          <w:tcPr>
            <w:tcW w:w="800" w:type="dxa"/>
            <w:shd w:val="clear" w:color="auto" w:fill="auto"/>
            <w:vAlign w:val="center"/>
          </w:tcPr>
          <w:p w14:paraId="49525D5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40.42</w:t>
            </w:r>
          </w:p>
        </w:tc>
        <w:tc>
          <w:tcPr>
            <w:tcW w:w="327" w:type="dxa"/>
            <w:shd w:val="clear" w:color="auto" w:fill="auto"/>
            <w:vAlign w:val="center"/>
          </w:tcPr>
          <w:p w14:paraId="1158E7F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66F5745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7D15D53F">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682F3FA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3E92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95" w:type="dxa"/>
            <w:shd w:val="clear" w:color="auto" w:fill="FFFFFF"/>
            <w:vAlign w:val="center"/>
          </w:tcPr>
          <w:p w14:paraId="40DEEBC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w:t>
            </w:r>
          </w:p>
        </w:tc>
        <w:tc>
          <w:tcPr>
            <w:tcW w:w="2086" w:type="dxa"/>
            <w:shd w:val="clear" w:color="auto" w:fill="FFFFFF"/>
            <w:vAlign w:val="center"/>
          </w:tcPr>
          <w:p w14:paraId="789D622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13号风机组</w:t>
            </w:r>
          </w:p>
        </w:tc>
        <w:tc>
          <w:tcPr>
            <w:tcW w:w="800" w:type="dxa"/>
            <w:shd w:val="clear" w:color="auto" w:fill="FFFFFF"/>
            <w:vAlign w:val="center"/>
          </w:tcPr>
          <w:p w14:paraId="4C2330D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239.22</w:t>
            </w:r>
          </w:p>
        </w:tc>
        <w:tc>
          <w:tcPr>
            <w:tcW w:w="800" w:type="dxa"/>
            <w:shd w:val="clear" w:color="auto" w:fill="FFFFFF"/>
            <w:vAlign w:val="center"/>
          </w:tcPr>
          <w:p w14:paraId="7487892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73.89</w:t>
            </w:r>
          </w:p>
        </w:tc>
        <w:tc>
          <w:tcPr>
            <w:tcW w:w="327" w:type="dxa"/>
            <w:shd w:val="clear" w:color="auto" w:fill="FFFFFF"/>
            <w:vAlign w:val="center"/>
          </w:tcPr>
          <w:p w14:paraId="3D72AFE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59FF1F7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3341ABC6">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500BD33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3DAE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74B049B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w:t>
            </w:r>
          </w:p>
        </w:tc>
        <w:tc>
          <w:tcPr>
            <w:tcW w:w="2086" w:type="dxa"/>
            <w:shd w:val="clear" w:color="auto" w:fill="auto"/>
            <w:vAlign w:val="center"/>
          </w:tcPr>
          <w:p w14:paraId="380AF90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13号风机组</w:t>
            </w:r>
          </w:p>
        </w:tc>
        <w:tc>
          <w:tcPr>
            <w:tcW w:w="800" w:type="dxa"/>
            <w:shd w:val="clear" w:color="auto" w:fill="auto"/>
            <w:vAlign w:val="center"/>
          </w:tcPr>
          <w:p w14:paraId="1EF48B0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239.22</w:t>
            </w:r>
          </w:p>
        </w:tc>
        <w:tc>
          <w:tcPr>
            <w:tcW w:w="800" w:type="dxa"/>
            <w:shd w:val="clear" w:color="auto" w:fill="auto"/>
            <w:vAlign w:val="center"/>
          </w:tcPr>
          <w:p w14:paraId="0FB3493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73.89</w:t>
            </w:r>
          </w:p>
        </w:tc>
        <w:tc>
          <w:tcPr>
            <w:tcW w:w="327" w:type="dxa"/>
            <w:shd w:val="clear" w:color="auto" w:fill="auto"/>
            <w:vAlign w:val="center"/>
          </w:tcPr>
          <w:p w14:paraId="705C054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323EFE6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5D4176D6">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6BF4477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2E55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72FC65B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w:t>
            </w:r>
          </w:p>
        </w:tc>
        <w:tc>
          <w:tcPr>
            <w:tcW w:w="2086" w:type="dxa"/>
            <w:shd w:val="clear" w:color="auto" w:fill="FFFFFF"/>
            <w:vAlign w:val="center"/>
          </w:tcPr>
          <w:p w14:paraId="7A4C4DD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14号风机组</w:t>
            </w:r>
          </w:p>
        </w:tc>
        <w:tc>
          <w:tcPr>
            <w:tcW w:w="800" w:type="dxa"/>
            <w:shd w:val="clear" w:color="auto" w:fill="FFFFFF"/>
            <w:vAlign w:val="center"/>
          </w:tcPr>
          <w:p w14:paraId="0FFF7FF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238.61</w:t>
            </w:r>
          </w:p>
        </w:tc>
        <w:tc>
          <w:tcPr>
            <w:tcW w:w="800" w:type="dxa"/>
            <w:shd w:val="clear" w:color="auto" w:fill="FFFFFF"/>
            <w:vAlign w:val="center"/>
          </w:tcPr>
          <w:p w14:paraId="7369AC1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62.33</w:t>
            </w:r>
          </w:p>
        </w:tc>
        <w:tc>
          <w:tcPr>
            <w:tcW w:w="327" w:type="dxa"/>
            <w:shd w:val="clear" w:color="auto" w:fill="FFFFFF"/>
            <w:vAlign w:val="center"/>
          </w:tcPr>
          <w:p w14:paraId="1AA7928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2630540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53D86CA5">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2261923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4270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6F6EED0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w:t>
            </w:r>
          </w:p>
        </w:tc>
        <w:tc>
          <w:tcPr>
            <w:tcW w:w="2086" w:type="dxa"/>
            <w:shd w:val="clear" w:color="auto" w:fill="auto"/>
            <w:vAlign w:val="center"/>
          </w:tcPr>
          <w:p w14:paraId="22EAA6E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14号风机组</w:t>
            </w:r>
          </w:p>
        </w:tc>
        <w:tc>
          <w:tcPr>
            <w:tcW w:w="800" w:type="dxa"/>
            <w:shd w:val="clear" w:color="auto" w:fill="auto"/>
            <w:vAlign w:val="center"/>
          </w:tcPr>
          <w:p w14:paraId="4E51C9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238.61</w:t>
            </w:r>
          </w:p>
        </w:tc>
        <w:tc>
          <w:tcPr>
            <w:tcW w:w="800" w:type="dxa"/>
            <w:shd w:val="clear" w:color="auto" w:fill="auto"/>
            <w:vAlign w:val="center"/>
          </w:tcPr>
          <w:p w14:paraId="6D6C6F2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62.33</w:t>
            </w:r>
          </w:p>
        </w:tc>
        <w:tc>
          <w:tcPr>
            <w:tcW w:w="327" w:type="dxa"/>
            <w:shd w:val="clear" w:color="auto" w:fill="auto"/>
            <w:vAlign w:val="center"/>
          </w:tcPr>
          <w:p w14:paraId="69B741E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05AA4FD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0BDCA435">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4B22353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7DB0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5148847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39</w:t>
            </w:r>
          </w:p>
        </w:tc>
        <w:tc>
          <w:tcPr>
            <w:tcW w:w="2086" w:type="dxa"/>
            <w:shd w:val="clear" w:color="auto" w:fill="FFFFFF"/>
            <w:vAlign w:val="center"/>
          </w:tcPr>
          <w:p w14:paraId="6B85DAB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15号风机组</w:t>
            </w:r>
          </w:p>
        </w:tc>
        <w:tc>
          <w:tcPr>
            <w:tcW w:w="800" w:type="dxa"/>
            <w:shd w:val="clear" w:color="auto" w:fill="FFFFFF"/>
            <w:vAlign w:val="center"/>
          </w:tcPr>
          <w:p w14:paraId="31FD435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238.61</w:t>
            </w:r>
          </w:p>
        </w:tc>
        <w:tc>
          <w:tcPr>
            <w:tcW w:w="800" w:type="dxa"/>
            <w:shd w:val="clear" w:color="auto" w:fill="FFFFFF"/>
            <w:vAlign w:val="center"/>
          </w:tcPr>
          <w:p w14:paraId="140873E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51.99</w:t>
            </w:r>
          </w:p>
        </w:tc>
        <w:tc>
          <w:tcPr>
            <w:tcW w:w="327" w:type="dxa"/>
            <w:shd w:val="clear" w:color="auto" w:fill="FFFFFF"/>
            <w:vAlign w:val="center"/>
          </w:tcPr>
          <w:p w14:paraId="763E13A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01B0522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487F1D44">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4A2BDE2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7B8E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4847126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w:t>
            </w:r>
          </w:p>
        </w:tc>
        <w:tc>
          <w:tcPr>
            <w:tcW w:w="2086" w:type="dxa"/>
            <w:shd w:val="clear" w:color="auto" w:fill="auto"/>
            <w:vAlign w:val="center"/>
          </w:tcPr>
          <w:p w14:paraId="4CB0062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15号风机组</w:t>
            </w:r>
          </w:p>
        </w:tc>
        <w:tc>
          <w:tcPr>
            <w:tcW w:w="800" w:type="dxa"/>
            <w:shd w:val="clear" w:color="auto" w:fill="auto"/>
            <w:vAlign w:val="center"/>
          </w:tcPr>
          <w:p w14:paraId="1B58E61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238.61</w:t>
            </w:r>
          </w:p>
        </w:tc>
        <w:tc>
          <w:tcPr>
            <w:tcW w:w="800" w:type="dxa"/>
            <w:shd w:val="clear" w:color="auto" w:fill="auto"/>
            <w:vAlign w:val="center"/>
          </w:tcPr>
          <w:p w14:paraId="614ED06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51.99</w:t>
            </w:r>
          </w:p>
        </w:tc>
        <w:tc>
          <w:tcPr>
            <w:tcW w:w="327" w:type="dxa"/>
            <w:shd w:val="clear" w:color="auto" w:fill="auto"/>
            <w:vAlign w:val="center"/>
          </w:tcPr>
          <w:p w14:paraId="64561A6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79CBA8F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05D93928">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1C2456D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2F01D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09AF15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w:t>
            </w:r>
          </w:p>
        </w:tc>
        <w:tc>
          <w:tcPr>
            <w:tcW w:w="2086" w:type="dxa"/>
            <w:shd w:val="clear" w:color="auto" w:fill="FFFFFF"/>
            <w:vAlign w:val="center"/>
          </w:tcPr>
          <w:p w14:paraId="7F05A1D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16号风机组</w:t>
            </w:r>
          </w:p>
        </w:tc>
        <w:tc>
          <w:tcPr>
            <w:tcW w:w="800" w:type="dxa"/>
            <w:shd w:val="clear" w:color="auto" w:fill="FFFFFF"/>
            <w:vAlign w:val="center"/>
          </w:tcPr>
          <w:p w14:paraId="311F90D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238.61</w:t>
            </w:r>
          </w:p>
        </w:tc>
        <w:tc>
          <w:tcPr>
            <w:tcW w:w="800" w:type="dxa"/>
            <w:shd w:val="clear" w:color="auto" w:fill="FFFFFF"/>
            <w:vAlign w:val="center"/>
          </w:tcPr>
          <w:p w14:paraId="7C3E006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42.25</w:t>
            </w:r>
          </w:p>
        </w:tc>
        <w:tc>
          <w:tcPr>
            <w:tcW w:w="327" w:type="dxa"/>
            <w:shd w:val="clear" w:color="auto" w:fill="FFFFFF"/>
            <w:vAlign w:val="center"/>
          </w:tcPr>
          <w:p w14:paraId="5EF77F0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4649D4A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0A0B5CB2">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42B8F27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613F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5864A58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w:t>
            </w:r>
          </w:p>
        </w:tc>
        <w:tc>
          <w:tcPr>
            <w:tcW w:w="2086" w:type="dxa"/>
            <w:shd w:val="clear" w:color="auto" w:fill="auto"/>
            <w:vAlign w:val="center"/>
          </w:tcPr>
          <w:p w14:paraId="1602E6C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16号风机组</w:t>
            </w:r>
          </w:p>
        </w:tc>
        <w:tc>
          <w:tcPr>
            <w:tcW w:w="800" w:type="dxa"/>
            <w:shd w:val="clear" w:color="auto" w:fill="auto"/>
            <w:vAlign w:val="center"/>
          </w:tcPr>
          <w:p w14:paraId="4776882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238.61</w:t>
            </w:r>
          </w:p>
        </w:tc>
        <w:tc>
          <w:tcPr>
            <w:tcW w:w="800" w:type="dxa"/>
            <w:shd w:val="clear" w:color="auto" w:fill="auto"/>
            <w:vAlign w:val="center"/>
          </w:tcPr>
          <w:p w14:paraId="4C8032C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42.25</w:t>
            </w:r>
          </w:p>
        </w:tc>
        <w:tc>
          <w:tcPr>
            <w:tcW w:w="327" w:type="dxa"/>
            <w:shd w:val="clear" w:color="auto" w:fill="auto"/>
            <w:vAlign w:val="center"/>
          </w:tcPr>
          <w:p w14:paraId="1D1A7E5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5E242FC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473F87B5">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26AB135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594B1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730BF67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43</w:t>
            </w:r>
          </w:p>
        </w:tc>
        <w:tc>
          <w:tcPr>
            <w:tcW w:w="2086" w:type="dxa"/>
            <w:shd w:val="clear" w:color="auto" w:fill="FFFFFF"/>
            <w:vAlign w:val="center"/>
          </w:tcPr>
          <w:p w14:paraId="596FFBF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17号风机组</w:t>
            </w:r>
          </w:p>
        </w:tc>
        <w:tc>
          <w:tcPr>
            <w:tcW w:w="800" w:type="dxa"/>
            <w:shd w:val="clear" w:color="auto" w:fill="FFFFFF"/>
            <w:vAlign w:val="center"/>
          </w:tcPr>
          <w:p w14:paraId="6F6FEED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240.44</w:t>
            </w:r>
          </w:p>
        </w:tc>
        <w:tc>
          <w:tcPr>
            <w:tcW w:w="800" w:type="dxa"/>
            <w:shd w:val="clear" w:color="auto" w:fill="FFFFFF"/>
            <w:vAlign w:val="center"/>
          </w:tcPr>
          <w:p w14:paraId="45270F6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145.1</w:t>
            </w:r>
          </w:p>
        </w:tc>
        <w:tc>
          <w:tcPr>
            <w:tcW w:w="327" w:type="dxa"/>
            <w:shd w:val="clear" w:color="auto" w:fill="FFFFFF"/>
            <w:vAlign w:val="center"/>
          </w:tcPr>
          <w:p w14:paraId="0DC5168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25EF1A6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7D329F50">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0A3FCB3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13A3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7538765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w:t>
            </w:r>
          </w:p>
        </w:tc>
        <w:tc>
          <w:tcPr>
            <w:tcW w:w="2086" w:type="dxa"/>
            <w:shd w:val="clear" w:color="auto" w:fill="auto"/>
            <w:vAlign w:val="center"/>
          </w:tcPr>
          <w:p w14:paraId="016708D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17号风机组</w:t>
            </w:r>
          </w:p>
        </w:tc>
        <w:tc>
          <w:tcPr>
            <w:tcW w:w="800" w:type="dxa"/>
            <w:shd w:val="clear" w:color="auto" w:fill="auto"/>
            <w:vAlign w:val="center"/>
          </w:tcPr>
          <w:p w14:paraId="2B9BB3D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240.44</w:t>
            </w:r>
          </w:p>
        </w:tc>
        <w:tc>
          <w:tcPr>
            <w:tcW w:w="800" w:type="dxa"/>
            <w:shd w:val="clear" w:color="auto" w:fill="auto"/>
            <w:vAlign w:val="center"/>
          </w:tcPr>
          <w:p w14:paraId="0869846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145.1</w:t>
            </w:r>
          </w:p>
        </w:tc>
        <w:tc>
          <w:tcPr>
            <w:tcW w:w="327" w:type="dxa"/>
            <w:shd w:val="clear" w:color="auto" w:fill="auto"/>
            <w:vAlign w:val="center"/>
          </w:tcPr>
          <w:p w14:paraId="1C017B7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1F2B6B1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681B5BE7">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437376D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7BAC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66792D0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w:t>
            </w:r>
          </w:p>
        </w:tc>
        <w:tc>
          <w:tcPr>
            <w:tcW w:w="2086" w:type="dxa"/>
            <w:shd w:val="clear" w:color="auto" w:fill="FFFFFF"/>
            <w:vAlign w:val="center"/>
          </w:tcPr>
          <w:p w14:paraId="67B7C75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18号风机组</w:t>
            </w:r>
          </w:p>
        </w:tc>
        <w:tc>
          <w:tcPr>
            <w:tcW w:w="800" w:type="dxa"/>
            <w:shd w:val="clear" w:color="auto" w:fill="FFFFFF"/>
            <w:vAlign w:val="center"/>
          </w:tcPr>
          <w:p w14:paraId="4017A2A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241.04</w:t>
            </w:r>
          </w:p>
        </w:tc>
        <w:tc>
          <w:tcPr>
            <w:tcW w:w="800" w:type="dxa"/>
            <w:shd w:val="clear" w:color="auto" w:fill="FFFFFF"/>
            <w:vAlign w:val="center"/>
          </w:tcPr>
          <w:p w14:paraId="09E9647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129.88</w:t>
            </w:r>
          </w:p>
        </w:tc>
        <w:tc>
          <w:tcPr>
            <w:tcW w:w="327" w:type="dxa"/>
            <w:shd w:val="clear" w:color="auto" w:fill="FFFFFF"/>
            <w:vAlign w:val="center"/>
          </w:tcPr>
          <w:p w14:paraId="0C7820B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72C475E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20E3AE25">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74F9A97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1173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95" w:type="dxa"/>
            <w:shd w:val="clear" w:color="auto" w:fill="auto"/>
            <w:vAlign w:val="center"/>
          </w:tcPr>
          <w:p w14:paraId="45AEB46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w:t>
            </w:r>
          </w:p>
        </w:tc>
        <w:tc>
          <w:tcPr>
            <w:tcW w:w="2086" w:type="dxa"/>
            <w:shd w:val="clear" w:color="auto" w:fill="auto"/>
            <w:vAlign w:val="center"/>
          </w:tcPr>
          <w:p w14:paraId="15FB1D9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18号风机组</w:t>
            </w:r>
          </w:p>
        </w:tc>
        <w:tc>
          <w:tcPr>
            <w:tcW w:w="800" w:type="dxa"/>
            <w:shd w:val="clear" w:color="auto" w:fill="auto"/>
            <w:vAlign w:val="center"/>
          </w:tcPr>
          <w:p w14:paraId="6E8D878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241.04</w:t>
            </w:r>
          </w:p>
        </w:tc>
        <w:tc>
          <w:tcPr>
            <w:tcW w:w="800" w:type="dxa"/>
            <w:shd w:val="clear" w:color="auto" w:fill="auto"/>
            <w:vAlign w:val="center"/>
          </w:tcPr>
          <w:p w14:paraId="74F04CD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129.88</w:t>
            </w:r>
          </w:p>
        </w:tc>
        <w:tc>
          <w:tcPr>
            <w:tcW w:w="327" w:type="dxa"/>
            <w:shd w:val="clear" w:color="auto" w:fill="auto"/>
            <w:vAlign w:val="center"/>
          </w:tcPr>
          <w:p w14:paraId="31025B7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004B60D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3BD798F5">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29CA3FB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5789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08843D4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w:t>
            </w:r>
          </w:p>
        </w:tc>
        <w:tc>
          <w:tcPr>
            <w:tcW w:w="2086" w:type="dxa"/>
            <w:shd w:val="clear" w:color="auto" w:fill="FFFFFF"/>
            <w:vAlign w:val="center"/>
          </w:tcPr>
          <w:p w14:paraId="6E38023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19号风机组</w:t>
            </w:r>
          </w:p>
        </w:tc>
        <w:tc>
          <w:tcPr>
            <w:tcW w:w="800" w:type="dxa"/>
            <w:shd w:val="clear" w:color="auto" w:fill="FFFFFF"/>
            <w:vAlign w:val="center"/>
          </w:tcPr>
          <w:p w14:paraId="68DF490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283.64</w:t>
            </w:r>
          </w:p>
        </w:tc>
        <w:tc>
          <w:tcPr>
            <w:tcW w:w="800" w:type="dxa"/>
            <w:shd w:val="clear" w:color="auto" w:fill="FFFFFF"/>
            <w:vAlign w:val="center"/>
          </w:tcPr>
          <w:p w14:paraId="1DD64DD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144.49</w:t>
            </w:r>
          </w:p>
        </w:tc>
        <w:tc>
          <w:tcPr>
            <w:tcW w:w="327" w:type="dxa"/>
            <w:shd w:val="clear" w:color="auto" w:fill="FFFFFF"/>
            <w:vAlign w:val="center"/>
          </w:tcPr>
          <w:p w14:paraId="1BD304E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13470B2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653642F8">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12DB9D5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3816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7FB1C56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w:t>
            </w:r>
          </w:p>
        </w:tc>
        <w:tc>
          <w:tcPr>
            <w:tcW w:w="2086" w:type="dxa"/>
            <w:shd w:val="clear" w:color="auto" w:fill="auto"/>
            <w:vAlign w:val="center"/>
          </w:tcPr>
          <w:p w14:paraId="567EECA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19号风机组</w:t>
            </w:r>
          </w:p>
        </w:tc>
        <w:tc>
          <w:tcPr>
            <w:tcW w:w="800" w:type="dxa"/>
            <w:shd w:val="clear" w:color="auto" w:fill="auto"/>
            <w:vAlign w:val="center"/>
          </w:tcPr>
          <w:p w14:paraId="3EE1A17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283.64</w:t>
            </w:r>
          </w:p>
        </w:tc>
        <w:tc>
          <w:tcPr>
            <w:tcW w:w="800" w:type="dxa"/>
            <w:shd w:val="clear" w:color="auto" w:fill="auto"/>
            <w:vAlign w:val="center"/>
          </w:tcPr>
          <w:p w14:paraId="573A977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144.49</w:t>
            </w:r>
          </w:p>
        </w:tc>
        <w:tc>
          <w:tcPr>
            <w:tcW w:w="327" w:type="dxa"/>
            <w:shd w:val="clear" w:color="auto" w:fill="auto"/>
            <w:vAlign w:val="center"/>
          </w:tcPr>
          <w:p w14:paraId="15D25E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1E13BDF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789CF1A8">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03DBE34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r w14:paraId="0BCE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FFFFFF"/>
            <w:vAlign w:val="center"/>
          </w:tcPr>
          <w:p w14:paraId="44E3F97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w:t>
            </w:r>
          </w:p>
        </w:tc>
        <w:tc>
          <w:tcPr>
            <w:tcW w:w="2086" w:type="dxa"/>
            <w:shd w:val="clear" w:color="auto" w:fill="FFFFFF"/>
            <w:vAlign w:val="center"/>
          </w:tcPr>
          <w:p w14:paraId="04D447F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20号风机组</w:t>
            </w:r>
          </w:p>
        </w:tc>
        <w:tc>
          <w:tcPr>
            <w:tcW w:w="800" w:type="dxa"/>
            <w:shd w:val="clear" w:color="auto" w:fill="FFFFFF"/>
            <w:vAlign w:val="center"/>
          </w:tcPr>
          <w:p w14:paraId="32D194D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283.64</w:t>
            </w:r>
          </w:p>
        </w:tc>
        <w:tc>
          <w:tcPr>
            <w:tcW w:w="800" w:type="dxa"/>
            <w:shd w:val="clear" w:color="auto" w:fill="FFFFFF"/>
            <w:vAlign w:val="center"/>
          </w:tcPr>
          <w:p w14:paraId="5BFB615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129.27</w:t>
            </w:r>
          </w:p>
        </w:tc>
        <w:tc>
          <w:tcPr>
            <w:tcW w:w="327" w:type="dxa"/>
            <w:shd w:val="clear" w:color="auto" w:fill="FFFFFF"/>
            <w:vAlign w:val="center"/>
          </w:tcPr>
          <w:p w14:paraId="506A2ED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FFFFFF"/>
            <w:vAlign w:val="center"/>
          </w:tcPr>
          <w:p w14:paraId="5130B16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FFFFFF"/>
            <w:vAlign w:val="center"/>
          </w:tcPr>
          <w:p w14:paraId="7711EFB4">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FFFFFF"/>
            <w:vAlign w:val="center"/>
          </w:tcPr>
          <w:p w14:paraId="0DA1267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r>
      <w:tr w14:paraId="6E92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shd w:val="clear" w:color="auto" w:fill="auto"/>
            <w:vAlign w:val="center"/>
          </w:tcPr>
          <w:p w14:paraId="5C0E247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2086" w:type="dxa"/>
            <w:shd w:val="clear" w:color="auto" w:fill="auto"/>
            <w:vAlign w:val="center"/>
          </w:tcPr>
          <w:p w14:paraId="17B38B8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20号风机组</w:t>
            </w:r>
          </w:p>
        </w:tc>
        <w:tc>
          <w:tcPr>
            <w:tcW w:w="800" w:type="dxa"/>
            <w:shd w:val="clear" w:color="auto" w:fill="auto"/>
            <w:vAlign w:val="center"/>
          </w:tcPr>
          <w:p w14:paraId="2E1E769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283.64</w:t>
            </w:r>
          </w:p>
        </w:tc>
        <w:tc>
          <w:tcPr>
            <w:tcW w:w="800" w:type="dxa"/>
            <w:shd w:val="clear" w:color="auto" w:fill="auto"/>
            <w:vAlign w:val="center"/>
          </w:tcPr>
          <w:p w14:paraId="3C470E4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129.27</w:t>
            </w:r>
          </w:p>
        </w:tc>
        <w:tc>
          <w:tcPr>
            <w:tcW w:w="327" w:type="dxa"/>
            <w:shd w:val="clear" w:color="auto" w:fill="auto"/>
            <w:vAlign w:val="center"/>
          </w:tcPr>
          <w:p w14:paraId="6290DFB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959" w:type="dxa"/>
            <w:shd w:val="clear" w:color="auto" w:fill="auto"/>
            <w:vAlign w:val="center"/>
          </w:tcPr>
          <w:p w14:paraId="147F565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107" w:type="dxa"/>
            <w:shd w:val="clear" w:color="auto" w:fill="auto"/>
            <w:vAlign w:val="center"/>
          </w:tcPr>
          <w:p w14:paraId="42380091">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bCs/>
                <w:color w:val="auto"/>
                <w:sz w:val="21"/>
                <w:szCs w:val="21"/>
              </w:rPr>
              <w:t>基础减振</w:t>
            </w:r>
          </w:p>
        </w:tc>
        <w:tc>
          <w:tcPr>
            <w:tcW w:w="1016" w:type="dxa"/>
            <w:shd w:val="clear" w:color="auto" w:fill="auto"/>
            <w:vAlign w:val="center"/>
          </w:tcPr>
          <w:p w14:paraId="4A39D49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夜间</w:t>
            </w:r>
          </w:p>
        </w:tc>
      </w:tr>
    </w:tbl>
    <w:p w14:paraId="5D220601">
      <w:pP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bidi="zh-CN"/>
        </w:rPr>
        <w:t>注：</w:t>
      </w:r>
      <w:r>
        <w:rPr>
          <w:rFonts w:hint="default" w:ascii="Times New Roman" w:hAnsi="Times New Roman" w:cs="Times New Roman"/>
          <w:b/>
          <w:bCs/>
          <w:color w:val="auto"/>
          <w:sz w:val="21"/>
          <w:szCs w:val="21"/>
        </w:rPr>
        <w:t>表中坐标以103°29′27.384″,24°16′56.784″设置为</w:t>
      </w:r>
      <w:r>
        <w:rPr>
          <w:rFonts w:hint="default" w:ascii="Times New Roman" w:hAnsi="Times New Roman" w:cs="Times New Roman"/>
          <w:b/>
          <w:bCs/>
          <w:color w:val="auto"/>
          <w:sz w:val="21"/>
          <w:szCs w:val="21"/>
          <w:lang w:val="en-US" w:eastAsia="zh-CN"/>
        </w:rPr>
        <w:t>原点</w:t>
      </w:r>
      <w:r>
        <w:rPr>
          <w:rFonts w:hint="default" w:ascii="Times New Roman" w:hAnsi="Times New Roman" w:cs="Times New Roman"/>
          <w:b/>
          <w:bCs/>
          <w:color w:val="auto"/>
          <w:sz w:val="21"/>
          <w:szCs w:val="21"/>
        </w:rPr>
        <w:t>（0,0），正东向为X轴正方向，正北向为Y轴正方向</w:t>
      </w:r>
      <w:r>
        <w:rPr>
          <w:rFonts w:hint="default" w:ascii="Times New Roman" w:hAnsi="Times New Roman" w:cs="Times New Roman"/>
          <w:b/>
          <w:bCs/>
          <w:color w:val="auto"/>
          <w:sz w:val="21"/>
          <w:szCs w:val="21"/>
          <w:lang w:eastAsia="zh-CN"/>
        </w:rPr>
        <w:t>。</w:t>
      </w:r>
    </w:p>
    <w:p w14:paraId="293600B7">
      <w:pPr>
        <w:adjustRightInd w:val="0"/>
        <w:snapToGrid w:val="0"/>
        <w:spacing w:before="312" w:beforeLines="100"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w:t>
      </w:r>
      <w:r>
        <w:rPr>
          <w:rFonts w:hint="default" w:ascii="Times New Roman" w:hAnsi="Times New Roman" w:cs="Times New Roman"/>
          <w:b/>
          <w:bCs/>
          <w:color w:val="auto"/>
          <w:sz w:val="24"/>
          <w:highlight w:val="none"/>
          <w:lang w:val="en-US" w:eastAsia="zh-CN"/>
        </w:rPr>
        <w:t>3</w:t>
      </w:r>
      <w:r>
        <w:rPr>
          <w:rFonts w:hint="default" w:ascii="Times New Roman" w:hAnsi="Times New Roman" w:cs="Times New Roman"/>
          <w:b/>
          <w:bCs/>
          <w:color w:val="auto"/>
          <w:sz w:val="24"/>
          <w:highlight w:val="none"/>
        </w:rPr>
        <w:t>.2.4固体废物</w:t>
      </w:r>
    </w:p>
    <w:p w14:paraId="382F74A9">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项目运营期固废包括猪粪</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病死猪、饲料残渣</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防疫固废、</w:t>
      </w:r>
      <w:r>
        <w:rPr>
          <w:rFonts w:hint="default" w:ascii="Times New Roman" w:hAnsi="Times New Roman" w:cs="Times New Roman"/>
          <w:color w:val="auto"/>
          <w:sz w:val="24"/>
          <w:highlight w:val="none"/>
        </w:rPr>
        <w:t>废弃包装材料、生活垃圾、隔油池废油、化粪池污泥；危险废物</w:t>
      </w:r>
      <w:r>
        <w:rPr>
          <w:rFonts w:hint="default" w:ascii="Times New Roman" w:hAnsi="Times New Roman" w:cs="Times New Roman"/>
          <w:color w:val="auto"/>
          <w:sz w:val="24"/>
          <w:highlight w:val="none"/>
          <w:lang w:val="en-US" w:eastAsia="zh-CN"/>
        </w:rPr>
        <w:t>为</w:t>
      </w:r>
      <w:r>
        <w:rPr>
          <w:rFonts w:hint="default" w:ascii="Times New Roman" w:hAnsi="Times New Roman" w:cs="Times New Roman"/>
          <w:color w:val="auto"/>
          <w:sz w:val="24"/>
          <w:highlight w:val="none"/>
        </w:rPr>
        <w:t>废机油。</w:t>
      </w:r>
    </w:p>
    <w:p w14:paraId="665A1E6F">
      <w:pPr>
        <w:snapToGrid w:val="0"/>
        <w:spacing w:line="360" w:lineRule="auto"/>
        <w:ind w:firstLine="482"/>
        <w:rPr>
          <w:rFonts w:hint="default" w:ascii="Times New Roman" w:hAnsi="Times New Roman" w:cs="Times New Roman"/>
          <w:b/>
          <w:bCs w:val="0"/>
          <w:color w:val="auto"/>
          <w:sz w:val="24"/>
          <w:highlight w:val="none"/>
        </w:rPr>
      </w:pPr>
      <w:r>
        <w:rPr>
          <w:rFonts w:hint="default" w:ascii="Times New Roman" w:hAnsi="Times New Roman" w:cs="Times New Roman"/>
          <w:b/>
          <w:bCs w:val="0"/>
          <w:color w:val="auto"/>
          <w:sz w:val="24"/>
          <w:highlight w:val="none"/>
        </w:rPr>
        <w:t>（1）猪粪</w:t>
      </w:r>
    </w:p>
    <w:p w14:paraId="29939BC3">
      <w:pPr>
        <w:snapToGrid w:val="0"/>
        <w:spacing w:line="360" w:lineRule="auto"/>
        <w:ind w:firstLine="482"/>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根据《畜禽养殖业污染治理工程技术规范》（HJ497-2009）附录A中附表A.2，猪粪便产污系数为2kg/头·d，项目生猪存栏量为</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000头，则猪粪产生量为</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t/d（</w:t>
      </w:r>
      <w:r>
        <w:rPr>
          <w:rFonts w:hint="default" w:ascii="Times New Roman" w:hAnsi="Times New Roman" w:cs="Times New Roman"/>
          <w:color w:val="auto"/>
          <w:sz w:val="24"/>
          <w:lang w:val="en-US" w:eastAsia="zh-CN"/>
        </w:rPr>
        <w:t>2560</w:t>
      </w:r>
      <w:r>
        <w:rPr>
          <w:rFonts w:hint="default" w:ascii="Times New Roman" w:hAnsi="Times New Roman" w:cs="Times New Roman"/>
          <w:color w:val="auto"/>
          <w:sz w:val="24"/>
        </w:rPr>
        <w:t>t/a）。根据水平衡分析，猪粪含水率为65%，经过固液分离后含水率为50%，则经过固液分离后猪粪量为</w:t>
      </w:r>
      <w:r>
        <w:rPr>
          <w:rFonts w:hint="default" w:ascii="Times New Roman" w:hAnsi="Times New Roman" w:cs="Times New Roman"/>
          <w:color w:val="auto"/>
          <w:sz w:val="24"/>
          <w:lang w:val="en-US" w:eastAsia="zh-CN"/>
        </w:rPr>
        <w:t>5.6</w:t>
      </w:r>
      <w:r>
        <w:rPr>
          <w:rFonts w:hint="default" w:ascii="Times New Roman" w:hAnsi="Times New Roman" w:cs="Times New Roman"/>
          <w:color w:val="auto"/>
          <w:sz w:val="24"/>
        </w:rPr>
        <w:t>t/d，</w:t>
      </w:r>
      <w:r>
        <w:rPr>
          <w:rFonts w:hint="default" w:ascii="Times New Roman" w:hAnsi="Times New Roman" w:cs="Times New Roman"/>
          <w:color w:val="auto"/>
          <w:sz w:val="24"/>
          <w:lang w:val="en-US" w:eastAsia="zh-CN"/>
        </w:rPr>
        <w:t>1792</w:t>
      </w:r>
      <w:r>
        <w:rPr>
          <w:rFonts w:hint="default" w:ascii="Times New Roman" w:hAnsi="Times New Roman" w:cs="Times New Roman"/>
          <w:color w:val="auto"/>
          <w:sz w:val="24"/>
        </w:rPr>
        <w:t>t/a，</w:t>
      </w:r>
      <w:r>
        <w:rPr>
          <w:rFonts w:hint="default" w:ascii="Times New Roman" w:hAnsi="Times New Roman" w:cs="Times New Roman"/>
          <w:color w:val="auto"/>
          <w:sz w:val="24"/>
          <w:lang w:val="en-US" w:eastAsia="zh-CN"/>
        </w:rPr>
        <w:t>进入堆粪棚堆肥，堆肥发酵后用于还田施肥。</w:t>
      </w:r>
    </w:p>
    <w:p w14:paraId="45384107">
      <w:pPr>
        <w:snapToGrid w:val="0"/>
        <w:spacing w:line="360" w:lineRule="auto"/>
        <w:ind w:firstLine="482"/>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（2）病死猪</w:t>
      </w:r>
    </w:p>
    <w:p w14:paraId="0BB8437B">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snapToGrid w:val="0"/>
          <w:color w:val="auto"/>
          <w:kern w:val="0"/>
          <w:sz w:val="24"/>
          <w:highlight w:val="none"/>
        </w:rPr>
        <w:t>本项目自动化程度较高，实现了科学养殖，猪只死亡率可控制在较先进水平。根据建设单位提供资料以及参照同类生猪养殖场运行实际，生猪养殖猪只死亡率约为5%，</w:t>
      </w:r>
      <w:r>
        <w:rPr>
          <w:rFonts w:hint="default" w:ascii="Times New Roman" w:hAnsi="Times New Roman" w:cs="Times New Roman"/>
          <w:color w:val="auto"/>
          <w:sz w:val="24"/>
          <w:highlight w:val="none"/>
        </w:rPr>
        <w:t>项目猪存栏量为</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000头，每年养殖2个批次，即病死猪数量为</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00头/a，病死猪主要为保育阶段未能适应的仔猪和少量病死的育肥猪，平均重量按照60kg/头计，则病死猪产生量为</w:t>
      </w:r>
      <w:r>
        <w:rPr>
          <w:rFonts w:hint="default" w:ascii="Times New Roman" w:hAnsi="Times New Roman" w:cs="Times New Roman"/>
          <w:color w:val="auto"/>
          <w:sz w:val="24"/>
          <w:highlight w:val="none"/>
          <w:lang w:val="en-US" w:eastAsia="zh-CN"/>
        </w:rPr>
        <w:t>24</w:t>
      </w:r>
      <w:r>
        <w:rPr>
          <w:rFonts w:hint="default" w:ascii="Times New Roman" w:hAnsi="Times New Roman" w:cs="Times New Roman"/>
          <w:color w:val="auto"/>
          <w:sz w:val="24"/>
          <w:highlight w:val="none"/>
        </w:rPr>
        <w:t>t/a。</w:t>
      </w:r>
    </w:p>
    <w:p w14:paraId="59D3F12D">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项目病死猪清运至冷库冷藏暂存，并委托弥勒市北斗星生物科技有限公司进行无害化处置。</w:t>
      </w:r>
    </w:p>
    <w:p w14:paraId="176AB488">
      <w:pPr>
        <w:snapToGrid w:val="0"/>
        <w:spacing w:line="360" w:lineRule="auto"/>
        <w:ind w:firstLine="48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3</w:t>
      </w:r>
      <w:r>
        <w:rPr>
          <w:rFonts w:hint="default" w:ascii="Times New Roman" w:hAnsi="Times New Roman" w:cs="Times New Roman"/>
          <w:b/>
          <w:color w:val="auto"/>
          <w:sz w:val="24"/>
          <w:highlight w:val="none"/>
        </w:rPr>
        <w:t>）饲料残渣</w:t>
      </w:r>
    </w:p>
    <w:p w14:paraId="4693E658">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项目年使用饲料量为</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00t/a。猪舍内喂养过程中会有少量的残渣剩余，以1%计算，则有</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t/a饲料残渣产生。饲料残渣通过人工清扫，运至堆</w:t>
      </w:r>
      <w:r>
        <w:rPr>
          <w:rFonts w:hint="default" w:ascii="Times New Roman" w:hAnsi="Times New Roman" w:cs="Times New Roman"/>
          <w:color w:val="auto"/>
          <w:sz w:val="24"/>
          <w:highlight w:val="none"/>
          <w:lang w:val="en-US" w:eastAsia="zh-CN"/>
        </w:rPr>
        <w:t>粪棚</w:t>
      </w:r>
      <w:r>
        <w:rPr>
          <w:rFonts w:hint="default" w:ascii="Times New Roman" w:hAnsi="Times New Roman" w:cs="Times New Roman"/>
          <w:color w:val="auto"/>
          <w:sz w:val="24"/>
          <w:highlight w:val="none"/>
        </w:rPr>
        <w:t>堆肥。</w:t>
      </w:r>
    </w:p>
    <w:p w14:paraId="208C016D">
      <w:pPr>
        <w:snapToGrid w:val="0"/>
        <w:spacing w:line="360" w:lineRule="auto"/>
        <w:ind w:firstLine="482"/>
        <w:rPr>
          <w:rFonts w:hint="default" w:ascii="Times New Roman" w:hAnsi="Times New Roman" w:eastAsia="宋体" w:cs="Times New Roman"/>
          <w:b/>
          <w:color w:val="auto"/>
          <w:sz w:val="24"/>
          <w:highlight w:val="none"/>
          <w:lang w:val="en-US" w:eastAsia="zh-CN"/>
        </w:rPr>
      </w:pP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防疫固废</w:t>
      </w:r>
    </w:p>
    <w:p w14:paraId="0DA1F3D2">
      <w:pPr>
        <w:spacing w:line="360" w:lineRule="auto"/>
        <w:ind w:firstLine="480"/>
        <w:rPr>
          <w:rFonts w:hint="default" w:ascii="Times New Roman" w:hAnsi="Times New Roman" w:eastAsia="宋体" w:cs="Times New Roman"/>
          <w:b w:val="0"/>
          <w:bCs w:val="0"/>
          <w:color w:val="auto"/>
          <w:kern w:val="0"/>
          <w:sz w:val="24"/>
          <w:szCs w:val="24"/>
          <w:lang w:val="en-US" w:eastAsia="zh-CN" w:bidi="ar-SA"/>
        </w:rPr>
      </w:pPr>
      <w:r>
        <w:rPr>
          <w:rFonts w:hint="default" w:ascii="Times New Roman" w:hAnsi="Times New Roman" w:eastAsia="宋体" w:cs="Times New Roman"/>
          <w:b w:val="0"/>
          <w:bCs w:val="0"/>
          <w:color w:val="auto"/>
          <w:kern w:val="0"/>
          <w:sz w:val="24"/>
          <w:szCs w:val="24"/>
          <w:lang w:val="en-US" w:eastAsia="zh-CN" w:bidi="ar-SA"/>
        </w:rPr>
        <w:t>项目养殖中防疫、诊疗过程会产生废疫苗瓶、废消毒剂瓶、棉签、棉球、</w:t>
      </w:r>
      <w:r>
        <w:rPr>
          <w:rFonts w:hint="default" w:ascii="Times New Roman" w:hAnsi="Times New Roman" w:cs="Times New Roman"/>
          <w:b w:val="0"/>
          <w:bCs w:val="0"/>
          <w:color w:val="auto"/>
          <w:kern w:val="0"/>
          <w:sz w:val="24"/>
          <w:szCs w:val="24"/>
          <w:lang w:val="en-US" w:eastAsia="zh-CN" w:bidi="ar-SA"/>
        </w:rPr>
        <w:t>过期药品</w:t>
      </w:r>
      <w:r>
        <w:rPr>
          <w:rFonts w:hint="default" w:ascii="Times New Roman" w:hAnsi="Times New Roman" w:eastAsia="宋体" w:cs="Times New Roman"/>
          <w:b w:val="0"/>
          <w:bCs w:val="0"/>
          <w:color w:val="auto"/>
          <w:kern w:val="0"/>
          <w:sz w:val="24"/>
          <w:szCs w:val="24"/>
          <w:lang w:val="en-US" w:eastAsia="zh-CN" w:bidi="ar-SA"/>
        </w:rPr>
        <w:t>等</w:t>
      </w:r>
      <w:r>
        <w:rPr>
          <w:rFonts w:hint="default" w:ascii="Times New Roman" w:hAnsi="Times New Roman" w:cs="Times New Roman"/>
          <w:b w:val="0"/>
          <w:bCs w:val="0"/>
          <w:color w:val="auto"/>
          <w:kern w:val="0"/>
          <w:sz w:val="24"/>
          <w:szCs w:val="24"/>
          <w:lang w:val="en-US" w:eastAsia="zh-CN" w:bidi="ar-SA"/>
        </w:rPr>
        <w:t>防疫固废</w:t>
      </w:r>
      <w:r>
        <w:rPr>
          <w:rFonts w:hint="default" w:ascii="Times New Roman" w:hAnsi="Times New Roman" w:eastAsia="宋体" w:cs="Times New Roman"/>
          <w:b w:val="0"/>
          <w:bCs w:val="0"/>
          <w:color w:val="auto"/>
          <w:kern w:val="0"/>
          <w:sz w:val="24"/>
          <w:szCs w:val="24"/>
          <w:lang w:val="en-US" w:eastAsia="zh-CN" w:bidi="ar-SA"/>
        </w:rPr>
        <w:t>，属于</w:t>
      </w:r>
      <w:r>
        <w:rPr>
          <w:rFonts w:hint="default" w:ascii="Times New Roman" w:hAnsi="Times New Roman" w:cs="Times New Roman"/>
          <w:b w:val="0"/>
          <w:bCs w:val="0"/>
          <w:color w:val="auto"/>
          <w:kern w:val="0"/>
          <w:sz w:val="24"/>
          <w:szCs w:val="24"/>
          <w:lang w:val="en-US" w:eastAsia="zh-CN" w:bidi="ar-SA"/>
        </w:rPr>
        <w:t>农业固体废物中畜牧业废物。</w:t>
      </w:r>
      <w:r>
        <w:rPr>
          <w:rFonts w:hint="default" w:ascii="Times New Roman" w:hAnsi="Times New Roman" w:eastAsia="宋体" w:cs="Times New Roman"/>
          <w:b w:val="0"/>
          <w:bCs w:val="0"/>
          <w:color w:val="auto"/>
          <w:kern w:val="0"/>
          <w:sz w:val="24"/>
          <w:szCs w:val="24"/>
          <w:lang w:val="en-US" w:eastAsia="zh-CN" w:bidi="ar-SA"/>
        </w:rPr>
        <w:t>年产生量约为0.1t/a。</w:t>
      </w:r>
    </w:p>
    <w:p w14:paraId="6401ABC7">
      <w:pPr>
        <w:pStyle w:val="11"/>
        <w:autoSpaceDE w:val="0"/>
        <w:spacing w:before="0" w:line="360" w:lineRule="auto"/>
        <w:ind w:left="0" w:firstLine="480"/>
        <w:jc w:val="both"/>
        <w:rPr>
          <w:rFonts w:hint="default" w:ascii="Times New Roman" w:hAnsi="Times New Roman" w:eastAsia="宋体" w:cs="Times New Roman"/>
          <w:b w:val="0"/>
          <w:bCs w:val="0"/>
          <w:color w:val="auto"/>
          <w:kern w:val="0"/>
          <w:sz w:val="24"/>
          <w:szCs w:val="24"/>
          <w:lang w:val="en-US" w:eastAsia="zh-CN" w:bidi="ar-SA"/>
        </w:rPr>
      </w:pPr>
      <w:r>
        <w:rPr>
          <w:rFonts w:hint="default" w:ascii="Times New Roman" w:hAnsi="Times New Roman" w:eastAsia="宋体" w:cs="Times New Roman"/>
          <w:b w:val="0"/>
          <w:bCs w:val="0"/>
          <w:color w:val="auto"/>
          <w:kern w:val="0"/>
          <w:sz w:val="24"/>
          <w:szCs w:val="24"/>
          <w:lang w:val="en-US" w:eastAsia="zh-CN" w:bidi="ar-SA"/>
        </w:rPr>
        <w:t>设置防疫固废暂存间暂存，设置明显的标识，定期消毒和清洁，采用专用包装袋、容器分类收集，按照当地动物防疫部门管理要求进行处置。</w:t>
      </w:r>
    </w:p>
    <w:p w14:paraId="5D9B8A82">
      <w:pPr>
        <w:snapToGrid w:val="0"/>
        <w:spacing w:line="360" w:lineRule="auto"/>
        <w:ind w:firstLine="48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5</w:t>
      </w:r>
      <w:r>
        <w:rPr>
          <w:rFonts w:hint="default" w:ascii="Times New Roman" w:hAnsi="Times New Roman" w:cs="Times New Roman"/>
          <w:b/>
          <w:color w:val="auto"/>
          <w:sz w:val="24"/>
          <w:highlight w:val="none"/>
        </w:rPr>
        <w:t>）废弃包装材料</w:t>
      </w:r>
    </w:p>
    <w:p w14:paraId="6F5D062D">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项目所需的饲料统一由</w:t>
      </w:r>
      <w:r>
        <w:rPr>
          <w:rFonts w:hint="default" w:ascii="Times New Roman" w:hAnsi="Times New Roman" w:cs="Times New Roman"/>
          <w:color w:val="auto"/>
          <w:sz w:val="24"/>
          <w:szCs w:val="24"/>
          <w:lang w:val="en-US" w:eastAsia="zh-CN"/>
        </w:rPr>
        <w:t>集团饲料厂提供</w:t>
      </w:r>
      <w:r>
        <w:rPr>
          <w:rFonts w:hint="default" w:ascii="Times New Roman" w:hAnsi="Times New Roman" w:cs="Times New Roman"/>
          <w:color w:val="auto"/>
          <w:sz w:val="24"/>
          <w:highlight w:val="none"/>
        </w:rPr>
        <w:t>，并运至项目区内的饲料料塔暂存，因此包装固废主要来源其他原辅材料拆包废料，根据项目原辅材料使用情况，包装废弃物产生量约为1.1t/a，统一收集定期外卖给废品站。</w:t>
      </w:r>
    </w:p>
    <w:p w14:paraId="47A7E4D7">
      <w:pPr>
        <w:snapToGrid w:val="0"/>
        <w:spacing w:line="360" w:lineRule="auto"/>
        <w:ind w:firstLine="48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6</w:t>
      </w:r>
      <w:r>
        <w:rPr>
          <w:rFonts w:hint="default" w:ascii="Times New Roman" w:hAnsi="Times New Roman" w:cs="Times New Roman"/>
          <w:b/>
          <w:color w:val="auto"/>
          <w:sz w:val="24"/>
          <w:highlight w:val="none"/>
        </w:rPr>
        <w:t>）隔油池废油脂</w:t>
      </w:r>
    </w:p>
    <w:p w14:paraId="2FDAEA50">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根据隔油池效率，隔油池浮油产生量约</w:t>
      </w:r>
      <w:r>
        <w:rPr>
          <w:rFonts w:hint="default" w:ascii="Times New Roman" w:hAnsi="Times New Roman" w:cs="Times New Roman"/>
          <w:color w:val="auto"/>
          <w:sz w:val="24"/>
          <w:highlight w:val="none"/>
          <w:lang w:val="en-US" w:eastAsia="zh-CN"/>
        </w:rPr>
        <w:t>0.003</w:t>
      </w:r>
      <w:r>
        <w:rPr>
          <w:rFonts w:hint="default" w:ascii="Times New Roman" w:hAnsi="Times New Roman" w:cs="Times New Roman"/>
          <w:color w:val="auto"/>
          <w:sz w:val="24"/>
          <w:highlight w:val="none"/>
        </w:rPr>
        <w:t>t/a，经密闭容器收集后，委托有资质单位清运处置。</w:t>
      </w:r>
    </w:p>
    <w:p w14:paraId="065C75D9">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7</w:t>
      </w:r>
      <w:r>
        <w:rPr>
          <w:rFonts w:hint="default" w:ascii="Times New Roman" w:hAnsi="Times New Roman" w:cs="Times New Roman"/>
          <w:b/>
          <w:color w:val="auto"/>
          <w:sz w:val="24"/>
          <w:highlight w:val="none"/>
        </w:rPr>
        <w:t>）厨房泔水</w:t>
      </w:r>
    </w:p>
    <w:p w14:paraId="077F9C29">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项目厨房泔水主要是剩汤、剩饭菜等，产生量按</w:t>
      </w:r>
      <w:r>
        <w:rPr>
          <w:rFonts w:hint="default" w:ascii="Times New Roman" w:hAnsi="Times New Roman" w:cs="Times New Roman"/>
          <w:color w:val="auto"/>
          <w:sz w:val="24"/>
          <w:highlight w:val="none"/>
          <w:lang w:val="en-US" w:eastAsia="zh-CN"/>
        </w:rPr>
        <w:t>0.2</w:t>
      </w:r>
      <w:r>
        <w:rPr>
          <w:rFonts w:hint="default" w:ascii="Times New Roman" w:hAnsi="Times New Roman" w:cs="Times New Roman"/>
          <w:color w:val="auto"/>
          <w:sz w:val="24"/>
          <w:highlight w:val="none"/>
        </w:rPr>
        <w:t>kg/（人•d）计，则项目每天产生的泔水量为0.00</w:t>
      </w:r>
      <w:r>
        <w:rPr>
          <w:rFonts w:hint="default" w:ascii="Times New Roman" w:hAnsi="Times New Roman" w:cs="Times New Roman"/>
          <w:color w:val="auto"/>
          <w:sz w:val="24"/>
          <w:highlight w:val="none"/>
          <w:lang w:val="en-US" w:eastAsia="zh-CN"/>
        </w:rPr>
        <w:t>24</w:t>
      </w:r>
      <w:r>
        <w:rPr>
          <w:rFonts w:hint="default" w:ascii="Times New Roman" w:hAnsi="Times New Roman" w:cs="Times New Roman"/>
          <w:color w:val="auto"/>
          <w:sz w:val="24"/>
          <w:highlight w:val="none"/>
        </w:rPr>
        <w:t>t/d，</w:t>
      </w:r>
      <w:r>
        <w:rPr>
          <w:rFonts w:hint="default" w:ascii="Times New Roman" w:hAnsi="Times New Roman" w:cs="Times New Roman"/>
          <w:color w:val="auto"/>
          <w:sz w:val="24"/>
          <w:highlight w:val="none"/>
          <w:lang w:val="en-US" w:eastAsia="zh-CN"/>
        </w:rPr>
        <w:t>0.876</w:t>
      </w:r>
      <w:r>
        <w:rPr>
          <w:rFonts w:hint="default" w:ascii="Times New Roman" w:hAnsi="Times New Roman" w:cs="Times New Roman"/>
          <w:color w:val="auto"/>
          <w:sz w:val="24"/>
          <w:highlight w:val="none"/>
        </w:rPr>
        <w:t>t/a。项目产生的厨房泔水经密闭泔水桶收集后，按照住建部门的相关规定处置。</w:t>
      </w:r>
    </w:p>
    <w:p w14:paraId="1B86470C">
      <w:pPr>
        <w:snapToGrid w:val="0"/>
        <w:spacing w:line="360" w:lineRule="auto"/>
        <w:ind w:firstLine="48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8</w:t>
      </w:r>
      <w:r>
        <w:rPr>
          <w:rFonts w:hint="default" w:ascii="Times New Roman" w:hAnsi="Times New Roman" w:cs="Times New Roman"/>
          <w:b/>
          <w:color w:val="auto"/>
          <w:sz w:val="24"/>
          <w:highlight w:val="none"/>
        </w:rPr>
        <w:t>）化粪池污泥</w:t>
      </w:r>
    </w:p>
    <w:p w14:paraId="798A6D6D">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化粪池产生的污泥量按处理水量的0.1%计算，根据工程分析，进入化粪池处理的废水量共计</w:t>
      </w:r>
      <w:r>
        <w:rPr>
          <w:rFonts w:hint="default" w:ascii="Times New Roman" w:hAnsi="Times New Roman" w:cs="Times New Roman"/>
          <w:color w:val="auto"/>
          <w:sz w:val="24"/>
          <w:highlight w:val="none"/>
          <w:lang w:val="en-US" w:eastAsia="zh-CN"/>
        </w:rPr>
        <w:t>394.2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/a，因此，化粪池污泥产生量约为0.</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9t/a，污泥定期清掏后作为绿化施肥及农田施肥使用。</w:t>
      </w:r>
    </w:p>
    <w:p w14:paraId="6C3A1052">
      <w:pPr>
        <w:snapToGrid w:val="0"/>
        <w:spacing w:line="360" w:lineRule="auto"/>
        <w:ind w:firstLine="48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9</w:t>
      </w:r>
      <w:r>
        <w:rPr>
          <w:rFonts w:hint="default" w:ascii="Times New Roman" w:hAnsi="Times New Roman" w:cs="Times New Roman"/>
          <w:b/>
          <w:color w:val="auto"/>
          <w:sz w:val="24"/>
          <w:highlight w:val="none"/>
        </w:rPr>
        <w:t>）生活垃圾</w:t>
      </w:r>
    </w:p>
    <w:p w14:paraId="4F56E2E8">
      <w:pPr>
        <w:pStyle w:val="9"/>
        <w:adjustRightInd w:val="0"/>
        <w:snapToGrid w:val="0"/>
        <w:spacing w:line="360" w:lineRule="auto"/>
        <w:ind w:firstLine="480" w:firstLineChars="200"/>
        <w:jc w:val="both"/>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员工按每人每天产生的生活垃圾按0.5kg计，厂区员工共计1</w:t>
      </w:r>
      <w:r>
        <w:rPr>
          <w:rFonts w:hint="default"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rPr>
        <w:t>人，生活垃圾产生量为</w:t>
      </w:r>
      <w:r>
        <w:rPr>
          <w:rFonts w:hint="default" w:ascii="Times New Roman" w:hAnsi="Times New Roman" w:cs="Times New Roman"/>
          <w:bCs/>
          <w:color w:val="auto"/>
          <w:sz w:val="24"/>
          <w:highlight w:val="none"/>
          <w:lang w:val="en-US" w:eastAsia="zh-CN"/>
        </w:rPr>
        <w:t>6.0</w:t>
      </w:r>
      <w:r>
        <w:rPr>
          <w:rFonts w:hint="default" w:ascii="Times New Roman" w:hAnsi="Times New Roman" w:cs="Times New Roman"/>
          <w:bCs/>
          <w:color w:val="auto"/>
          <w:sz w:val="24"/>
          <w:highlight w:val="none"/>
        </w:rPr>
        <w:t>kg/d，2.</w:t>
      </w:r>
      <w:r>
        <w:rPr>
          <w:rFonts w:hint="default" w:ascii="Times New Roman" w:hAnsi="Times New Roman" w:cs="Times New Roman"/>
          <w:bCs/>
          <w:color w:val="auto"/>
          <w:sz w:val="24"/>
          <w:highlight w:val="none"/>
          <w:lang w:val="en-US" w:eastAsia="zh-CN"/>
        </w:rPr>
        <w:t>19</w:t>
      </w:r>
      <w:r>
        <w:rPr>
          <w:rFonts w:hint="default" w:ascii="Times New Roman" w:hAnsi="Times New Roman" w:cs="Times New Roman"/>
          <w:bCs/>
          <w:color w:val="auto"/>
          <w:sz w:val="24"/>
          <w:highlight w:val="none"/>
        </w:rPr>
        <w:t>t/a。生活垃圾现经垃圾桶统一收集后，并运至</w:t>
      </w:r>
      <w:r>
        <w:rPr>
          <w:rFonts w:hint="default" w:ascii="Times New Roman" w:hAnsi="Times New Roman" w:cs="Times New Roman"/>
          <w:bCs/>
          <w:color w:val="auto"/>
          <w:sz w:val="24"/>
          <w:highlight w:val="none"/>
          <w:lang w:val="en-US" w:eastAsia="zh-CN"/>
        </w:rPr>
        <w:t>猴街村</w:t>
      </w:r>
      <w:r>
        <w:rPr>
          <w:rFonts w:hint="default" w:ascii="Times New Roman" w:hAnsi="Times New Roman" w:cs="Times New Roman"/>
          <w:color w:val="auto"/>
          <w:sz w:val="24"/>
          <w:highlight w:val="none"/>
        </w:rPr>
        <w:t>统一的垃圾收集点堆放，由环卫部门清运处置。</w:t>
      </w:r>
    </w:p>
    <w:p w14:paraId="1165E17C">
      <w:pPr>
        <w:snapToGrid w:val="0"/>
        <w:spacing w:line="360" w:lineRule="auto"/>
        <w:ind w:firstLine="48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10</w:t>
      </w:r>
      <w:r>
        <w:rPr>
          <w:rFonts w:hint="default" w:ascii="Times New Roman" w:hAnsi="Times New Roman" w:cs="Times New Roman"/>
          <w:b/>
          <w:color w:val="auto"/>
          <w:sz w:val="24"/>
          <w:highlight w:val="none"/>
        </w:rPr>
        <w:t>）废机油</w:t>
      </w:r>
    </w:p>
    <w:p w14:paraId="7F00A899">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本项目大中维修均依靠社会维修力量，在项目区主要对设备进行小修及日常维护，根据建设方提供的资料，本项目在生产运营中设备润滑防护及整机部分零部件维护中，废机油、废润滑油产生量约0.</w:t>
      </w:r>
      <w:r>
        <w:rPr>
          <w:rFonts w:hint="default" w:ascii="Times New Roman" w:hAnsi="Times New Roman" w:cs="Times New Roman"/>
          <w:bCs/>
          <w:color w:val="auto"/>
          <w:sz w:val="24"/>
          <w:highlight w:val="none"/>
          <w:lang w:val="en-US" w:eastAsia="zh-CN"/>
        </w:rPr>
        <w:t>1</w:t>
      </w:r>
      <w:r>
        <w:rPr>
          <w:rFonts w:hint="default" w:ascii="Times New Roman" w:hAnsi="Times New Roman" w:cs="Times New Roman"/>
          <w:bCs/>
          <w:color w:val="auto"/>
          <w:sz w:val="24"/>
          <w:highlight w:val="none"/>
        </w:rPr>
        <w:t>t/a。废机油、废润滑油属于《国家危险废物名录》（2021年版）规定的“HW08废矿物油与含矿物油废物，代码900-214-08，车辆、轮船及其他机械维修过程中产生的废发动机油、制动器油、自动变速器油、齿轮油等废润滑油”，危险特性T，I。设专用密闭容器收集后委托相关资质单位处置。</w:t>
      </w:r>
    </w:p>
    <w:p w14:paraId="78666497">
      <w:pPr>
        <w:tabs>
          <w:tab w:val="left" w:pos="2729"/>
        </w:tabs>
        <w:snapToGrid w:val="0"/>
        <w:spacing w:before="156" w:beforeLines="5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根据《建设项目危险废物环境影响评价指南》，危险废物汇总情况见表</w:t>
      </w:r>
      <w:r>
        <w:rPr>
          <w:rFonts w:hint="default" w:ascii="Times New Roman" w:hAnsi="Times New Roman" w:cs="Times New Roman"/>
          <w:color w:val="auto"/>
          <w:sz w:val="24"/>
          <w:highlight w:val="none"/>
          <w:lang w:val="en-US" w:eastAsia="zh-CN"/>
        </w:rPr>
        <w:t>3.3.2-12</w:t>
      </w:r>
      <w:r>
        <w:rPr>
          <w:rFonts w:hint="default" w:ascii="Times New Roman" w:hAnsi="Times New Roman" w:cs="Times New Roman"/>
          <w:color w:val="auto"/>
          <w:sz w:val="24"/>
          <w:highlight w:val="none"/>
        </w:rPr>
        <w:t>。</w:t>
      </w:r>
    </w:p>
    <w:p w14:paraId="00696867">
      <w:pPr>
        <w:pStyle w:val="9"/>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3.3.2-12</w:t>
      </w:r>
      <w:r>
        <w:rPr>
          <w:rFonts w:hint="default" w:ascii="Times New Roman" w:hAnsi="Times New Roman" w:cs="Times New Roman"/>
          <w:b/>
          <w:color w:val="auto"/>
          <w:szCs w:val="21"/>
          <w:highlight w:val="none"/>
        </w:rPr>
        <w:t xml:space="preserve">     工程分析中危险废物汇总表</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41"/>
        <w:gridCol w:w="776"/>
        <w:gridCol w:w="1196"/>
        <w:gridCol w:w="690"/>
        <w:gridCol w:w="714"/>
        <w:gridCol w:w="558"/>
        <w:gridCol w:w="637"/>
        <w:gridCol w:w="647"/>
        <w:gridCol w:w="556"/>
        <w:gridCol w:w="1754"/>
      </w:tblGrid>
      <w:tr w14:paraId="3749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26" w:type="dxa"/>
            <w:vAlign w:val="center"/>
          </w:tcPr>
          <w:p w14:paraId="1C20D057">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序号</w:t>
            </w:r>
          </w:p>
        </w:tc>
        <w:tc>
          <w:tcPr>
            <w:tcW w:w="841" w:type="dxa"/>
            <w:vAlign w:val="center"/>
          </w:tcPr>
          <w:p w14:paraId="42E109E2">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名称</w:t>
            </w:r>
          </w:p>
        </w:tc>
        <w:tc>
          <w:tcPr>
            <w:tcW w:w="776" w:type="dxa"/>
            <w:vAlign w:val="center"/>
          </w:tcPr>
          <w:p w14:paraId="548728CD">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类别</w:t>
            </w:r>
          </w:p>
        </w:tc>
        <w:tc>
          <w:tcPr>
            <w:tcW w:w="1196" w:type="dxa"/>
            <w:vAlign w:val="center"/>
          </w:tcPr>
          <w:p w14:paraId="617407E3">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危险废物代码</w:t>
            </w:r>
          </w:p>
        </w:tc>
        <w:tc>
          <w:tcPr>
            <w:tcW w:w="690" w:type="dxa"/>
            <w:vAlign w:val="center"/>
          </w:tcPr>
          <w:p w14:paraId="05CD2BEF">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产生量t/a</w:t>
            </w:r>
          </w:p>
        </w:tc>
        <w:tc>
          <w:tcPr>
            <w:tcW w:w="714" w:type="dxa"/>
            <w:vAlign w:val="center"/>
          </w:tcPr>
          <w:p w14:paraId="46F29C40">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产生工序及装置</w:t>
            </w:r>
          </w:p>
        </w:tc>
        <w:tc>
          <w:tcPr>
            <w:tcW w:w="558" w:type="dxa"/>
            <w:vAlign w:val="center"/>
          </w:tcPr>
          <w:p w14:paraId="1A13B78B">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形态</w:t>
            </w:r>
          </w:p>
        </w:tc>
        <w:tc>
          <w:tcPr>
            <w:tcW w:w="637" w:type="dxa"/>
            <w:vAlign w:val="center"/>
          </w:tcPr>
          <w:p w14:paraId="7C0D4547">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主要成分</w:t>
            </w:r>
          </w:p>
        </w:tc>
        <w:tc>
          <w:tcPr>
            <w:tcW w:w="647" w:type="dxa"/>
            <w:vAlign w:val="center"/>
          </w:tcPr>
          <w:p w14:paraId="52AC9191">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有害成分</w:t>
            </w:r>
          </w:p>
        </w:tc>
        <w:tc>
          <w:tcPr>
            <w:tcW w:w="556" w:type="dxa"/>
            <w:vAlign w:val="center"/>
          </w:tcPr>
          <w:p w14:paraId="49D049E1">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危险特性</w:t>
            </w:r>
          </w:p>
        </w:tc>
        <w:tc>
          <w:tcPr>
            <w:tcW w:w="1754" w:type="dxa"/>
            <w:vAlign w:val="center"/>
          </w:tcPr>
          <w:p w14:paraId="1E4C9EC5">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污染防治措施</w:t>
            </w:r>
          </w:p>
        </w:tc>
      </w:tr>
      <w:tr w14:paraId="0AB6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26" w:type="dxa"/>
            <w:vAlign w:val="center"/>
          </w:tcPr>
          <w:p w14:paraId="6B52B0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1</w:t>
            </w:r>
          </w:p>
        </w:tc>
        <w:tc>
          <w:tcPr>
            <w:tcW w:w="841" w:type="dxa"/>
            <w:vAlign w:val="center"/>
          </w:tcPr>
          <w:p w14:paraId="2EB2C88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废润滑油、废机油</w:t>
            </w:r>
          </w:p>
        </w:tc>
        <w:tc>
          <w:tcPr>
            <w:tcW w:w="776" w:type="dxa"/>
            <w:vAlign w:val="center"/>
          </w:tcPr>
          <w:p w14:paraId="5603C03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HW08</w:t>
            </w:r>
          </w:p>
        </w:tc>
        <w:tc>
          <w:tcPr>
            <w:tcW w:w="1196" w:type="dxa"/>
            <w:vAlign w:val="center"/>
          </w:tcPr>
          <w:p w14:paraId="3FAE122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900-214-08</w:t>
            </w:r>
          </w:p>
        </w:tc>
        <w:tc>
          <w:tcPr>
            <w:tcW w:w="690" w:type="dxa"/>
            <w:vAlign w:val="center"/>
          </w:tcPr>
          <w:p w14:paraId="4C2058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1</w:t>
            </w:r>
          </w:p>
        </w:tc>
        <w:tc>
          <w:tcPr>
            <w:tcW w:w="714" w:type="dxa"/>
            <w:vAlign w:val="center"/>
          </w:tcPr>
          <w:p w14:paraId="0784B17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机修保养</w:t>
            </w:r>
          </w:p>
        </w:tc>
        <w:tc>
          <w:tcPr>
            <w:tcW w:w="558" w:type="dxa"/>
            <w:vAlign w:val="center"/>
          </w:tcPr>
          <w:p w14:paraId="4328415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液态</w:t>
            </w:r>
          </w:p>
        </w:tc>
        <w:tc>
          <w:tcPr>
            <w:tcW w:w="637" w:type="dxa"/>
            <w:vAlign w:val="center"/>
          </w:tcPr>
          <w:p w14:paraId="2161A7E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润滑油、机油</w:t>
            </w:r>
          </w:p>
        </w:tc>
        <w:tc>
          <w:tcPr>
            <w:tcW w:w="647" w:type="dxa"/>
            <w:vAlign w:val="center"/>
          </w:tcPr>
          <w:p w14:paraId="2F69506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石油烃</w:t>
            </w:r>
          </w:p>
        </w:tc>
        <w:tc>
          <w:tcPr>
            <w:tcW w:w="556" w:type="dxa"/>
            <w:vAlign w:val="center"/>
          </w:tcPr>
          <w:p w14:paraId="18C632A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T、I</w:t>
            </w:r>
          </w:p>
        </w:tc>
        <w:tc>
          <w:tcPr>
            <w:tcW w:w="1754" w:type="dxa"/>
            <w:vAlign w:val="center"/>
          </w:tcPr>
          <w:p w14:paraId="604C5BA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专用容器密闭盛装，暂存在危废暂存间，委托相关资质单位处置</w:t>
            </w:r>
          </w:p>
        </w:tc>
      </w:tr>
    </w:tbl>
    <w:p w14:paraId="55A5FB64">
      <w:pPr>
        <w:pStyle w:val="9"/>
        <w:adjustRightInd w:val="0"/>
        <w:snapToGrid w:val="0"/>
        <w:jc w:val="center"/>
        <w:rPr>
          <w:rFonts w:hint="default" w:ascii="Times New Roman" w:hAnsi="Times New Roman" w:cs="Times New Roman"/>
          <w:b/>
          <w:color w:val="auto"/>
          <w:szCs w:val="21"/>
          <w:highlight w:val="none"/>
        </w:rPr>
      </w:pPr>
    </w:p>
    <w:p w14:paraId="2931F6C8">
      <w:pPr>
        <w:tabs>
          <w:tab w:val="left" w:pos="2729"/>
        </w:tabs>
        <w:snapToGrid w:val="0"/>
        <w:spacing w:before="156" w:beforeLines="50" w:line="360" w:lineRule="auto"/>
        <w:ind w:firstLine="480" w:firstLineChars="200"/>
        <w:rPr>
          <w:rFonts w:hint="default" w:ascii="Times New Roman" w:hAnsi="Times New Roman" w:cs="Times New Roman"/>
          <w:color w:val="auto"/>
          <w:sz w:val="24"/>
          <w:highlight w:val="none"/>
        </w:rPr>
        <w:sectPr>
          <w:pgSz w:w="11907" w:h="16840"/>
          <w:pgMar w:top="1531" w:right="1797" w:bottom="1440"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3FD1FFD">
      <w:pPr>
        <w:tabs>
          <w:tab w:val="left" w:pos="2729"/>
        </w:tabs>
        <w:snapToGrid w:val="0"/>
        <w:spacing w:before="156" w:beforeLines="5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综上，项目运营期产生的固体废物产排情况详见表</w:t>
      </w:r>
      <w:r>
        <w:rPr>
          <w:rFonts w:hint="default" w:ascii="Times New Roman" w:hAnsi="Times New Roman" w:cs="Times New Roman"/>
          <w:color w:val="auto"/>
          <w:sz w:val="24"/>
          <w:highlight w:val="none"/>
          <w:lang w:val="en-US" w:eastAsia="zh-CN"/>
        </w:rPr>
        <w:t>3.3.2-13</w:t>
      </w:r>
      <w:r>
        <w:rPr>
          <w:rFonts w:hint="default" w:ascii="Times New Roman" w:hAnsi="Times New Roman" w:cs="Times New Roman"/>
          <w:color w:val="auto"/>
          <w:sz w:val="24"/>
          <w:highlight w:val="none"/>
        </w:rPr>
        <w:t>。</w:t>
      </w:r>
    </w:p>
    <w:p w14:paraId="23CCB60B">
      <w:pPr>
        <w:pStyle w:val="9"/>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3.3.2-13</w:t>
      </w:r>
      <w:r>
        <w:rPr>
          <w:rFonts w:hint="default" w:ascii="Times New Roman" w:hAnsi="Times New Roman" w:cs="Times New Roman"/>
          <w:b/>
          <w:color w:val="auto"/>
          <w:szCs w:val="21"/>
          <w:highlight w:val="none"/>
        </w:rPr>
        <w:t xml:space="preserve">     </w:t>
      </w:r>
      <w:r>
        <w:rPr>
          <w:rFonts w:hint="default" w:ascii="Times New Roman" w:hAnsi="Times New Roman" w:cs="Times New Roman"/>
          <w:b/>
          <w:color w:val="auto"/>
          <w:szCs w:val="21"/>
          <w:highlight w:val="none"/>
          <w:lang w:eastAsia="zh-CN"/>
        </w:rPr>
        <w:t>运营期固体废物产排情况</w:t>
      </w:r>
      <w:r>
        <w:rPr>
          <w:rFonts w:hint="default" w:ascii="Times New Roman" w:hAnsi="Times New Roman" w:cs="Times New Roman"/>
          <w:b/>
          <w:color w:val="auto"/>
          <w:szCs w:val="21"/>
          <w:highlight w:val="none"/>
        </w:rPr>
        <w:t>表</w:t>
      </w:r>
    </w:p>
    <w:tbl>
      <w:tblPr>
        <w:tblStyle w:val="23"/>
        <w:tblW w:w="14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130"/>
        <w:gridCol w:w="1679"/>
        <w:gridCol w:w="1747"/>
        <w:gridCol w:w="1285"/>
        <w:gridCol w:w="1285"/>
        <w:gridCol w:w="3801"/>
        <w:gridCol w:w="1347"/>
        <w:gridCol w:w="1138"/>
      </w:tblGrid>
      <w:tr w14:paraId="7257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5" w:type="dxa"/>
            <w:vAlign w:val="center"/>
          </w:tcPr>
          <w:p w14:paraId="793D98BF">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序号</w:t>
            </w:r>
          </w:p>
        </w:tc>
        <w:tc>
          <w:tcPr>
            <w:tcW w:w="1130" w:type="dxa"/>
            <w:vAlign w:val="center"/>
          </w:tcPr>
          <w:p w14:paraId="7252E32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cs="Times New Roman"/>
                <w:b/>
                <w:color w:val="auto"/>
                <w:sz w:val="18"/>
                <w:szCs w:val="18"/>
                <w:highlight w:val="none"/>
                <w:lang w:eastAsia="zh-CN"/>
              </w:rPr>
              <w:t>污染物</w:t>
            </w:r>
          </w:p>
        </w:tc>
        <w:tc>
          <w:tcPr>
            <w:tcW w:w="1679" w:type="dxa"/>
            <w:vAlign w:val="center"/>
          </w:tcPr>
          <w:p w14:paraId="494BC93F">
            <w:pPr>
              <w:spacing w:line="240" w:lineRule="auto"/>
              <w:ind w:firstLine="0" w:firstLineChars="0"/>
              <w:jc w:val="center"/>
              <w:rPr>
                <w:rFonts w:hint="default" w:ascii="Times New Roman" w:hAnsi="Times New Roman" w:cs="Times New Roman"/>
                <w:b/>
                <w:color w:val="auto"/>
                <w:sz w:val="18"/>
                <w:szCs w:val="18"/>
                <w:highlight w:val="none"/>
                <w:lang w:eastAsia="zh-CN"/>
              </w:rPr>
            </w:pPr>
            <w:r>
              <w:rPr>
                <w:rFonts w:hint="default" w:ascii="Times New Roman" w:hAnsi="Times New Roman" w:eastAsia="宋体" w:cs="Times New Roman"/>
                <w:b w:val="0"/>
                <w:bCs w:val="0"/>
                <w:color w:val="auto"/>
                <w:sz w:val="18"/>
                <w:szCs w:val="18"/>
                <w:lang w:bidi="zh-CN"/>
              </w:rPr>
              <w:t>属性</w:t>
            </w:r>
          </w:p>
        </w:tc>
        <w:tc>
          <w:tcPr>
            <w:tcW w:w="1747" w:type="dxa"/>
            <w:vAlign w:val="center"/>
          </w:tcPr>
          <w:p w14:paraId="76A740E3">
            <w:pPr>
              <w:spacing w:line="240" w:lineRule="auto"/>
              <w:ind w:firstLine="0" w:firstLineChars="0"/>
              <w:jc w:val="center"/>
              <w:rPr>
                <w:rFonts w:hint="default" w:ascii="Times New Roman" w:hAnsi="Times New Roman" w:cs="Times New Roman"/>
                <w:b/>
                <w:color w:val="auto"/>
                <w:sz w:val="18"/>
                <w:szCs w:val="18"/>
                <w:highlight w:val="none"/>
                <w:lang w:eastAsia="zh-CN"/>
              </w:rPr>
            </w:pPr>
            <w:r>
              <w:rPr>
                <w:rFonts w:hint="default" w:ascii="Times New Roman" w:hAnsi="Times New Roman" w:eastAsia="宋体" w:cs="Times New Roman"/>
                <w:b w:val="0"/>
                <w:bCs w:val="0"/>
                <w:color w:val="auto"/>
                <w:sz w:val="18"/>
                <w:szCs w:val="18"/>
                <w:lang w:bidi="zh-CN"/>
              </w:rPr>
              <w:t>类别及代码</w:t>
            </w:r>
          </w:p>
        </w:tc>
        <w:tc>
          <w:tcPr>
            <w:tcW w:w="1285" w:type="dxa"/>
            <w:vAlign w:val="center"/>
          </w:tcPr>
          <w:p w14:paraId="150DBF6A">
            <w:pPr>
              <w:spacing w:line="240" w:lineRule="auto"/>
              <w:ind w:firstLine="0" w:firstLineChars="0"/>
              <w:jc w:val="center"/>
              <w:rPr>
                <w:rFonts w:hint="default" w:ascii="Times New Roman" w:hAnsi="Times New Roman" w:eastAsia="宋体" w:cs="Times New Roman"/>
                <w:b w:val="0"/>
                <w:bCs w:val="0"/>
                <w:color w:val="auto"/>
                <w:sz w:val="18"/>
                <w:szCs w:val="18"/>
                <w:lang w:val="en-US" w:bidi="zh-CN"/>
              </w:rPr>
            </w:pPr>
            <w:r>
              <w:rPr>
                <w:rFonts w:hint="default" w:ascii="Times New Roman" w:hAnsi="Times New Roman" w:eastAsia="宋体" w:cs="Times New Roman"/>
                <w:b w:val="0"/>
                <w:bCs w:val="0"/>
                <w:color w:val="auto"/>
                <w:sz w:val="18"/>
                <w:szCs w:val="18"/>
                <w:lang w:val="en-US" w:bidi="zh-CN"/>
              </w:rPr>
              <w:t>危险特性</w:t>
            </w:r>
          </w:p>
        </w:tc>
        <w:tc>
          <w:tcPr>
            <w:tcW w:w="1285" w:type="dxa"/>
            <w:vAlign w:val="center"/>
          </w:tcPr>
          <w:p w14:paraId="071B6D5A">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lang w:eastAsia="zh-CN"/>
              </w:rPr>
            </w:pPr>
            <w:r>
              <w:rPr>
                <w:rFonts w:hint="default" w:ascii="Times New Roman" w:hAnsi="Times New Roman" w:cs="Times New Roman"/>
                <w:b/>
                <w:color w:val="auto"/>
                <w:sz w:val="18"/>
                <w:szCs w:val="18"/>
                <w:highlight w:val="none"/>
                <w:lang w:eastAsia="zh-CN"/>
              </w:rPr>
              <w:t>产生量</w:t>
            </w:r>
          </w:p>
          <w:p w14:paraId="2B4947E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cs="Times New Roman"/>
                <w:b/>
                <w:color w:val="auto"/>
                <w:sz w:val="18"/>
                <w:szCs w:val="18"/>
                <w:highlight w:val="none"/>
              </w:rPr>
              <w:t>t/a</w:t>
            </w:r>
          </w:p>
        </w:tc>
        <w:tc>
          <w:tcPr>
            <w:tcW w:w="3801" w:type="dxa"/>
            <w:vAlign w:val="center"/>
          </w:tcPr>
          <w:p w14:paraId="77238372">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污染防治措施</w:t>
            </w:r>
          </w:p>
        </w:tc>
        <w:tc>
          <w:tcPr>
            <w:tcW w:w="1347" w:type="dxa"/>
            <w:vAlign w:val="center"/>
          </w:tcPr>
          <w:p w14:paraId="09F0954A">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eastAsia="宋体" w:cs="Times New Roman"/>
                <w:b w:val="0"/>
                <w:bCs w:val="0"/>
                <w:color w:val="auto"/>
                <w:sz w:val="18"/>
                <w:szCs w:val="18"/>
                <w:lang w:bidi="zh-CN"/>
              </w:rPr>
              <w:t>利用或处置量</w:t>
            </w:r>
            <w:r>
              <w:rPr>
                <w:rFonts w:hint="default" w:ascii="Times New Roman" w:hAnsi="Times New Roman" w:cs="Times New Roman"/>
                <w:b/>
                <w:color w:val="auto"/>
                <w:sz w:val="18"/>
                <w:szCs w:val="18"/>
                <w:highlight w:val="none"/>
              </w:rPr>
              <w:t>t/a</w:t>
            </w:r>
          </w:p>
        </w:tc>
        <w:tc>
          <w:tcPr>
            <w:tcW w:w="1138" w:type="dxa"/>
            <w:vAlign w:val="center"/>
          </w:tcPr>
          <w:p w14:paraId="2DB1C51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cs="Times New Roman"/>
                <w:b/>
                <w:color w:val="auto"/>
                <w:sz w:val="18"/>
                <w:szCs w:val="18"/>
                <w:highlight w:val="none"/>
                <w:lang w:eastAsia="zh-CN"/>
              </w:rPr>
              <w:t>处置率</w:t>
            </w:r>
          </w:p>
        </w:tc>
      </w:tr>
      <w:tr w14:paraId="2475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5" w:type="dxa"/>
            <w:vAlign w:val="center"/>
          </w:tcPr>
          <w:p w14:paraId="29626CD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1130" w:type="dxa"/>
            <w:vAlign w:val="center"/>
          </w:tcPr>
          <w:p w14:paraId="154B413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rPr>
              <w:t>猪粪</w:t>
            </w:r>
          </w:p>
        </w:tc>
        <w:tc>
          <w:tcPr>
            <w:tcW w:w="1679" w:type="dxa"/>
            <w:vAlign w:val="center"/>
          </w:tcPr>
          <w:p w14:paraId="7239152A">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b w:val="0"/>
                <w:bCs w:val="0"/>
                <w:color w:val="auto"/>
                <w:sz w:val="18"/>
                <w:szCs w:val="18"/>
                <w:lang w:val="en-US" w:eastAsia="zh-CN" w:bidi="zh-CN"/>
              </w:rPr>
              <w:t>农业固体废物</w:t>
            </w:r>
          </w:p>
        </w:tc>
        <w:tc>
          <w:tcPr>
            <w:tcW w:w="1747" w:type="dxa"/>
            <w:vAlign w:val="center"/>
          </w:tcPr>
          <w:p w14:paraId="2E36F5A7">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lang w:val="en-US" w:bidi="zh-CN"/>
              </w:rPr>
              <w:t>SW82 /</w:t>
            </w:r>
            <w:r>
              <w:rPr>
                <w:rFonts w:hint="default" w:ascii="Times New Roman" w:hAnsi="Times New Roman" w:eastAsia="宋体" w:cs="Times New Roman"/>
                <w:color w:val="auto"/>
                <w:sz w:val="18"/>
                <w:szCs w:val="18"/>
                <w:lang w:bidi="zh-CN"/>
              </w:rPr>
              <w:t>030-001-</w:t>
            </w:r>
            <w:r>
              <w:rPr>
                <w:rFonts w:hint="default" w:ascii="Times New Roman" w:hAnsi="Times New Roman" w:eastAsia="宋体" w:cs="Times New Roman"/>
                <w:color w:val="auto"/>
                <w:sz w:val="18"/>
                <w:szCs w:val="18"/>
                <w:lang w:val="en-US" w:bidi="zh-CN"/>
              </w:rPr>
              <w:t>S82</w:t>
            </w:r>
          </w:p>
        </w:tc>
        <w:tc>
          <w:tcPr>
            <w:tcW w:w="1285" w:type="dxa"/>
            <w:vAlign w:val="center"/>
          </w:tcPr>
          <w:p w14:paraId="3E45FC18">
            <w:pPr>
              <w:spacing w:line="240" w:lineRule="auto"/>
              <w:ind w:firstLine="0" w:firstLineChars="0"/>
              <w:jc w:val="center"/>
              <w:rPr>
                <w:rFonts w:hint="default" w:ascii="Times New Roman" w:hAnsi="Times New Roman" w:cs="Times New Roman"/>
                <w:color w:val="auto"/>
                <w:sz w:val="18"/>
                <w:szCs w:val="18"/>
                <w:lang w:val="en-US" w:bidi="zh-CN"/>
              </w:rPr>
            </w:pPr>
            <w:r>
              <w:rPr>
                <w:rFonts w:hint="default" w:ascii="Times New Roman" w:hAnsi="Times New Roman" w:eastAsia="宋体" w:cs="Times New Roman"/>
                <w:b w:val="0"/>
                <w:bCs w:val="0"/>
                <w:color w:val="auto"/>
                <w:sz w:val="18"/>
                <w:szCs w:val="18"/>
                <w:lang w:bidi="zh-CN"/>
              </w:rPr>
              <w:t>无</w:t>
            </w:r>
          </w:p>
        </w:tc>
        <w:tc>
          <w:tcPr>
            <w:tcW w:w="1285" w:type="dxa"/>
            <w:vAlign w:val="center"/>
          </w:tcPr>
          <w:p w14:paraId="05556BE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1792</w:t>
            </w:r>
          </w:p>
        </w:tc>
        <w:tc>
          <w:tcPr>
            <w:tcW w:w="3801" w:type="dxa"/>
            <w:vAlign w:val="center"/>
          </w:tcPr>
          <w:p w14:paraId="45FAFEFA">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rPr>
              <w:t>干清粪工艺，猪粪收集后进行固液分离，固体粪便清运至</w:t>
            </w:r>
            <w:r>
              <w:rPr>
                <w:rFonts w:hint="default" w:ascii="Times New Roman" w:hAnsi="Times New Roman" w:cs="Times New Roman"/>
                <w:color w:val="auto"/>
                <w:sz w:val="18"/>
                <w:szCs w:val="18"/>
                <w:lang w:val="en-US" w:eastAsia="zh-CN"/>
              </w:rPr>
              <w:t>堆粪棚</w:t>
            </w:r>
            <w:r>
              <w:rPr>
                <w:rFonts w:hint="default" w:ascii="Times New Roman" w:hAnsi="Times New Roman" w:cs="Times New Roman"/>
                <w:color w:val="auto"/>
                <w:sz w:val="18"/>
                <w:szCs w:val="18"/>
              </w:rPr>
              <w:t>，堆肥发酵后用于还田施肥。</w:t>
            </w:r>
          </w:p>
        </w:tc>
        <w:tc>
          <w:tcPr>
            <w:tcW w:w="1347" w:type="dxa"/>
            <w:vAlign w:val="center"/>
          </w:tcPr>
          <w:p w14:paraId="7403C03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lang w:val="en-US" w:eastAsia="zh-CN"/>
              </w:rPr>
              <w:t>1792</w:t>
            </w:r>
          </w:p>
        </w:tc>
        <w:tc>
          <w:tcPr>
            <w:tcW w:w="1138" w:type="dxa"/>
            <w:vMerge w:val="restart"/>
            <w:vAlign w:val="center"/>
          </w:tcPr>
          <w:p w14:paraId="3C7CB5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100%</w:t>
            </w:r>
          </w:p>
        </w:tc>
      </w:tr>
      <w:tr w14:paraId="3E07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5" w:type="dxa"/>
            <w:vAlign w:val="center"/>
          </w:tcPr>
          <w:p w14:paraId="780A11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130" w:type="dxa"/>
            <w:vAlign w:val="center"/>
          </w:tcPr>
          <w:p w14:paraId="6F715410">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病死猪</w:t>
            </w:r>
          </w:p>
        </w:tc>
        <w:tc>
          <w:tcPr>
            <w:tcW w:w="1679" w:type="dxa"/>
            <w:vAlign w:val="center"/>
          </w:tcPr>
          <w:p w14:paraId="13272AD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b w:val="0"/>
                <w:bCs w:val="0"/>
                <w:color w:val="auto"/>
                <w:sz w:val="18"/>
                <w:szCs w:val="18"/>
                <w:lang w:val="en-US" w:eastAsia="zh-CN" w:bidi="zh-CN"/>
              </w:rPr>
              <w:t>农业固体废物</w:t>
            </w:r>
          </w:p>
        </w:tc>
        <w:tc>
          <w:tcPr>
            <w:tcW w:w="1747" w:type="dxa"/>
            <w:vAlign w:val="center"/>
          </w:tcPr>
          <w:p w14:paraId="56BA859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lang w:val="en-US" w:bidi="zh-CN"/>
              </w:rPr>
              <w:t xml:space="preserve">SW82/ </w:t>
            </w:r>
            <w:r>
              <w:rPr>
                <w:rFonts w:hint="default" w:ascii="Times New Roman" w:hAnsi="Times New Roman" w:eastAsia="宋体" w:cs="Times New Roman"/>
                <w:color w:val="auto"/>
                <w:sz w:val="18"/>
                <w:szCs w:val="18"/>
                <w:lang w:bidi="zh-CN"/>
              </w:rPr>
              <w:t>030-00</w:t>
            </w:r>
            <w:r>
              <w:rPr>
                <w:rFonts w:hint="default" w:ascii="Times New Roman" w:hAnsi="Times New Roman" w:eastAsia="宋体" w:cs="Times New Roman"/>
                <w:color w:val="auto"/>
                <w:sz w:val="18"/>
                <w:szCs w:val="18"/>
                <w:lang w:val="en-US" w:bidi="zh-CN"/>
              </w:rPr>
              <w:t>2</w:t>
            </w:r>
            <w:r>
              <w:rPr>
                <w:rFonts w:hint="default" w:ascii="Times New Roman" w:hAnsi="Times New Roman" w:eastAsia="宋体" w:cs="Times New Roman"/>
                <w:color w:val="auto"/>
                <w:sz w:val="18"/>
                <w:szCs w:val="18"/>
                <w:lang w:bidi="zh-CN"/>
              </w:rPr>
              <w:t>-</w:t>
            </w:r>
            <w:r>
              <w:rPr>
                <w:rFonts w:hint="default" w:ascii="Times New Roman" w:hAnsi="Times New Roman" w:eastAsia="宋体" w:cs="Times New Roman"/>
                <w:color w:val="auto"/>
                <w:sz w:val="18"/>
                <w:szCs w:val="18"/>
                <w:lang w:val="en-US" w:bidi="zh-CN"/>
              </w:rPr>
              <w:t>S82</w:t>
            </w:r>
          </w:p>
        </w:tc>
        <w:tc>
          <w:tcPr>
            <w:tcW w:w="1285" w:type="dxa"/>
            <w:vAlign w:val="center"/>
          </w:tcPr>
          <w:p w14:paraId="1D5EEC0C">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eastAsia="宋体" w:cs="Times New Roman"/>
                <w:b w:val="0"/>
                <w:bCs w:val="0"/>
                <w:color w:val="auto"/>
                <w:sz w:val="18"/>
                <w:szCs w:val="18"/>
                <w:lang w:bidi="zh-CN"/>
              </w:rPr>
              <w:t>无</w:t>
            </w:r>
          </w:p>
        </w:tc>
        <w:tc>
          <w:tcPr>
            <w:tcW w:w="1285" w:type="dxa"/>
            <w:vAlign w:val="center"/>
          </w:tcPr>
          <w:p w14:paraId="188DD3B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24</w:t>
            </w:r>
          </w:p>
        </w:tc>
        <w:tc>
          <w:tcPr>
            <w:tcW w:w="3801" w:type="dxa"/>
            <w:vAlign w:val="center"/>
          </w:tcPr>
          <w:p w14:paraId="68A0549D">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人工清运至冷库暂存，定期委托弥勒市北斗星生物科技有限公司进行无害化处置</w:t>
            </w:r>
          </w:p>
        </w:tc>
        <w:tc>
          <w:tcPr>
            <w:tcW w:w="1347" w:type="dxa"/>
            <w:vAlign w:val="center"/>
          </w:tcPr>
          <w:p w14:paraId="1E17157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24</w:t>
            </w:r>
          </w:p>
        </w:tc>
        <w:tc>
          <w:tcPr>
            <w:tcW w:w="1138" w:type="dxa"/>
            <w:vMerge w:val="continue"/>
            <w:vAlign w:val="center"/>
          </w:tcPr>
          <w:p w14:paraId="5BAEC3C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2717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5" w:type="dxa"/>
            <w:vAlign w:val="center"/>
          </w:tcPr>
          <w:p w14:paraId="5C4774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p>
        </w:tc>
        <w:tc>
          <w:tcPr>
            <w:tcW w:w="1130" w:type="dxa"/>
            <w:vAlign w:val="center"/>
          </w:tcPr>
          <w:p w14:paraId="09B69906">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饲料残渣</w:t>
            </w:r>
          </w:p>
        </w:tc>
        <w:tc>
          <w:tcPr>
            <w:tcW w:w="1679" w:type="dxa"/>
            <w:vAlign w:val="center"/>
          </w:tcPr>
          <w:p w14:paraId="6446FC6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b w:val="0"/>
                <w:bCs w:val="0"/>
                <w:color w:val="auto"/>
                <w:sz w:val="18"/>
                <w:szCs w:val="18"/>
                <w:lang w:val="en-US" w:eastAsia="zh-CN" w:bidi="zh-CN"/>
              </w:rPr>
              <w:t>农业固体废物</w:t>
            </w:r>
          </w:p>
        </w:tc>
        <w:tc>
          <w:tcPr>
            <w:tcW w:w="1747" w:type="dxa"/>
            <w:vAlign w:val="center"/>
          </w:tcPr>
          <w:p w14:paraId="406C83C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lang w:val="en-US" w:bidi="zh-CN"/>
              </w:rPr>
              <w:t>SW82 /</w:t>
            </w:r>
            <w:r>
              <w:rPr>
                <w:rFonts w:hint="default" w:ascii="Times New Roman" w:hAnsi="Times New Roman" w:eastAsia="宋体" w:cs="Times New Roman"/>
                <w:color w:val="auto"/>
                <w:sz w:val="18"/>
                <w:szCs w:val="18"/>
                <w:lang w:bidi="zh-CN"/>
              </w:rPr>
              <w:t>030-00</w:t>
            </w:r>
            <w:r>
              <w:rPr>
                <w:rFonts w:hint="default" w:ascii="Times New Roman" w:hAnsi="Times New Roman" w:eastAsia="宋体" w:cs="Times New Roman"/>
                <w:color w:val="auto"/>
                <w:sz w:val="18"/>
                <w:szCs w:val="18"/>
                <w:lang w:val="en-US" w:bidi="zh-CN"/>
              </w:rPr>
              <w:t>3</w:t>
            </w:r>
            <w:r>
              <w:rPr>
                <w:rFonts w:hint="default" w:ascii="Times New Roman" w:hAnsi="Times New Roman" w:eastAsia="宋体" w:cs="Times New Roman"/>
                <w:color w:val="auto"/>
                <w:sz w:val="18"/>
                <w:szCs w:val="18"/>
                <w:lang w:bidi="zh-CN"/>
              </w:rPr>
              <w:t>-</w:t>
            </w:r>
            <w:r>
              <w:rPr>
                <w:rFonts w:hint="default" w:ascii="Times New Roman" w:hAnsi="Times New Roman" w:eastAsia="宋体" w:cs="Times New Roman"/>
                <w:color w:val="auto"/>
                <w:sz w:val="18"/>
                <w:szCs w:val="18"/>
                <w:lang w:val="en-US" w:bidi="zh-CN"/>
              </w:rPr>
              <w:t>S82</w:t>
            </w:r>
          </w:p>
        </w:tc>
        <w:tc>
          <w:tcPr>
            <w:tcW w:w="1285" w:type="dxa"/>
            <w:vAlign w:val="center"/>
          </w:tcPr>
          <w:p w14:paraId="4E24B4A2">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eastAsia="宋体" w:cs="Times New Roman"/>
                <w:b w:val="0"/>
                <w:bCs w:val="0"/>
                <w:color w:val="auto"/>
                <w:sz w:val="18"/>
                <w:szCs w:val="18"/>
                <w:lang w:bidi="zh-CN"/>
              </w:rPr>
              <w:t>无</w:t>
            </w:r>
          </w:p>
        </w:tc>
        <w:tc>
          <w:tcPr>
            <w:tcW w:w="1285" w:type="dxa"/>
            <w:vAlign w:val="center"/>
          </w:tcPr>
          <w:p w14:paraId="76BABA87">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lang w:val="en-US" w:eastAsia="zh-CN"/>
              </w:rPr>
              <w:t>8</w:t>
            </w:r>
          </w:p>
        </w:tc>
        <w:tc>
          <w:tcPr>
            <w:tcW w:w="3801" w:type="dxa"/>
            <w:vAlign w:val="center"/>
          </w:tcPr>
          <w:p w14:paraId="6FF9F897">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通过人工清扫，运至</w:t>
            </w:r>
            <w:r>
              <w:rPr>
                <w:rFonts w:hint="default" w:ascii="Times New Roman" w:hAnsi="Times New Roman" w:cs="Times New Roman"/>
                <w:color w:val="auto"/>
                <w:sz w:val="18"/>
                <w:szCs w:val="18"/>
                <w:lang w:val="en-US" w:eastAsia="zh-CN"/>
              </w:rPr>
              <w:t>堆粪棚</w:t>
            </w:r>
            <w:r>
              <w:rPr>
                <w:rFonts w:hint="default" w:ascii="Times New Roman" w:hAnsi="Times New Roman" w:cs="Times New Roman"/>
                <w:color w:val="auto"/>
                <w:sz w:val="18"/>
                <w:szCs w:val="18"/>
                <w:highlight w:val="none"/>
              </w:rPr>
              <w:t>堆肥</w:t>
            </w:r>
          </w:p>
        </w:tc>
        <w:tc>
          <w:tcPr>
            <w:tcW w:w="1347" w:type="dxa"/>
            <w:vAlign w:val="center"/>
          </w:tcPr>
          <w:p w14:paraId="74858E82">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lang w:val="en-US" w:eastAsia="zh-CN"/>
              </w:rPr>
              <w:t>8</w:t>
            </w:r>
          </w:p>
        </w:tc>
        <w:tc>
          <w:tcPr>
            <w:tcW w:w="1138" w:type="dxa"/>
            <w:vMerge w:val="continue"/>
            <w:vAlign w:val="center"/>
          </w:tcPr>
          <w:p w14:paraId="5951DCF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30E5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5" w:type="dxa"/>
            <w:vAlign w:val="center"/>
          </w:tcPr>
          <w:p w14:paraId="3D9DA6D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w:t>
            </w:r>
          </w:p>
        </w:tc>
        <w:tc>
          <w:tcPr>
            <w:tcW w:w="1130" w:type="dxa"/>
            <w:vAlign w:val="center"/>
          </w:tcPr>
          <w:p w14:paraId="685F3EF5">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防疫固废</w:t>
            </w:r>
          </w:p>
        </w:tc>
        <w:tc>
          <w:tcPr>
            <w:tcW w:w="1679" w:type="dxa"/>
            <w:vAlign w:val="center"/>
          </w:tcPr>
          <w:p w14:paraId="44162FCB">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18"/>
                <w:szCs w:val="18"/>
                <w:lang w:val="en-US" w:eastAsia="zh-CN" w:bidi="zh-CN"/>
              </w:rPr>
            </w:pPr>
            <w:r>
              <w:rPr>
                <w:rFonts w:hint="default" w:ascii="Times New Roman" w:hAnsi="Times New Roman" w:cs="Times New Roman"/>
                <w:b w:val="0"/>
                <w:bCs w:val="0"/>
                <w:color w:val="auto"/>
                <w:sz w:val="18"/>
                <w:szCs w:val="18"/>
                <w:lang w:val="en-US" w:eastAsia="zh-CN" w:bidi="zh-CN"/>
              </w:rPr>
              <w:t>农业固体废物</w:t>
            </w:r>
          </w:p>
        </w:tc>
        <w:tc>
          <w:tcPr>
            <w:tcW w:w="1747" w:type="dxa"/>
            <w:vAlign w:val="center"/>
          </w:tcPr>
          <w:p w14:paraId="6B4E615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lang w:val="en-US" w:bidi="zh-CN"/>
              </w:rPr>
            </w:pPr>
            <w:r>
              <w:rPr>
                <w:rFonts w:hint="default" w:ascii="Times New Roman" w:hAnsi="Times New Roman" w:cs="Times New Roman"/>
                <w:color w:val="auto"/>
                <w:sz w:val="18"/>
                <w:szCs w:val="18"/>
                <w:lang w:val="en-US" w:bidi="zh-CN"/>
              </w:rPr>
              <w:t xml:space="preserve">SW83/ </w:t>
            </w:r>
            <w:r>
              <w:rPr>
                <w:rFonts w:hint="default" w:ascii="Times New Roman" w:hAnsi="Times New Roman" w:eastAsia="宋体" w:cs="Times New Roman"/>
                <w:color w:val="auto"/>
                <w:sz w:val="18"/>
                <w:szCs w:val="18"/>
                <w:lang w:bidi="zh-CN"/>
              </w:rPr>
              <w:t>030-00</w:t>
            </w:r>
            <w:r>
              <w:rPr>
                <w:rFonts w:hint="default" w:ascii="Times New Roman" w:hAnsi="Times New Roman" w:eastAsia="宋体" w:cs="Times New Roman"/>
                <w:color w:val="auto"/>
                <w:sz w:val="18"/>
                <w:szCs w:val="18"/>
                <w:lang w:val="en-US" w:bidi="zh-CN"/>
              </w:rPr>
              <w:t>3</w:t>
            </w:r>
            <w:r>
              <w:rPr>
                <w:rFonts w:hint="default" w:ascii="Times New Roman" w:hAnsi="Times New Roman" w:eastAsia="宋体" w:cs="Times New Roman"/>
                <w:color w:val="auto"/>
                <w:sz w:val="18"/>
                <w:szCs w:val="18"/>
                <w:lang w:bidi="zh-CN"/>
              </w:rPr>
              <w:t>-</w:t>
            </w:r>
            <w:r>
              <w:rPr>
                <w:rFonts w:hint="default" w:ascii="Times New Roman" w:hAnsi="Times New Roman" w:eastAsia="宋体" w:cs="Times New Roman"/>
                <w:color w:val="auto"/>
                <w:sz w:val="18"/>
                <w:szCs w:val="18"/>
                <w:lang w:val="en-US" w:bidi="zh-CN"/>
              </w:rPr>
              <w:t>S82</w:t>
            </w:r>
          </w:p>
        </w:tc>
        <w:tc>
          <w:tcPr>
            <w:tcW w:w="1285" w:type="dxa"/>
            <w:vAlign w:val="center"/>
          </w:tcPr>
          <w:p w14:paraId="7271DEF8">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eastAsia="宋体" w:cs="Times New Roman"/>
                <w:b w:val="0"/>
                <w:bCs w:val="0"/>
                <w:color w:val="auto"/>
                <w:sz w:val="18"/>
                <w:szCs w:val="18"/>
                <w:lang w:bidi="zh-CN"/>
              </w:rPr>
              <w:t>无</w:t>
            </w:r>
          </w:p>
        </w:tc>
        <w:tc>
          <w:tcPr>
            <w:tcW w:w="1285" w:type="dxa"/>
            <w:vAlign w:val="center"/>
          </w:tcPr>
          <w:p w14:paraId="0338E816">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b w:val="0"/>
                <w:bCs w:val="0"/>
                <w:color w:val="auto"/>
                <w:kern w:val="0"/>
                <w:sz w:val="18"/>
                <w:szCs w:val="18"/>
                <w:lang w:val="en-US" w:eastAsia="zh-CN" w:bidi="ar-SA"/>
              </w:rPr>
              <w:t>0.1</w:t>
            </w:r>
          </w:p>
        </w:tc>
        <w:tc>
          <w:tcPr>
            <w:tcW w:w="3801" w:type="dxa"/>
            <w:vAlign w:val="center"/>
          </w:tcPr>
          <w:p w14:paraId="5D2C5DB6">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按照当地动物防疫部门管理要求进行处置</w:t>
            </w:r>
          </w:p>
        </w:tc>
        <w:tc>
          <w:tcPr>
            <w:tcW w:w="1347" w:type="dxa"/>
            <w:vAlign w:val="center"/>
          </w:tcPr>
          <w:p w14:paraId="42B9B215">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b w:val="0"/>
                <w:bCs w:val="0"/>
                <w:color w:val="auto"/>
                <w:kern w:val="0"/>
                <w:sz w:val="18"/>
                <w:szCs w:val="18"/>
                <w:lang w:val="en-US" w:eastAsia="zh-CN" w:bidi="ar-SA"/>
              </w:rPr>
              <w:t>0.1</w:t>
            </w:r>
          </w:p>
        </w:tc>
        <w:tc>
          <w:tcPr>
            <w:tcW w:w="1138" w:type="dxa"/>
            <w:vMerge w:val="continue"/>
            <w:vAlign w:val="center"/>
          </w:tcPr>
          <w:p w14:paraId="7AFC866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53A6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5" w:type="dxa"/>
            <w:vAlign w:val="center"/>
          </w:tcPr>
          <w:p w14:paraId="5876E7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c>
          <w:tcPr>
            <w:tcW w:w="1130" w:type="dxa"/>
            <w:vAlign w:val="center"/>
          </w:tcPr>
          <w:p w14:paraId="72A592A6">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废弃包装材料</w:t>
            </w:r>
          </w:p>
        </w:tc>
        <w:tc>
          <w:tcPr>
            <w:tcW w:w="1679" w:type="dxa"/>
            <w:vAlign w:val="center"/>
          </w:tcPr>
          <w:p w14:paraId="5EC0F768">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b w:val="0"/>
                <w:bCs w:val="0"/>
                <w:color w:val="auto"/>
                <w:sz w:val="18"/>
                <w:szCs w:val="18"/>
                <w:lang w:val="en-US" w:eastAsia="zh-CN" w:bidi="zh-CN"/>
              </w:rPr>
              <w:t>农业固体废物</w:t>
            </w:r>
          </w:p>
        </w:tc>
        <w:tc>
          <w:tcPr>
            <w:tcW w:w="1747" w:type="dxa"/>
            <w:vAlign w:val="center"/>
          </w:tcPr>
          <w:p w14:paraId="4911A56C">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bCs/>
                <w:color w:val="auto"/>
                <w:sz w:val="18"/>
                <w:szCs w:val="18"/>
                <w:lang w:val="en-US" w:eastAsia="zh-CN"/>
              </w:rPr>
              <w:t>SW62 /</w:t>
            </w:r>
            <w:r>
              <w:rPr>
                <w:rFonts w:hint="default" w:ascii="Times New Roman" w:hAnsi="Times New Roman" w:eastAsia="宋体" w:cs="Times New Roman"/>
                <w:bCs/>
                <w:color w:val="auto"/>
                <w:sz w:val="18"/>
                <w:szCs w:val="18"/>
                <w:lang w:val="en-US" w:eastAsia="zh-CN"/>
              </w:rPr>
              <w:t>900-002-S62</w:t>
            </w:r>
          </w:p>
        </w:tc>
        <w:tc>
          <w:tcPr>
            <w:tcW w:w="1285" w:type="dxa"/>
            <w:vAlign w:val="center"/>
          </w:tcPr>
          <w:p w14:paraId="143EAC51">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eastAsia="宋体" w:cs="Times New Roman"/>
                <w:b w:val="0"/>
                <w:bCs w:val="0"/>
                <w:color w:val="auto"/>
                <w:kern w:val="44"/>
                <w:sz w:val="18"/>
                <w:szCs w:val="18"/>
                <w:lang w:bidi="zh-CN"/>
              </w:rPr>
              <w:t>无</w:t>
            </w:r>
          </w:p>
        </w:tc>
        <w:tc>
          <w:tcPr>
            <w:tcW w:w="1285" w:type="dxa"/>
            <w:vAlign w:val="center"/>
          </w:tcPr>
          <w:p w14:paraId="59C8537C">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1.1</w:t>
            </w:r>
          </w:p>
        </w:tc>
        <w:tc>
          <w:tcPr>
            <w:tcW w:w="3801" w:type="dxa"/>
            <w:vAlign w:val="center"/>
          </w:tcPr>
          <w:p w14:paraId="32C852E5">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统一收集定期外卖给废品站</w:t>
            </w:r>
          </w:p>
        </w:tc>
        <w:tc>
          <w:tcPr>
            <w:tcW w:w="1347" w:type="dxa"/>
            <w:vAlign w:val="center"/>
          </w:tcPr>
          <w:p w14:paraId="221576B0">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1.1</w:t>
            </w:r>
          </w:p>
        </w:tc>
        <w:tc>
          <w:tcPr>
            <w:tcW w:w="1138" w:type="dxa"/>
            <w:vMerge w:val="continue"/>
            <w:vAlign w:val="center"/>
          </w:tcPr>
          <w:p w14:paraId="1F73D4C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3C00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5" w:type="dxa"/>
            <w:vAlign w:val="center"/>
          </w:tcPr>
          <w:p w14:paraId="3970AA2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w:t>
            </w:r>
          </w:p>
        </w:tc>
        <w:tc>
          <w:tcPr>
            <w:tcW w:w="1130" w:type="dxa"/>
            <w:vAlign w:val="center"/>
          </w:tcPr>
          <w:p w14:paraId="2CEEEE1B">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废油脂</w:t>
            </w:r>
          </w:p>
        </w:tc>
        <w:tc>
          <w:tcPr>
            <w:tcW w:w="1679" w:type="dxa"/>
            <w:vAlign w:val="center"/>
          </w:tcPr>
          <w:p w14:paraId="0950A118">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eastAsia="宋体" w:cs="Times New Roman"/>
                <w:b w:val="0"/>
                <w:bCs w:val="0"/>
                <w:color w:val="auto"/>
                <w:kern w:val="44"/>
                <w:sz w:val="18"/>
                <w:szCs w:val="18"/>
                <w:lang w:bidi="zh-CN"/>
              </w:rPr>
              <w:t>生活垃圾</w:t>
            </w:r>
          </w:p>
        </w:tc>
        <w:tc>
          <w:tcPr>
            <w:tcW w:w="1747" w:type="dxa"/>
            <w:vAlign w:val="center"/>
          </w:tcPr>
          <w:p w14:paraId="7A6B6451">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bCs/>
                <w:color w:val="auto"/>
                <w:sz w:val="18"/>
                <w:szCs w:val="18"/>
                <w:lang w:val="en-US" w:eastAsia="zh-CN"/>
              </w:rPr>
              <w:t>SW61/</w:t>
            </w:r>
            <w:r>
              <w:rPr>
                <w:rFonts w:hint="default" w:ascii="Times New Roman" w:hAnsi="Times New Roman" w:eastAsia="宋体" w:cs="Times New Roman"/>
                <w:bCs/>
                <w:color w:val="auto"/>
                <w:sz w:val="18"/>
                <w:szCs w:val="18"/>
                <w:lang w:val="en-US" w:eastAsia="zh-CN"/>
              </w:rPr>
              <w:t>900-002-S61</w:t>
            </w:r>
          </w:p>
        </w:tc>
        <w:tc>
          <w:tcPr>
            <w:tcW w:w="1285" w:type="dxa"/>
            <w:vAlign w:val="center"/>
          </w:tcPr>
          <w:p w14:paraId="2DF8A3F9">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eastAsia="宋体" w:cs="Times New Roman"/>
                <w:b w:val="0"/>
                <w:bCs w:val="0"/>
                <w:color w:val="auto"/>
                <w:sz w:val="18"/>
                <w:szCs w:val="18"/>
                <w:lang w:bidi="zh-CN"/>
              </w:rPr>
              <w:t>无</w:t>
            </w:r>
          </w:p>
        </w:tc>
        <w:tc>
          <w:tcPr>
            <w:tcW w:w="1285" w:type="dxa"/>
            <w:vAlign w:val="center"/>
          </w:tcPr>
          <w:p w14:paraId="632AA232">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0.003</w:t>
            </w:r>
          </w:p>
        </w:tc>
        <w:tc>
          <w:tcPr>
            <w:tcW w:w="3801" w:type="dxa"/>
            <w:vAlign w:val="center"/>
          </w:tcPr>
          <w:p w14:paraId="2025C950">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经密闭容器收集，委托有资质单位清运处置</w:t>
            </w:r>
          </w:p>
        </w:tc>
        <w:tc>
          <w:tcPr>
            <w:tcW w:w="1347" w:type="dxa"/>
            <w:vAlign w:val="center"/>
          </w:tcPr>
          <w:p w14:paraId="024615E3">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0.003</w:t>
            </w:r>
          </w:p>
        </w:tc>
        <w:tc>
          <w:tcPr>
            <w:tcW w:w="1138" w:type="dxa"/>
            <w:vMerge w:val="continue"/>
            <w:vAlign w:val="center"/>
          </w:tcPr>
          <w:p w14:paraId="3070F18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407B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5" w:type="dxa"/>
            <w:vAlign w:val="center"/>
          </w:tcPr>
          <w:p w14:paraId="0830546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w:t>
            </w:r>
          </w:p>
        </w:tc>
        <w:tc>
          <w:tcPr>
            <w:tcW w:w="1130" w:type="dxa"/>
            <w:vAlign w:val="center"/>
          </w:tcPr>
          <w:p w14:paraId="5550EC46">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泔水</w:t>
            </w:r>
          </w:p>
        </w:tc>
        <w:tc>
          <w:tcPr>
            <w:tcW w:w="1679" w:type="dxa"/>
            <w:vAlign w:val="center"/>
          </w:tcPr>
          <w:p w14:paraId="3613BAAC">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eastAsia="宋体" w:cs="Times New Roman"/>
                <w:b w:val="0"/>
                <w:bCs w:val="0"/>
                <w:color w:val="auto"/>
                <w:kern w:val="44"/>
                <w:sz w:val="18"/>
                <w:szCs w:val="18"/>
                <w:lang w:bidi="zh-CN"/>
              </w:rPr>
              <w:t>生活垃圾</w:t>
            </w:r>
          </w:p>
        </w:tc>
        <w:tc>
          <w:tcPr>
            <w:tcW w:w="1747" w:type="dxa"/>
            <w:vAlign w:val="center"/>
          </w:tcPr>
          <w:p w14:paraId="19057DAF">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bCs/>
                <w:color w:val="auto"/>
                <w:sz w:val="18"/>
                <w:szCs w:val="18"/>
                <w:lang w:val="en-US" w:eastAsia="zh-CN"/>
              </w:rPr>
              <w:t>SW61/</w:t>
            </w:r>
            <w:r>
              <w:rPr>
                <w:rFonts w:hint="default" w:ascii="Times New Roman" w:hAnsi="Times New Roman" w:eastAsia="宋体" w:cs="Times New Roman"/>
                <w:bCs/>
                <w:color w:val="auto"/>
                <w:sz w:val="18"/>
                <w:szCs w:val="18"/>
                <w:lang w:val="en-US" w:eastAsia="zh-CN"/>
              </w:rPr>
              <w:t>900-002-S61</w:t>
            </w:r>
          </w:p>
        </w:tc>
        <w:tc>
          <w:tcPr>
            <w:tcW w:w="1285" w:type="dxa"/>
            <w:vAlign w:val="center"/>
          </w:tcPr>
          <w:p w14:paraId="7F816B27">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eastAsia="宋体" w:cs="Times New Roman"/>
                <w:b w:val="0"/>
                <w:bCs w:val="0"/>
                <w:color w:val="auto"/>
                <w:sz w:val="18"/>
                <w:szCs w:val="18"/>
                <w:lang w:bidi="zh-CN"/>
              </w:rPr>
              <w:t>无</w:t>
            </w:r>
          </w:p>
        </w:tc>
        <w:tc>
          <w:tcPr>
            <w:tcW w:w="1285" w:type="dxa"/>
            <w:vAlign w:val="center"/>
          </w:tcPr>
          <w:p w14:paraId="59276ACA">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0.876</w:t>
            </w:r>
          </w:p>
        </w:tc>
        <w:tc>
          <w:tcPr>
            <w:tcW w:w="3801" w:type="dxa"/>
            <w:vAlign w:val="center"/>
          </w:tcPr>
          <w:p w14:paraId="4EB45147">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经密闭泔水桶收集后，按照住建部门的相关规定处置。</w:t>
            </w:r>
          </w:p>
        </w:tc>
        <w:tc>
          <w:tcPr>
            <w:tcW w:w="1347" w:type="dxa"/>
            <w:vAlign w:val="center"/>
          </w:tcPr>
          <w:p w14:paraId="2968B128">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0.876</w:t>
            </w:r>
          </w:p>
        </w:tc>
        <w:tc>
          <w:tcPr>
            <w:tcW w:w="1138" w:type="dxa"/>
            <w:vMerge w:val="continue"/>
            <w:vAlign w:val="center"/>
          </w:tcPr>
          <w:p w14:paraId="3DA0C77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3C51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5" w:type="dxa"/>
            <w:vAlign w:val="center"/>
          </w:tcPr>
          <w:p w14:paraId="1C68276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w:t>
            </w:r>
          </w:p>
        </w:tc>
        <w:tc>
          <w:tcPr>
            <w:tcW w:w="1130" w:type="dxa"/>
            <w:vAlign w:val="center"/>
          </w:tcPr>
          <w:p w14:paraId="147729BF">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化粪池污泥</w:t>
            </w:r>
          </w:p>
        </w:tc>
        <w:tc>
          <w:tcPr>
            <w:tcW w:w="1679" w:type="dxa"/>
            <w:vAlign w:val="center"/>
          </w:tcPr>
          <w:p w14:paraId="692E643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eastAsia="zh-CN"/>
              </w:rPr>
            </w:pPr>
            <w:r>
              <w:rPr>
                <w:rFonts w:hint="default" w:ascii="Times New Roman" w:hAnsi="Times New Roman" w:eastAsia="宋体" w:cs="Times New Roman"/>
                <w:b w:val="0"/>
                <w:bCs w:val="0"/>
                <w:color w:val="auto"/>
                <w:kern w:val="44"/>
                <w:sz w:val="18"/>
                <w:szCs w:val="18"/>
                <w:lang w:bidi="zh-CN"/>
              </w:rPr>
              <w:t>生活垃圾</w:t>
            </w:r>
          </w:p>
        </w:tc>
        <w:tc>
          <w:tcPr>
            <w:tcW w:w="1747" w:type="dxa"/>
            <w:vAlign w:val="center"/>
          </w:tcPr>
          <w:p w14:paraId="7FEC3B2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bCs/>
                <w:color w:val="auto"/>
                <w:sz w:val="18"/>
                <w:szCs w:val="18"/>
                <w:lang w:val="en-US" w:eastAsia="zh-CN"/>
              </w:rPr>
              <w:t xml:space="preserve">SW64/ </w:t>
            </w:r>
            <w:r>
              <w:rPr>
                <w:rFonts w:hint="default" w:ascii="Times New Roman" w:hAnsi="Times New Roman" w:cs="Times New Roman"/>
                <w:color w:val="auto"/>
                <w:sz w:val="18"/>
                <w:szCs w:val="18"/>
                <w:highlight w:val="none"/>
                <w:lang w:eastAsia="zh-CN"/>
              </w:rPr>
              <w:t>900-002-S64</w:t>
            </w:r>
          </w:p>
        </w:tc>
        <w:tc>
          <w:tcPr>
            <w:tcW w:w="1285" w:type="dxa"/>
            <w:vAlign w:val="center"/>
          </w:tcPr>
          <w:p w14:paraId="308A0D55">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eastAsia="宋体" w:cs="Times New Roman"/>
                <w:b w:val="0"/>
                <w:bCs w:val="0"/>
                <w:color w:val="auto"/>
                <w:sz w:val="18"/>
                <w:szCs w:val="18"/>
                <w:lang w:bidi="zh-CN"/>
              </w:rPr>
              <w:t>无</w:t>
            </w:r>
          </w:p>
        </w:tc>
        <w:tc>
          <w:tcPr>
            <w:tcW w:w="1285" w:type="dxa"/>
            <w:vAlign w:val="center"/>
          </w:tcPr>
          <w:p w14:paraId="3B7E12A2">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0.39</w:t>
            </w:r>
          </w:p>
        </w:tc>
        <w:tc>
          <w:tcPr>
            <w:tcW w:w="3801" w:type="dxa"/>
            <w:vAlign w:val="center"/>
          </w:tcPr>
          <w:p w14:paraId="3524B7CC">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定期清掏后作为</w:t>
            </w:r>
            <w:r>
              <w:rPr>
                <w:rFonts w:hint="default" w:ascii="Times New Roman" w:hAnsi="Times New Roman" w:cs="Times New Roman"/>
                <w:color w:val="auto"/>
                <w:sz w:val="18"/>
                <w:szCs w:val="18"/>
                <w:highlight w:val="none"/>
                <w:lang w:eastAsia="zh-CN"/>
              </w:rPr>
              <w:t>绿化及</w:t>
            </w:r>
            <w:r>
              <w:rPr>
                <w:rFonts w:hint="default" w:ascii="Times New Roman" w:hAnsi="Times New Roman" w:cs="Times New Roman"/>
                <w:color w:val="auto"/>
                <w:sz w:val="18"/>
                <w:szCs w:val="18"/>
                <w:highlight w:val="none"/>
              </w:rPr>
              <w:t>农田施肥使用</w:t>
            </w:r>
          </w:p>
        </w:tc>
        <w:tc>
          <w:tcPr>
            <w:tcW w:w="1347" w:type="dxa"/>
            <w:vAlign w:val="center"/>
          </w:tcPr>
          <w:p w14:paraId="5FD717D4">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0.39</w:t>
            </w:r>
          </w:p>
        </w:tc>
        <w:tc>
          <w:tcPr>
            <w:tcW w:w="1138" w:type="dxa"/>
            <w:vMerge w:val="continue"/>
            <w:vAlign w:val="center"/>
          </w:tcPr>
          <w:p w14:paraId="6822BB4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29D0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5" w:type="dxa"/>
            <w:vAlign w:val="center"/>
          </w:tcPr>
          <w:p w14:paraId="36BAECF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w:t>
            </w:r>
          </w:p>
        </w:tc>
        <w:tc>
          <w:tcPr>
            <w:tcW w:w="1130" w:type="dxa"/>
            <w:vAlign w:val="center"/>
          </w:tcPr>
          <w:p w14:paraId="2BF661E6">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生活垃圾</w:t>
            </w:r>
          </w:p>
        </w:tc>
        <w:tc>
          <w:tcPr>
            <w:tcW w:w="1679" w:type="dxa"/>
            <w:vAlign w:val="center"/>
          </w:tcPr>
          <w:p w14:paraId="49008304">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eastAsia="宋体" w:cs="Times New Roman"/>
                <w:b w:val="0"/>
                <w:bCs w:val="0"/>
                <w:color w:val="auto"/>
                <w:kern w:val="44"/>
                <w:sz w:val="18"/>
                <w:szCs w:val="18"/>
                <w:lang w:bidi="zh-CN"/>
              </w:rPr>
              <w:t>生活垃圾</w:t>
            </w:r>
          </w:p>
        </w:tc>
        <w:tc>
          <w:tcPr>
            <w:tcW w:w="1747" w:type="dxa"/>
            <w:vAlign w:val="center"/>
          </w:tcPr>
          <w:p w14:paraId="6B6E6218">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bCs/>
                <w:color w:val="auto"/>
                <w:sz w:val="18"/>
                <w:szCs w:val="18"/>
                <w:lang w:val="en-US" w:eastAsia="zh-CN"/>
              </w:rPr>
              <w:t xml:space="preserve">SW64/ </w:t>
            </w:r>
            <w:r>
              <w:rPr>
                <w:rFonts w:hint="default" w:ascii="Times New Roman" w:hAnsi="Times New Roman" w:eastAsia="宋体" w:cs="Times New Roman"/>
                <w:bCs/>
                <w:color w:val="auto"/>
                <w:sz w:val="18"/>
                <w:szCs w:val="18"/>
                <w:lang w:val="en-US" w:eastAsia="zh-CN"/>
              </w:rPr>
              <w:t>900-099-S64</w:t>
            </w:r>
          </w:p>
        </w:tc>
        <w:tc>
          <w:tcPr>
            <w:tcW w:w="1285" w:type="dxa"/>
            <w:vAlign w:val="center"/>
          </w:tcPr>
          <w:p w14:paraId="15A0F9F6">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eastAsia="宋体" w:cs="Times New Roman"/>
                <w:b w:val="0"/>
                <w:bCs w:val="0"/>
                <w:color w:val="auto"/>
                <w:sz w:val="18"/>
                <w:szCs w:val="18"/>
                <w:lang w:bidi="zh-CN"/>
              </w:rPr>
              <w:t>无</w:t>
            </w:r>
          </w:p>
        </w:tc>
        <w:tc>
          <w:tcPr>
            <w:tcW w:w="1285" w:type="dxa"/>
            <w:vAlign w:val="center"/>
          </w:tcPr>
          <w:p w14:paraId="47A08138">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2.</w:t>
            </w:r>
            <w:r>
              <w:rPr>
                <w:rFonts w:hint="default" w:ascii="Times New Roman" w:hAnsi="Times New Roman" w:cs="Times New Roman"/>
                <w:bCs/>
                <w:color w:val="auto"/>
                <w:sz w:val="18"/>
                <w:szCs w:val="18"/>
                <w:highlight w:val="none"/>
                <w:lang w:val="en-US" w:eastAsia="zh-CN"/>
              </w:rPr>
              <w:t>19</w:t>
            </w:r>
          </w:p>
        </w:tc>
        <w:tc>
          <w:tcPr>
            <w:tcW w:w="3801" w:type="dxa"/>
            <w:vAlign w:val="center"/>
          </w:tcPr>
          <w:p w14:paraId="31C1D5E0">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垃圾桶统一收集后，并运至</w:t>
            </w:r>
            <w:r>
              <w:rPr>
                <w:rFonts w:hint="default" w:ascii="Times New Roman" w:hAnsi="Times New Roman" w:cs="Times New Roman"/>
                <w:bCs/>
                <w:color w:val="auto"/>
                <w:sz w:val="18"/>
                <w:szCs w:val="18"/>
                <w:highlight w:val="none"/>
                <w:lang w:val="en-US" w:eastAsia="zh-CN"/>
              </w:rPr>
              <w:t>猴街</w:t>
            </w:r>
            <w:r>
              <w:rPr>
                <w:rFonts w:hint="default" w:ascii="Times New Roman" w:hAnsi="Times New Roman" w:cs="Times New Roman"/>
                <w:bCs/>
                <w:color w:val="auto"/>
                <w:sz w:val="18"/>
                <w:szCs w:val="18"/>
                <w:highlight w:val="none"/>
              </w:rPr>
              <w:t>村</w:t>
            </w:r>
            <w:r>
              <w:rPr>
                <w:rFonts w:hint="default" w:ascii="Times New Roman" w:hAnsi="Times New Roman" w:cs="Times New Roman"/>
                <w:color w:val="auto"/>
                <w:sz w:val="18"/>
                <w:szCs w:val="18"/>
                <w:highlight w:val="none"/>
              </w:rPr>
              <w:t>统一的垃圾收集点，由环卫部门清运处置</w:t>
            </w:r>
          </w:p>
        </w:tc>
        <w:tc>
          <w:tcPr>
            <w:tcW w:w="1347" w:type="dxa"/>
            <w:vAlign w:val="center"/>
          </w:tcPr>
          <w:p w14:paraId="70931ECF">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2.</w:t>
            </w:r>
            <w:r>
              <w:rPr>
                <w:rFonts w:hint="default" w:ascii="Times New Roman" w:hAnsi="Times New Roman" w:cs="Times New Roman"/>
                <w:bCs/>
                <w:color w:val="auto"/>
                <w:sz w:val="18"/>
                <w:szCs w:val="18"/>
                <w:highlight w:val="none"/>
                <w:lang w:val="en-US" w:eastAsia="zh-CN"/>
              </w:rPr>
              <w:t>19</w:t>
            </w:r>
          </w:p>
        </w:tc>
        <w:tc>
          <w:tcPr>
            <w:tcW w:w="1138" w:type="dxa"/>
            <w:vMerge w:val="continue"/>
            <w:vAlign w:val="center"/>
          </w:tcPr>
          <w:p w14:paraId="5F4A1DD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45FD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5" w:type="dxa"/>
            <w:vAlign w:val="center"/>
          </w:tcPr>
          <w:p w14:paraId="156E265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1130" w:type="dxa"/>
            <w:vAlign w:val="center"/>
          </w:tcPr>
          <w:p w14:paraId="1698FD3E">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废机油</w:t>
            </w:r>
          </w:p>
        </w:tc>
        <w:tc>
          <w:tcPr>
            <w:tcW w:w="1679" w:type="dxa"/>
            <w:vAlign w:val="center"/>
          </w:tcPr>
          <w:p w14:paraId="41B04DE6">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eastAsia="宋体" w:cs="Times New Roman"/>
                <w:b w:val="0"/>
                <w:bCs w:val="0"/>
                <w:color w:val="auto"/>
                <w:sz w:val="18"/>
                <w:szCs w:val="18"/>
                <w:lang w:bidi="zh-CN"/>
              </w:rPr>
              <w:t>危险废物</w:t>
            </w:r>
          </w:p>
        </w:tc>
        <w:tc>
          <w:tcPr>
            <w:tcW w:w="1747" w:type="dxa"/>
            <w:vAlign w:val="center"/>
          </w:tcPr>
          <w:p w14:paraId="38A94C42">
            <w:pPr>
              <w:spacing w:line="240" w:lineRule="auto"/>
              <w:ind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eastAsia="宋体" w:cs="Times New Roman"/>
                <w:b w:val="0"/>
                <w:bCs w:val="0"/>
                <w:color w:val="auto"/>
                <w:kern w:val="44"/>
                <w:sz w:val="18"/>
                <w:szCs w:val="18"/>
                <w:lang w:bidi="zh-CN"/>
              </w:rPr>
              <w:t>HW08/900-214-08</w:t>
            </w:r>
          </w:p>
        </w:tc>
        <w:tc>
          <w:tcPr>
            <w:tcW w:w="1285" w:type="dxa"/>
            <w:vAlign w:val="center"/>
          </w:tcPr>
          <w:p w14:paraId="611DE4A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rPr>
              <w:t>T、I</w:t>
            </w:r>
          </w:p>
        </w:tc>
        <w:tc>
          <w:tcPr>
            <w:tcW w:w="1285" w:type="dxa"/>
            <w:vAlign w:val="center"/>
          </w:tcPr>
          <w:p w14:paraId="291844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w:t>
            </w:r>
          </w:p>
        </w:tc>
        <w:tc>
          <w:tcPr>
            <w:tcW w:w="3801" w:type="dxa"/>
            <w:vAlign w:val="center"/>
          </w:tcPr>
          <w:p w14:paraId="310F1144">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设专用密闭容器收集后，暂存至危废暂存间，委托相关资质单位处置。</w:t>
            </w:r>
          </w:p>
        </w:tc>
        <w:tc>
          <w:tcPr>
            <w:tcW w:w="1347" w:type="dxa"/>
            <w:vAlign w:val="center"/>
          </w:tcPr>
          <w:p w14:paraId="18056D8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0.1</w:t>
            </w:r>
          </w:p>
        </w:tc>
        <w:tc>
          <w:tcPr>
            <w:tcW w:w="1138" w:type="dxa"/>
            <w:vMerge w:val="continue"/>
            <w:vAlign w:val="center"/>
          </w:tcPr>
          <w:p w14:paraId="2A99F23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bl>
    <w:p w14:paraId="780FCC80">
      <w:pPr>
        <w:tabs>
          <w:tab w:val="left" w:pos="2729"/>
        </w:tabs>
        <w:snapToGrid w:val="0"/>
        <w:spacing w:before="156" w:beforeLines="50" w:line="360" w:lineRule="auto"/>
        <w:ind w:firstLine="480" w:firstLineChars="200"/>
        <w:rPr>
          <w:rFonts w:hint="default" w:ascii="Times New Roman" w:hAnsi="Times New Roman" w:cs="Times New Roman"/>
          <w:color w:val="auto"/>
          <w:sz w:val="24"/>
          <w:highlight w:val="none"/>
        </w:rPr>
      </w:pPr>
    </w:p>
    <w:p w14:paraId="72B0A16D">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sectPr>
          <w:pgSz w:w="16840" w:h="11907" w:orient="landscape"/>
          <w:pgMar w:top="1531" w:right="1531" w:bottom="1797"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66A067E">
      <w:pPr>
        <w:pStyle w:val="3"/>
        <w:tabs>
          <w:tab w:val="left" w:pos="420"/>
        </w:tabs>
        <w:spacing w:before="156" w:beforeLines="50" w:after="0"/>
        <w:rPr>
          <w:rStyle w:val="34"/>
          <w:rFonts w:hint="default" w:ascii="Times New Roman" w:hAnsi="Times New Roman" w:cs="Times New Roman"/>
          <w:b w:val="0"/>
          <w:bCs w:val="0"/>
          <w:color w:val="auto"/>
          <w:sz w:val="24"/>
          <w:highlight w:val="none"/>
        </w:rPr>
      </w:pPr>
      <w:bookmarkStart w:id="205" w:name="_Toc13960"/>
      <w:bookmarkStart w:id="206" w:name="_Toc25119"/>
      <w:bookmarkStart w:id="207" w:name="_Toc30578"/>
      <w:bookmarkStart w:id="208" w:name="_Toc600"/>
      <w:r>
        <w:rPr>
          <w:rStyle w:val="34"/>
          <w:rFonts w:hint="default" w:ascii="Times New Roman" w:hAnsi="Times New Roman" w:cs="Times New Roman"/>
          <w:b w:val="0"/>
          <w:bCs w:val="0"/>
          <w:color w:val="auto"/>
          <w:sz w:val="24"/>
          <w:highlight w:val="none"/>
        </w:rPr>
        <w:t>3.</w:t>
      </w:r>
      <w:r>
        <w:rPr>
          <w:rStyle w:val="34"/>
          <w:rFonts w:hint="default" w:ascii="Times New Roman" w:hAnsi="Times New Roman" w:cs="Times New Roman"/>
          <w:b w:val="0"/>
          <w:bCs w:val="0"/>
          <w:color w:val="auto"/>
          <w:sz w:val="24"/>
          <w:highlight w:val="none"/>
          <w:lang w:val="en-US"/>
        </w:rPr>
        <w:t>4</w:t>
      </w:r>
      <w:r>
        <w:rPr>
          <w:rStyle w:val="34"/>
          <w:rFonts w:hint="default" w:ascii="Times New Roman" w:hAnsi="Times New Roman" w:cs="Times New Roman"/>
          <w:b w:val="0"/>
          <w:bCs w:val="0"/>
          <w:color w:val="auto"/>
          <w:sz w:val="24"/>
          <w:highlight w:val="none"/>
        </w:rPr>
        <w:t>建设项目污染物排放汇总</w:t>
      </w:r>
      <w:bookmarkEnd w:id="205"/>
      <w:bookmarkEnd w:id="206"/>
      <w:bookmarkEnd w:id="207"/>
      <w:bookmarkEnd w:id="208"/>
    </w:p>
    <w:p w14:paraId="6D19D365">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项目污染物产生及排放情况汇总见表</w:t>
      </w:r>
      <w:r>
        <w:rPr>
          <w:rFonts w:hint="default" w:ascii="Times New Roman" w:hAnsi="Times New Roman" w:cs="Times New Roman"/>
          <w:color w:val="auto"/>
          <w:sz w:val="24"/>
          <w:highlight w:val="none"/>
          <w:lang w:val="en-US" w:eastAsia="zh-CN"/>
        </w:rPr>
        <w:t>3.4</w:t>
      </w:r>
      <w:r>
        <w:rPr>
          <w:rFonts w:hint="default" w:ascii="Times New Roman" w:hAnsi="Times New Roman" w:cs="Times New Roman"/>
          <w:color w:val="auto"/>
          <w:sz w:val="24"/>
          <w:highlight w:val="none"/>
        </w:rPr>
        <w:t>-1。</w:t>
      </w:r>
    </w:p>
    <w:p w14:paraId="3D645CDA">
      <w:pPr>
        <w:snapToGrid w:val="0"/>
        <w:jc w:val="center"/>
        <w:rPr>
          <w:rFonts w:hint="default" w:ascii="Times New Roman" w:hAnsi="Times New Roman" w:cs="Times New Roman"/>
          <w:b/>
          <w:color w:val="auto"/>
          <w:szCs w:val="21"/>
          <w:highlight w:val="none"/>
        </w:rPr>
        <w:sectPr>
          <w:pgSz w:w="11907" w:h="16840"/>
          <w:pgMar w:top="1531" w:right="1797" w:bottom="1440"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92B542A">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3.4</w:t>
      </w:r>
      <w:r>
        <w:rPr>
          <w:rFonts w:hint="default" w:ascii="Times New Roman" w:hAnsi="Times New Roman" w:cs="Times New Roman"/>
          <w:b/>
          <w:color w:val="auto"/>
          <w:szCs w:val="21"/>
          <w:highlight w:val="none"/>
        </w:rPr>
        <w:t>-1   项目污染物产生及排放情况一览表</w:t>
      </w:r>
    </w:p>
    <w:tbl>
      <w:tblPr>
        <w:tblStyle w:val="23"/>
        <w:tblW w:w="13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614"/>
        <w:gridCol w:w="1916"/>
        <w:gridCol w:w="1404"/>
        <w:gridCol w:w="4990"/>
        <w:gridCol w:w="2209"/>
      </w:tblGrid>
      <w:tr w14:paraId="01F7F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6" w:type="dxa"/>
            <w:vAlign w:val="center"/>
          </w:tcPr>
          <w:p w14:paraId="70E7B16D">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污染物种类</w:t>
            </w:r>
          </w:p>
        </w:tc>
        <w:tc>
          <w:tcPr>
            <w:tcW w:w="1614" w:type="dxa"/>
            <w:vAlign w:val="center"/>
          </w:tcPr>
          <w:p w14:paraId="021EF206">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污染源</w:t>
            </w:r>
          </w:p>
        </w:tc>
        <w:tc>
          <w:tcPr>
            <w:tcW w:w="1916" w:type="dxa"/>
            <w:vAlign w:val="center"/>
          </w:tcPr>
          <w:p w14:paraId="264BD024">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污染因子</w:t>
            </w:r>
          </w:p>
        </w:tc>
        <w:tc>
          <w:tcPr>
            <w:tcW w:w="1404" w:type="dxa"/>
            <w:vAlign w:val="center"/>
          </w:tcPr>
          <w:p w14:paraId="458847C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18"/>
                <w:szCs w:val="18"/>
                <w:highlight w:val="none"/>
                <w:lang w:eastAsia="zh-CN"/>
              </w:rPr>
            </w:pPr>
            <w:r>
              <w:rPr>
                <w:rFonts w:hint="default" w:ascii="Times New Roman" w:hAnsi="Times New Roman" w:cs="Times New Roman"/>
                <w:b/>
                <w:bCs w:val="0"/>
                <w:color w:val="auto"/>
                <w:sz w:val="18"/>
                <w:szCs w:val="18"/>
                <w:highlight w:val="none"/>
              </w:rPr>
              <w:t>产生量</w:t>
            </w:r>
            <w:r>
              <w:rPr>
                <w:rFonts w:hint="default" w:ascii="Times New Roman" w:hAnsi="Times New Roman" w:cs="Times New Roman"/>
                <w:b/>
                <w:bCs w:val="0"/>
                <w:color w:val="auto"/>
                <w:sz w:val="18"/>
                <w:szCs w:val="18"/>
                <w:highlight w:val="none"/>
                <w:lang w:eastAsia="zh-CN"/>
              </w:rPr>
              <w:t>（</w:t>
            </w:r>
            <w:r>
              <w:rPr>
                <w:rFonts w:hint="default" w:ascii="Times New Roman" w:hAnsi="Times New Roman" w:cs="Times New Roman"/>
                <w:b/>
                <w:bCs w:val="0"/>
                <w:color w:val="auto"/>
                <w:sz w:val="18"/>
                <w:szCs w:val="18"/>
                <w:highlight w:val="none"/>
              </w:rPr>
              <w:t>t/a</w:t>
            </w:r>
            <w:r>
              <w:rPr>
                <w:rFonts w:hint="default" w:ascii="Times New Roman" w:hAnsi="Times New Roman" w:cs="Times New Roman"/>
                <w:b/>
                <w:bCs w:val="0"/>
                <w:color w:val="auto"/>
                <w:sz w:val="18"/>
                <w:szCs w:val="18"/>
                <w:highlight w:val="none"/>
                <w:lang w:eastAsia="zh-CN"/>
              </w:rPr>
              <w:t>）</w:t>
            </w:r>
          </w:p>
        </w:tc>
        <w:tc>
          <w:tcPr>
            <w:tcW w:w="4990" w:type="dxa"/>
            <w:vAlign w:val="center"/>
          </w:tcPr>
          <w:p w14:paraId="081A15E7">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18"/>
                <w:szCs w:val="18"/>
                <w:highlight w:val="none"/>
              </w:rPr>
            </w:pPr>
            <w:r>
              <w:rPr>
                <w:rFonts w:hint="default" w:ascii="Times New Roman" w:hAnsi="Times New Roman" w:cs="Times New Roman"/>
                <w:b/>
                <w:bCs w:val="0"/>
                <w:color w:val="auto"/>
                <w:sz w:val="18"/>
                <w:szCs w:val="18"/>
                <w:highlight w:val="none"/>
              </w:rPr>
              <w:t>处置措施</w:t>
            </w:r>
          </w:p>
        </w:tc>
        <w:tc>
          <w:tcPr>
            <w:tcW w:w="2209" w:type="dxa"/>
            <w:vAlign w:val="center"/>
          </w:tcPr>
          <w:p w14:paraId="0BB18CAC">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18"/>
                <w:szCs w:val="18"/>
                <w:highlight w:val="none"/>
              </w:rPr>
            </w:pPr>
            <w:r>
              <w:rPr>
                <w:rFonts w:hint="default" w:ascii="Times New Roman" w:hAnsi="Times New Roman" w:cs="Times New Roman"/>
                <w:b/>
                <w:bCs w:val="0"/>
                <w:color w:val="auto"/>
                <w:sz w:val="18"/>
                <w:szCs w:val="18"/>
                <w:highlight w:val="none"/>
              </w:rPr>
              <w:t>排放量</w:t>
            </w:r>
            <w:r>
              <w:rPr>
                <w:rFonts w:hint="default" w:ascii="Times New Roman" w:hAnsi="Times New Roman" w:cs="Times New Roman"/>
                <w:b/>
                <w:bCs w:val="0"/>
                <w:color w:val="auto"/>
                <w:sz w:val="18"/>
                <w:szCs w:val="18"/>
                <w:highlight w:val="none"/>
                <w:lang w:eastAsia="zh-CN"/>
              </w:rPr>
              <w:t>（</w:t>
            </w:r>
            <w:r>
              <w:rPr>
                <w:rFonts w:hint="default" w:ascii="Times New Roman" w:hAnsi="Times New Roman" w:cs="Times New Roman"/>
                <w:b/>
                <w:bCs w:val="0"/>
                <w:color w:val="auto"/>
                <w:sz w:val="18"/>
                <w:szCs w:val="18"/>
                <w:highlight w:val="none"/>
              </w:rPr>
              <w:t>t/a</w:t>
            </w:r>
            <w:r>
              <w:rPr>
                <w:rFonts w:hint="default" w:ascii="Times New Roman" w:hAnsi="Times New Roman" w:cs="Times New Roman"/>
                <w:b/>
                <w:bCs w:val="0"/>
                <w:color w:val="auto"/>
                <w:sz w:val="18"/>
                <w:szCs w:val="18"/>
                <w:highlight w:val="none"/>
                <w:lang w:eastAsia="zh-CN"/>
              </w:rPr>
              <w:t>）</w:t>
            </w:r>
          </w:p>
        </w:tc>
      </w:tr>
      <w:tr w14:paraId="1003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restart"/>
            <w:vAlign w:val="center"/>
          </w:tcPr>
          <w:p w14:paraId="1D1DD53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w:t>
            </w:r>
          </w:p>
        </w:tc>
        <w:tc>
          <w:tcPr>
            <w:tcW w:w="1614" w:type="dxa"/>
            <w:vMerge w:val="restart"/>
            <w:vAlign w:val="center"/>
          </w:tcPr>
          <w:p w14:paraId="4F89B1E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猪舍</w:t>
            </w:r>
          </w:p>
        </w:tc>
        <w:tc>
          <w:tcPr>
            <w:tcW w:w="1916" w:type="dxa"/>
            <w:vAlign w:val="center"/>
          </w:tcPr>
          <w:p w14:paraId="39CD442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p>
        </w:tc>
        <w:tc>
          <w:tcPr>
            <w:tcW w:w="1404" w:type="dxa"/>
            <w:vAlign w:val="center"/>
          </w:tcPr>
          <w:p w14:paraId="5B96E696">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0.656</w:t>
            </w:r>
          </w:p>
        </w:tc>
        <w:tc>
          <w:tcPr>
            <w:tcW w:w="4990" w:type="dxa"/>
            <w:vMerge w:val="restart"/>
            <w:vAlign w:val="center"/>
          </w:tcPr>
          <w:p w14:paraId="05AE704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日粮中投放益生菌、EM活菌剂等，日粮充分混合均匀后喂养；猪舍进行喷洒微生物除臭剂，猪舍周边种植绿化树</w:t>
            </w:r>
          </w:p>
        </w:tc>
        <w:tc>
          <w:tcPr>
            <w:tcW w:w="2209" w:type="dxa"/>
            <w:vAlign w:val="center"/>
          </w:tcPr>
          <w:p w14:paraId="28074DF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24</w:t>
            </w:r>
          </w:p>
        </w:tc>
      </w:tr>
      <w:tr w14:paraId="507A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3314172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continue"/>
            <w:vAlign w:val="center"/>
          </w:tcPr>
          <w:p w14:paraId="4A40494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16" w:type="dxa"/>
            <w:vAlign w:val="center"/>
          </w:tcPr>
          <w:p w14:paraId="7F1C19F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t>
            </w:r>
            <w:r>
              <w:rPr>
                <w:rFonts w:hint="default" w:ascii="Times New Roman" w:hAnsi="Times New Roman" w:cs="Times New Roman"/>
                <w:color w:val="auto"/>
                <w:sz w:val="18"/>
                <w:szCs w:val="18"/>
                <w:highlight w:val="none"/>
                <w:vertAlign w:val="subscript"/>
              </w:rPr>
              <w:t>2</w:t>
            </w:r>
            <w:r>
              <w:rPr>
                <w:rFonts w:hint="default" w:ascii="Times New Roman" w:hAnsi="Times New Roman" w:cs="Times New Roman"/>
                <w:color w:val="auto"/>
                <w:sz w:val="18"/>
                <w:szCs w:val="18"/>
                <w:highlight w:val="none"/>
              </w:rPr>
              <w:t>S</w:t>
            </w:r>
          </w:p>
        </w:tc>
        <w:tc>
          <w:tcPr>
            <w:tcW w:w="1404" w:type="dxa"/>
            <w:vAlign w:val="center"/>
          </w:tcPr>
          <w:p w14:paraId="3F9D512B">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0656</w:t>
            </w:r>
          </w:p>
        </w:tc>
        <w:tc>
          <w:tcPr>
            <w:tcW w:w="4990" w:type="dxa"/>
            <w:vMerge w:val="continue"/>
            <w:vAlign w:val="center"/>
          </w:tcPr>
          <w:p w14:paraId="5A00FDD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209" w:type="dxa"/>
            <w:vAlign w:val="center"/>
          </w:tcPr>
          <w:p w14:paraId="548E125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361</w:t>
            </w:r>
          </w:p>
        </w:tc>
      </w:tr>
      <w:tr w14:paraId="6940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1EA1D59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restart"/>
            <w:vAlign w:val="center"/>
          </w:tcPr>
          <w:p w14:paraId="157CA5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废水收集池</w:t>
            </w:r>
          </w:p>
        </w:tc>
        <w:tc>
          <w:tcPr>
            <w:tcW w:w="1916" w:type="dxa"/>
            <w:vAlign w:val="center"/>
          </w:tcPr>
          <w:p w14:paraId="77AE60B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p>
        </w:tc>
        <w:tc>
          <w:tcPr>
            <w:tcW w:w="1404" w:type="dxa"/>
            <w:vAlign w:val="center"/>
          </w:tcPr>
          <w:p w14:paraId="0A794235">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w:t>
            </w:r>
            <w:r>
              <w:rPr>
                <w:rFonts w:hint="default" w:ascii="Times New Roman" w:hAnsi="Times New Roman" w:cs="Times New Roman"/>
                <w:color w:val="auto"/>
                <w:kern w:val="0"/>
                <w:sz w:val="18"/>
                <w:szCs w:val="18"/>
                <w:highlight w:val="none"/>
                <w:lang w:val="en-US" w:eastAsia="zh-CN"/>
              </w:rPr>
              <w:t>25</w:t>
            </w:r>
          </w:p>
        </w:tc>
        <w:tc>
          <w:tcPr>
            <w:tcW w:w="4990" w:type="dxa"/>
            <w:vMerge w:val="restart"/>
            <w:vAlign w:val="center"/>
          </w:tcPr>
          <w:p w14:paraId="42D578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360" w:firstLineChars="20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val="en-US" w:eastAsia="zh-CN"/>
              </w:rPr>
              <w:t>废水收集池</w:t>
            </w:r>
            <w:r>
              <w:rPr>
                <w:rFonts w:hint="default" w:ascii="Times New Roman" w:hAnsi="Times New Roman" w:cs="Times New Roman"/>
                <w:color w:val="auto"/>
                <w:sz w:val="18"/>
                <w:szCs w:val="18"/>
                <w:lang w:val="en-US" w:eastAsia="zh-CN"/>
              </w:rPr>
              <w:t>采用盖板</w:t>
            </w:r>
            <w:r>
              <w:rPr>
                <w:rFonts w:hint="default" w:ascii="Times New Roman" w:hAnsi="Times New Roman" w:cs="Times New Roman"/>
                <w:color w:val="auto"/>
                <w:sz w:val="18"/>
                <w:szCs w:val="18"/>
              </w:rPr>
              <w:t>封闭，喷洒生物除臭剂、绿化等措施</w:t>
            </w:r>
          </w:p>
        </w:tc>
        <w:tc>
          <w:tcPr>
            <w:tcW w:w="2209" w:type="dxa"/>
            <w:vAlign w:val="center"/>
          </w:tcPr>
          <w:p w14:paraId="041DB3EF">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0.0</w:t>
            </w:r>
            <w:r>
              <w:rPr>
                <w:rFonts w:hint="default" w:ascii="Times New Roman" w:hAnsi="Times New Roman" w:cs="Times New Roman"/>
                <w:color w:val="auto"/>
                <w:kern w:val="0"/>
                <w:sz w:val="18"/>
                <w:szCs w:val="18"/>
                <w:highlight w:val="none"/>
                <w:lang w:val="en-US" w:eastAsia="zh-CN"/>
              </w:rPr>
              <w:t>074</w:t>
            </w:r>
          </w:p>
        </w:tc>
      </w:tr>
      <w:tr w14:paraId="3A90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254F4AB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continue"/>
            <w:vAlign w:val="center"/>
          </w:tcPr>
          <w:p w14:paraId="46A87FA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16" w:type="dxa"/>
            <w:vAlign w:val="center"/>
          </w:tcPr>
          <w:p w14:paraId="2982566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t>
            </w:r>
            <w:r>
              <w:rPr>
                <w:rFonts w:hint="default" w:ascii="Times New Roman" w:hAnsi="Times New Roman" w:cs="Times New Roman"/>
                <w:color w:val="auto"/>
                <w:sz w:val="18"/>
                <w:szCs w:val="18"/>
                <w:highlight w:val="none"/>
                <w:vertAlign w:val="subscript"/>
              </w:rPr>
              <w:t>2</w:t>
            </w:r>
            <w:r>
              <w:rPr>
                <w:rFonts w:hint="default" w:ascii="Times New Roman" w:hAnsi="Times New Roman" w:cs="Times New Roman"/>
                <w:color w:val="auto"/>
                <w:sz w:val="18"/>
                <w:szCs w:val="18"/>
                <w:highlight w:val="none"/>
              </w:rPr>
              <w:t>S</w:t>
            </w:r>
          </w:p>
        </w:tc>
        <w:tc>
          <w:tcPr>
            <w:tcW w:w="1404" w:type="dxa"/>
            <w:vAlign w:val="center"/>
          </w:tcPr>
          <w:p w14:paraId="7076A8D0">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0.0</w:t>
            </w:r>
            <w:r>
              <w:rPr>
                <w:rFonts w:hint="default" w:ascii="Times New Roman" w:hAnsi="Times New Roman" w:cs="Times New Roman"/>
                <w:color w:val="auto"/>
                <w:kern w:val="0"/>
                <w:sz w:val="18"/>
                <w:szCs w:val="18"/>
                <w:highlight w:val="none"/>
                <w:lang w:val="en-US" w:eastAsia="zh-CN"/>
              </w:rPr>
              <w:t>064</w:t>
            </w:r>
          </w:p>
        </w:tc>
        <w:tc>
          <w:tcPr>
            <w:tcW w:w="4990" w:type="dxa"/>
            <w:vMerge w:val="continue"/>
            <w:vAlign w:val="center"/>
          </w:tcPr>
          <w:p w14:paraId="7437849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209" w:type="dxa"/>
            <w:vAlign w:val="center"/>
          </w:tcPr>
          <w:p w14:paraId="24B80573">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0.00</w:t>
            </w:r>
            <w:r>
              <w:rPr>
                <w:rFonts w:hint="default" w:ascii="Times New Roman" w:hAnsi="Times New Roman" w:cs="Times New Roman"/>
                <w:color w:val="auto"/>
                <w:kern w:val="0"/>
                <w:sz w:val="18"/>
                <w:szCs w:val="18"/>
                <w:highlight w:val="none"/>
                <w:lang w:val="en-US" w:eastAsia="zh-CN"/>
              </w:rPr>
              <w:t>028</w:t>
            </w:r>
          </w:p>
        </w:tc>
      </w:tr>
      <w:tr w14:paraId="4768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7CFEEFF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restart"/>
            <w:vAlign w:val="center"/>
          </w:tcPr>
          <w:p w14:paraId="0676CD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堆粪棚</w:t>
            </w:r>
          </w:p>
        </w:tc>
        <w:tc>
          <w:tcPr>
            <w:tcW w:w="1916" w:type="dxa"/>
            <w:vAlign w:val="center"/>
          </w:tcPr>
          <w:p w14:paraId="65CB29E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p>
        </w:tc>
        <w:tc>
          <w:tcPr>
            <w:tcW w:w="1404" w:type="dxa"/>
            <w:vAlign w:val="center"/>
          </w:tcPr>
          <w:p w14:paraId="7548AFFB">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w:t>
            </w:r>
            <w:r>
              <w:rPr>
                <w:rFonts w:hint="default" w:ascii="Times New Roman" w:hAnsi="Times New Roman" w:cs="Times New Roman"/>
                <w:color w:val="auto"/>
                <w:kern w:val="0"/>
                <w:sz w:val="18"/>
                <w:szCs w:val="18"/>
                <w:highlight w:val="none"/>
                <w:lang w:val="en-US" w:eastAsia="zh-CN"/>
              </w:rPr>
              <w:t>499</w:t>
            </w:r>
          </w:p>
        </w:tc>
        <w:tc>
          <w:tcPr>
            <w:tcW w:w="4990" w:type="dxa"/>
            <w:vMerge w:val="restart"/>
            <w:vAlign w:val="center"/>
          </w:tcPr>
          <w:p w14:paraId="39F3100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val="en-US" w:eastAsia="zh-CN"/>
              </w:rPr>
              <w:t>堆粪棚</w:t>
            </w:r>
            <w:r>
              <w:rPr>
                <w:rFonts w:hint="default" w:ascii="Times New Roman" w:hAnsi="Times New Roman" w:cs="Times New Roman"/>
                <w:color w:val="auto"/>
                <w:sz w:val="18"/>
                <w:szCs w:val="18"/>
                <w:highlight w:val="none"/>
              </w:rPr>
              <w:t>采用半封闭式，三面墙体，并设顶棚，</w:t>
            </w:r>
            <w:r>
              <w:rPr>
                <w:rFonts w:hint="default" w:ascii="Times New Roman" w:hAnsi="Times New Roman" w:cs="Times New Roman"/>
                <w:color w:val="auto"/>
                <w:kern w:val="0"/>
                <w:sz w:val="18"/>
                <w:szCs w:val="18"/>
                <w:highlight w:val="none"/>
              </w:rPr>
              <w:t>并定期喷洒微生物除臭剂，车间进出口处加强除臭剂喷洒，</w:t>
            </w:r>
            <w:r>
              <w:rPr>
                <w:rFonts w:hint="default" w:ascii="Times New Roman" w:hAnsi="Times New Roman" w:cs="Times New Roman"/>
                <w:color w:val="auto"/>
                <w:kern w:val="0"/>
                <w:sz w:val="18"/>
                <w:szCs w:val="18"/>
                <w:highlight w:val="none"/>
                <w:lang w:val="en-US" w:eastAsia="zh-CN"/>
              </w:rPr>
              <w:t>堆粪棚</w:t>
            </w:r>
            <w:r>
              <w:rPr>
                <w:rFonts w:hint="default" w:ascii="Times New Roman" w:hAnsi="Times New Roman" w:cs="Times New Roman"/>
                <w:color w:val="auto"/>
                <w:sz w:val="18"/>
                <w:szCs w:val="18"/>
                <w:highlight w:val="none"/>
              </w:rPr>
              <w:t>外种植绿化树</w:t>
            </w:r>
          </w:p>
        </w:tc>
        <w:tc>
          <w:tcPr>
            <w:tcW w:w="2209" w:type="dxa"/>
            <w:vAlign w:val="center"/>
          </w:tcPr>
          <w:p w14:paraId="3102256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147</w:t>
            </w:r>
          </w:p>
        </w:tc>
      </w:tr>
      <w:tr w14:paraId="262F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276" w:type="dxa"/>
            <w:vMerge w:val="continue"/>
            <w:vAlign w:val="center"/>
          </w:tcPr>
          <w:p w14:paraId="210C7E5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continue"/>
            <w:vAlign w:val="center"/>
          </w:tcPr>
          <w:p w14:paraId="1012FA3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16" w:type="dxa"/>
            <w:vAlign w:val="center"/>
          </w:tcPr>
          <w:p w14:paraId="17F6EB3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t>
            </w:r>
            <w:r>
              <w:rPr>
                <w:rFonts w:hint="default" w:ascii="Times New Roman" w:hAnsi="Times New Roman" w:cs="Times New Roman"/>
                <w:color w:val="auto"/>
                <w:sz w:val="18"/>
                <w:szCs w:val="18"/>
                <w:highlight w:val="none"/>
                <w:vertAlign w:val="subscript"/>
              </w:rPr>
              <w:t>2</w:t>
            </w:r>
            <w:r>
              <w:rPr>
                <w:rFonts w:hint="default" w:ascii="Times New Roman" w:hAnsi="Times New Roman" w:cs="Times New Roman"/>
                <w:color w:val="auto"/>
                <w:sz w:val="18"/>
                <w:szCs w:val="18"/>
                <w:highlight w:val="none"/>
              </w:rPr>
              <w:t>S</w:t>
            </w:r>
          </w:p>
        </w:tc>
        <w:tc>
          <w:tcPr>
            <w:tcW w:w="1404" w:type="dxa"/>
            <w:vAlign w:val="center"/>
          </w:tcPr>
          <w:p w14:paraId="5B66D7A5">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w:t>
            </w:r>
            <w:r>
              <w:rPr>
                <w:rFonts w:hint="default" w:ascii="Times New Roman" w:hAnsi="Times New Roman" w:cs="Times New Roman"/>
                <w:color w:val="auto"/>
                <w:kern w:val="0"/>
                <w:sz w:val="18"/>
                <w:szCs w:val="18"/>
                <w:highlight w:val="none"/>
                <w:lang w:val="en-US" w:eastAsia="zh-CN"/>
              </w:rPr>
              <w:t>134</w:t>
            </w:r>
          </w:p>
        </w:tc>
        <w:tc>
          <w:tcPr>
            <w:tcW w:w="4990" w:type="dxa"/>
            <w:vMerge w:val="continue"/>
            <w:vAlign w:val="center"/>
          </w:tcPr>
          <w:p w14:paraId="4536AF5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209" w:type="dxa"/>
            <w:vAlign w:val="center"/>
          </w:tcPr>
          <w:p w14:paraId="51504A6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059</w:t>
            </w:r>
          </w:p>
        </w:tc>
      </w:tr>
      <w:tr w14:paraId="152B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2A42F18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restart"/>
            <w:vAlign w:val="center"/>
          </w:tcPr>
          <w:p w14:paraId="14A5EE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天然气燃烧器</w:t>
            </w:r>
          </w:p>
        </w:tc>
        <w:tc>
          <w:tcPr>
            <w:tcW w:w="1916" w:type="dxa"/>
            <w:vAlign w:val="center"/>
          </w:tcPr>
          <w:p w14:paraId="5458ACC6">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颗粒物</w:t>
            </w:r>
          </w:p>
        </w:tc>
        <w:tc>
          <w:tcPr>
            <w:tcW w:w="1404" w:type="dxa"/>
            <w:vAlign w:val="center"/>
          </w:tcPr>
          <w:p w14:paraId="4F4CC97E">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lang w:val="en-US" w:eastAsia="zh-CN"/>
              </w:rPr>
              <w:t>0.107</w:t>
            </w:r>
          </w:p>
        </w:tc>
        <w:tc>
          <w:tcPr>
            <w:tcW w:w="4990" w:type="dxa"/>
            <w:vMerge w:val="restart"/>
            <w:vAlign w:val="center"/>
          </w:tcPr>
          <w:p w14:paraId="17F8C28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低氮燃烧</w:t>
            </w:r>
          </w:p>
        </w:tc>
        <w:tc>
          <w:tcPr>
            <w:tcW w:w="2209" w:type="dxa"/>
            <w:vAlign w:val="center"/>
          </w:tcPr>
          <w:p w14:paraId="7F5F8EC0">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lang w:val="en-US" w:eastAsia="zh-CN"/>
              </w:rPr>
              <w:t>0.107</w:t>
            </w:r>
          </w:p>
        </w:tc>
      </w:tr>
      <w:tr w14:paraId="05B0B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2F13AFD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continue"/>
            <w:vAlign w:val="center"/>
          </w:tcPr>
          <w:p w14:paraId="7507AA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1916" w:type="dxa"/>
            <w:vAlign w:val="center"/>
          </w:tcPr>
          <w:p w14:paraId="2B19FB6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SO</w:t>
            </w:r>
            <w:r>
              <w:rPr>
                <w:rFonts w:hint="default" w:ascii="Times New Roman" w:hAnsi="Times New Roman" w:cs="Times New Roman"/>
                <w:color w:val="auto"/>
                <w:kern w:val="0"/>
                <w:sz w:val="18"/>
                <w:szCs w:val="18"/>
                <w:highlight w:val="none"/>
                <w:vertAlign w:val="subscript"/>
              </w:rPr>
              <w:t>2</w:t>
            </w:r>
          </w:p>
        </w:tc>
        <w:tc>
          <w:tcPr>
            <w:tcW w:w="1404" w:type="dxa"/>
            <w:vAlign w:val="center"/>
          </w:tcPr>
          <w:p w14:paraId="52F7B8C0">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lang w:val="en-US" w:eastAsia="zh-CN"/>
              </w:rPr>
              <w:t>0.0306</w:t>
            </w:r>
          </w:p>
        </w:tc>
        <w:tc>
          <w:tcPr>
            <w:tcW w:w="4990" w:type="dxa"/>
            <w:vMerge w:val="continue"/>
            <w:vAlign w:val="center"/>
          </w:tcPr>
          <w:p w14:paraId="25E1890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209" w:type="dxa"/>
            <w:vAlign w:val="center"/>
          </w:tcPr>
          <w:p w14:paraId="1114E617">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lang w:val="en-US" w:eastAsia="zh-CN"/>
              </w:rPr>
              <w:t>0.0306</w:t>
            </w:r>
          </w:p>
        </w:tc>
      </w:tr>
      <w:tr w14:paraId="0330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3176B8C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continue"/>
            <w:vAlign w:val="center"/>
          </w:tcPr>
          <w:p w14:paraId="7CEE4AE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16" w:type="dxa"/>
            <w:vAlign w:val="center"/>
          </w:tcPr>
          <w:p w14:paraId="67584772">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NO</w:t>
            </w:r>
            <w:r>
              <w:rPr>
                <w:rFonts w:hint="default" w:ascii="Times New Roman" w:hAnsi="Times New Roman" w:cs="Times New Roman"/>
                <w:color w:val="auto"/>
                <w:kern w:val="0"/>
                <w:sz w:val="18"/>
                <w:szCs w:val="18"/>
                <w:highlight w:val="none"/>
                <w:vertAlign w:val="subscript"/>
              </w:rPr>
              <w:t>x</w:t>
            </w:r>
          </w:p>
        </w:tc>
        <w:tc>
          <w:tcPr>
            <w:tcW w:w="1404" w:type="dxa"/>
            <w:vAlign w:val="center"/>
          </w:tcPr>
          <w:p w14:paraId="70BE98CB">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vertAlign w:val="baseline"/>
                <w:lang w:val="en-US" w:eastAsia="zh-CN"/>
              </w:rPr>
              <w:t>0.234</w:t>
            </w:r>
          </w:p>
        </w:tc>
        <w:tc>
          <w:tcPr>
            <w:tcW w:w="4990" w:type="dxa"/>
            <w:vMerge w:val="continue"/>
            <w:vAlign w:val="center"/>
          </w:tcPr>
          <w:p w14:paraId="320304A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209" w:type="dxa"/>
            <w:vAlign w:val="center"/>
          </w:tcPr>
          <w:p w14:paraId="1B28CA4D">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vertAlign w:val="baseline"/>
                <w:lang w:val="en-US" w:eastAsia="zh-CN"/>
              </w:rPr>
              <w:t>0.234</w:t>
            </w:r>
          </w:p>
        </w:tc>
      </w:tr>
      <w:tr w14:paraId="5354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0848C36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Align w:val="center"/>
          </w:tcPr>
          <w:p w14:paraId="78E86FF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食堂油烟</w:t>
            </w:r>
          </w:p>
        </w:tc>
        <w:tc>
          <w:tcPr>
            <w:tcW w:w="1916" w:type="dxa"/>
            <w:vAlign w:val="center"/>
          </w:tcPr>
          <w:p w14:paraId="7DE3C73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油烟</w:t>
            </w:r>
          </w:p>
        </w:tc>
        <w:tc>
          <w:tcPr>
            <w:tcW w:w="1404" w:type="dxa"/>
            <w:vAlign w:val="center"/>
          </w:tcPr>
          <w:p w14:paraId="0B18FA2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37</w:t>
            </w:r>
          </w:p>
        </w:tc>
        <w:tc>
          <w:tcPr>
            <w:tcW w:w="4990" w:type="dxa"/>
            <w:vAlign w:val="center"/>
          </w:tcPr>
          <w:p w14:paraId="39AE457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经抽油烟机处理后，经高于食堂楼顶1.5m烟囱外排</w:t>
            </w:r>
          </w:p>
        </w:tc>
        <w:tc>
          <w:tcPr>
            <w:tcW w:w="2209" w:type="dxa"/>
            <w:vAlign w:val="center"/>
          </w:tcPr>
          <w:p w14:paraId="12A0FB3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vertAlign w:val="baseline"/>
                <w:lang w:val="en-US" w:eastAsia="zh-CN"/>
              </w:rPr>
              <w:t>0.234</w:t>
            </w:r>
          </w:p>
        </w:tc>
      </w:tr>
      <w:tr w14:paraId="4998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restart"/>
            <w:vAlign w:val="center"/>
          </w:tcPr>
          <w:p w14:paraId="0853864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w:t>
            </w:r>
          </w:p>
        </w:tc>
        <w:tc>
          <w:tcPr>
            <w:tcW w:w="1614" w:type="dxa"/>
            <w:vMerge w:val="restart"/>
            <w:vAlign w:val="center"/>
          </w:tcPr>
          <w:p w14:paraId="301A618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生活污水、养殖废水</w:t>
            </w:r>
          </w:p>
        </w:tc>
        <w:tc>
          <w:tcPr>
            <w:tcW w:w="1916" w:type="dxa"/>
            <w:vAlign w:val="center"/>
          </w:tcPr>
          <w:p w14:paraId="7D598FF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废水量</w:t>
            </w:r>
          </w:p>
        </w:tc>
        <w:tc>
          <w:tcPr>
            <w:tcW w:w="1404" w:type="dxa"/>
            <w:vAlign w:val="center"/>
          </w:tcPr>
          <w:p w14:paraId="3ACCCF8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rPr>
            </w:pPr>
            <w:r>
              <w:rPr>
                <w:rFonts w:hint="default" w:ascii="Times New Roman" w:hAnsi="Times New Roman" w:eastAsia="宋体" w:cs="Times New Roman"/>
                <w:i w:val="0"/>
                <w:iCs w:val="0"/>
                <w:color w:val="auto"/>
                <w:kern w:val="0"/>
                <w:sz w:val="18"/>
                <w:szCs w:val="18"/>
                <w:u w:val="none"/>
                <w:lang w:val="en-US" w:eastAsia="zh-CN" w:bidi="ar"/>
              </w:rPr>
              <w:t>5569.32</w:t>
            </w:r>
          </w:p>
        </w:tc>
        <w:tc>
          <w:tcPr>
            <w:tcW w:w="4990" w:type="dxa"/>
            <w:vMerge w:val="restart"/>
            <w:vAlign w:val="center"/>
          </w:tcPr>
          <w:p w14:paraId="047BEA1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食堂废水经隔油池处理后，与其他生活废水一起</w:t>
            </w:r>
            <w:r>
              <w:rPr>
                <w:rFonts w:hint="default" w:ascii="Times New Roman" w:hAnsi="Times New Roman" w:cs="Times New Roman"/>
                <w:bCs/>
                <w:color w:val="auto"/>
                <w:sz w:val="18"/>
                <w:szCs w:val="18"/>
                <w:highlight w:val="none"/>
                <w:lang w:val="en-US" w:eastAsia="zh-CN"/>
              </w:rPr>
              <w:t>经化粪池处理，与养殖废水一起进入废水收集池，依托弥勒温氏畜牧有限公司新哨种猪场建设项目污水处理站处理后用于绿化及农田灌溉。</w:t>
            </w:r>
          </w:p>
        </w:tc>
        <w:tc>
          <w:tcPr>
            <w:tcW w:w="2209" w:type="dxa"/>
            <w:vAlign w:val="center"/>
          </w:tcPr>
          <w:p w14:paraId="530A057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33AB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4297BD4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continue"/>
            <w:vAlign w:val="center"/>
          </w:tcPr>
          <w:p w14:paraId="7710CD0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16" w:type="dxa"/>
            <w:vAlign w:val="center"/>
          </w:tcPr>
          <w:p w14:paraId="73B6112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COD</w:t>
            </w:r>
            <w:r>
              <w:rPr>
                <w:rFonts w:hint="default" w:ascii="Times New Roman" w:hAnsi="Times New Roman" w:cs="Times New Roman"/>
                <w:color w:val="auto"/>
                <w:sz w:val="18"/>
                <w:szCs w:val="18"/>
                <w:highlight w:val="none"/>
                <w:vertAlign w:val="subscript"/>
              </w:rPr>
              <w:t>cr</w:t>
            </w:r>
          </w:p>
        </w:tc>
        <w:tc>
          <w:tcPr>
            <w:tcW w:w="1404" w:type="dxa"/>
            <w:vAlign w:val="center"/>
          </w:tcPr>
          <w:p w14:paraId="57E35D4A">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14.468</w:t>
            </w:r>
          </w:p>
        </w:tc>
        <w:tc>
          <w:tcPr>
            <w:tcW w:w="4990" w:type="dxa"/>
            <w:vMerge w:val="continue"/>
            <w:vAlign w:val="center"/>
          </w:tcPr>
          <w:p w14:paraId="778ABE2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209" w:type="dxa"/>
            <w:vAlign w:val="center"/>
          </w:tcPr>
          <w:p w14:paraId="5A14527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098D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276" w:type="dxa"/>
            <w:vMerge w:val="continue"/>
            <w:vAlign w:val="center"/>
          </w:tcPr>
          <w:p w14:paraId="4BF5631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continue"/>
            <w:vAlign w:val="center"/>
          </w:tcPr>
          <w:p w14:paraId="571F454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16" w:type="dxa"/>
            <w:vAlign w:val="center"/>
          </w:tcPr>
          <w:p w14:paraId="36A7A66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BOD</w:t>
            </w:r>
            <w:r>
              <w:rPr>
                <w:rFonts w:hint="default" w:ascii="Times New Roman" w:hAnsi="Times New Roman" w:cs="Times New Roman"/>
                <w:bCs/>
                <w:color w:val="auto"/>
                <w:sz w:val="18"/>
                <w:szCs w:val="18"/>
                <w:highlight w:val="none"/>
                <w:vertAlign w:val="subscript"/>
              </w:rPr>
              <w:t>5</w:t>
            </w:r>
          </w:p>
        </w:tc>
        <w:tc>
          <w:tcPr>
            <w:tcW w:w="1404" w:type="dxa"/>
            <w:vAlign w:val="center"/>
          </w:tcPr>
          <w:p w14:paraId="649FF2EB">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7.325</w:t>
            </w:r>
          </w:p>
        </w:tc>
        <w:tc>
          <w:tcPr>
            <w:tcW w:w="4990" w:type="dxa"/>
            <w:vMerge w:val="continue"/>
            <w:vAlign w:val="center"/>
          </w:tcPr>
          <w:p w14:paraId="15C4FD6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209" w:type="dxa"/>
            <w:vAlign w:val="center"/>
          </w:tcPr>
          <w:p w14:paraId="1AA1B7A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45D7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0275D04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continue"/>
            <w:vAlign w:val="center"/>
          </w:tcPr>
          <w:p w14:paraId="2806B7F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16" w:type="dxa"/>
            <w:vAlign w:val="center"/>
          </w:tcPr>
          <w:p w14:paraId="5CB349C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SS</w:t>
            </w:r>
          </w:p>
        </w:tc>
        <w:tc>
          <w:tcPr>
            <w:tcW w:w="1404" w:type="dxa"/>
            <w:vAlign w:val="center"/>
          </w:tcPr>
          <w:p w14:paraId="0CDC4E40">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11.979</w:t>
            </w:r>
          </w:p>
        </w:tc>
        <w:tc>
          <w:tcPr>
            <w:tcW w:w="4990" w:type="dxa"/>
            <w:vMerge w:val="continue"/>
            <w:vAlign w:val="center"/>
          </w:tcPr>
          <w:p w14:paraId="2C2BA75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209" w:type="dxa"/>
            <w:vAlign w:val="center"/>
          </w:tcPr>
          <w:p w14:paraId="7E95F6D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1953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30E282E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continue"/>
            <w:vAlign w:val="center"/>
          </w:tcPr>
          <w:p w14:paraId="78CF325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16" w:type="dxa"/>
            <w:vAlign w:val="center"/>
          </w:tcPr>
          <w:p w14:paraId="7A81910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NH</w:t>
            </w:r>
            <w:r>
              <w:rPr>
                <w:rFonts w:hint="default" w:ascii="Times New Roman" w:hAnsi="Times New Roman" w:cs="Times New Roman"/>
                <w:bCs/>
                <w:color w:val="auto"/>
                <w:sz w:val="18"/>
                <w:szCs w:val="18"/>
                <w:highlight w:val="none"/>
                <w:vertAlign w:val="subscript"/>
              </w:rPr>
              <w:t>3</w:t>
            </w:r>
            <w:r>
              <w:rPr>
                <w:rFonts w:hint="default" w:ascii="Times New Roman" w:hAnsi="Times New Roman" w:cs="Times New Roman"/>
                <w:bCs/>
                <w:color w:val="auto"/>
                <w:sz w:val="18"/>
                <w:szCs w:val="18"/>
                <w:highlight w:val="none"/>
              </w:rPr>
              <w:t>-N</w:t>
            </w:r>
          </w:p>
        </w:tc>
        <w:tc>
          <w:tcPr>
            <w:tcW w:w="1404" w:type="dxa"/>
            <w:vAlign w:val="center"/>
          </w:tcPr>
          <w:p w14:paraId="001A6C7F">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1.5149</w:t>
            </w:r>
          </w:p>
        </w:tc>
        <w:tc>
          <w:tcPr>
            <w:tcW w:w="4990" w:type="dxa"/>
            <w:vMerge w:val="continue"/>
            <w:vAlign w:val="center"/>
          </w:tcPr>
          <w:p w14:paraId="739A7ED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209" w:type="dxa"/>
            <w:vAlign w:val="center"/>
          </w:tcPr>
          <w:p w14:paraId="2D5A08D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7195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47993DA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continue"/>
            <w:vAlign w:val="center"/>
          </w:tcPr>
          <w:p w14:paraId="122608F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16" w:type="dxa"/>
            <w:vAlign w:val="center"/>
          </w:tcPr>
          <w:p w14:paraId="7106C37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TN</w:t>
            </w:r>
          </w:p>
        </w:tc>
        <w:tc>
          <w:tcPr>
            <w:tcW w:w="1404" w:type="dxa"/>
            <w:vAlign w:val="center"/>
          </w:tcPr>
          <w:p w14:paraId="3E688E2B">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2.1896</w:t>
            </w:r>
          </w:p>
        </w:tc>
        <w:tc>
          <w:tcPr>
            <w:tcW w:w="4990" w:type="dxa"/>
            <w:vMerge w:val="continue"/>
            <w:vAlign w:val="center"/>
          </w:tcPr>
          <w:p w14:paraId="60211E9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209" w:type="dxa"/>
            <w:vAlign w:val="center"/>
          </w:tcPr>
          <w:p w14:paraId="6D02587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1C96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102AFE8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continue"/>
            <w:vAlign w:val="center"/>
          </w:tcPr>
          <w:p w14:paraId="0DD3EA9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16" w:type="dxa"/>
            <w:vAlign w:val="center"/>
          </w:tcPr>
          <w:p w14:paraId="60CE73C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TP</w:t>
            </w:r>
          </w:p>
        </w:tc>
        <w:tc>
          <w:tcPr>
            <w:tcW w:w="1404" w:type="dxa"/>
            <w:vAlign w:val="center"/>
          </w:tcPr>
          <w:p w14:paraId="1AA75029">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0.26039</w:t>
            </w:r>
          </w:p>
        </w:tc>
        <w:tc>
          <w:tcPr>
            <w:tcW w:w="4990" w:type="dxa"/>
            <w:vMerge w:val="continue"/>
            <w:vAlign w:val="center"/>
          </w:tcPr>
          <w:p w14:paraId="78AF1B5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209" w:type="dxa"/>
            <w:vAlign w:val="center"/>
          </w:tcPr>
          <w:p w14:paraId="21C78C0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6154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4B68ABE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continue"/>
            <w:vAlign w:val="center"/>
          </w:tcPr>
          <w:p w14:paraId="07AA512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16" w:type="dxa"/>
            <w:vAlign w:val="center"/>
          </w:tcPr>
          <w:p w14:paraId="0EBA6D6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pH</w:t>
            </w:r>
          </w:p>
        </w:tc>
        <w:tc>
          <w:tcPr>
            <w:tcW w:w="1404" w:type="dxa"/>
            <w:vAlign w:val="center"/>
          </w:tcPr>
          <w:p w14:paraId="40485B2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Cs/>
                <w:color w:val="auto"/>
                <w:sz w:val="18"/>
                <w:szCs w:val="18"/>
                <w:highlight w:val="none"/>
              </w:rPr>
              <w:t>/</w:t>
            </w:r>
          </w:p>
        </w:tc>
        <w:tc>
          <w:tcPr>
            <w:tcW w:w="4990" w:type="dxa"/>
            <w:vMerge w:val="continue"/>
            <w:vAlign w:val="center"/>
          </w:tcPr>
          <w:p w14:paraId="4F127E0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209" w:type="dxa"/>
            <w:vAlign w:val="center"/>
          </w:tcPr>
          <w:p w14:paraId="379F2D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r>
      <w:tr w14:paraId="6DE8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61E01BE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continue"/>
            <w:vAlign w:val="center"/>
          </w:tcPr>
          <w:p w14:paraId="526F441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16" w:type="dxa"/>
            <w:vAlign w:val="center"/>
          </w:tcPr>
          <w:p w14:paraId="09D411F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粪大肠菌群数（个/L）</w:t>
            </w:r>
          </w:p>
        </w:tc>
        <w:tc>
          <w:tcPr>
            <w:tcW w:w="1404" w:type="dxa"/>
            <w:vAlign w:val="center"/>
          </w:tcPr>
          <w:p w14:paraId="0F04C69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1.</w:t>
            </w:r>
            <w:r>
              <w:rPr>
                <w:rFonts w:hint="default" w:ascii="Times New Roman" w:hAnsi="Times New Roman" w:cs="Times New Roman"/>
                <w:bCs/>
                <w:color w:val="auto"/>
                <w:sz w:val="18"/>
                <w:szCs w:val="18"/>
                <w:highlight w:val="none"/>
                <w:lang w:val="en-US" w:eastAsia="zh-CN"/>
              </w:rPr>
              <w:t>035</w:t>
            </w:r>
            <w:r>
              <w:rPr>
                <w:rFonts w:hint="default" w:ascii="Times New Roman" w:hAnsi="Times New Roman" w:cs="Times New Roman"/>
                <w:bCs/>
                <w:color w:val="auto"/>
                <w:sz w:val="18"/>
                <w:szCs w:val="18"/>
                <w:highlight w:val="none"/>
              </w:rPr>
              <w:t>×10</w:t>
            </w:r>
            <w:r>
              <w:rPr>
                <w:rFonts w:hint="default" w:ascii="Times New Roman" w:hAnsi="Times New Roman" w:cs="Times New Roman"/>
                <w:bCs/>
                <w:color w:val="auto"/>
                <w:sz w:val="18"/>
                <w:szCs w:val="18"/>
                <w:highlight w:val="none"/>
                <w:vertAlign w:val="superscript"/>
              </w:rPr>
              <w:t>13</w:t>
            </w:r>
            <w:r>
              <w:rPr>
                <w:rFonts w:hint="default" w:ascii="Times New Roman" w:hAnsi="Times New Roman" w:cs="Times New Roman"/>
                <w:bCs/>
                <w:color w:val="auto"/>
                <w:sz w:val="18"/>
                <w:szCs w:val="18"/>
                <w:highlight w:val="none"/>
              </w:rPr>
              <w:t>个</w:t>
            </w:r>
          </w:p>
        </w:tc>
        <w:tc>
          <w:tcPr>
            <w:tcW w:w="4990" w:type="dxa"/>
            <w:vMerge w:val="continue"/>
            <w:vAlign w:val="center"/>
          </w:tcPr>
          <w:p w14:paraId="045AFFE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209" w:type="dxa"/>
            <w:vAlign w:val="center"/>
          </w:tcPr>
          <w:p w14:paraId="773FF44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066C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00A1FD8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continue"/>
            <w:vAlign w:val="center"/>
          </w:tcPr>
          <w:p w14:paraId="20572D2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16" w:type="dxa"/>
            <w:vAlign w:val="center"/>
          </w:tcPr>
          <w:p w14:paraId="2539711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蛔虫卵（个/L）</w:t>
            </w:r>
          </w:p>
        </w:tc>
        <w:tc>
          <w:tcPr>
            <w:tcW w:w="1404" w:type="dxa"/>
            <w:vAlign w:val="center"/>
          </w:tcPr>
          <w:p w14:paraId="3D331A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1.656</w:t>
            </w:r>
            <w:r>
              <w:rPr>
                <w:rFonts w:hint="default" w:ascii="Times New Roman" w:hAnsi="Times New Roman" w:cs="Times New Roman"/>
                <w:bCs/>
                <w:color w:val="auto"/>
                <w:sz w:val="18"/>
                <w:szCs w:val="18"/>
                <w:highlight w:val="none"/>
              </w:rPr>
              <w:t>×10</w:t>
            </w:r>
            <w:r>
              <w:rPr>
                <w:rFonts w:hint="default" w:ascii="Times New Roman" w:hAnsi="Times New Roman" w:cs="Times New Roman"/>
                <w:bCs/>
                <w:color w:val="auto"/>
                <w:sz w:val="18"/>
                <w:szCs w:val="18"/>
                <w:highlight w:val="none"/>
                <w:vertAlign w:val="superscript"/>
              </w:rPr>
              <w:t>8</w:t>
            </w:r>
            <w:r>
              <w:rPr>
                <w:rFonts w:hint="default" w:ascii="Times New Roman" w:hAnsi="Times New Roman" w:cs="Times New Roman"/>
                <w:bCs/>
                <w:color w:val="auto"/>
                <w:sz w:val="18"/>
                <w:szCs w:val="18"/>
                <w:highlight w:val="none"/>
              </w:rPr>
              <w:t>个</w:t>
            </w:r>
          </w:p>
        </w:tc>
        <w:tc>
          <w:tcPr>
            <w:tcW w:w="4990" w:type="dxa"/>
            <w:vMerge w:val="continue"/>
            <w:vAlign w:val="center"/>
          </w:tcPr>
          <w:p w14:paraId="2A620E8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209" w:type="dxa"/>
            <w:vAlign w:val="center"/>
          </w:tcPr>
          <w:p w14:paraId="2E419C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r>
      <w:tr w14:paraId="5075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33E7724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Merge w:val="continue"/>
            <w:vAlign w:val="center"/>
          </w:tcPr>
          <w:p w14:paraId="128B024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16" w:type="dxa"/>
            <w:vAlign w:val="center"/>
          </w:tcPr>
          <w:p w14:paraId="7EEBA77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动植物油</w:t>
            </w:r>
          </w:p>
        </w:tc>
        <w:tc>
          <w:tcPr>
            <w:tcW w:w="1404" w:type="dxa"/>
            <w:vAlign w:val="center"/>
          </w:tcPr>
          <w:p w14:paraId="09C68D3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0.00473</w:t>
            </w:r>
          </w:p>
        </w:tc>
        <w:tc>
          <w:tcPr>
            <w:tcW w:w="4990" w:type="dxa"/>
            <w:vMerge w:val="continue"/>
            <w:vAlign w:val="center"/>
          </w:tcPr>
          <w:p w14:paraId="04ADC2D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209" w:type="dxa"/>
            <w:vAlign w:val="center"/>
          </w:tcPr>
          <w:p w14:paraId="2647F52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3F19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458482A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噪声</w:t>
            </w:r>
          </w:p>
        </w:tc>
        <w:tc>
          <w:tcPr>
            <w:tcW w:w="1614" w:type="dxa"/>
            <w:vAlign w:val="center"/>
          </w:tcPr>
          <w:p w14:paraId="51AFDBD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生产设备、污水处理设备、猪群叫声及运输车辆</w:t>
            </w:r>
          </w:p>
        </w:tc>
        <w:tc>
          <w:tcPr>
            <w:tcW w:w="1916" w:type="dxa"/>
            <w:vAlign w:val="center"/>
          </w:tcPr>
          <w:p w14:paraId="19601DE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生产设备、污水处理设备、猪群叫声及运输车辆</w:t>
            </w:r>
          </w:p>
        </w:tc>
        <w:tc>
          <w:tcPr>
            <w:tcW w:w="1404" w:type="dxa"/>
            <w:vAlign w:val="center"/>
          </w:tcPr>
          <w:p w14:paraId="41F5ADC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70～85dB（A）</w:t>
            </w:r>
          </w:p>
        </w:tc>
        <w:tc>
          <w:tcPr>
            <w:tcW w:w="4990" w:type="dxa"/>
            <w:vAlign w:val="center"/>
          </w:tcPr>
          <w:p w14:paraId="634CAB8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保证水及粮食充足</w:t>
            </w:r>
            <w:r>
              <w:rPr>
                <w:rFonts w:hint="default" w:ascii="Times New Roman" w:hAnsi="Times New Roman" w:cs="Times New Roman"/>
                <w:bCs/>
                <w:color w:val="auto"/>
                <w:sz w:val="18"/>
                <w:szCs w:val="18"/>
                <w:highlight w:val="none"/>
              </w:rPr>
              <w:t>；厂房隔音；设备设置于建筑内，且高噪声设备安装减震垫、设备间等，车辆低速行驶、禁止鸣笛</w:t>
            </w:r>
          </w:p>
        </w:tc>
        <w:tc>
          <w:tcPr>
            <w:tcW w:w="2209" w:type="dxa"/>
            <w:vAlign w:val="center"/>
          </w:tcPr>
          <w:p w14:paraId="4BE5AC5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达GB12348-2008《工业企业厂界环境噪声排放标准》2类标准，即昼间≤60dB(A)，夜间≤50dB(A)</w:t>
            </w:r>
          </w:p>
        </w:tc>
      </w:tr>
      <w:tr w14:paraId="3106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276" w:type="dxa"/>
            <w:vMerge w:val="restart"/>
            <w:vAlign w:val="center"/>
          </w:tcPr>
          <w:p w14:paraId="7371B30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固体废物</w:t>
            </w:r>
          </w:p>
        </w:tc>
        <w:tc>
          <w:tcPr>
            <w:tcW w:w="1614" w:type="dxa"/>
            <w:vAlign w:val="center"/>
          </w:tcPr>
          <w:p w14:paraId="019C49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rPr>
              <w:t>猪舍</w:t>
            </w:r>
          </w:p>
        </w:tc>
        <w:tc>
          <w:tcPr>
            <w:tcW w:w="1916" w:type="dxa"/>
            <w:vAlign w:val="center"/>
          </w:tcPr>
          <w:p w14:paraId="6AAA93D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rPr>
              <w:t>猪粪</w:t>
            </w:r>
          </w:p>
        </w:tc>
        <w:tc>
          <w:tcPr>
            <w:tcW w:w="1404" w:type="dxa"/>
            <w:vAlign w:val="center"/>
          </w:tcPr>
          <w:p w14:paraId="385D5B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lang w:val="en-US" w:eastAsia="zh-CN"/>
              </w:rPr>
              <w:t>1792</w:t>
            </w:r>
          </w:p>
        </w:tc>
        <w:tc>
          <w:tcPr>
            <w:tcW w:w="4990" w:type="dxa"/>
            <w:vAlign w:val="center"/>
          </w:tcPr>
          <w:p w14:paraId="6DCDE3CD">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rPr>
              <w:t>干清粪工艺，猪粪收集后进行固液分离，固体粪便清运至</w:t>
            </w:r>
            <w:r>
              <w:rPr>
                <w:rFonts w:hint="default" w:ascii="Times New Roman" w:hAnsi="Times New Roman" w:cs="Times New Roman"/>
                <w:color w:val="auto"/>
                <w:sz w:val="18"/>
                <w:szCs w:val="18"/>
                <w:lang w:val="en-US" w:eastAsia="zh-CN"/>
              </w:rPr>
              <w:t>堆粪棚</w:t>
            </w:r>
            <w:r>
              <w:rPr>
                <w:rFonts w:hint="default" w:ascii="Times New Roman" w:hAnsi="Times New Roman" w:cs="Times New Roman"/>
                <w:color w:val="auto"/>
                <w:sz w:val="18"/>
                <w:szCs w:val="18"/>
              </w:rPr>
              <w:t>，堆肥发酵后用于还田施肥。</w:t>
            </w:r>
          </w:p>
        </w:tc>
        <w:tc>
          <w:tcPr>
            <w:tcW w:w="2209" w:type="dxa"/>
            <w:vAlign w:val="center"/>
          </w:tcPr>
          <w:p w14:paraId="6A3F1C3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031C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62E2FE2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Align w:val="center"/>
          </w:tcPr>
          <w:p w14:paraId="05F6F51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猪舍</w:t>
            </w:r>
          </w:p>
        </w:tc>
        <w:tc>
          <w:tcPr>
            <w:tcW w:w="1916" w:type="dxa"/>
            <w:vAlign w:val="center"/>
          </w:tcPr>
          <w:p w14:paraId="20155000">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病死猪</w:t>
            </w:r>
          </w:p>
        </w:tc>
        <w:tc>
          <w:tcPr>
            <w:tcW w:w="1404" w:type="dxa"/>
            <w:vAlign w:val="center"/>
          </w:tcPr>
          <w:p w14:paraId="455325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24</w:t>
            </w:r>
          </w:p>
        </w:tc>
        <w:tc>
          <w:tcPr>
            <w:tcW w:w="4990" w:type="dxa"/>
            <w:vAlign w:val="center"/>
          </w:tcPr>
          <w:p w14:paraId="2ED96BDC">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人工清运至冷库暂存，定期委托弥勒市北斗星生物科技有限公司进行无害化处置</w:t>
            </w:r>
          </w:p>
        </w:tc>
        <w:tc>
          <w:tcPr>
            <w:tcW w:w="2209" w:type="dxa"/>
            <w:vAlign w:val="center"/>
          </w:tcPr>
          <w:p w14:paraId="547690B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2130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796CE39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Align w:val="center"/>
          </w:tcPr>
          <w:p w14:paraId="46352856">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猪舍</w:t>
            </w:r>
          </w:p>
        </w:tc>
        <w:tc>
          <w:tcPr>
            <w:tcW w:w="1916" w:type="dxa"/>
            <w:vAlign w:val="center"/>
          </w:tcPr>
          <w:p w14:paraId="6DB4CC2D">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18"/>
                <w:szCs w:val="18"/>
                <w:highlight w:val="none"/>
              </w:rPr>
              <w:t>饲料残渣</w:t>
            </w:r>
          </w:p>
        </w:tc>
        <w:tc>
          <w:tcPr>
            <w:tcW w:w="1404" w:type="dxa"/>
            <w:vAlign w:val="center"/>
          </w:tcPr>
          <w:p w14:paraId="2580EDC8">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28</w:t>
            </w:r>
          </w:p>
        </w:tc>
        <w:tc>
          <w:tcPr>
            <w:tcW w:w="4990" w:type="dxa"/>
            <w:vAlign w:val="center"/>
          </w:tcPr>
          <w:p w14:paraId="6908E66F">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18"/>
                <w:szCs w:val="18"/>
                <w:highlight w:val="none"/>
              </w:rPr>
              <w:t>通过人工清扫，运至</w:t>
            </w:r>
            <w:r>
              <w:rPr>
                <w:rFonts w:hint="default" w:ascii="Times New Roman" w:hAnsi="Times New Roman" w:cs="Times New Roman"/>
                <w:color w:val="auto"/>
                <w:sz w:val="18"/>
                <w:szCs w:val="18"/>
                <w:lang w:val="en-US" w:eastAsia="zh-CN"/>
              </w:rPr>
              <w:t>堆粪棚</w:t>
            </w:r>
            <w:r>
              <w:rPr>
                <w:rFonts w:hint="default" w:ascii="Times New Roman" w:hAnsi="Times New Roman" w:cs="Times New Roman"/>
                <w:color w:val="auto"/>
                <w:sz w:val="18"/>
                <w:szCs w:val="18"/>
                <w:highlight w:val="none"/>
              </w:rPr>
              <w:t>堆肥</w:t>
            </w:r>
          </w:p>
        </w:tc>
        <w:tc>
          <w:tcPr>
            <w:tcW w:w="2209" w:type="dxa"/>
            <w:vAlign w:val="center"/>
          </w:tcPr>
          <w:p w14:paraId="560246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r>
      <w:tr w14:paraId="4F42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295B234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Align w:val="center"/>
          </w:tcPr>
          <w:p w14:paraId="07FC51EF">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猪舍</w:t>
            </w:r>
          </w:p>
        </w:tc>
        <w:tc>
          <w:tcPr>
            <w:tcW w:w="1916" w:type="dxa"/>
            <w:vAlign w:val="center"/>
          </w:tcPr>
          <w:p w14:paraId="46052724">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防疫固废</w:t>
            </w:r>
          </w:p>
        </w:tc>
        <w:tc>
          <w:tcPr>
            <w:tcW w:w="1404" w:type="dxa"/>
            <w:vAlign w:val="center"/>
          </w:tcPr>
          <w:p w14:paraId="01E6847C">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kern w:val="0"/>
                <w:sz w:val="18"/>
                <w:szCs w:val="18"/>
                <w:lang w:val="en-US" w:eastAsia="zh-CN" w:bidi="ar-SA"/>
              </w:rPr>
              <w:t>0.1</w:t>
            </w:r>
          </w:p>
        </w:tc>
        <w:tc>
          <w:tcPr>
            <w:tcW w:w="4990" w:type="dxa"/>
            <w:vAlign w:val="center"/>
          </w:tcPr>
          <w:p w14:paraId="6C848EB1">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按照当地动物防疫部门管理要求进行处置</w:t>
            </w:r>
          </w:p>
        </w:tc>
        <w:tc>
          <w:tcPr>
            <w:tcW w:w="2209" w:type="dxa"/>
            <w:vAlign w:val="center"/>
          </w:tcPr>
          <w:p w14:paraId="2D72297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24C5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342EE29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Align w:val="center"/>
          </w:tcPr>
          <w:p w14:paraId="364D362F">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猪舍</w:t>
            </w:r>
          </w:p>
        </w:tc>
        <w:tc>
          <w:tcPr>
            <w:tcW w:w="1916" w:type="dxa"/>
            <w:vAlign w:val="center"/>
          </w:tcPr>
          <w:p w14:paraId="097FB2D8">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废弃包装材料</w:t>
            </w:r>
          </w:p>
        </w:tc>
        <w:tc>
          <w:tcPr>
            <w:tcW w:w="1404" w:type="dxa"/>
            <w:vAlign w:val="center"/>
          </w:tcPr>
          <w:p w14:paraId="5E68CCBA">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1.1</w:t>
            </w:r>
          </w:p>
        </w:tc>
        <w:tc>
          <w:tcPr>
            <w:tcW w:w="4990" w:type="dxa"/>
            <w:vAlign w:val="center"/>
          </w:tcPr>
          <w:p w14:paraId="5B71423B">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统一收集定期外卖给废品站</w:t>
            </w:r>
          </w:p>
        </w:tc>
        <w:tc>
          <w:tcPr>
            <w:tcW w:w="2209" w:type="dxa"/>
            <w:vAlign w:val="center"/>
          </w:tcPr>
          <w:p w14:paraId="75EAE86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133D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53AFF86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Align w:val="center"/>
          </w:tcPr>
          <w:p w14:paraId="5597ECF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厨房</w:t>
            </w:r>
          </w:p>
        </w:tc>
        <w:tc>
          <w:tcPr>
            <w:tcW w:w="1916" w:type="dxa"/>
            <w:vAlign w:val="center"/>
          </w:tcPr>
          <w:p w14:paraId="5FC72AF4">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废油脂</w:t>
            </w:r>
          </w:p>
        </w:tc>
        <w:tc>
          <w:tcPr>
            <w:tcW w:w="1404" w:type="dxa"/>
            <w:vAlign w:val="center"/>
          </w:tcPr>
          <w:p w14:paraId="6BAC956B">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0.003</w:t>
            </w:r>
          </w:p>
        </w:tc>
        <w:tc>
          <w:tcPr>
            <w:tcW w:w="4990" w:type="dxa"/>
            <w:vAlign w:val="center"/>
          </w:tcPr>
          <w:p w14:paraId="5633F047">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经密闭容器收集，委托有资质单位清运处置</w:t>
            </w:r>
          </w:p>
        </w:tc>
        <w:tc>
          <w:tcPr>
            <w:tcW w:w="2209" w:type="dxa"/>
            <w:vAlign w:val="center"/>
          </w:tcPr>
          <w:p w14:paraId="346CF96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7411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3A4087B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Align w:val="center"/>
          </w:tcPr>
          <w:p w14:paraId="7EAAABD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厨房</w:t>
            </w:r>
          </w:p>
        </w:tc>
        <w:tc>
          <w:tcPr>
            <w:tcW w:w="1916" w:type="dxa"/>
            <w:vAlign w:val="center"/>
          </w:tcPr>
          <w:p w14:paraId="4F5058F9">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泔水</w:t>
            </w:r>
          </w:p>
        </w:tc>
        <w:tc>
          <w:tcPr>
            <w:tcW w:w="1404" w:type="dxa"/>
            <w:vAlign w:val="center"/>
          </w:tcPr>
          <w:p w14:paraId="4309562B">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0.876</w:t>
            </w:r>
          </w:p>
        </w:tc>
        <w:tc>
          <w:tcPr>
            <w:tcW w:w="4990" w:type="dxa"/>
            <w:vAlign w:val="center"/>
          </w:tcPr>
          <w:p w14:paraId="27AB33E5">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经密闭泔水桶收集后，按照住建部门的相关规定处置。</w:t>
            </w:r>
          </w:p>
        </w:tc>
        <w:tc>
          <w:tcPr>
            <w:tcW w:w="2209" w:type="dxa"/>
            <w:vAlign w:val="center"/>
          </w:tcPr>
          <w:p w14:paraId="65A90C5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78A95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48A6363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Align w:val="center"/>
          </w:tcPr>
          <w:p w14:paraId="06FEDE70">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化粪池</w:t>
            </w:r>
          </w:p>
        </w:tc>
        <w:tc>
          <w:tcPr>
            <w:tcW w:w="1916" w:type="dxa"/>
            <w:vAlign w:val="center"/>
          </w:tcPr>
          <w:p w14:paraId="695D1CD5">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化粪池污泥</w:t>
            </w:r>
          </w:p>
        </w:tc>
        <w:tc>
          <w:tcPr>
            <w:tcW w:w="1404" w:type="dxa"/>
            <w:vAlign w:val="center"/>
          </w:tcPr>
          <w:p w14:paraId="33F9BF90">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0.39</w:t>
            </w:r>
          </w:p>
        </w:tc>
        <w:tc>
          <w:tcPr>
            <w:tcW w:w="4990" w:type="dxa"/>
            <w:vAlign w:val="center"/>
          </w:tcPr>
          <w:p w14:paraId="1DD0368C">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定期清掏后作为</w:t>
            </w:r>
            <w:r>
              <w:rPr>
                <w:rFonts w:hint="default" w:ascii="Times New Roman" w:hAnsi="Times New Roman" w:cs="Times New Roman"/>
                <w:color w:val="auto"/>
                <w:sz w:val="18"/>
                <w:szCs w:val="18"/>
                <w:highlight w:val="none"/>
                <w:lang w:eastAsia="zh-CN"/>
              </w:rPr>
              <w:t>绿化及</w:t>
            </w:r>
            <w:r>
              <w:rPr>
                <w:rFonts w:hint="default" w:ascii="Times New Roman" w:hAnsi="Times New Roman" w:cs="Times New Roman"/>
                <w:color w:val="auto"/>
                <w:sz w:val="18"/>
                <w:szCs w:val="18"/>
                <w:highlight w:val="none"/>
              </w:rPr>
              <w:t>农田施肥使用</w:t>
            </w:r>
          </w:p>
        </w:tc>
        <w:tc>
          <w:tcPr>
            <w:tcW w:w="2209" w:type="dxa"/>
            <w:vAlign w:val="center"/>
          </w:tcPr>
          <w:p w14:paraId="1B3DF5A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28E1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166D31C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Align w:val="center"/>
          </w:tcPr>
          <w:p w14:paraId="73BED148">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办公生活区</w:t>
            </w:r>
          </w:p>
        </w:tc>
        <w:tc>
          <w:tcPr>
            <w:tcW w:w="1916" w:type="dxa"/>
            <w:vAlign w:val="center"/>
          </w:tcPr>
          <w:p w14:paraId="5966A9B5">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生活垃圾</w:t>
            </w:r>
          </w:p>
        </w:tc>
        <w:tc>
          <w:tcPr>
            <w:tcW w:w="1404" w:type="dxa"/>
            <w:vAlign w:val="center"/>
          </w:tcPr>
          <w:p w14:paraId="0859DCDC">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Cs/>
                <w:color w:val="auto"/>
                <w:sz w:val="18"/>
                <w:szCs w:val="18"/>
                <w:highlight w:val="none"/>
              </w:rPr>
              <w:t>2.</w:t>
            </w:r>
            <w:r>
              <w:rPr>
                <w:rFonts w:hint="default" w:ascii="Times New Roman" w:hAnsi="Times New Roman" w:cs="Times New Roman"/>
                <w:bCs/>
                <w:color w:val="auto"/>
                <w:sz w:val="18"/>
                <w:szCs w:val="18"/>
                <w:highlight w:val="none"/>
                <w:lang w:val="en-US" w:eastAsia="zh-CN"/>
              </w:rPr>
              <w:t>19</w:t>
            </w:r>
          </w:p>
        </w:tc>
        <w:tc>
          <w:tcPr>
            <w:tcW w:w="4990" w:type="dxa"/>
            <w:vAlign w:val="center"/>
          </w:tcPr>
          <w:p w14:paraId="704BAC33">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垃圾桶统一收集后，并运至</w:t>
            </w:r>
            <w:r>
              <w:rPr>
                <w:rFonts w:hint="default" w:ascii="Times New Roman" w:hAnsi="Times New Roman" w:cs="Times New Roman"/>
                <w:bCs/>
                <w:color w:val="auto"/>
                <w:sz w:val="18"/>
                <w:szCs w:val="18"/>
                <w:highlight w:val="none"/>
                <w:lang w:val="en-US" w:eastAsia="zh-CN"/>
              </w:rPr>
              <w:t>猴街</w:t>
            </w:r>
            <w:r>
              <w:rPr>
                <w:rFonts w:hint="default" w:ascii="Times New Roman" w:hAnsi="Times New Roman" w:cs="Times New Roman"/>
                <w:bCs/>
                <w:color w:val="auto"/>
                <w:sz w:val="18"/>
                <w:szCs w:val="18"/>
                <w:highlight w:val="none"/>
              </w:rPr>
              <w:t>村</w:t>
            </w:r>
            <w:r>
              <w:rPr>
                <w:rFonts w:hint="default" w:ascii="Times New Roman" w:hAnsi="Times New Roman" w:cs="Times New Roman"/>
                <w:color w:val="auto"/>
                <w:sz w:val="18"/>
                <w:szCs w:val="18"/>
                <w:highlight w:val="none"/>
              </w:rPr>
              <w:t>统一的垃圾收集点，由环卫部门清运处置</w:t>
            </w:r>
          </w:p>
        </w:tc>
        <w:tc>
          <w:tcPr>
            <w:tcW w:w="2209" w:type="dxa"/>
            <w:vAlign w:val="center"/>
          </w:tcPr>
          <w:p w14:paraId="358B883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14:paraId="05A7F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vAlign w:val="center"/>
          </w:tcPr>
          <w:p w14:paraId="33B9886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614" w:type="dxa"/>
            <w:vAlign w:val="center"/>
          </w:tcPr>
          <w:p w14:paraId="785D899D">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设备维修</w:t>
            </w:r>
          </w:p>
        </w:tc>
        <w:tc>
          <w:tcPr>
            <w:tcW w:w="1916" w:type="dxa"/>
            <w:vAlign w:val="center"/>
          </w:tcPr>
          <w:p w14:paraId="0F1D799B">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废机油</w:t>
            </w:r>
          </w:p>
        </w:tc>
        <w:tc>
          <w:tcPr>
            <w:tcW w:w="1404" w:type="dxa"/>
            <w:vAlign w:val="center"/>
          </w:tcPr>
          <w:p w14:paraId="09982B7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w:t>
            </w:r>
          </w:p>
        </w:tc>
        <w:tc>
          <w:tcPr>
            <w:tcW w:w="4990" w:type="dxa"/>
            <w:vAlign w:val="center"/>
          </w:tcPr>
          <w:p w14:paraId="405C7CE5">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设专用密闭容器收集后，暂存至危废暂存间，委托相关资质单位处置。</w:t>
            </w:r>
          </w:p>
        </w:tc>
        <w:tc>
          <w:tcPr>
            <w:tcW w:w="2209" w:type="dxa"/>
            <w:vAlign w:val="center"/>
          </w:tcPr>
          <w:p w14:paraId="5029212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bl>
    <w:p w14:paraId="200378EE">
      <w:pPr>
        <w:snapToGrid w:val="0"/>
        <w:spacing w:line="360" w:lineRule="auto"/>
        <w:ind w:firstLine="480" w:firstLineChars="200"/>
        <w:rPr>
          <w:rFonts w:hint="default" w:ascii="Times New Roman" w:hAnsi="Times New Roman" w:cs="Times New Roman"/>
          <w:color w:val="auto"/>
          <w:sz w:val="24"/>
          <w:highlight w:val="none"/>
        </w:rPr>
      </w:pPr>
    </w:p>
    <w:p w14:paraId="4754886D">
      <w:pPr>
        <w:snapToGrid w:val="0"/>
        <w:spacing w:line="360" w:lineRule="auto"/>
        <w:ind w:firstLine="480" w:firstLineChars="200"/>
        <w:rPr>
          <w:rFonts w:hint="default" w:ascii="Times New Roman" w:hAnsi="Times New Roman" w:cs="Times New Roman"/>
          <w:color w:val="auto"/>
          <w:sz w:val="24"/>
          <w:highlight w:val="none"/>
        </w:rPr>
        <w:sectPr>
          <w:pgSz w:w="16840" w:h="11907" w:orient="landscape"/>
          <w:pgMar w:top="1531" w:right="1531" w:bottom="1797"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2C0084B">
      <w:pPr>
        <w:pStyle w:val="2"/>
        <w:keepNext/>
        <w:keepLines/>
        <w:pageBreakBefore/>
        <w:widowControl w:val="0"/>
        <w:kinsoku/>
        <w:wordWrap/>
        <w:overflowPunct/>
        <w:topLinePunct w:val="0"/>
        <w:autoSpaceDE/>
        <w:autoSpaceDN/>
        <w:bidi w:val="0"/>
        <w:adjustRightInd/>
        <w:snapToGrid w:val="0"/>
        <w:spacing w:before="0" w:after="0" w:afterLines="0" w:line="360" w:lineRule="auto"/>
        <w:textAlignment w:val="auto"/>
        <w:rPr>
          <w:rFonts w:hint="default" w:ascii="Times New Roman" w:hAnsi="Times New Roman" w:cs="Times New Roman"/>
          <w:color w:val="auto"/>
          <w:sz w:val="28"/>
          <w:szCs w:val="28"/>
          <w:highlight w:val="none"/>
        </w:rPr>
      </w:pPr>
      <w:bookmarkStart w:id="209" w:name="_Toc10392"/>
      <w:bookmarkStart w:id="210" w:name="_Toc29251"/>
      <w:bookmarkStart w:id="211" w:name="_Toc2053"/>
      <w:bookmarkStart w:id="212" w:name="_Toc15857"/>
      <w:r>
        <w:rPr>
          <w:rFonts w:hint="default" w:ascii="Times New Roman" w:hAnsi="Times New Roman" w:cs="Times New Roman"/>
          <w:color w:val="auto"/>
          <w:sz w:val="28"/>
          <w:szCs w:val="28"/>
          <w:highlight w:val="none"/>
        </w:rPr>
        <w:t>4建设项目周围环境概况</w:t>
      </w:r>
      <w:bookmarkEnd w:id="209"/>
      <w:bookmarkEnd w:id="210"/>
      <w:bookmarkEnd w:id="211"/>
      <w:bookmarkEnd w:id="212"/>
    </w:p>
    <w:p w14:paraId="3557222C">
      <w:pPr>
        <w:pStyle w:val="3"/>
        <w:keepNext/>
        <w:keepLines/>
        <w:pageBreakBefore w:val="0"/>
        <w:widowControl w:val="0"/>
        <w:tabs>
          <w:tab w:val="left" w:pos="420"/>
        </w:tabs>
        <w:kinsoku/>
        <w:wordWrap/>
        <w:overflowPunct/>
        <w:topLinePunct w:val="0"/>
        <w:autoSpaceDE/>
        <w:autoSpaceDN/>
        <w:bidi w:val="0"/>
        <w:adjustRightInd/>
        <w:snapToGrid/>
        <w:spacing w:before="0" w:after="0" w:line="360" w:lineRule="auto"/>
        <w:textAlignment w:val="auto"/>
        <w:rPr>
          <w:rStyle w:val="34"/>
          <w:rFonts w:hint="default" w:ascii="Times New Roman" w:hAnsi="Times New Roman" w:cs="Times New Roman"/>
          <w:b w:val="0"/>
          <w:bCs w:val="0"/>
          <w:color w:val="auto"/>
          <w:sz w:val="24"/>
          <w:highlight w:val="none"/>
        </w:rPr>
      </w:pPr>
      <w:bookmarkStart w:id="213" w:name="_Toc22813"/>
      <w:bookmarkStart w:id="214" w:name="_Toc24950"/>
      <w:bookmarkStart w:id="215" w:name="_Toc11740"/>
      <w:bookmarkStart w:id="216" w:name="_Toc12157"/>
      <w:r>
        <w:rPr>
          <w:rStyle w:val="34"/>
          <w:rFonts w:hint="default" w:ascii="Times New Roman" w:hAnsi="Times New Roman" w:cs="Times New Roman"/>
          <w:b w:val="0"/>
          <w:bCs w:val="0"/>
          <w:color w:val="auto"/>
          <w:sz w:val="24"/>
          <w:highlight w:val="none"/>
        </w:rPr>
        <w:t>4.1自然环境概况</w:t>
      </w:r>
      <w:bookmarkEnd w:id="213"/>
      <w:bookmarkEnd w:id="214"/>
      <w:bookmarkEnd w:id="215"/>
      <w:bookmarkEnd w:id="216"/>
    </w:p>
    <w:p w14:paraId="07B7541A">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rPr>
      </w:pPr>
      <w:bookmarkStart w:id="217" w:name="_Toc32049"/>
      <w:r>
        <w:rPr>
          <w:rStyle w:val="35"/>
          <w:rFonts w:hint="default" w:ascii="Times New Roman" w:hAnsi="Times New Roman" w:eastAsia="宋体" w:cs="Times New Roman"/>
          <w:color w:val="auto"/>
          <w:sz w:val="24"/>
          <w:szCs w:val="24"/>
          <w:highlight w:val="none"/>
        </w:rPr>
        <w:t>4.1.1地理位置</w:t>
      </w:r>
      <w:bookmarkEnd w:id="217"/>
    </w:p>
    <w:p w14:paraId="48E02B54">
      <w:pPr>
        <w:adjustRightInd w:val="0"/>
        <w:snapToGrid w:val="0"/>
        <w:spacing w:line="360" w:lineRule="auto"/>
        <w:ind w:firstLine="480" w:firstLineChars="200"/>
        <w:rPr>
          <w:rFonts w:hint="default" w:ascii="Times New Roman" w:hAnsi="Times New Roman" w:cs="Times New Roman"/>
          <w:bCs/>
          <w:color w:val="auto"/>
          <w:sz w:val="24"/>
          <w:highlight w:val="none"/>
        </w:rPr>
      </w:pPr>
      <w:bookmarkStart w:id="218" w:name="_Toc137718488"/>
      <w:r>
        <w:rPr>
          <w:rFonts w:hint="default" w:ascii="Times New Roman" w:hAnsi="Times New Roman" w:cs="Times New Roman"/>
          <w:bCs/>
          <w:color w:val="auto"/>
          <w:sz w:val="24"/>
          <w:highlight w:val="none"/>
        </w:rPr>
        <w:t>弥勒市是云南省红河哈尼族彝族自治州下辖县级市，位于云南省东南部、红河州北部，地跨东经103°04′～103°49′，北纬23°50′～24°39′之间。北依昆明市石林县、南接本州开远市、东邻文山州丘北县、西连玉溪市华宁县，处于昆明、个旧、开远三个城市和滇中滇南两个经济区的结合部，是红河州的北大门。市境南北长约78km，东西宽约50km，</w:t>
      </w:r>
      <w:r>
        <w:rPr>
          <w:rFonts w:hint="eastAsia" w:cs="Times New Roman"/>
          <w:bCs/>
          <w:color w:val="auto"/>
          <w:sz w:val="24"/>
          <w:highlight w:val="none"/>
          <w:lang w:eastAsia="zh-CN"/>
        </w:rPr>
        <w:t>面积</w:t>
      </w:r>
      <w:r>
        <w:rPr>
          <w:rFonts w:hint="default" w:ascii="Times New Roman" w:hAnsi="Times New Roman" w:cs="Times New Roman"/>
          <w:bCs/>
          <w:color w:val="auto"/>
          <w:sz w:val="24"/>
          <w:highlight w:val="none"/>
        </w:rPr>
        <w:t>4004km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w:t>
      </w:r>
    </w:p>
    <w:bookmarkEnd w:id="218"/>
    <w:p w14:paraId="6FD78D15">
      <w:pPr>
        <w:autoSpaceDE w:val="0"/>
        <w:autoSpaceDN w:val="0"/>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lang w:eastAsia="zh-CN"/>
        </w:rPr>
        <w:t>弥勒市新哨镇猴街居委会猴街二组东北方向横山脚</w:t>
      </w:r>
      <w:r>
        <w:rPr>
          <w:rFonts w:hint="default" w:ascii="Times New Roman" w:hAnsi="Times New Roman" w:cs="Times New Roman"/>
          <w:bCs/>
          <w:color w:val="auto"/>
          <w:sz w:val="24"/>
          <w:highlight w:val="none"/>
        </w:rPr>
        <w:t>，项目中心地理位置坐标为东经103.431025°，北纬24.148532°。项目地理位置见</w:t>
      </w:r>
      <w:r>
        <w:rPr>
          <w:rFonts w:hint="default" w:ascii="Times New Roman" w:hAnsi="Times New Roman" w:cs="Times New Roman"/>
          <w:color w:val="auto"/>
          <w:sz w:val="24"/>
          <w:highlight w:val="none"/>
        </w:rPr>
        <w:t>附图1。</w:t>
      </w:r>
    </w:p>
    <w:p w14:paraId="228A16FC">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rPr>
      </w:pPr>
      <w:bookmarkStart w:id="219" w:name="_Toc23623"/>
      <w:r>
        <w:rPr>
          <w:rStyle w:val="35"/>
          <w:rFonts w:hint="default" w:ascii="Times New Roman" w:hAnsi="Times New Roman" w:eastAsia="宋体" w:cs="Times New Roman"/>
          <w:color w:val="auto"/>
          <w:sz w:val="24"/>
          <w:szCs w:val="24"/>
          <w:highlight w:val="none"/>
        </w:rPr>
        <w:t>4.1.2地形地貌</w:t>
      </w:r>
      <w:bookmarkEnd w:id="219"/>
    </w:p>
    <w:p w14:paraId="53388A9B">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弥勒市属滇东高原的一部分，由于受南盘江及其支流的切割，地形高差较大，高原面被强烈剥蚀、分割，形成山谷相间的中低山地形与小型盆地（坝子）相间的地貌类型。地势北高南低，东西高、中间低凹，形成三大坝子和14个小坝子，三大坝子即弥勒坝（土地面积230.5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，耕地面积13.2万亩）、竹朋坝（土地面积75km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，耕地面积6.1万亩）、虹溪坝（土地面积35km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，耕地面积3.9万亩），14个小坝子（面积在10km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以下）面积共389km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境内东西两山由北向南走向，成三面环绕市区，河流趋向多由北向南。弥勒市最高山峰为新哨布龙金顶山，主峰海拔2315m；最低为东山乡与邱北县舍得接界的河谷地带，海拔870m；坝区海拔1100～1500m。弥勒境内地形地貌复杂，形态多样，根据成因及形态不同，主要分为构造剥蚀地貌、河流侵蚀地貌、岩溶地貌、构造溶蚀和断陷湖积盆地等四种类型。</w:t>
      </w:r>
    </w:p>
    <w:p w14:paraId="65946D68">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项目区土地大部分为基岩裸露，</w:t>
      </w:r>
      <w:r>
        <w:rPr>
          <w:rFonts w:hint="default" w:ascii="Times New Roman" w:hAnsi="Times New Roman" w:cs="Times New Roman"/>
          <w:color w:val="auto"/>
          <w:sz w:val="24"/>
        </w:rPr>
        <w:t>整体地势西低东高，</w:t>
      </w:r>
      <w:r>
        <w:rPr>
          <w:rFonts w:hint="default" w:ascii="Times New Roman" w:hAnsi="Times New Roman" w:cs="Times New Roman"/>
          <w:color w:val="auto"/>
          <w:sz w:val="24"/>
          <w:highlight w:val="none"/>
        </w:rPr>
        <w:t>地块高程位于</w:t>
      </w:r>
      <w:r>
        <w:rPr>
          <w:rFonts w:hint="default" w:ascii="Times New Roman" w:hAnsi="Times New Roman" w:cs="Times New Roman"/>
          <w:color w:val="auto"/>
          <w:sz w:val="24"/>
          <w:highlight w:val="none"/>
          <w:lang w:val="en-US" w:eastAsia="zh-CN"/>
        </w:rPr>
        <w:t>1478</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1486</w:t>
      </w:r>
      <w:r>
        <w:rPr>
          <w:rFonts w:hint="default" w:ascii="Times New Roman" w:hAnsi="Times New Roman" w:cs="Times New Roman"/>
          <w:color w:val="auto"/>
          <w:sz w:val="24"/>
          <w:highlight w:val="none"/>
        </w:rPr>
        <w:t>m之间。</w:t>
      </w:r>
    </w:p>
    <w:p w14:paraId="77DE7783">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220" w:name="_Toc11667"/>
      <w:r>
        <w:rPr>
          <w:rStyle w:val="35"/>
          <w:rFonts w:hint="default" w:ascii="Times New Roman" w:hAnsi="Times New Roman" w:eastAsia="宋体" w:cs="Times New Roman"/>
          <w:color w:val="auto"/>
          <w:sz w:val="24"/>
          <w:szCs w:val="24"/>
          <w:highlight w:val="none"/>
        </w:rPr>
        <w:t>4.1.3地质</w:t>
      </w:r>
      <w:bookmarkEnd w:id="220"/>
    </w:p>
    <w:p w14:paraId="7180BA1A">
      <w:pPr>
        <w:pStyle w:val="15"/>
        <w:rPr>
          <w:rFonts w:hint="default" w:ascii="Times New Roman" w:hAnsi="Times New Roman" w:cs="Times New Roman"/>
          <w:b/>
          <w:bCs/>
          <w:color w:val="auto"/>
          <w:szCs w:val="20"/>
          <w:highlight w:val="none"/>
          <w:lang w:val="en-US" w:eastAsia="zh-CN"/>
        </w:rPr>
      </w:pPr>
      <w:r>
        <w:rPr>
          <w:rFonts w:hint="default" w:ascii="Times New Roman" w:hAnsi="Times New Roman" w:cs="Times New Roman"/>
          <w:b/>
          <w:bCs/>
          <w:color w:val="auto"/>
          <w:szCs w:val="20"/>
          <w:highlight w:val="none"/>
          <w:lang w:val="en-US" w:eastAsia="zh-CN"/>
        </w:rPr>
        <w:t>1、地质构造</w:t>
      </w:r>
    </w:p>
    <w:p w14:paraId="3E4931CD">
      <w:pPr>
        <w:pStyle w:val="15"/>
        <w:rPr>
          <w:rFonts w:hint="default" w:ascii="Times New Roman" w:hAnsi="Times New Roman" w:eastAsia="宋体" w:cs="Times New Roman"/>
          <w:color w:val="auto"/>
          <w:szCs w:val="20"/>
          <w:highlight w:val="none"/>
          <w:lang w:val="en-US" w:eastAsia="zh-CN"/>
        </w:rPr>
      </w:pPr>
      <w:r>
        <w:rPr>
          <w:rFonts w:hint="default" w:ascii="Times New Roman" w:hAnsi="Times New Roman" w:cs="Times New Roman"/>
          <w:color w:val="auto"/>
          <w:szCs w:val="20"/>
          <w:highlight w:val="none"/>
        </w:rPr>
        <w:t>区域上主要构造体系是云南“山”字型构造东翼部分，次要构造为经向构造体系和纬向构造体系及新华夏系构造。区域上各体系构造活动强烈，具有继承性和多期复活特点，造成区域上断裂、褶皱极为发育。</w:t>
      </w:r>
      <w:r>
        <w:rPr>
          <w:rFonts w:hint="default" w:ascii="Times New Roman" w:hAnsi="Times New Roman" w:cs="Times New Roman"/>
          <w:color w:val="auto"/>
          <w:szCs w:val="20"/>
          <w:highlight w:val="none"/>
          <w:lang w:eastAsia="zh-CN"/>
        </w:rPr>
        <w:t>弥勒市构造体系见图</w:t>
      </w:r>
      <w:r>
        <w:rPr>
          <w:rFonts w:hint="default" w:ascii="Times New Roman" w:hAnsi="Times New Roman" w:cs="Times New Roman"/>
          <w:color w:val="auto"/>
          <w:szCs w:val="20"/>
          <w:highlight w:val="none"/>
          <w:lang w:val="en-US" w:eastAsia="zh-CN"/>
        </w:rPr>
        <w:t>4.1-1。</w:t>
      </w:r>
    </w:p>
    <w:p w14:paraId="17F7E225">
      <w:pPr>
        <w:pStyle w:val="15"/>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经向构造体系：位于南北向（8）号断裂以西，由南北向压性、压扭性断裂带组成，是小江断裂带的南延部分，呈带状分布，规模较大、多期活动、继承性明显，控制区域内古地理和沉积环境，沿断裂带有二叠系峨眉山玄武岩多期喷发，并有热异常分布。由于该构造形成时间较早，且具有继承性活动，同时次级构造发育。</w:t>
      </w:r>
    </w:p>
    <w:p w14:paraId="34670AC9">
      <w:pPr>
        <w:pStyle w:val="15"/>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纬向构造体系：主要分布区区域南东，主要由一系列相同平行排列的压扭性和高角度的冲断层组成。</w:t>
      </w:r>
    </w:p>
    <w:p w14:paraId="303C2569">
      <w:pPr>
        <w:pStyle w:val="15"/>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山字型构造体系：区域内断裂、褶皱相当发育，以断裂为主，多属走向断层。由一组走向NNE偏NE向的压性冲断裂组成，断层沿走向因受西部经向构造地带的制约，呈不连续的出露。新第三纪以来所形成的盆地严格受山字型断裂控制，其长轴方向与主构造线一致，新生界地层多被断裂切割。褶皱表现为背斜舒缓，向斜紧密的特征，褶皱自北西向南东渐趋紧密线状，向斜发生倒转，沿褶皱轴走向受压性断裂破坏及斜交的次级扭性断裂切断。</w:t>
      </w:r>
    </w:p>
    <w:p w14:paraId="196AD661">
      <w:pPr>
        <w:pStyle w:val="15"/>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新华夏系：区域内主要为（9）、（10）号压性断裂，其走向为10°～20°，沿走向多次被北西向扭性断裂错断，往南与经向构造带交接后走向不明，沿北东与云南山字型东翼为斜接或载接的复合关系。</w:t>
      </w:r>
    </w:p>
    <w:p w14:paraId="1796FB2C">
      <w:pPr>
        <w:pStyle w:val="15"/>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区域内发育</w:t>
      </w:r>
      <w:r>
        <w:rPr>
          <w:rFonts w:hint="default" w:ascii="Times New Roman" w:hAnsi="Times New Roman" w:cs="Times New Roman"/>
          <w:color w:val="auto"/>
          <w:szCs w:val="20"/>
          <w:highlight w:val="none"/>
          <w:lang w:val="en-US" w:eastAsia="zh-CN"/>
        </w:rPr>
        <w:t>10</w:t>
      </w:r>
      <w:r>
        <w:rPr>
          <w:rFonts w:hint="default" w:ascii="Times New Roman" w:hAnsi="Times New Roman" w:cs="Times New Roman"/>
          <w:color w:val="auto"/>
          <w:szCs w:val="20"/>
          <w:highlight w:val="none"/>
        </w:rPr>
        <w:t>条断裂构造，各断裂特征见区域断裂统计表</w:t>
      </w:r>
      <w:r>
        <w:rPr>
          <w:rFonts w:hint="default" w:ascii="Times New Roman" w:hAnsi="Times New Roman" w:cs="Times New Roman"/>
          <w:color w:val="auto"/>
          <w:szCs w:val="20"/>
          <w:highlight w:val="none"/>
          <w:lang w:val="en-US" w:eastAsia="zh-CN"/>
        </w:rPr>
        <w:t>4.1.1-1</w:t>
      </w:r>
      <w:r>
        <w:rPr>
          <w:rFonts w:hint="default" w:ascii="Times New Roman" w:hAnsi="Times New Roman" w:cs="Times New Roman"/>
          <w:color w:val="auto"/>
          <w:szCs w:val="20"/>
          <w:highlight w:val="none"/>
          <w:lang w:eastAsia="zh-CN"/>
        </w:rPr>
        <w:t>；厂区</w:t>
      </w:r>
      <w:r>
        <w:rPr>
          <w:rFonts w:hint="default" w:ascii="Times New Roman" w:hAnsi="Times New Roman" w:cs="Times New Roman"/>
          <w:color w:val="auto"/>
          <w:szCs w:val="20"/>
          <w:highlight w:val="none"/>
        </w:rPr>
        <w:t>主控断裂</w:t>
      </w:r>
      <w:r>
        <w:rPr>
          <w:rFonts w:hint="default" w:ascii="Times New Roman" w:hAnsi="Times New Roman" w:cs="Times New Roman"/>
          <w:color w:val="auto"/>
          <w:szCs w:val="20"/>
          <w:highlight w:val="none"/>
          <w:lang w:eastAsia="zh-CN"/>
        </w:rPr>
        <w:t>为</w:t>
      </w:r>
      <w:r>
        <w:rPr>
          <w:rFonts w:hint="default" w:ascii="Times New Roman" w:hAnsi="Times New Roman" w:eastAsia="宋体" w:cs="Times New Roman"/>
          <w:b w:val="0"/>
          <w:bCs w:val="0"/>
          <w:color w:val="auto"/>
          <w:kern w:val="2"/>
          <w:sz w:val="24"/>
          <w:szCs w:val="24"/>
          <w:highlight w:val="none"/>
          <w:lang w:val="en-US" w:eastAsia="zh-CN" w:bidi="ar"/>
        </w:rPr>
        <w:t>㉔</w:t>
      </w:r>
      <w:r>
        <w:rPr>
          <w:rFonts w:hint="default" w:ascii="Times New Roman" w:hAnsi="Times New Roman" w:cs="Times New Roman"/>
          <w:color w:val="auto"/>
          <w:szCs w:val="20"/>
          <w:highlight w:val="none"/>
          <w:lang w:eastAsia="zh-CN"/>
        </w:rPr>
        <w:t>龙潭哨～金顶山断裂</w:t>
      </w:r>
      <w:r>
        <w:rPr>
          <w:rFonts w:hint="default" w:ascii="Times New Roman" w:hAnsi="Times New Roman" w:cs="Times New Roman"/>
          <w:color w:val="auto"/>
          <w:szCs w:val="20"/>
          <w:highlight w:val="none"/>
          <w:lang w:val="en-US" w:eastAsia="zh-CN"/>
        </w:rPr>
        <w:t>。</w:t>
      </w:r>
    </w:p>
    <w:p w14:paraId="05800A4C">
      <w:pPr>
        <w:pStyle w:val="15"/>
        <w:ind w:left="0" w:leftChars="0" w:firstLine="0" w:firstLineChars="0"/>
        <w:jc w:val="center"/>
        <w:rPr>
          <w:rFonts w:hint="default" w:ascii="Times New Roman" w:hAnsi="Times New Roman" w:eastAsia="宋体" w:cs="Times New Roman"/>
          <w:color w:val="auto"/>
          <w:szCs w:val="20"/>
          <w:highlight w:val="none"/>
          <w:lang w:eastAsia="zh-CN"/>
        </w:rPr>
      </w:pPr>
      <w:r>
        <w:rPr>
          <w:rFonts w:hint="default" w:ascii="Times New Roman" w:hAnsi="Times New Roman" w:cs="Times New Roman"/>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2542540</wp:posOffset>
                </wp:positionH>
                <wp:positionV relativeFrom="paragraph">
                  <wp:posOffset>4286885</wp:posOffset>
                </wp:positionV>
                <wp:extent cx="144780" cy="118110"/>
                <wp:effectExtent l="11430" t="12065" r="15240" b="22225"/>
                <wp:wrapNone/>
                <wp:docPr id="33" name="等腰三角形 33"/>
                <wp:cNvGraphicFramePr/>
                <a:graphic xmlns:a="http://schemas.openxmlformats.org/drawingml/2006/main">
                  <a:graphicData uri="http://schemas.microsoft.com/office/word/2010/wordprocessingShape">
                    <wps:wsp>
                      <wps:cNvSpPr/>
                      <wps:spPr>
                        <a:xfrm>
                          <a:off x="0" y="0"/>
                          <a:ext cx="144780" cy="118110"/>
                        </a:xfrm>
                        <a:prstGeom prst="triangle">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00.2pt;margin-top:337.55pt;height:9.3pt;width:11.4pt;z-index:251660288;v-text-anchor:middle;mso-width-relative:page;mso-height-relative:page;" fillcolor="#FF0000" filled="t" stroked="t" coordsize="21600,21600" o:gfxdata="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dFn/e2gAAAAsBAAAPAAAAAAAAAAEAIAAAACIAAABkcnMvZG93bnJldi54bWxQSwECFAAUAAAA&#10;CACHTuJACDGBd5cCAAAkBQAADgAAAAAAAAABACAAAAApAQAAZHJzL2Uyb0RvYy54bWxQSwUGAAAA&#10;AAYABgBZAQAAMgYAAAAA&#10;" adj="10800">
                <v:fill on="t" focussize="0,0"/>
                <v:stroke weight="1pt" color="#2E54A1 [2404]" miterlimit="8" joinstyle="miter"/>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2336" behindDoc="0" locked="0" layoutInCell="1" allowOverlap="1">
                <wp:simplePos x="0" y="0"/>
                <wp:positionH relativeFrom="column">
                  <wp:posOffset>2604135</wp:posOffset>
                </wp:positionH>
                <wp:positionV relativeFrom="paragraph">
                  <wp:posOffset>5344795</wp:posOffset>
                </wp:positionV>
                <wp:extent cx="382270" cy="259080"/>
                <wp:effectExtent l="6350" t="1339215" r="11430" b="20955"/>
                <wp:wrapNone/>
                <wp:docPr id="52" name="矩形标注 52"/>
                <wp:cNvGraphicFramePr/>
                <a:graphic xmlns:a="http://schemas.openxmlformats.org/drawingml/2006/main">
                  <a:graphicData uri="http://schemas.microsoft.com/office/word/2010/wordprocessingShape">
                    <wps:wsp>
                      <wps:cNvSpPr/>
                      <wps:spPr>
                        <a:xfrm>
                          <a:off x="0" y="0"/>
                          <a:ext cx="382270" cy="259080"/>
                        </a:xfrm>
                        <a:prstGeom prst="wedgeRectCallout">
                          <a:avLst>
                            <a:gd name="adj1" fmla="val -19767"/>
                            <a:gd name="adj2" fmla="val -547303"/>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61D432A1">
                            <w:pPr>
                              <w:rPr>
                                <w:color w:val="C00000"/>
                              </w:rPr>
                            </w:pPr>
                            <w:r>
                              <w:rPr>
                                <w:rFonts w:hint="default" w:ascii="Times New Roman" w:hAnsi="Times New Roman" w:eastAsia="宋体" w:cs="Times New Roman"/>
                                <w:b w:val="0"/>
                                <w:bCs w:val="0"/>
                                <w:color w:val="C00000"/>
                                <w:kern w:val="2"/>
                                <w:sz w:val="21"/>
                                <w:szCs w:val="21"/>
                                <w:highlight w:val="none"/>
                                <w:lang w:val="en-US" w:eastAsia="zh-CN" w:bidi="ar"/>
                              </w:rPr>
                              <w:t>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5.05pt;margin-top:420.85pt;height:20.4pt;width:30.1pt;z-index:251662336;v-text-anchor:middle;mso-width-relative:page;mso-height-relative:page;" filled="f" stroked="t" coordsize="21600,21600" o:gfxdata="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k4Uip2QAAAAsBAAAPAAAAAAAAAAEAIAAAACIAAABkcnMvZG93bnJl&#10;di54bWxQSwECFAAUAAAACACHTuJAGDG+nacCAAA9BQAADgAAAAAAAAABACAAAAAoAQAAZHJzL2Uy&#10;b0RvYy54bWxQSwUGAAAAAAYABgBZAQAAQQYAAAAA&#10;" adj="6530,-107417">
                <v:fill on="f" focussize="0,0"/>
                <v:stroke weight="1pt" color="#000000 [3213]" miterlimit="8" joinstyle="miter"/>
                <v:imagedata o:title=""/>
                <o:lock v:ext="edit" aspectratio="f"/>
                <v:textbox>
                  <w:txbxContent>
                    <w:p w14:paraId="61D432A1">
                      <w:pPr>
                        <w:rPr>
                          <w:color w:val="C00000"/>
                        </w:rPr>
                      </w:pPr>
                      <w:r>
                        <w:rPr>
                          <w:rFonts w:hint="default" w:ascii="Times New Roman" w:hAnsi="Times New Roman" w:eastAsia="宋体" w:cs="Times New Roman"/>
                          <w:b w:val="0"/>
                          <w:bCs w:val="0"/>
                          <w:color w:val="C00000"/>
                          <w:kern w:val="2"/>
                          <w:sz w:val="21"/>
                          <w:szCs w:val="21"/>
                          <w:highlight w:val="none"/>
                          <w:lang w:val="en-US" w:eastAsia="zh-CN" w:bidi="ar"/>
                        </w:rPr>
                        <w:t>㉔</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1312" behindDoc="0" locked="0" layoutInCell="1" allowOverlap="1">
                <wp:simplePos x="0" y="0"/>
                <wp:positionH relativeFrom="column">
                  <wp:posOffset>1795780</wp:posOffset>
                </wp:positionH>
                <wp:positionV relativeFrom="paragraph">
                  <wp:posOffset>5354955</wp:posOffset>
                </wp:positionV>
                <wp:extent cx="382270" cy="259080"/>
                <wp:effectExtent l="6350" t="280035" r="11430" b="13335"/>
                <wp:wrapNone/>
                <wp:docPr id="51" name="矩形标注 51"/>
                <wp:cNvGraphicFramePr/>
                <a:graphic xmlns:a="http://schemas.openxmlformats.org/drawingml/2006/main">
                  <a:graphicData uri="http://schemas.microsoft.com/office/word/2010/wordprocessingShape">
                    <wps:wsp>
                      <wps:cNvSpPr/>
                      <wps:spPr>
                        <a:xfrm>
                          <a:off x="2518410" y="6427470"/>
                          <a:ext cx="382270" cy="259080"/>
                        </a:xfrm>
                        <a:prstGeom prst="wedgeRectCallout">
                          <a:avLst>
                            <a:gd name="adj1" fmla="val 13953"/>
                            <a:gd name="adj2" fmla="val -145098"/>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28526E73">
                            <w:pPr>
                              <w:jc w:val="center"/>
                              <w:rPr>
                                <w:color w:val="C00000"/>
                                <w14:textOutline w14:w="3175">
                                  <w14:solidFill>
                                    <w14:srgbClr w14:val="FFFFFF"/>
                                  </w14:solidFill>
                                  <w14:round/>
                                </w14:textOutline>
                              </w:rPr>
                            </w:pPr>
                            <w:r>
                              <w:rPr>
                                <w:rFonts w:hint="default" w:ascii="Times New Roman" w:hAnsi="Times New Roman" w:eastAsia="宋体" w:cs="Times New Roman"/>
                                <w:b w:val="0"/>
                                <w:bCs w:val="0"/>
                                <w:color w:val="C00000"/>
                                <w:kern w:val="2"/>
                                <w:sz w:val="21"/>
                                <w:szCs w:val="21"/>
                                <w:highlight w:val="none"/>
                                <w:lang w:val="en-US" w:eastAsia="zh-CN" w:bidi="ar"/>
                              </w:rPr>
                              <w:t>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1.4pt;margin-top:421.65pt;height:20.4pt;width:30.1pt;z-index:251661312;v-text-anchor:middle;mso-width-relative:page;mso-height-relative:page;" filled="f" stroked="t" coordsize="21600,21600" o:gfxdata="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sjeCdsAAAALAQAADwAAAAAAAAABACAAAAAi&#10;AAAAZHJzL2Rvd25yZXYueG1sUEsBAhQAFAAAAAgAh07iQLnAjJiyAgAASAUAAA4AAAAAAAAAAQAg&#10;AAAAKgEAAGRycy9lMm9Eb2MueG1sUEsFBgAAAAAGAAYAWQEAAE4GAAAAAA==&#10;" adj="13814,-20541">
                <v:fill on="f" focussize="0,0"/>
                <v:stroke weight="1pt" color="#000000 [3213]" miterlimit="8" joinstyle="miter"/>
                <v:imagedata o:title=""/>
                <o:lock v:ext="edit" aspectratio="f"/>
                <v:textbox>
                  <w:txbxContent>
                    <w:p w14:paraId="28526E73">
                      <w:pPr>
                        <w:jc w:val="center"/>
                        <w:rPr>
                          <w:color w:val="C00000"/>
                          <w14:textOutline w14:w="3175">
                            <w14:solidFill>
                              <w14:srgbClr w14:val="FFFFFF"/>
                            </w14:solidFill>
                            <w14:round/>
                          </w14:textOutline>
                        </w:rPr>
                      </w:pPr>
                      <w:r>
                        <w:rPr>
                          <w:rFonts w:hint="default" w:ascii="Times New Roman" w:hAnsi="Times New Roman" w:eastAsia="宋体" w:cs="Times New Roman"/>
                          <w:b w:val="0"/>
                          <w:bCs w:val="0"/>
                          <w:color w:val="C00000"/>
                          <w:kern w:val="2"/>
                          <w:sz w:val="21"/>
                          <w:szCs w:val="21"/>
                          <w:highlight w:val="none"/>
                          <w:lang w:val="en-US" w:eastAsia="zh-CN" w:bidi="ar"/>
                        </w:rPr>
                        <w:t>㉓</w:t>
                      </w:r>
                    </w:p>
                  </w:txbxContent>
                </v:textbox>
              </v:shape>
            </w:pict>
          </mc:Fallback>
        </mc:AlternateContent>
      </w:r>
      <w:r>
        <w:rPr>
          <w:rFonts w:hint="default" w:ascii="Times New Roman" w:hAnsi="Times New Roman" w:eastAsia="宋体" w:cs="Times New Roman"/>
          <w:color w:val="auto"/>
          <w:szCs w:val="20"/>
          <w:highlight w:val="none"/>
          <w:lang w:eastAsia="zh-CN"/>
        </w:rPr>
        <w:drawing>
          <wp:inline distT="0" distB="0" distL="114300" distR="114300">
            <wp:extent cx="4945380" cy="8328660"/>
            <wp:effectExtent l="0" t="0" r="7620" b="15240"/>
            <wp:docPr id="47" name="图片 47" descr="区域构造体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区域构造体系图"/>
                    <pic:cNvPicPr>
                      <a:picLocks noChangeAspect="1"/>
                    </pic:cNvPicPr>
                  </pic:nvPicPr>
                  <pic:blipFill>
                    <a:blip r:embed="rId49"/>
                    <a:stretch>
                      <a:fillRect/>
                    </a:stretch>
                  </pic:blipFill>
                  <pic:spPr>
                    <a:xfrm>
                      <a:off x="0" y="0"/>
                      <a:ext cx="4945380" cy="8328660"/>
                    </a:xfrm>
                    <a:prstGeom prst="rect">
                      <a:avLst/>
                    </a:prstGeom>
                  </pic:spPr>
                </pic:pic>
              </a:graphicData>
            </a:graphic>
          </wp:inline>
        </w:drawing>
      </w:r>
    </w:p>
    <w:p w14:paraId="12EFFDD6">
      <w:pPr>
        <w:pStyle w:val="15"/>
        <w:jc w:val="center"/>
        <w:rPr>
          <w:rFonts w:hint="default" w:ascii="Times New Roman" w:hAnsi="Times New Roman" w:eastAsia="宋体" w:cs="Times New Roman"/>
          <w:b/>
          <w:bCs/>
          <w:color w:val="auto"/>
          <w:szCs w:val="20"/>
          <w:highlight w:val="none"/>
          <w:lang w:val="en-US" w:eastAsia="zh-CN"/>
        </w:rPr>
      </w:pPr>
      <w:r>
        <w:rPr>
          <w:rFonts w:hint="default" w:ascii="Times New Roman" w:hAnsi="Times New Roman" w:cs="Times New Roman"/>
          <w:b/>
          <w:bCs/>
          <w:color w:val="auto"/>
          <w:szCs w:val="20"/>
          <w:highlight w:val="none"/>
          <w:lang w:val="en-US" w:eastAsia="zh-CN"/>
        </w:rPr>
        <w:t>图 4.1-1  弥勒市构造体系图</w:t>
      </w:r>
    </w:p>
    <w:p w14:paraId="7580844C">
      <w:pPr>
        <w:snapToGrid w:val="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表4.1</w:t>
      </w:r>
      <w:r>
        <w:rPr>
          <w:rFonts w:hint="default" w:ascii="Times New Roman" w:hAnsi="Times New Roman" w:cs="Times New Roman"/>
          <w:b/>
          <w:color w:val="auto"/>
          <w:szCs w:val="21"/>
          <w:highlight w:val="none"/>
          <w:lang w:val="en-US" w:eastAsia="zh-CN"/>
        </w:rPr>
        <w:t>.3</w:t>
      </w:r>
      <w:r>
        <w:rPr>
          <w:rFonts w:hint="default" w:ascii="Times New Roman" w:hAnsi="Times New Roman" w:cs="Times New Roman"/>
          <w:b/>
          <w:color w:val="auto"/>
          <w:szCs w:val="21"/>
          <w:highlight w:val="none"/>
        </w:rPr>
        <w:t>-1    区域</w:t>
      </w:r>
      <w:r>
        <w:rPr>
          <w:rFonts w:hint="default" w:ascii="Times New Roman" w:hAnsi="Times New Roman" w:cs="Times New Roman"/>
          <w:b/>
          <w:color w:val="auto"/>
          <w:szCs w:val="21"/>
          <w:highlight w:val="none"/>
          <w:lang w:eastAsia="zh-CN"/>
        </w:rPr>
        <w:t>断裂统计</w:t>
      </w:r>
      <w:r>
        <w:rPr>
          <w:rFonts w:hint="default" w:ascii="Times New Roman" w:hAnsi="Times New Roman" w:cs="Times New Roman"/>
          <w:b/>
          <w:color w:val="auto"/>
          <w:szCs w:val="21"/>
          <w:highlight w:val="none"/>
        </w:rPr>
        <w:t>表</w:t>
      </w:r>
    </w:p>
    <w:tbl>
      <w:tblPr>
        <w:tblStyle w:val="23"/>
        <w:tblW w:w="8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137"/>
        <w:gridCol w:w="713"/>
        <w:gridCol w:w="687"/>
        <w:gridCol w:w="638"/>
        <w:gridCol w:w="675"/>
        <w:gridCol w:w="850"/>
        <w:gridCol w:w="638"/>
        <w:gridCol w:w="2500"/>
      </w:tblGrid>
      <w:tr w14:paraId="486D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D5EE960">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断裂编号</w:t>
            </w:r>
          </w:p>
        </w:tc>
        <w:tc>
          <w:tcPr>
            <w:tcW w:w="1137" w:type="dxa"/>
            <w:vAlign w:val="center"/>
          </w:tcPr>
          <w:p w14:paraId="7B5372BB">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断裂名称</w:t>
            </w:r>
          </w:p>
        </w:tc>
        <w:tc>
          <w:tcPr>
            <w:tcW w:w="713" w:type="dxa"/>
            <w:vAlign w:val="center"/>
          </w:tcPr>
          <w:p w14:paraId="1887B83D">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走向</w:t>
            </w:r>
          </w:p>
        </w:tc>
        <w:tc>
          <w:tcPr>
            <w:tcW w:w="687" w:type="dxa"/>
            <w:vAlign w:val="center"/>
          </w:tcPr>
          <w:p w14:paraId="2ED291EF">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倾向</w:t>
            </w:r>
          </w:p>
        </w:tc>
        <w:tc>
          <w:tcPr>
            <w:tcW w:w="638" w:type="dxa"/>
            <w:vAlign w:val="center"/>
          </w:tcPr>
          <w:p w14:paraId="23FBEA85">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倾角</w:t>
            </w:r>
          </w:p>
        </w:tc>
        <w:tc>
          <w:tcPr>
            <w:tcW w:w="675" w:type="dxa"/>
            <w:vAlign w:val="center"/>
          </w:tcPr>
          <w:p w14:paraId="7E26593E">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eastAsia="zh-CN"/>
              </w:rPr>
              <w:t>破碎带宽度</w:t>
            </w:r>
            <w:r>
              <w:rPr>
                <w:rFonts w:hint="default" w:ascii="Times New Roman" w:hAnsi="Times New Roman" w:cs="Times New Roman"/>
                <w:b/>
                <w:color w:val="auto"/>
                <w:sz w:val="21"/>
                <w:szCs w:val="21"/>
                <w:highlight w:val="none"/>
                <w:lang w:val="en-US" w:eastAsia="zh-CN"/>
              </w:rPr>
              <w:t>m</w:t>
            </w:r>
          </w:p>
        </w:tc>
        <w:tc>
          <w:tcPr>
            <w:tcW w:w="850" w:type="dxa"/>
            <w:vAlign w:val="center"/>
          </w:tcPr>
          <w:p w14:paraId="44A117FC">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eastAsia="zh-CN"/>
              </w:rPr>
              <w:t>延伸长度</w:t>
            </w:r>
            <w:r>
              <w:rPr>
                <w:rFonts w:hint="default" w:ascii="Times New Roman" w:hAnsi="Times New Roman" w:cs="Times New Roman"/>
                <w:b/>
                <w:color w:val="auto"/>
                <w:sz w:val="21"/>
                <w:szCs w:val="21"/>
                <w:highlight w:val="none"/>
                <w:lang w:val="en-US" w:eastAsia="zh-CN"/>
              </w:rPr>
              <w:t>km</w:t>
            </w:r>
          </w:p>
        </w:tc>
        <w:tc>
          <w:tcPr>
            <w:tcW w:w="638" w:type="dxa"/>
            <w:vAlign w:val="center"/>
          </w:tcPr>
          <w:p w14:paraId="4C33047F">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力学性质</w:t>
            </w:r>
          </w:p>
        </w:tc>
        <w:tc>
          <w:tcPr>
            <w:tcW w:w="2500" w:type="dxa"/>
            <w:vAlign w:val="center"/>
          </w:tcPr>
          <w:p w14:paraId="71D7AB7C">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特征</w:t>
            </w:r>
          </w:p>
        </w:tc>
      </w:tr>
      <w:tr w14:paraId="1A80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48BAF3D">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ajorEastAsia"/>
                <w:color w:val="auto"/>
                <w:sz w:val="21"/>
                <w:szCs w:val="21"/>
                <w:highlight w:val="none"/>
                <w:lang w:val="en-US" w:eastAsia="zh-CN"/>
              </w:rPr>
              <w:t>㉑</w:t>
            </w:r>
          </w:p>
        </w:tc>
        <w:tc>
          <w:tcPr>
            <w:tcW w:w="1137" w:type="dxa"/>
            <w:vAlign w:val="center"/>
          </w:tcPr>
          <w:p w14:paraId="72547C9E">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弥勒～爵册断裂</w:t>
            </w:r>
          </w:p>
        </w:tc>
        <w:tc>
          <w:tcPr>
            <w:tcW w:w="713" w:type="dxa"/>
            <w:vAlign w:val="center"/>
          </w:tcPr>
          <w:p w14:paraId="69790521">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w:t>
            </w:r>
          </w:p>
        </w:tc>
        <w:tc>
          <w:tcPr>
            <w:tcW w:w="687" w:type="dxa"/>
            <w:vAlign w:val="center"/>
          </w:tcPr>
          <w:p w14:paraId="338A1BA8">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133°</w:t>
            </w:r>
          </w:p>
        </w:tc>
        <w:tc>
          <w:tcPr>
            <w:tcW w:w="638" w:type="dxa"/>
            <w:vAlign w:val="center"/>
          </w:tcPr>
          <w:p w14:paraId="0555D9A7">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不明</w:t>
            </w:r>
          </w:p>
        </w:tc>
        <w:tc>
          <w:tcPr>
            <w:tcW w:w="675" w:type="dxa"/>
            <w:vAlign w:val="center"/>
          </w:tcPr>
          <w:p w14:paraId="2AC7DAC3">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不明</w:t>
            </w:r>
          </w:p>
        </w:tc>
        <w:tc>
          <w:tcPr>
            <w:tcW w:w="850" w:type="dxa"/>
            <w:vAlign w:val="center"/>
          </w:tcPr>
          <w:p w14:paraId="6239DB84">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32.5</w:t>
            </w:r>
          </w:p>
        </w:tc>
        <w:tc>
          <w:tcPr>
            <w:tcW w:w="638" w:type="dxa"/>
            <w:vAlign w:val="center"/>
          </w:tcPr>
          <w:p w14:paraId="54818FF2">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压性</w:t>
            </w:r>
          </w:p>
        </w:tc>
        <w:tc>
          <w:tcPr>
            <w:tcW w:w="2500" w:type="dxa"/>
            <w:vAlign w:val="center"/>
          </w:tcPr>
          <w:p w14:paraId="34075976">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破碎带为角砾岩、糜棱岩，断裂北东段为北西向断裂错断，属走向断裂。</w:t>
            </w:r>
          </w:p>
        </w:tc>
      </w:tr>
      <w:tr w14:paraId="0FC2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E3B9738">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F1</w:t>
            </w:r>
          </w:p>
        </w:tc>
        <w:tc>
          <w:tcPr>
            <w:tcW w:w="1137" w:type="dxa"/>
            <w:vAlign w:val="center"/>
          </w:tcPr>
          <w:p w14:paraId="33CDD96D">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狮子山～陪坡断裂</w:t>
            </w:r>
          </w:p>
        </w:tc>
        <w:tc>
          <w:tcPr>
            <w:tcW w:w="713" w:type="dxa"/>
            <w:vAlign w:val="center"/>
          </w:tcPr>
          <w:p w14:paraId="0CA21AAE">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43°</w:t>
            </w:r>
          </w:p>
        </w:tc>
        <w:tc>
          <w:tcPr>
            <w:tcW w:w="687" w:type="dxa"/>
            <w:vAlign w:val="center"/>
          </w:tcPr>
          <w:p w14:paraId="5C4F9F05">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136°</w:t>
            </w:r>
          </w:p>
        </w:tc>
        <w:tc>
          <w:tcPr>
            <w:tcW w:w="638" w:type="dxa"/>
            <w:vAlign w:val="center"/>
          </w:tcPr>
          <w:p w14:paraId="0AE1EC07">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不明</w:t>
            </w:r>
          </w:p>
        </w:tc>
        <w:tc>
          <w:tcPr>
            <w:tcW w:w="675" w:type="dxa"/>
            <w:vAlign w:val="center"/>
          </w:tcPr>
          <w:p w14:paraId="6953AC78">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不明</w:t>
            </w:r>
          </w:p>
        </w:tc>
        <w:tc>
          <w:tcPr>
            <w:tcW w:w="850" w:type="dxa"/>
            <w:vAlign w:val="center"/>
          </w:tcPr>
          <w:p w14:paraId="6D32423C">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9.0</w:t>
            </w:r>
          </w:p>
        </w:tc>
        <w:tc>
          <w:tcPr>
            <w:tcW w:w="638" w:type="dxa"/>
            <w:vAlign w:val="center"/>
          </w:tcPr>
          <w:p w14:paraId="00BD4B8F">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压性</w:t>
            </w:r>
          </w:p>
        </w:tc>
        <w:tc>
          <w:tcPr>
            <w:tcW w:w="2500" w:type="dxa"/>
            <w:vAlign w:val="center"/>
          </w:tcPr>
          <w:p w14:paraId="0A95EA3F">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破碎带发育角砾岩、糜棱岩，该断裂属走向断裂。</w:t>
            </w:r>
          </w:p>
        </w:tc>
      </w:tr>
      <w:tr w14:paraId="7840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F5E36CF">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F2</w:t>
            </w:r>
          </w:p>
        </w:tc>
        <w:tc>
          <w:tcPr>
            <w:tcW w:w="1137" w:type="dxa"/>
            <w:vAlign w:val="center"/>
          </w:tcPr>
          <w:p w14:paraId="478F0F7D">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太平断裂</w:t>
            </w:r>
          </w:p>
        </w:tc>
        <w:tc>
          <w:tcPr>
            <w:tcW w:w="713" w:type="dxa"/>
            <w:vAlign w:val="center"/>
          </w:tcPr>
          <w:p w14:paraId="1FD4C45B">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51°</w:t>
            </w:r>
          </w:p>
        </w:tc>
        <w:tc>
          <w:tcPr>
            <w:tcW w:w="687" w:type="dxa"/>
            <w:vAlign w:val="center"/>
          </w:tcPr>
          <w:p w14:paraId="12BBA6EA">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141°</w:t>
            </w:r>
          </w:p>
        </w:tc>
        <w:tc>
          <w:tcPr>
            <w:tcW w:w="638" w:type="dxa"/>
            <w:vAlign w:val="center"/>
          </w:tcPr>
          <w:p w14:paraId="7EDD02B3">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不明</w:t>
            </w:r>
          </w:p>
        </w:tc>
        <w:tc>
          <w:tcPr>
            <w:tcW w:w="675" w:type="dxa"/>
            <w:vAlign w:val="center"/>
          </w:tcPr>
          <w:p w14:paraId="506439FB">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不明</w:t>
            </w:r>
          </w:p>
        </w:tc>
        <w:tc>
          <w:tcPr>
            <w:tcW w:w="850" w:type="dxa"/>
            <w:vAlign w:val="center"/>
          </w:tcPr>
          <w:p w14:paraId="1013A3DD">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8.8</w:t>
            </w:r>
          </w:p>
        </w:tc>
        <w:tc>
          <w:tcPr>
            <w:tcW w:w="638" w:type="dxa"/>
            <w:vAlign w:val="center"/>
          </w:tcPr>
          <w:p w14:paraId="009623F9">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压性</w:t>
            </w:r>
          </w:p>
        </w:tc>
        <w:tc>
          <w:tcPr>
            <w:tcW w:w="2500" w:type="dxa"/>
            <w:vAlign w:val="center"/>
          </w:tcPr>
          <w:p w14:paraId="17D11EF5">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破碎带发育角砾岩、糜棱岩，该断裂属走向断裂。</w:t>
            </w:r>
          </w:p>
        </w:tc>
      </w:tr>
      <w:tr w14:paraId="7AA0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FEA586B">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F3</w:t>
            </w:r>
          </w:p>
        </w:tc>
        <w:tc>
          <w:tcPr>
            <w:tcW w:w="1137" w:type="dxa"/>
            <w:vAlign w:val="center"/>
          </w:tcPr>
          <w:p w14:paraId="4C9D375A">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葛根塘～</w:t>
            </w:r>
          </w:p>
          <w:p w14:paraId="13F646CA">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老河湾断裂</w:t>
            </w:r>
          </w:p>
        </w:tc>
        <w:tc>
          <w:tcPr>
            <w:tcW w:w="713" w:type="dxa"/>
            <w:vAlign w:val="center"/>
          </w:tcPr>
          <w:p w14:paraId="4AB2DBF5">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353°</w:t>
            </w:r>
          </w:p>
        </w:tc>
        <w:tc>
          <w:tcPr>
            <w:tcW w:w="687" w:type="dxa"/>
            <w:vAlign w:val="center"/>
          </w:tcPr>
          <w:p w14:paraId="63F2C7B3">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不明</w:t>
            </w:r>
          </w:p>
        </w:tc>
        <w:tc>
          <w:tcPr>
            <w:tcW w:w="638" w:type="dxa"/>
            <w:vAlign w:val="center"/>
          </w:tcPr>
          <w:p w14:paraId="521FB8E4">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不明</w:t>
            </w:r>
          </w:p>
        </w:tc>
        <w:tc>
          <w:tcPr>
            <w:tcW w:w="675" w:type="dxa"/>
            <w:vAlign w:val="center"/>
          </w:tcPr>
          <w:p w14:paraId="40340818">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不明</w:t>
            </w:r>
          </w:p>
        </w:tc>
        <w:tc>
          <w:tcPr>
            <w:tcW w:w="850" w:type="dxa"/>
            <w:vAlign w:val="center"/>
          </w:tcPr>
          <w:p w14:paraId="04EEAF74">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10.2</w:t>
            </w:r>
          </w:p>
        </w:tc>
        <w:tc>
          <w:tcPr>
            <w:tcW w:w="638" w:type="dxa"/>
            <w:vAlign w:val="center"/>
          </w:tcPr>
          <w:p w14:paraId="2903F599">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压性</w:t>
            </w:r>
          </w:p>
        </w:tc>
        <w:tc>
          <w:tcPr>
            <w:tcW w:w="2500" w:type="dxa"/>
            <w:vAlign w:val="center"/>
          </w:tcPr>
          <w:p w14:paraId="23A7E175">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由角砾岩、糜棱岩组成，错段F3、F5、F6断裂。</w:t>
            </w:r>
          </w:p>
        </w:tc>
      </w:tr>
      <w:tr w14:paraId="6EC1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BDE9F17">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F5</w:t>
            </w:r>
          </w:p>
        </w:tc>
        <w:tc>
          <w:tcPr>
            <w:tcW w:w="1137" w:type="dxa"/>
            <w:vAlign w:val="center"/>
          </w:tcPr>
          <w:p w14:paraId="4CCBAB85">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新发村～新庄科断裂</w:t>
            </w:r>
          </w:p>
        </w:tc>
        <w:tc>
          <w:tcPr>
            <w:tcW w:w="713" w:type="dxa"/>
            <w:vAlign w:val="center"/>
          </w:tcPr>
          <w:p w14:paraId="7F5B0B58">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40°</w:t>
            </w:r>
          </w:p>
        </w:tc>
        <w:tc>
          <w:tcPr>
            <w:tcW w:w="687" w:type="dxa"/>
            <w:vAlign w:val="center"/>
          </w:tcPr>
          <w:p w14:paraId="3E6C7B41">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130°</w:t>
            </w:r>
          </w:p>
        </w:tc>
        <w:tc>
          <w:tcPr>
            <w:tcW w:w="638" w:type="dxa"/>
            <w:vAlign w:val="center"/>
          </w:tcPr>
          <w:p w14:paraId="649F305C">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不明</w:t>
            </w:r>
          </w:p>
        </w:tc>
        <w:tc>
          <w:tcPr>
            <w:tcW w:w="675" w:type="dxa"/>
            <w:vAlign w:val="center"/>
          </w:tcPr>
          <w:p w14:paraId="45DD775E">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不明</w:t>
            </w:r>
          </w:p>
        </w:tc>
        <w:tc>
          <w:tcPr>
            <w:tcW w:w="850" w:type="dxa"/>
            <w:vAlign w:val="center"/>
          </w:tcPr>
          <w:p w14:paraId="74C847F3">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26</w:t>
            </w:r>
          </w:p>
        </w:tc>
        <w:tc>
          <w:tcPr>
            <w:tcW w:w="638" w:type="dxa"/>
            <w:vAlign w:val="center"/>
          </w:tcPr>
          <w:p w14:paraId="46B56DE0">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压性</w:t>
            </w:r>
          </w:p>
        </w:tc>
        <w:tc>
          <w:tcPr>
            <w:tcW w:w="2500" w:type="dxa"/>
            <w:vAlign w:val="center"/>
          </w:tcPr>
          <w:p w14:paraId="018638CB">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错断，属走向断裂，断裂北西盘为下第三系路美邑组。</w:t>
            </w:r>
          </w:p>
        </w:tc>
      </w:tr>
      <w:tr w14:paraId="7A13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2511CD2">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F6</w:t>
            </w:r>
          </w:p>
        </w:tc>
        <w:tc>
          <w:tcPr>
            <w:tcW w:w="1137" w:type="dxa"/>
            <w:vAlign w:val="center"/>
          </w:tcPr>
          <w:p w14:paraId="46D67685">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弥勒水泥厂～新庄科断裂</w:t>
            </w:r>
          </w:p>
        </w:tc>
        <w:tc>
          <w:tcPr>
            <w:tcW w:w="713" w:type="dxa"/>
            <w:vAlign w:val="center"/>
          </w:tcPr>
          <w:p w14:paraId="1A0F944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35°</w:t>
            </w:r>
          </w:p>
        </w:tc>
        <w:tc>
          <w:tcPr>
            <w:tcW w:w="687" w:type="dxa"/>
            <w:vAlign w:val="center"/>
          </w:tcPr>
          <w:p w14:paraId="4F701B6E">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125°</w:t>
            </w:r>
          </w:p>
        </w:tc>
        <w:tc>
          <w:tcPr>
            <w:tcW w:w="638" w:type="dxa"/>
            <w:vAlign w:val="center"/>
          </w:tcPr>
          <w:p w14:paraId="0F715AA9">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不明</w:t>
            </w:r>
          </w:p>
        </w:tc>
        <w:tc>
          <w:tcPr>
            <w:tcW w:w="675" w:type="dxa"/>
            <w:vAlign w:val="center"/>
          </w:tcPr>
          <w:p w14:paraId="4E2A5B38">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不明</w:t>
            </w:r>
          </w:p>
        </w:tc>
        <w:tc>
          <w:tcPr>
            <w:tcW w:w="850" w:type="dxa"/>
            <w:vAlign w:val="center"/>
          </w:tcPr>
          <w:p w14:paraId="603E4EC6">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w:t>
            </w:r>
          </w:p>
        </w:tc>
        <w:tc>
          <w:tcPr>
            <w:tcW w:w="638" w:type="dxa"/>
            <w:vAlign w:val="center"/>
          </w:tcPr>
          <w:p w14:paraId="18C23E73">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压性</w:t>
            </w:r>
          </w:p>
        </w:tc>
        <w:tc>
          <w:tcPr>
            <w:tcW w:w="2500" w:type="dxa"/>
            <w:vAlign w:val="center"/>
          </w:tcPr>
          <w:p w14:paraId="713255F1">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断裂北东段遭多条北西向断裂错断，属走向断裂。</w:t>
            </w:r>
          </w:p>
        </w:tc>
      </w:tr>
      <w:tr w14:paraId="69BB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6CE56A8">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
              </w:rPr>
              <w:t>㉓</w:t>
            </w:r>
          </w:p>
        </w:tc>
        <w:tc>
          <w:tcPr>
            <w:tcW w:w="1137" w:type="dxa"/>
            <w:vAlign w:val="center"/>
          </w:tcPr>
          <w:p w14:paraId="650CEB91">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黑龙潭～逸圃断裂</w:t>
            </w:r>
          </w:p>
        </w:tc>
        <w:tc>
          <w:tcPr>
            <w:tcW w:w="713" w:type="dxa"/>
            <w:vAlign w:val="center"/>
          </w:tcPr>
          <w:p w14:paraId="36DA0EF0">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25°</w:t>
            </w:r>
          </w:p>
        </w:tc>
        <w:tc>
          <w:tcPr>
            <w:tcW w:w="687" w:type="dxa"/>
            <w:vAlign w:val="center"/>
          </w:tcPr>
          <w:p w14:paraId="14B5F5D1">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115°</w:t>
            </w:r>
          </w:p>
        </w:tc>
        <w:tc>
          <w:tcPr>
            <w:tcW w:w="638" w:type="dxa"/>
            <w:vAlign w:val="center"/>
          </w:tcPr>
          <w:p w14:paraId="6C89F8D7">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p>
        </w:tc>
        <w:tc>
          <w:tcPr>
            <w:tcW w:w="675" w:type="dxa"/>
            <w:vAlign w:val="center"/>
          </w:tcPr>
          <w:p w14:paraId="14BB09DA">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1000</w:t>
            </w:r>
          </w:p>
        </w:tc>
        <w:tc>
          <w:tcPr>
            <w:tcW w:w="850" w:type="dxa"/>
            <w:vAlign w:val="center"/>
          </w:tcPr>
          <w:p w14:paraId="7DCB1B60">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＞62</w:t>
            </w:r>
          </w:p>
        </w:tc>
        <w:tc>
          <w:tcPr>
            <w:tcW w:w="638" w:type="dxa"/>
            <w:vAlign w:val="center"/>
          </w:tcPr>
          <w:p w14:paraId="042D59AA">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压性</w:t>
            </w:r>
          </w:p>
        </w:tc>
        <w:tc>
          <w:tcPr>
            <w:tcW w:w="2500" w:type="dxa"/>
            <w:vAlign w:val="center"/>
          </w:tcPr>
          <w:p w14:paraId="0248F299">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断裂北东段遭多条北西向断裂错断，属走向断裂。该断裂中段，羽岗哨～龙潭哨段断裂影响带宽约1km，影响带岩体呈碎裂散</w:t>
            </w:r>
          </w:p>
          <w:p w14:paraId="5B354442">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体结构，岩体破碎。该断裂带竹园盆地段出露泉点及暗河</w:t>
            </w:r>
          </w:p>
        </w:tc>
      </w:tr>
      <w:tr w14:paraId="4D6C0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168818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F7</w:t>
            </w:r>
          </w:p>
        </w:tc>
        <w:tc>
          <w:tcPr>
            <w:tcW w:w="1137" w:type="dxa"/>
            <w:vAlign w:val="center"/>
          </w:tcPr>
          <w:p w14:paraId="47DC2372">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小沙冲断裂</w:t>
            </w:r>
          </w:p>
        </w:tc>
        <w:tc>
          <w:tcPr>
            <w:tcW w:w="713" w:type="dxa"/>
            <w:vAlign w:val="center"/>
          </w:tcPr>
          <w:p w14:paraId="2B297782">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45°</w:t>
            </w:r>
          </w:p>
        </w:tc>
        <w:tc>
          <w:tcPr>
            <w:tcW w:w="687" w:type="dxa"/>
            <w:vAlign w:val="center"/>
          </w:tcPr>
          <w:p w14:paraId="1E017975">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不明</w:t>
            </w:r>
          </w:p>
        </w:tc>
        <w:tc>
          <w:tcPr>
            <w:tcW w:w="638" w:type="dxa"/>
            <w:vAlign w:val="center"/>
          </w:tcPr>
          <w:p w14:paraId="58317BC1">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不明</w:t>
            </w:r>
          </w:p>
        </w:tc>
        <w:tc>
          <w:tcPr>
            <w:tcW w:w="675" w:type="dxa"/>
            <w:vAlign w:val="center"/>
          </w:tcPr>
          <w:p w14:paraId="1906D2D9">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不明</w:t>
            </w:r>
          </w:p>
        </w:tc>
        <w:tc>
          <w:tcPr>
            <w:tcW w:w="850" w:type="dxa"/>
            <w:vAlign w:val="center"/>
          </w:tcPr>
          <w:p w14:paraId="0349B5A6">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638" w:type="dxa"/>
            <w:vAlign w:val="center"/>
          </w:tcPr>
          <w:p w14:paraId="0383D932">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不明</w:t>
            </w:r>
          </w:p>
        </w:tc>
        <w:tc>
          <w:tcPr>
            <w:tcW w:w="2500" w:type="dxa"/>
            <w:vAlign w:val="center"/>
          </w:tcPr>
          <w:p w14:paraId="432F15BA">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属走向断裂</w:t>
            </w:r>
          </w:p>
        </w:tc>
      </w:tr>
      <w:tr w14:paraId="3D9E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2705BED">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
              </w:rPr>
              <w:t>㉔</w:t>
            </w:r>
          </w:p>
        </w:tc>
        <w:tc>
          <w:tcPr>
            <w:tcW w:w="1137" w:type="dxa"/>
            <w:vAlign w:val="center"/>
          </w:tcPr>
          <w:p w14:paraId="05EF642D">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龙潭哨～金顶山断裂</w:t>
            </w:r>
          </w:p>
        </w:tc>
        <w:tc>
          <w:tcPr>
            <w:tcW w:w="713" w:type="dxa"/>
            <w:vAlign w:val="center"/>
          </w:tcPr>
          <w:p w14:paraId="7394148A">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48°</w:t>
            </w:r>
          </w:p>
        </w:tc>
        <w:tc>
          <w:tcPr>
            <w:tcW w:w="687" w:type="dxa"/>
            <w:vAlign w:val="center"/>
          </w:tcPr>
          <w:p w14:paraId="602DD9A9">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不明</w:t>
            </w:r>
          </w:p>
        </w:tc>
        <w:tc>
          <w:tcPr>
            <w:tcW w:w="638" w:type="dxa"/>
            <w:vAlign w:val="center"/>
          </w:tcPr>
          <w:p w14:paraId="5B0F0CC4">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不明</w:t>
            </w:r>
          </w:p>
        </w:tc>
        <w:tc>
          <w:tcPr>
            <w:tcW w:w="675" w:type="dxa"/>
            <w:vAlign w:val="center"/>
          </w:tcPr>
          <w:p w14:paraId="0AAA0014">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5~20</w:t>
            </w:r>
          </w:p>
        </w:tc>
        <w:tc>
          <w:tcPr>
            <w:tcW w:w="850" w:type="dxa"/>
            <w:vAlign w:val="center"/>
          </w:tcPr>
          <w:p w14:paraId="6DBF096C">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w:t>
            </w:r>
          </w:p>
        </w:tc>
        <w:tc>
          <w:tcPr>
            <w:tcW w:w="638" w:type="dxa"/>
            <w:vAlign w:val="center"/>
          </w:tcPr>
          <w:p w14:paraId="49209DD0">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压性</w:t>
            </w:r>
          </w:p>
        </w:tc>
        <w:tc>
          <w:tcPr>
            <w:tcW w:w="2500" w:type="dxa"/>
            <w:vAlign w:val="center"/>
          </w:tcPr>
          <w:p w14:paraId="28FF3914">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断裂南西端起于龙潭哨附近，北东端止于金顶山附近，角砾岩呈棱角状，具张性特征，北西盘（上升盘）为个旧组灰岩，南东盘（下降盘）为碎屑岩。距离拟建场地约2km。</w:t>
            </w:r>
          </w:p>
        </w:tc>
      </w:tr>
    </w:tbl>
    <w:p w14:paraId="4DF3A4A1">
      <w:pPr>
        <w:spacing w:line="360" w:lineRule="auto"/>
        <w:ind w:firstLine="482" w:firstLineChars="200"/>
        <w:jc w:val="left"/>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2、地层</w:t>
      </w:r>
    </w:p>
    <w:p w14:paraId="3729B737">
      <w:pPr>
        <w:pStyle w:val="15"/>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场地覆盖层</w:t>
      </w:r>
      <w:r>
        <w:rPr>
          <w:rFonts w:hint="default" w:ascii="Times New Roman" w:hAnsi="Times New Roman" w:cs="Times New Roman"/>
          <w:color w:val="auto"/>
          <w:highlight w:val="none"/>
          <w:lang w:val="en-US" w:eastAsia="zh-CN"/>
        </w:rPr>
        <w:t>较薄，</w:t>
      </w:r>
      <w:r>
        <w:rPr>
          <w:rFonts w:hint="default" w:ascii="Times New Roman" w:hAnsi="Times New Roman" w:cs="Times New Roman"/>
          <w:color w:val="auto"/>
          <w:highlight w:val="none"/>
        </w:rPr>
        <w:t>未见断层、褶皱等构造出露。</w:t>
      </w:r>
      <w:r>
        <w:rPr>
          <w:rFonts w:hint="default" w:ascii="Times New Roman" w:hAnsi="Times New Roman" w:cs="Times New Roman"/>
          <w:color w:val="auto"/>
          <w:szCs w:val="20"/>
          <w:highlight w:val="none"/>
        </w:rPr>
        <w:t>区内出露中生界三叠系地层，为一套以海相碳酸盐类为主的沉积层，地形低凹地带被第四系松散层覆盖。</w:t>
      </w:r>
    </w:p>
    <w:p w14:paraId="1CA3EBAE">
      <w:pPr>
        <w:pStyle w:val="15"/>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项目区附近地层</w:t>
      </w:r>
      <w:r>
        <w:rPr>
          <w:rFonts w:hint="eastAsia" w:ascii="Times New Roman" w:hAnsi="Times New Roman" w:cs="Times New Roman"/>
          <w:color w:val="auto"/>
          <w:szCs w:val="20"/>
          <w:highlight w:val="none"/>
          <w:lang w:eastAsia="zh-CN"/>
        </w:rPr>
        <w:t>岩性</w:t>
      </w:r>
      <w:r>
        <w:rPr>
          <w:rFonts w:hint="default" w:ascii="Times New Roman" w:hAnsi="Times New Roman" w:cs="Times New Roman"/>
          <w:color w:val="auto"/>
          <w:szCs w:val="20"/>
          <w:highlight w:val="none"/>
        </w:rPr>
        <w:t>变化不大，仅出露第四系残坡积层、中生界三叠系中统个旧组灰岩夹白云岩地层。项目区域地层岩性见表4.1</w:t>
      </w:r>
      <w:r>
        <w:rPr>
          <w:rFonts w:hint="default" w:ascii="Times New Roman" w:hAnsi="Times New Roman" w:cs="Times New Roman"/>
          <w:color w:val="auto"/>
          <w:szCs w:val="20"/>
          <w:highlight w:val="none"/>
          <w:lang w:val="en-US" w:eastAsia="zh-CN"/>
        </w:rPr>
        <w:t>.3</w:t>
      </w:r>
      <w:r>
        <w:rPr>
          <w:rFonts w:hint="default" w:ascii="Times New Roman" w:hAnsi="Times New Roman" w:cs="Times New Roman"/>
          <w:color w:val="auto"/>
          <w:szCs w:val="20"/>
          <w:highlight w:val="none"/>
        </w:rPr>
        <w:t>-</w:t>
      </w:r>
      <w:r>
        <w:rPr>
          <w:rFonts w:hint="default" w:ascii="Times New Roman" w:hAnsi="Times New Roman" w:cs="Times New Roman"/>
          <w:color w:val="auto"/>
          <w:szCs w:val="20"/>
          <w:highlight w:val="none"/>
          <w:lang w:val="en-US" w:eastAsia="zh-CN"/>
        </w:rPr>
        <w:t>2</w:t>
      </w:r>
      <w:r>
        <w:rPr>
          <w:rFonts w:hint="default" w:ascii="Times New Roman" w:hAnsi="Times New Roman" w:cs="Times New Roman"/>
          <w:color w:val="auto"/>
          <w:szCs w:val="20"/>
          <w:highlight w:val="none"/>
        </w:rPr>
        <w:t>。</w:t>
      </w:r>
    </w:p>
    <w:p w14:paraId="468FC935">
      <w:pPr>
        <w:snapToGrid w:val="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表4.1</w:t>
      </w:r>
      <w:r>
        <w:rPr>
          <w:rFonts w:hint="default" w:ascii="Times New Roman" w:hAnsi="Times New Roman" w:cs="Times New Roman"/>
          <w:b/>
          <w:color w:val="auto"/>
          <w:szCs w:val="21"/>
          <w:highlight w:val="none"/>
          <w:lang w:val="en-US" w:eastAsia="zh-CN"/>
        </w:rPr>
        <w:t>.3</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val="en-US" w:eastAsia="zh-CN"/>
        </w:rPr>
        <w:t>2</w:t>
      </w:r>
      <w:r>
        <w:rPr>
          <w:rFonts w:hint="default" w:ascii="Times New Roman" w:hAnsi="Times New Roman" w:cs="Times New Roman"/>
          <w:b/>
          <w:color w:val="auto"/>
          <w:szCs w:val="21"/>
          <w:highlight w:val="none"/>
        </w:rPr>
        <w:t xml:space="preserve">    区域地层岩性一览表</w:t>
      </w:r>
    </w:p>
    <w:tbl>
      <w:tblPr>
        <w:tblStyle w:val="23"/>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938"/>
        <w:gridCol w:w="705"/>
        <w:gridCol w:w="938"/>
        <w:gridCol w:w="806"/>
        <w:gridCol w:w="1055"/>
        <w:gridCol w:w="3416"/>
      </w:tblGrid>
      <w:tr w14:paraId="1CDD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1FBB91E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界</w:t>
            </w:r>
          </w:p>
        </w:tc>
        <w:tc>
          <w:tcPr>
            <w:tcW w:w="938" w:type="dxa"/>
            <w:vAlign w:val="center"/>
          </w:tcPr>
          <w:p w14:paraId="28C32B98">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系</w:t>
            </w:r>
          </w:p>
        </w:tc>
        <w:tc>
          <w:tcPr>
            <w:tcW w:w="705" w:type="dxa"/>
            <w:vAlign w:val="center"/>
          </w:tcPr>
          <w:p w14:paraId="647E197E">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统</w:t>
            </w:r>
          </w:p>
        </w:tc>
        <w:tc>
          <w:tcPr>
            <w:tcW w:w="938" w:type="dxa"/>
            <w:vAlign w:val="center"/>
          </w:tcPr>
          <w:p w14:paraId="573D5EA7">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组</w:t>
            </w:r>
          </w:p>
        </w:tc>
        <w:tc>
          <w:tcPr>
            <w:tcW w:w="806" w:type="dxa"/>
            <w:vAlign w:val="center"/>
          </w:tcPr>
          <w:p w14:paraId="36F0DEEE">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地层</w:t>
            </w:r>
          </w:p>
        </w:tc>
        <w:tc>
          <w:tcPr>
            <w:tcW w:w="1055" w:type="dxa"/>
            <w:vAlign w:val="center"/>
          </w:tcPr>
          <w:p w14:paraId="740686D4">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厚度(m)</w:t>
            </w:r>
          </w:p>
        </w:tc>
        <w:tc>
          <w:tcPr>
            <w:tcW w:w="3416" w:type="dxa"/>
            <w:vAlign w:val="center"/>
          </w:tcPr>
          <w:p w14:paraId="1C2FBE38">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岩性描述</w:t>
            </w:r>
          </w:p>
        </w:tc>
      </w:tr>
      <w:tr w14:paraId="7C2C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4583D8D">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新生界</w:t>
            </w:r>
          </w:p>
        </w:tc>
        <w:tc>
          <w:tcPr>
            <w:tcW w:w="938" w:type="dxa"/>
            <w:vAlign w:val="center"/>
          </w:tcPr>
          <w:p w14:paraId="46E75404">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第四系</w:t>
            </w:r>
          </w:p>
        </w:tc>
        <w:tc>
          <w:tcPr>
            <w:tcW w:w="705" w:type="dxa"/>
            <w:vAlign w:val="center"/>
          </w:tcPr>
          <w:p w14:paraId="221D9BB0">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全新统</w:t>
            </w:r>
          </w:p>
        </w:tc>
        <w:tc>
          <w:tcPr>
            <w:tcW w:w="938" w:type="dxa"/>
            <w:vAlign w:val="center"/>
          </w:tcPr>
          <w:p w14:paraId="3F157531">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p>
        </w:tc>
        <w:tc>
          <w:tcPr>
            <w:tcW w:w="806" w:type="dxa"/>
            <w:vAlign w:val="center"/>
          </w:tcPr>
          <w:p w14:paraId="79C7F8B0">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perscript"/>
              </w:rPr>
              <w:t>el+dl4</w:t>
            </w:r>
          </w:p>
        </w:tc>
        <w:tc>
          <w:tcPr>
            <w:tcW w:w="1055" w:type="dxa"/>
            <w:vAlign w:val="center"/>
          </w:tcPr>
          <w:p w14:paraId="719711A8">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0.5~1.5</w:t>
            </w:r>
          </w:p>
        </w:tc>
        <w:tc>
          <w:tcPr>
            <w:tcW w:w="3416" w:type="dxa"/>
            <w:vAlign w:val="center"/>
          </w:tcPr>
          <w:p w14:paraId="3FB4A9E6">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棕红色、紫红色、黄色、褐色， 含碎石粉质黏土、粘土，碎石含量 5%～10%，棱角状，直径 2～5cm，成分为下覆母</w:t>
            </w:r>
          </w:p>
        </w:tc>
      </w:tr>
      <w:tr w14:paraId="39AA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390F82D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中生界</w:t>
            </w:r>
          </w:p>
        </w:tc>
        <w:tc>
          <w:tcPr>
            <w:tcW w:w="938" w:type="dxa"/>
            <w:vAlign w:val="center"/>
          </w:tcPr>
          <w:p w14:paraId="080ED6E7">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三统系</w:t>
            </w:r>
          </w:p>
        </w:tc>
        <w:tc>
          <w:tcPr>
            <w:tcW w:w="705" w:type="dxa"/>
            <w:vAlign w:val="center"/>
          </w:tcPr>
          <w:p w14:paraId="674D4D54">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中统</w:t>
            </w:r>
          </w:p>
        </w:tc>
        <w:tc>
          <w:tcPr>
            <w:tcW w:w="938" w:type="dxa"/>
            <w:vAlign w:val="center"/>
          </w:tcPr>
          <w:p w14:paraId="33252D67">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个旧组</w:t>
            </w:r>
          </w:p>
        </w:tc>
        <w:tc>
          <w:tcPr>
            <w:tcW w:w="806" w:type="dxa"/>
            <w:vAlign w:val="center"/>
          </w:tcPr>
          <w:p w14:paraId="475243F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g</w:t>
            </w:r>
            <w:r>
              <w:rPr>
                <w:rFonts w:hint="default" w:ascii="Times New Roman" w:hAnsi="Times New Roman" w:cs="Times New Roman"/>
                <w:color w:val="auto"/>
                <w:szCs w:val="21"/>
                <w:highlight w:val="none"/>
                <w:vertAlign w:val="superscript"/>
              </w:rPr>
              <w:t>d</w:t>
            </w:r>
          </w:p>
        </w:tc>
        <w:tc>
          <w:tcPr>
            <w:tcW w:w="1055" w:type="dxa"/>
            <w:vAlign w:val="center"/>
          </w:tcPr>
          <w:p w14:paraId="72575127">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40~</w:t>
            </w:r>
            <w:r>
              <w:rPr>
                <w:rFonts w:hint="default" w:ascii="Times New Roman" w:hAnsi="Times New Roman" w:cs="Times New Roman"/>
                <w:color w:val="auto"/>
                <w:szCs w:val="21"/>
                <w:highlight w:val="none"/>
                <w:lang w:val="en-US" w:eastAsia="zh-CN"/>
              </w:rPr>
              <w:t>1000</w:t>
            </w:r>
          </w:p>
        </w:tc>
        <w:tc>
          <w:tcPr>
            <w:tcW w:w="3416" w:type="dxa"/>
            <w:vAlign w:val="center"/>
          </w:tcPr>
          <w:p w14:paraId="6D94506A">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褐黄，黄绿、白云岩、硅泥质白云岩，薄～中厚层状。溶蚀裂隙、溶洞暗河较发育。岩溶中等发育。</w:t>
            </w:r>
          </w:p>
        </w:tc>
      </w:tr>
    </w:tbl>
    <w:p w14:paraId="14A24807">
      <w:pPr>
        <w:pStyle w:val="4"/>
        <w:adjustRightInd w:val="0"/>
        <w:snapToGrid w:val="0"/>
        <w:spacing w:before="312" w:beforeLines="100" w:after="0" w:afterLines="0" w:line="360" w:lineRule="auto"/>
        <w:ind w:firstLine="0" w:firstLineChars="0"/>
        <w:rPr>
          <w:rStyle w:val="35"/>
          <w:rFonts w:hint="default" w:ascii="Times New Roman" w:hAnsi="Times New Roman" w:eastAsia="宋体" w:cs="Times New Roman"/>
          <w:color w:val="auto"/>
          <w:szCs w:val="24"/>
          <w:highlight w:val="none"/>
        </w:rPr>
      </w:pPr>
      <w:bookmarkStart w:id="221" w:name="_Toc30073"/>
      <w:r>
        <w:rPr>
          <w:rStyle w:val="35"/>
          <w:rFonts w:hint="default" w:ascii="Times New Roman" w:hAnsi="Times New Roman" w:eastAsia="宋体" w:cs="Times New Roman"/>
          <w:color w:val="auto"/>
          <w:sz w:val="24"/>
          <w:szCs w:val="24"/>
          <w:highlight w:val="none"/>
        </w:rPr>
        <w:t>4.1.4气象条件</w:t>
      </w:r>
      <w:bookmarkEnd w:id="221"/>
    </w:p>
    <w:p w14:paraId="41C89A44">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弥勒市地处亚热带，接近北回归线。由于境内地形多样，在海拔1600米以下，年平均气温16—19.7℃的坝区和河谷地带，属南亚热带或中亚热带气候；海拔在1600米至2000米，年平均气温15—16℃的山区属北亚热带气候，海拔在2000米以上，年平均气温12.5—14℃的东山等少数地区，具有暖温带气候特点，立体气候明显。根据弥勒市近20年（2000~2019年）气象资料统计，弥勒市近20年多年平均气温18.03℃，月平均气温最高为23℃（6月），月平均最低为10.4℃（1月）。近20年温度总体呈上升趋势，累年年平均温度最高（19.3℃）（2019），累年年平均温度最低（17℃）（2000年）。近20年极端最高气温（36.4℃）出现在2019年5月19日。极端最低气温（-2.8℃），出现在2004年2月9日。降雨集中5~9月，多年平均降雨量</w:t>
      </w:r>
      <w:r>
        <w:rPr>
          <w:rFonts w:hint="default" w:ascii="Times New Roman" w:hAnsi="Times New Roman" w:cs="Times New Roman"/>
          <w:color w:val="auto"/>
          <w:sz w:val="24"/>
          <w:highlight w:val="none"/>
          <w:lang w:val="en-US" w:eastAsia="zh-CN"/>
        </w:rPr>
        <w:t>800.3</w:t>
      </w:r>
      <w:r>
        <w:rPr>
          <w:rFonts w:hint="default" w:ascii="Times New Roman" w:hAnsi="Times New Roman" w:cs="Times New Roman"/>
          <w:color w:val="auto"/>
          <w:sz w:val="24"/>
          <w:highlight w:val="none"/>
        </w:rPr>
        <w:t>mm。风向以西南风偏南（SSW）为主，风速最大21.8m/s，多年平均风速1.875m/s。多年平均蒸发量1368.9mm。全年日照时数1948.2小时，阳光充足，霜雪日短。全年总辐射132.5千卡/cm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p>
    <w:p w14:paraId="23ECF82F">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rPr>
      </w:pPr>
      <w:bookmarkStart w:id="222" w:name="_Toc7011"/>
      <w:r>
        <w:rPr>
          <w:rStyle w:val="35"/>
          <w:rFonts w:hint="default" w:ascii="Times New Roman" w:hAnsi="Times New Roman" w:eastAsia="宋体" w:cs="Times New Roman"/>
          <w:color w:val="auto"/>
          <w:sz w:val="24"/>
          <w:szCs w:val="24"/>
          <w:highlight w:val="none"/>
        </w:rPr>
        <w:t>4.1.5水文</w:t>
      </w:r>
      <w:bookmarkEnd w:id="222"/>
    </w:p>
    <w:p w14:paraId="5C546E8F">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弥勒市境内主要江河有南盘江及其支系甸溪河。甸溪河由北向南流经弥勒中部，于朋普镇东南汇入南盘江，为南盘江一级支流，属珠江水系。在其流域范围上游建有太平水库和雨补水库，下游建有白云水库等小水库。甸溪河上游有三支，左支禹门河发源于师宗县熊壁老光坡阴凉箐一带，流经泸西金马盆地（称金马河），在高桥经天师洞、大黑山约5km伏流后，经九峰庵和禹门寺大跌水，于三道桥上游与白马河交汇；中支白马河发源于陆良县老黑山山麓，由北向南流经陆良召夸和泸西、石林县，上游称普拉河，入弥勒县境称白马河，境瓦草等地，于三道桥上游与禹门河交汇；右支花口河位于弥勒北部，主河道于西三区的花口龙潭流经禄丰寨，于弥勒城东绿崖庙汇入甸溪河。三河汇合后始称甸溪河，由北向南流经弥阳、新哨、竹园、朋普，至锁龙寺转向东南入峡谷，在腻落江村附近汇入南盘江，河长217km，流域面积3672k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，县内径流面积1568km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，河道平均比降3.49‰。</w:t>
      </w:r>
    </w:p>
    <w:p w14:paraId="1DEDA2DD">
      <w:pPr>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rPr>
        <w:t>根据现场勘查可知，本项目西侧约3.</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km处为甸溪河（弥勒南桥—入南盘江口），</w:t>
      </w:r>
      <w:r>
        <w:rPr>
          <w:rFonts w:hint="default" w:ascii="Times New Roman" w:hAnsi="Times New Roman" w:cs="Times New Roman"/>
          <w:color w:val="auto"/>
          <w:sz w:val="24"/>
          <w:highlight w:val="none"/>
        </w:rPr>
        <w:t>甸溪河属</w:t>
      </w:r>
      <w:r>
        <w:rPr>
          <w:rFonts w:hint="default" w:ascii="Times New Roman" w:hAnsi="Times New Roman" w:cs="Times New Roman"/>
          <w:color w:val="auto"/>
          <w:sz w:val="24"/>
          <w:highlight w:val="none"/>
          <w:lang w:eastAsia="zh-CN"/>
        </w:rPr>
        <w:t>珠江</w:t>
      </w:r>
      <w:r>
        <w:rPr>
          <w:rFonts w:hint="default" w:ascii="Times New Roman" w:hAnsi="Times New Roman" w:cs="Times New Roman"/>
          <w:color w:val="auto"/>
          <w:sz w:val="24"/>
          <w:highlight w:val="none"/>
        </w:rPr>
        <w:t>流域。</w:t>
      </w:r>
    </w:p>
    <w:p w14:paraId="3BBF54EE">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项目区周边水系情况详见附图2。</w:t>
      </w:r>
    </w:p>
    <w:p w14:paraId="598F852F">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rPr>
      </w:pPr>
      <w:bookmarkStart w:id="223" w:name="_Toc15748"/>
      <w:r>
        <w:rPr>
          <w:rStyle w:val="35"/>
          <w:rFonts w:hint="default" w:ascii="Times New Roman" w:hAnsi="Times New Roman" w:eastAsia="宋体" w:cs="Times New Roman"/>
          <w:color w:val="auto"/>
          <w:sz w:val="24"/>
          <w:szCs w:val="24"/>
          <w:highlight w:val="none"/>
        </w:rPr>
        <w:t>4.1.6土壤及动植物</w:t>
      </w:r>
      <w:bookmarkEnd w:id="223"/>
    </w:p>
    <w:p w14:paraId="1CC1DC3B">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（1）土壤</w:t>
      </w:r>
    </w:p>
    <w:p w14:paraId="7EB565EA">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弥勒市土壤分为砖红壤、红壤、石灰（岩）土、紫色土、水稻土等五个土类。其中前四种土类属旱地土壤，含9个亚类，19个土属，37个土种，面积298098.67hm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。红壤是弥勒市重要的农业土壤资源，根据母岩和母质不同，分为石灰岩棕红壤、砂页岩棕红壤、砂岩黄红壤、石灰岩黄红壤、石灰岩红壤、玄武岩红壤、侵蚀红壤和老冲积红壤等8个土属20个土种。</w:t>
      </w:r>
    </w:p>
    <w:p w14:paraId="58849BB8">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根据现场调查，项目区内土壤类型为红壤。</w:t>
      </w:r>
    </w:p>
    <w:p w14:paraId="771ED72A">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（2）动植物</w:t>
      </w:r>
    </w:p>
    <w:p w14:paraId="09F29BD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弥勒市植被类型主要为北亚热带常绿阔叶林、暖温性针叶林、暖温性石灰岩灌丛、稀树灌木草丛、人工经济林及农田植被等。</w:t>
      </w:r>
    </w:p>
    <w:p w14:paraId="04B230C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弥勒市境内山多地少，起伏不平，山区面积占土地面积85%，加上亚热带季风的影响，小区域气候明显，为各种野生动植物生存繁衍提供了良好的条件。弥勒市森林植被中乔木、灌木常见的有裸子植物6科21种，被子植物51科218种。裸子植物中，以松科中的云南松（青松）为多，华山松次之。其它有云南油杉（杉松），思茅松、罗汉松、杉木、园柏、扁柏、刺柏、柏木、苏铁、银杏（白果）等。云南松和华山松是境内蓄积量最多，用材广的植物；被子植物有香樟、滇杨（臭樟）、木姜子、麻栎、青冈、核桃、梨、桃、李子、苹果等数百种，其中桉树类、喜树、银华、女贞、万年青是绿化林中数量最多的树种，椿树、樟木是境内制作家具的珍贵树种，果木和竹类为农户大量栽种的经济林木。在乔灌下分布有各种草本植物</w:t>
      </w:r>
      <w:r>
        <w:rPr>
          <w:rFonts w:hint="eastAsia" w:ascii="Times New Roman" w:hAnsi="Times New Roman" w:cs="Times New Roman"/>
          <w:color w:val="auto"/>
          <w:sz w:val="24"/>
          <w:highlight w:val="none"/>
          <w:lang w:eastAsia="zh-CN"/>
        </w:rPr>
        <w:t>，以及</w:t>
      </w:r>
      <w:r>
        <w:rPr>
          <w:rFonts w:hint="default" w:ascii="Times New Roman" w:hAnsi="Times New Roman" w:cs="Times New Roman"/>
          <w:color w:val="auto"/>
          <w:sz w:val="24"/>
          <w:highlight w:val="none"/>
        </w:rPr>
        <w:t>食用菌类、苔藓及蕨类植物。</w:t>
      </w:r>
    </w:p>
    <w:p w14:paraId="6CAACC33">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项目位于</w:t>
      </w:r>
      <w:r>
        <w:rPr>
          <w:rFonts w:hint="default" w:ascii="Times New Roman" w:hAnsi="Times New Roman" w:cs="Times New Roman"/>
          <w:bCs/>
          <w:color w:val="auto"/>
          <w:sz w:val="24"/>
          <w:highlight w:val="none"/>
        </w:rPr>
        <w:t>弥勒市新哨镇猴街居委会猴街二组</w:t>
      </w:r>
      <w:r>
        <w:rPr>
          <w:rFonts w:hint="default" w:ascii="Times New Roman" w:hAnsi="Times New Roman" w:cs="Times New Roman"/>
          <w:color w:val="auto"/>
          <w:sz w:val="24"/>
          <w:highlight w:val="none"/>
        </w:rPr>
        <w:t>，根据现场踏勘，项目评价范围内土地类型</w:t>
      </w:r>
      <w:r>
        <w:rPr>
          <w:rFonts w:hint="default" w:ascii="Times New Roman" w:hAnsi="Times New Roman" w:cs="Times New Roman"/>
          <w:color w:val="auto"/>
          <w:sz w:val="24"/>
          <w:highlight w:val="none"/>
          <w:lang w:val="en-US" w:eastAsia="zh-CN"/>
        </w:rPr>
        <w:t>为设施农用地</w:t>
      </w:r>
      <w:r>
        <w:rPr>
          <w:rFonts w:hint="default" w:ascii="Times New Roman" w:hAnsi="Times New Roman" w:cs="Times New Roman"/>
          <w:color w:val="auto"/>
          <w:sz w:val="24"/>
          <w:highlight w:val="none"/>
        </w:rPr>
        <w:t>。项目评价范围内不涉及自然保护区、风景名胜区及古树名木，无国家、省重点保护野生植物分布，无国家、省重点保护的野生动物等种类分布。</w:t>
      </w:r>
    </w:p>
    <w:p w14:paraId="37A90299">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224" w:name="_Toc13687"/>
      <w:bookmarkStart w:id="225" w:name="_Toc14425"/>
      <w:bookmarkStart w:id="226" w:name="_Toc8280"/>
      <w:r>
        <w:rPr>
          <w:rStyle w:val="35"/>
          <w:rFonts w:hint="default" w:ascii="Times New Roman" w:hAnsi="Times New Roman" w:eastAsia="宋体" w:cs="Times New Roman"/>
          <w:color w:val="auto"/>
          <w:sz w:val="24"/>
          <w:szCs w:val="24"/>
          <w:highlight w:val="none"/>
          <w:lang w:val="en-US"/>
        </w:rPr>
        <w:t>4.1.7</w:t>
      </w:r>
      <w:r>
        <w:rPr>
          <w:rStyle w:val="35"/>
          <w:rFonts w:hint="default" w:ascii="Times New Roman" w:hAnsi="Times New Roman" w:eastAsia="宋体" w:cs="Times New Roman"/>
          <w:color w:val="auto"/>
          <w:sz w:val="24"/>
          <w:szCs w:val="24"/>
          <w:highlight w:val="none"/>
        </w:rPr>
        <w:t>周边污染源调查</w:t>
      </w:r>
      <w:bookmarkEnd w:id="224"/>
      <w:bookmarkEnd w:id="225"/>
    </w:p>
    <w:p w14:paraId="28DC03CB">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z w:val="24"/>
          <w:szCs w:val="24"/>
          <w:highlight w:val="none"/>
        </w:rPr>
        <w:t>项目周围污染源</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bCs/>
          <w:color w:val="auto"/>
          <w:sz w:val="24"/>
          <w:szCs w:val="24"/>
          <w:highlight w:val="none"/>
          <w:lang w:val="en-US" w:eastAsia="zh-CN"/>
        </w:rPr>
        <mc:AlternateContent>
          <mc:Choice Requires="wps">
            <w:drawing>
              <wp:anchor distT="0" distB="0" distL="114300" distR="114300" simplePos="0" relativeHeight="251674624" behindDoc="0" locked="0" layoutInCell="0" allowOverlap="1">
                <wp:simplePos x="0" y="0"/>
                <wp:positionH relativeFrom="page">
                  <wp:posOffset>1123315</wp:posOffset>
                </wp:positionH>
                <wp:positionV relativeFrom="page">
                  <wp:posOffset>775335</wp:posOffset>
                </wp:positionV>
                <wp:extent cx="5315585" cy="9525"/>
                <wp:effectExtent l="0" t="0" r="0" b="0"/>
                <wp:wrapNone/>
                <wp:docPr id="39" name="任意多边形 39"/>
                <wp:cNvGraphicFramePr/>
                <a:graphic xmlns:a="http://schemas.openxmlformats.org/drawingml/2006/main">
                  <a:graphicData uri="http://schemas.microsoft.com/office/word/2010/wordprocessingShape">
                    <wps:wsp>
                      <wps:cNvSpPr/>
                      <wps:spPr>
                        <a:xfrm>
                          <a:off x="0" y="0"/>
                          <a:ext cx="5315585" cy="9525"/>
                        </a:xfrm>
                        <a:custGeom>
                          <a:avLst/>
                          <a:gdLst/>
                          <a:ahLst/>
                          <a:cxnLst/>
                          <a:pathLst>
                            <a:path w="8370" h="15">
                              <a:moveTo>
                                <a:pt x="0" y="14"/>
                              </a:moveTo>
                              <a:lnTo>
                                <a:pt x="8370" y="14"/>
                              </a:lnTo>
                              <a:lnTo>
                                <a:pt x="8370" y="0"/>
                              </a:lnTo>
                              <a:lnTo>
                                <a:pt x="0" y="0"/>
                              </a:lnTo>
                              <a:lnTo>
                                <a:pt x="0" y="14"/>
                              </a:lnTo>
                              <a:close/>
                            </a:path>
                          </a:pathLst>
                        </a:custGeom>
                        <a:solidFill>
                          <a:srgbClr val="000000"/>
                        </a:solidFill>
                        <a:ln>
                          <a:noFill/>
                        </a:ln>
                      </wps:spPr>
                      <wps:txbx>
                        <w:txbxContent>
                          <w:p w14:paraId="3DE0E1B9">
                            <w:pPr>
                              <w:jc w:val="center"/>
                              <w:rPr>
                                <w:rFonts w:hint="eastAsia" w:eastAsia="宋体"/>
                                <w:lang w:eastAsia="zh-CN"/>
                              </w:rPr>
                            </w:pPr>
                            <w:r>
                              <w:rPr>
                                <w:rFonts w:hint="eastAsia"/>
                                <w:lang w:eastAsia="zh-CN"/>
                              </w:rPr>
                              <w:t>。</w:t>
                            </w:r>
                          </w:p>
                        </w:txbxContent>
                      </wps:txbx>
                      <wps:bodyPr upright="1"/>
                    </wps:wsp>
                  </a:graphicData>
                </a:graphic>
              </wp:anchor>
            </w:drawing>
          </mc:Choice>
          <mc:Fallback>
            <w:pict>
              <v:shape id="_x0000_s1026" o:spid="_x0000_s1026" o:spt="100" style="position:absolute;left:0pt;margin-left:88.45pt;margin-top:61.05pt;height:0.75pt;width:418.55pt;mso-position-horizontal-relative:page;mso-position-vertical-relative:page;z-index:251674624;mso-width-relative:page;mso-height-relative:page;" fillcolor="#000000" filled="t" stroked="f" coordsize="8370,15" o:allowincell="f" o:gfxdata="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wEpf7aAAAA&#10;DAEAAA8AAAAAAAAAAQAgAAAAIgAAAGRycy9kb3ducmV2LnhtbFBLAQIUABQAAAAIAIdO4kBMvGc0&#10;GwIAAIkEAAAOAAAAAAAAAAEAIAAAACkBAABkcnMvZTJvRG9jLnhtbFBLBQYAAAAABgAGAFkBAAC2&#10;BQAAAAA=&#10;" path="m0,14l8370,14,8370,0,0,0,0,14xe">
                <v:path textboxrect="0,0,8370,15"/>
                <v:fill on="t" focussize="0,0"/>
                <v:stroke on="f"/>
                <v:imagedata o:title=""/>
                <o:lock v:ext="edit" aspectratio="f"/>
                <v:textbox>
                  <w:txbxContent>
                    <w:p w14:paraId="3DE0E1B9">
                      <w:pPr>
                        <w:jc w:val="center"/>
                        <w:rPr>
                          <w:rFonts w:hint="eastAsia" w:eastAsia="宋体"/>
                          <w:lang w:eastAsia="zh-CN"/>
                        </w:rPr>
                      </w:pPr>
                      <w:r>
                        <w:rPr>
                          <w:rFonts w:hint="eastAsia"/>
                          <w:lang w:eastAsia="zh-CN"/>
                        </w:rPr>
                        <w:t>。</w:t>
                      </w:r>
                    </w:p>
                  </w:txbxContent>
                </v:textbox>
              </v:shape>
            </w:pict>
          </mc:Fallback>
        </mc:AlternateContent>
      </w:r>
      <w:r>
        <w:rPr>
          <w:rFonts w:hint="default" w:ascii="Times New Roman" w:hAnsi="Times New Roman" w:eastAsia="宋体" w:cs="Times New Roman"/>
          <w:bCs/>
          <w:color w:val="auto"/>
          <w:sz w:val="24"/>
          <w:szCs w:val="24"/>
          <w:highlight w:val="none"/>
          <w:lang w:val="en-US" w:eastAsia="zh-CN"/>
        </w:rPr>
        <w:t>弥勒温氏畜牧有限公司新哨种猪场建设项目，</w:t>
      </w:r>
      <w:r>
        <w:rPr>
          <w:rFonts w:hint="default" w:ascii="Times New Roman" w:hAnsi="Times New Roman" w:cs="Times New Roman"/>
          <w:bCs/>
          <w:color w:val="auto"/>
          <w:sz w:val="24"/>
          <w:szCs w:val="24"/>
          <w:highlight w:val="none"/>
          <w:lang w:val="en-US" w:eastAsia="zh-CN"/>
        </w:rPr>
        <w:t>位于本项目西北侧30m。该项目</w:t>
      </w:r>
      <w:r>
        <w:rPr>
          <w:rFonts w:hint="default" w:ascii="Times New Roman" w:hAnsi="Times New Roman" w:eastAsia="宋体" w:cs="Times New Roman"/>
          <w:color w:val="auto"/>
          <w:spacing w:val="-3"/>
          <w:sz w:val="24"/>
          <w:szCs w:val="24"/>
          <w:lang w:val="en-US" w:eastAsia="zh-CN"/>
        </w:rPr>
        <w:t>存栏</w:t>
      </w:r>
      <w:r>
        <w:rPr>
          <w:rFonts w:hint="default" w:ascii="Times New Roman" w:hAnsi="Times New Roman" w:eastAsia="宋体" w:cs="Times New Roman"/>
          <w:color w:val="auto"/>
          <w:spacing w:val="-3"/>
          <w:sz w:val="24"/>
          <w:szCs w:val="24"/>
        </w:rPr>
        <w:t>能繁母猪10000头、种公猪167头。</w:t>
      </w:r>
      <w:r>
        <w:rPr>
          <w:rFonts w:hint="default" w:ascii="Times New Roman" w:hAnsi="Times New Roman" w:eastAsia="宋体" w:cs="Times New Roman"/>
          <w:color w:val="auto"/>
          <w:spacing w:val="-2"/>
          <w:sz w:val="24"/>
          <w:szCs w:val="24"/>
        </w:rPr>
        <w:t>正常生产年份培育断奶仔猪</w:t>
      </w:r>
      <w:r>
        <w:rPr>
          <w:rFonts w:hint="default" w:ascii="Times New Roman" w:hAnsi="Times New Roman" w:eastAsia="宋体" w:cs="Times New Roman"/>
          <w:color w:val="auto"/>
          <w:spacing w:val="-52"/>
          <w:sz w:val="24"/>
          <w:szCs w:val="24"/>
        </w:rPr>
        <w:t xml:space="preserve"> </w:t>
      </w:r>
      <w:r>
        <w:rPr>
          <w:rFonts w:hint="default" w:ascii="Times New Roman" w:hAnsi="Times New Roman" w:cs="Times New Roman"/>
          <w:color w:val="auto"/>
          <w:spacing w:val="-2"/>
          <w:sz w:val="24"/>
          <w:szCs w:val="24"/>
          <w:lang w:val="en-US" w:eastAsia="zh-CN"/>
        </w:rPr>
        <w:t>2</w:t>
      </w:r>
      <w:r>
        <w:rPr>
          <w:rFonts w:hint="default" w:ascii="Times New Roman" w:hAnsi="Times New Roman" w:eastAsia="宋体" w:cs="Times New Roman"/>
          <w:color w:val="auto"/>
          <w:spacing w:val="-2"/>
          <w:sz w:val="24"/>
          <w:szCs w:val="24"/>
        </w:rPr>
        <w:t>0万头。</w:t>
      </w:r>
      <w:r>
        <w:rPr>
          <w:rFonts w:hint="default" w:ascii="Times New Roman" w:hAnsi="Times New Roman" w:eastAsia="宋体" w:cs="Times New Roman"/>
          <w:color w:val="auto"/>
          <w:spacing w:val="-2"/>
          <w:sz w:val="24"/>
          <w:szCs w:val="24"/>
          <w:lang w:val="en-US" w:eastAsia="zh-CN"/>
        </w:rPr>
        <w:t>根据</w:t>
      </w:r>
      <w:r>
        <w:rPr>
          <w:rFonts w:hint="default" w:ascii="Times New Roman" w:hAnsi="Times New Roman" w:eastAsia="宋体" w:cs="Times New Roman"/>
          <w:color w:val="auto"/>
          <w:spacing w:val="-2"/>
          <w:sz w:val="24"/>
          <w:szCs w:val="24"/>
        </w:rPr>
        <w:t>《弥勒温氏畜牧有限公司新哨种猪场建设项目竣工环境保护验收意见》</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该项目</w:t>
      </w:r>
      <w:r>
        <w:rPr>
          <w:rFonts w:hint="default" w:ascii="Times New Roman" w:hAnsi="Times New Roman" w:eastAsia="宋体" w:cs="Times New Roman"/>
          <w:color w:val="auto"/>
          <w:spacing w:val="-2"/>
          <w:sz w:val="24"/>
          <w:szCs w:val="24"/>
        </w:rPr>
        <w:t>产生的食堂废水经隔油池处理后，与其他生活污水、猪舍清洗废水、养殖</w:t>
      </w:r>
      <w:r>
        <w:rPr>
          <w:rFonts w:hint="default" w:ascii="Times New Roman" w:hAnsi="Times New Roman" w:cs="Times New Roman"/>
          <w:color w:val="auto"/>
          <w:spacing w:val="-2"/>
          <w:sz w:val="24"/>
          <w:szCs w:val="24"/>
          <w:lang w:val="en-US" w:eastAsia="zh-CN"/>
        </w:rPr>
        <w:t>废</w:t>
      </w:r>
      <w:r>
        <w:rPr>
          <w:rFonts w:hint="default" w:ascii="Times New Roman" w:hAnsi="Times New Roman" w:eastAsia="宋体" w:cs="Times New Roman"/>
          <w:color w:val="auto"/>
          <w:spacing w:val="-2"/>
          <w:sz w:val="24"/>
          <w:szCs w:val="24"/>
        </w:rPr>
        <w:t>水一同排入到污水处理站内，经处理后达到GB/T18920-2002《城市污水再生利用、城市生活杂用水水质》标准，全部回用于绿化</w:t>
      </w:r>
      <w:r>
        <w:rPr>
          <w:rFonts w:hint="default" w:ascii="Times New Roman" w:hAnsi="Times New Roman" w:cs="Times New Roman"/>
          <w:color w:val="auto"/>
          <w:spacing w:val="-2"/>
          <w:sz w:val="24"/>
          <w:szCs w:val="24"/>
          <w:lang w:val="en-US" w:eastAsia="zh-CN"/>
        </w:rPr>
        <w:t>洒</w:t>
      </w:r>
      <w:r>
        <w:rPr>
          <w:rFonts w:hint="default" w:ascii="Times New Roman" w:hAnsi="Times New Roman" w:eastAsia="宋体" w:cs="Times New Roman"/>
          <w:color w:val="auto"/>
          <w:spacing w:val="-2"/>
          <w:sz w:val="24"/>
          <w:szCs w:val="24"/>
        </w:rPr>
        <w:t>水。项目区场界上风向无组织废气--氨、硫化氢、臭气浓度监测值均达到《畜禽养殖业污染物排放标准》(GB18596-2001)标准及《恶臭污染物排放标准》(GB14554-93)的二级标准</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厂界噪声验收监测期间厂界噪声昼间最大值为52dB(A)，夜间最大值为39dB(A)</w:t>
      </w:r>
      <w:r>
        <w:rPr>
          <w:rFonts w:hint="default" w:ascii="Times New Roman" w:hAnsi="Times New Roman" w:cs="Times New Roman"/>
          <w:color w:val="auto"/>
          <w:spacing w:val="-2"/>
          <w:sz w:val="24"/>
          <w:szCs w:val="24"/>
          <w:lang w:val="en-US" w:eastAsia="zh-CN"/>
        </w:rPr>
        <w:t>，</w:t>
      </w:r>
      <w:r>
        <w:rPr>
          <w:rFonts w:hint="default" w:ascii="Times New Roman" w:hAnsi="Times New Roman" w:eastAsia="宋体" w:cs="Times New Roman"/>
          <w:color w:val="auto"/>
          <w:spacing w:val="-2"/>
          <w:sz w:val="24"/>
          <w:szCs w:val="24"/>
          <w:lang w:val="en-US" w:eastAsia="zh-CN"/>
        </w:rPr>
        <w:t>均满足《工业企业厂界环境噪声排放标准》(GB12348-2008)中2类标准的要求；固废处置率100%。</w:t>
      </w:r>
    </w:p>
    <w:p w14:paraId="51FDB828">
      <w:pPr>
        <w:pStyle w:val="3"/>
        <w:keepNext/>
        <w:keepLines/>
        <w:pageBreakBefore w:val="0"/>
        <w:widowControl w:val="0"/>
        <w:kinsoku/>
        <w:wordWrap/>
        <w:overflowPunct/>
        <w:topLinePunct w:val="0"/>
        <w:autoSpaceDE/>
        <w:autoSpaceDN/>
        <w:bidi w:val="0"/>
        <w:adjustRightInd/>
        <w:snapToGrid/>
        <w:spacing w:before="0" w:beforeLines="0" w:after="0" w:afterLines="0" w:line="413" w:lineRule="auto"/>
        <w:textAlignment w:val="auto"/>
        <w:rPr>
          <w:rStyle w:val="34"/>
          <w:rFonts w:hint="default" w:ascii="Times New Roman" w:hAnsi="Times New Roman" w:cs="Times New Roman"/>
          <w:b w:val="0"/>
          <w:bCs w:val="0"/>
          <w:color w:val="auto"/>
          <w:sz w:val="24"/>
          <w:highlight w:val="none"/>
        </w:rPr>
      </w:pPr>
      <w:bookmarkStart w:id="227" w:name="_Toc9417"/>
      <w:bookmarkStart w:id="228" w:name="_Toc6513"/>
      <w:bookmarkStart w:id="229" w:name="_Toc8944"/>
      <w:r>
        <w:rPr>
          <w:rStyle w:val="34"/>
          <w:rFonts w:hint="default" w:ascii="Times New Roman" w:hAnsi="Times New Roman" w:cs="Times New Roman"/>
          <w:b w:val="0"/>
          <w:bCs w:val="0"/>
          <w:color w:val="auto"/>
          <w:sz w:val="24"/>
          <w:highlight w:val="none"/>
        </w:rPr>
        <w:t>4.2风景名胜区、自然保护区</w:t>
      </w:r>
      <w:bookmarkEnd w:id="226"/>
      <w:bookmarkEnd w:id="227"/>
      <w:bookmarkEnd w:id="228"/>
      <w:bookmarkEnd w:id="229"/>
    </w:p>
    <w:p w14:paraId="0EE82A31">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根据调查，项目区周边2.5km范围内不涉及风景名胜区、自然保护区。</w:t>
      </w:r>
    </w:p>
    <w:p w14:paraId="7846546A">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Style w:val="34"/>
          <w:rFonts w:hint="default" w:ascii="Times New Roman" w:hAnsi="Times New Roman" w:cs="Times New Roman"/>
          <w:b w:val="0"/>
          <w:bCs w:val="0"/>
          <w:color w:val="auto"/>
          <w:sz w:val="24"/>
          <w:highlight w:val="none"/>
        </w:rPr>
      </w:pPr>
      <w:bookmarkStart w:id="230" w:name="_Toc15815"/>
      <w:bookmarkStart w:id="231" w:name="_Toc14011"/>
      <w:bookmarkStart w:id="232" w:name="_Toc15041"/>
      <w:bookmarkStart w:id="233" w:name="_Toc9022"/>
      <w:r>
        <w:rPr>
          <w:rStyle w:val="34"/>
          <w:rFonts w:hint="default" w:ascii="Times New Roman" w:hAnsi="Times New Roman" w:cs="Times New Roman"/>
          <w:b w:val="0"/>
          <w:bCs w:val="0"/>
          <w:color w:val="auto"/>
          <w:sz w:val="24"/>
          <w:highlight w:val="none"/>
        </w:rPr>
        <w:t>4.3项目区环境质量现状</w:t>
      </w:r>
      <w:bookmarkEnd w:id="230"/>
      <w:bookmarkEnd w:id="231"/>
      <w:bookmarkEnd w:id="232"/>
      <w:bookmarkEnd w:id="233"/>
    </w:p>
    <w:p w14:paraId="1B54303E">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lang w:val="en-US"/>
        </w:rPr>
      </w:pPr>
      <w:bookmarkStart w:id="234" w:name="_Toc20674"/>
      <w:r>
        <w:rPr>
          <w:rStyle w:val="35"/>
          <w:rFonts w:hint="default" w:ascii="Times New Roman" w:hAnsi="Times New Roman" w:eastAsia="宋体" w:cs="Times New Roman"/>
          <w:color w:val="auto"/>
          <w:sz w:val="24"/>
          <w:szCs w:val="24"/>
          <w:highlight w:val="none"/>
          <w:lang w:val="en-US"/>
        </w:rPr>
        <w:t>4.3.1环境空气质量现状</w:t>
      </w:r>
      <w:bookmarkEnd w:id="234"/>
    </w:p>
    <w:p w14:paraId="356F2DCE">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1、区域环境空气质量达标区判定</w:t>
      </w:r>
    </w:p>
    <w:p w14:paraId="355AE226">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大气环境》（HJ2.2-2018）要求，“项目所在区域达标判定，优先采用国家或地方生态环境主管部门公开发布的评价基准年环境质量公告或环境质量报告中的数据或结论”。</w:t>
      </w:r>
    </w:p>
    <w:p w14:paraId="4746E775">
      <w:pPr>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根据红河州生态环境局发布的《202</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eastAsia="zh-CN"/>
        </w:rPr>
        <w:t>红河州</w:t>
      </w:r>
      <w:r>
        <w:rPr>
          <w:rFonts w:hint="default" w:ascii="Times New Roman" w:hAnsi="Times New Roman" w:cs="Times New Roman"/>
          <w:color w:val="auto"/>
          <w:sz w:val="24"/>
          <w:highlight w:val="none"/>
        </w:rPr>
        <w:t>生态环境状况公报》，</w:t>
      </w:r>
      <w:r>
        <w:rPr>
          <w:rFonts w:hint="default" w:ascii="Times New Roman" w:hAnsi="Times New Roman" w:cs="Times New Roman"/>
          <w:color w:val="auto"/>
          <w:sz w:val="24"/>
          <w:highlight w:val="none"/>
          <w:lang w:val="en-US" w:eastAsia="zh-CN"/>
        </w:rPr>
        <w:t>2023年，红河州二氧化硫、二氧化氮、可吸入颗粒物、细颗粒物年均浓度均达到环境空气质量二级标准。</w:t>
      </w:r>
    </w:p>
    <w:p w14:paraId="05BD7892">
      <w:pPr>
        <w:snapToGrid w:val="0"/>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sz w:val="24"/>
          <w:highlight w:val="none"/>
        </w:rPr>
        <w:t>因此，</w:t>
      </w:r>
      <w:r>
        <w:rPr>
          <w:rFonts w:hint="default" w:ascii="Times New Roman" w:hAnsi="Times New Roman" w:cs="Times New Roman"/>
          <w:color w:val="auto"/>
          <w:kern w:val="0"/>
          <w:sz w:val="24"/>
          <w:highlight w:val="none"/>
          <w:lang w:bidi="ar"/>
        </w:rPr>
        <w:t>项目评价区域为环境空气质量达标区。</w:t>
      </w:r>
    </w:p>
    <w:p w14:paraId="5484AF50">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2、特征污染物监测</w:t>
      </w:r>
    </w:p>
    <w:p w14:paraId="78F68FA5">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根据工程分析，本项目特征污染物为</w:t>
      </w:r>
      <w:r>
        <w:rPr>
          <w:rFonts w:hint="default" w:ascii="Times New Roman" w:hAnsi="Times New Roman" w:cs="Times New Roman"/>
          <w:color w:val="auto"/>
          <w:sz w:val="24"/>
          <w:highlight w:val="none"/>
          <w:lang w:val="en-US" w:eastAsia="zh-CN"/>
        </w:rPr>
        <w:t>TSP、</w:t>
      </w:r>
      <w:r>
        <w:rPr>
          <w:rFonts w:hint="default" w:ascii="Times New Roman" w:hAnsi="Times New Roman" w:cs="Times New Roman"/>
          <w:color w:val="auto"/>
          <w:sz w:val="24"/>
          <w:highlight w:val="none"/>
        </w:rPr>
        <w:t>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S、臭气浓度，为了解项目所在区域</w:t>
      </w:r>
      <w:r>
        <w:rPr>
          <w:rFonts w:hint="default" w:ascii="Times New Roman" w:hAnsi="Times New Roman" w:cs="Times New Roman"/>
          <w:color w:val="auto"/>
          <w:sz w:val="24"/>
          <w:highlight w:val="none"/>
          <w:lang w:val="en-US" w:eastAsia="zh-CN"/>
        </w:rPr>
        <w:t>TSP、</w:t>
      </w:r>
      <w:r>
        <w:rPr>
          <w:rFonts w:hint="default" w:ascii="Times New Roman" w:hAnsi="Times New Roman" w:cs="Times New Roman"/>
          <w:color w:val="auto"/>
          <w:sz w:val="24"/>
          <w:highlight w:val="none"/>
        </w:rPr>
        <w:t>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S、臭气浓度的环境质量现状，建设单位委托</w:t>
      </w:r>
      <w:r>
        <w:rPr>
          <w:rFonts w:hint="default" w:ascii="Times New Roman" w:hAnsi="Times New Roman" w:cs="Times New Roman"/>
          <w:color w:val="auto"/>
          <w:sz w:val="24"/>
          <w:highlight w:val="none"/>
          <w:lang w:eastAsia="zh-CN"/>
        </w:rPr>
        <w:t>云南鼎祺检测</w:t>
      </w:r>
      <w:r>
        <w:rPr>
          <w:rFonts w:hint="eastAsia" w:ascii="Times New Roman" w:hAnsi="Times New Roman" w:cs="Times New Roman"/>
          <w:color w:val="auto"/>
          <w:sz w:val="24"/>
          <w:highlight w:val="none"/>
          <w:lang w:eastAsia="zh-CN"/>
        </w:rPr>
        <w:t>有限公司</w:t>
      </w:r>
      <w:r>
        <w:rPr>
          <w:rFonts w:hint="default" w:ascii="Times New Roman" w:hAnsi="Times New Roman" w:cs="Times New Roman"/>
          <w:color w:val="auto"/>
          <w:sz w:val="24"/>
          <w:highlight w:val="none"/>
        </w:rPr>
        <w:t>于202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14</w:t>
      </w:r>
      <w:r>
        <w:rPr>
          <w:rFonts w:hint="default" w:ascii="Times New Roman" w:hAnsi="Times New Roman" w:cs="Times New Roman"/>
          <w:color w:val="auto"/>
          <w:sz w:val="24"/>
          <w:highlight w:val="none"/>
        </w:rPr>
        <w:t>日～202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日对评价区</w:t>
      </w:r>
      <w:r>
        <w:rPr>
          <w:rFonts w:hint="default" w:ascii="Times New Roman" w:hAnsi="Times New Roman" w:cs="Times New Roman"/>
          <w:color w:val="auto"/>
          <w:sz w:val="24"/>
          <w:highlight w:val="none"/>
          <w:lang w:val="en-US" w:eastAsia="zh-CN"/>
        </w:rPr>
        <w:t>TSP、</w:t>
      </w:r>
      <w:r>
        <w:rPr>
          <w:rFonts w:hint="default" w:ascii="Times New Roman" w:hAnsi="Times New Roman" w:cs="Times New Roman"/>
          <w:color w:val="auto"/>
          <w:sz w:val="24"/>
          <w:highlight w:val="none"/>
        </w:rPr>
        <w:t>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S、臭气浓度进行了为期七天的空气环境现状监测</w:t>
      </w:r>
      <w:r>
        <w:rPr>
          <w:rFonts w:hint="default" w:ascii="Times New Roman" w:hAnsi="Times New Roman" w:cs="Times New Roman"/>
          <w:color w:val="auto"/>
          <w:sz w:val="24"/>
          <w:highlight w:val="none"/>
          <w:lang w:eastAsia="zh-CN"/>
        </w:rPr>
        <w:t>。</w:t>
      </w:r>
    </w:p>
    <w:p w14:paraId="40B17B32">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（1）补充监测方案</w:t>
      </w:r>
    </w:p>
    <w:p w14:paraId="7761E675">
      <w:pPr>
        <w:pStyle w:val="11"/>
        <w:autoSpaceDE w:val="0"/>
        <w:spacing w:before="0" w:line="360" w:lineRule="auto"/>
        <w:ind w:left="0" w:firstLine="360" w:firstLineChars="150"/>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①监测项目</w:t>
      </w:r>
    </w:p>
    <w:p w14:paraId="11C9E785">
      <w:pPr>
        <w:pStyle w:val="11"/>
        <w:autoSpaceDE w:val="0"/>
        <w:spacing w:before="0" w:line="360" w:lineRule="auto"/>
        <w:ind w:left="0" w:firstLine="360" w:firstLineChars="15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eastAsia="zh-CN"/>
        </w:rPr>
        <w:t>TSP、NH</w:t>
      </w:r>
      <w:r>
        <w:rPr>
          <w:rFonts w:hint="default" w:ascii="Times New Roman" w:hAnsi="Times New Roman" w:eastAsia="宋体" w:cs="Times New Roman"/>
          <w:b w:val="0"/>
          <w:bCs w:val="0"/>
          <w:color w:val="auto"/>
          <w:sz w:val="24"/>
          <w:szCs w:val="24"/>
          <w:vertAlign w:val="subscript"/>
          <w:lang w:eastAsia="zh-CN"/>
        </w:rPr>
        <w:t>3</w:t>
      </w:r>
      <w:r>
        <w:rPr>
          <w:rFonts w:hint="default" w:ascii="Times New Roman" w:hAnsi="Times New Roman" w:eastAsia="宋体" w:cs="Times New Roman"/>
          <w:b w:val="0"/>
          <w:bCs w:val="0"/>
          <w:color w:val="auto"/>
          <w:sz w:val="24"/>
          <w:szCs w:val="24"/>
          <w:lang w:eastAsia="zh-CN"/>
        </w:rPr>
        <w:t>、H</w:t>
      </w:r>
      <w:r>
        <w:rPr>
          <w:rFonts w:hint="default" w:ascii="Times New Roman" w:hAnsi="Times New Roman" w:eastAsia="宋体" w:cs="Times New Roman"/>
          <w:b w:val="0"/>
          <w:bCs w:val="0"/>
          <w:color w:val="auto"/>
          <w:sz w:val="24"/>
          <w:szCs w:val="24"/>
          <w:vertAlign w:val="subscript"/>
          <w:lang w:eastAsia="zh-CN"/>
        </w:rPr>
        <w:t>2</w:t>
      </w:r>
      <w:r>
        <w:rPr>
          <w:rFonts w:hint="default" w:ascii="Times New Roman" w:hAnsi="Times New Roman" w:eastAsia="宋体" w:cs="Times New Roman"/>
          <w:b w:val="0"/>
          <w:bCs w:val="0"/>
          <w:color w:val="auto"/>
          <w:sz w:val="24"/>
          <w:szCs w:val="24"/>
          <w:lang w:eastAsia="zh-CN"/>
        </w:rPr>
        <w:t>S、</w:t>
      </w:r>
      <w:r>
        <w:rPr>
          <w:rFonts w:hint="default" w:ascii="Times New Roman" w:hAnsi="Times New Roman" w:eastAsia="宋体" w:cs="Times New Roman"/>
          <w:b w:val="0"/>
          <w:bCs w:val="0"/>
          <w:color w:val="auto"/>
          <w:sz w:val="24"/>
          <w:szCs w:val="24"/>
          <w:lang w:val="en-US" w:eastAsia="zh-CN"/>
        </w:rPr>
        <w:t>臭气浓度</w:t>
      </w:r>
    </w:p>
    <w:p w14:paraId="7A95BAE0">
      <w:pPr>
        <w:pStyle w:val="11"/>
        <w:autoSpaceDE w:val="0"/>
        <w:spacing w:before="0" w:line="360" w:lineRule="auto"/>
        <w:ind w:left="0" w:firstLine="360" w:firstLineChars="150"/>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②监测布点</w:t>
      </w:r>
    </w:p>
    <w:p w14:paraId="621258C7">
      <w:pPr>
        <w:pStyle w:val="11"/>
        <w:autoSpaceDE w:val="0"/>
        <w:spacing w:before="0" w:line="360" w:lineRule="auto"/>
        <w:ind w:left="0" w:firstLine="360" w:firstLineChars="150"/>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color w:val="auto"/>
          <w:sz w:val="24"/>
          <w:szCs w:val="24"/>
          <w:lang w:val="en-US" w:eastAsia="zh-CN"/>
        </w:rPr>
        <w:t>项目厂址中心</w:t>
      </w:r>
      <w:r>
        <w:rPr>
          <w:rFonts w:hint="default" w:ascii="Times New Roman" w:hAnsi="Times New Roman" w:eastAsia="宋体" w:cs="Times New Roman"/>
          <w:b w:val="0"/>
          <w:bCs w:val="0"/>
          <w:color w:val="auto"/>
          <w:sz w:val="24"/>
          <w:szCs w:val="24"/>
          <w:lang w:eastAsia="zh-CN"/>
        </w:rPr>
        <w:t>布设</w:t>
      </w:r>
      <w:r>
        <w:rPr>
          <w:rFonts w:hint="default"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eastAsia="zh-CN"/>
        </w:rPr>
        <w:t>个监测点。</w:t>
      </w:r>
    </w:p>
    <w:p w14:paraId="32CFF34E">
      <w:pPr>
        <w:pStyle w:val="11"/>
        <w:autoSpaceDE w:val="0"/>
        <w:spacing w:before="0" w:line="360" w:lineRule="auto"/>
        <w:ind w:left="0" w:firstLine="360" w:firstLineChars="150"/>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③监测时间和频率</w:t>
      </w:r>
    </w:p>
    <w:p w14:paraId="361EB509">
      <w:pPr>
        <w:pStyle w:val="11"/>
        <w:autoSpaceDE w:val="0"/>
        <w:spacing w:before="0" w:line="360" w:lineRule="auto"/>
        <w:ind w:left="0" w:firstLine="360" w:firstLineChars="150"/>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连续采样7天，TSP的24小时平均浓度每日应有24小时的采样时间；NH</w:t>
      </w:r>
      <w:r>
        <w:rPr>
          <w:rFonts w:hint="default" w:ascii="Times New Roman" w:hAnsi="Times New Roman" w:eastAsia="宋体" w:cs="Times New Roman"/>
          <w:b w:val="0"/>
          <w:bCs w:val="0"/>
          <w:color w:val="auto"/>
          <w:sz w:val="24"/>
          <w:szCs w:val="24"/>
          <w:vertAlign w:val="subscript"/>
          <w:lang w:eastAsia="zh-CN"/>
        </w:rPr>
        <w:t>3</w:t>
      </w:r>
      <w:r>
        <w:rPr>
          <w:rFonts w:hint="default" w:ascii="Times New Roman" w:hAnsi="Times New Roman" w:eastAsia="宋体" w:cs="Times New Roman"/>
          <w:b w:val="0"/>
          <w:bCs w:val="0"/>
          <w:color w:val="auto"/>
          <w:sz w:val="24"/>
          <w:szCs w:val="24"/>
          <w:lang w:eastAsia="zh-CN"/>
        </w:rPr>
        <w:t>、H</w:t>
      </w:r>
      <w:r>
        <w:rPr>
          <w:rFonts w:hint="default" w:ascii="Times New Roman" w:hAnsi="Times New Roman" w:eastAsia="宋体" w:cs="Times New Roman"/>
          <w:b w:val="0"/>
          <w:bCs w:val="0"/>
          <w:color w:val="auto"/>
          <w:sz w:val="24"/>
          <w:szCs w:val="24"/>
          <w:vertAlign w:val="subscript"/>
          <w:lang w:eastAsia="zh-CN"/>
        </w:rPr>
        <w:t>2</w:t>
      </w:r>
      <w:r>
        <w:rPr>
          <w:rFonts w:hint="default" w:ascii="Times New Roman" w:hAnsi="Times New Roman" w:eastAsia="宋体" w:cs="Times New Roman"/>
          <w:b w:val="0"/>
          <w:bCs w:val="0"/>
          <w:color w:val="auto"/>
          <w:sz w:val="24"/>
          <w:szCs w:val="24"/>
          <w:lang w:eastAsia="zh-CN"/>
        </w:rPr>
        <w:t>S、</w:t>
      </w:r>
      <w:r>
        <w:rPr>
          <w:rFonts w:hint="default" w:ascii="Times New Roman" w:hAnsi="Times New Roman" w:eastAsia="宋体" w:cs="Times New Roman"/>
          <w:b w:val="0"/>
          <w:bCs w:val="0"/>
          <w:color w:val="auto"/>
          <w:sz w:val="24"/>
          <w:szCs w:val="24"/>
          <w:lang w:val="en-US" w:eastAsia="zh-CN"/>
        </w:rPr>
        <w:t>臭气浓度</w:t>
      </w:r>
      <w:r>
        <w:rPr>
          <w:rFonts w:hint="default" w:ascii="Times New Roman" w:hAnsi="Times New Roman" w:eastAsia="宋体" w:cs="Times New Roman"/>
          <w:b w:val="0"/>
          <w:bCs w:val="0"/>
          <w:color w:val="auto"/>
          <w:sz w:val="24"/>
          <w:szCs w:val="24"/>
          <w:lang w:eastAsia="zh-CN"/>
        </w:rPr>
        <w:t>每天监测4个时段，每次采样连续1小时。</w:t>
      </w:r>
    </w:p>
    <w:p w14:paraId="64421C77">
      <w:pPr>
        <w:pStyle w:val="11"/>
        <w:autoSpaceDE w:val="0"/>
        <w:spacing w:before="0" w:line="360" w:lineRule="auto"/>
        <w:ind w:left="0" w:firstLine="360" w:firstLineChars="150"/>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④监测及分析方法：参照国家标准方法进行。</w:t>
      </w:r>
    </w:p>
    <w:p w14:paraId="3C32F0E4">
      <w:pPr>
        <w:pStyle w:val="14"/>
        <w:spacing w:line="360" w:lineRule="auto"/>
        <w:ind w:firstLine="480"/>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rPr>
        <w:t>现状监测</w:t>
      </w:r>
      <w:r>
        <w:rPr>
          <w:rFonts w:hint="default" w:ascii="Times New Roman" w:hAnsi="Times New Roman" w:eastAsia="宋体" w:cs="Times New Roman"/>
          <w:b w:val="0"/>
          <w:bCs w:val="0"/>
          <w:color w:val="auto"/>
          <w:kern w:val="0"/>
          <w:sz w:val="24"/>
          <w:szCs w:val="24"/>
          <w:lang w:val="en-US" w:eastAsia="zh-CN"/>
        </w:rPr>
        <w:t>结果见附件</w:t>
      </w:r>
      <w:r>
        <w:rPr>
          <w:rFonts w:hint="eastAsia" w:ascii="Times New Roman" w:hAnsi="Times New Roman" w:cs="Times New Roman"/>
          <w:b w:val="0"/>
          <w:bCs w:val="0"/>
          <w:color w:val="auto"/>
          <w:kern w:val="0"/>
          <w:sz w:val="24"/>
          <w:szCs w:val="24"/>
          <w:lang w:val="en-US" w:eastAsia="zh-CN"/>
        </w:rPr>
        <w:t>9</w:t>
      </w:r>
      <w:r>
        <w:rPr>
          <w:rFonts w:hint="default" w:ascii="Times New Roman" w:hAnsi="Times New Roman" w:eastAsia="宋体" w:cs="Times New Roman"/>
          <w:b w:val="0"/>
          <w:bCs w:val="0"/>
          <w:color w:val="auto"/>
          <w:kern w:val="0"/>
          <w:sz w:val="24"/>
          <w:szCs w:val="24"/>
          <w:lang w:val="en-US" w:eastAsia="zh-CN"/>
        </w:rPr>
        <w:t>。</w:t>
      </w:r>
    </w:p>
    <w:p w14:paraId="6CC7BF50">
      <w:pPr>
        <w:widowControl/>
        <w:spacing w:line="360" w:lineRule="auto"/>
        <w:ind w:firstLine="482" w:firstLineChars="200"/>
        <w:jc w:val="left"/>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w:t>
      </w:r>
      <w:r>
        <w:rPr>
          <w:rFonts w:hint="default" w:ascii="Times New Roman" w:hAnsi="Times New Roman"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rPr>
        <w:t>）现状评价</w:t>
      </w:r>
    </w:p>
    <w:p w14:paraId="00DF0E8A">
      <w:pPr>
        <w:widowControl/>
        <w:spacing w:line="360" w:lineRule="auto"/>
        <w:ind w:firstLine="480" w:firstLineChars="200"/>
        <w:jc w:val="left"/>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①评价方法</w:t>
      </w:r>
    </w:p>
    <w:p w14:paraId="46CBC7BB">
      <w:pPr>
        <w:autoSpaceDE w:val="0"/>
        <w:autoSpaceDN w:val="0"/>
        <w:adjustRightInd w:val="0"/>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采用单因子指数法进行评价，计算公式如下：</w:t>
      </w:r>
    </w:p>
    <w:p w14:paraId="4DDC04C3">
      <w:pPr>
        <w:autoSpaceDE w:val="0"/>
        <w:autoSpaceDN w:val="0"/>
        <w:adjustRightInd w:val="0"/>
        <w:spacing w:line="360" w:lineRule="auto"/>
        <w:ind w:firstLine="1200" w:firstLineChars="50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sz w:val="24"/>
          <w:szCs w:val="24"/>
        </w:rPr>
        <w:drawing>
          <wp:inline distT="0" distB="0" distL="114300" distR="114300">
            <wp:extent cx="1780540" cy="466090"/>
            <wp:effectExtent l="0" t="0" r="10160" b="10160"/>
            <wp:docPr id="21" name="图片 1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wps2"/>
                    <pic:cNvPicPr>
                      <a:picLocks noChangeAspect="1"/>
                    </pic:cNvPicPr>
                  </pic:nvPicPr>
                  <pic:blipFill>
                    <a:blip r:embed="rId50"/>
                    <a:stretch>
                      <a:fillRect/>
                    </a:stretch>
                  </pic:blipFill>
                  <pic:spPr>
                    <a:xfrm>
                      <a:off x="0" y="0"/>
                      <a:ext cx="1780540" cy="466090"/>
                    </a:xfrm>
                    <a:prstGeom prst="rect">
                      <a:avLst/>
                    </a:prstGeom>
                    <a:noFill/>
                    <a:ln>
                      <a:noFill/>
                    </a:ln>
                  </pic:spPr>
                </pic:pic>
              </a:graphicData>
            </a:graphic>
          </wp:inline>
        </w:drawing>
      </w:r>
    </w:p>
    <w:p w14:paraId="5B2CB81D">
      <w:pPr>
        <w:autoSpaceDE w:val="0"/>
        <w:autoSpaceDN w:val="0"/>
        <w:adjustRightInd w:val="0"/>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式中：S</w:t>
      </w:r>
      <w:r>
        <w:rPr>
          <w:rFonts w:hint="default" w:ascii="Times New Roman" w:hAnsi="Times New Roman" w:eastAsia="宋体" w:cs="Times New Roman"/>
          <w:b w:val="0"/>
          <w:bCs w:val="0"/>
          <w:color w:val="auto"/>
          <w:sz w:val="24"/>
          <w:szCs w:val="24"/>
          <w:vertAlign w:val="subscript"/>
        </w:rPr>
        <w:t>ij</w:t>
      </w:r>
      <w:r>
        <w:rPr>
          <w:rFonts w:hint="default" w:ascii="Times New Roman" w:hAnsi="Times New Roman" w:eastAsia="宋体" w:cs="Times New Roman"/>
          <w:b w:val="0"/>
          <w:bCs w:val="0"/>
          <w:color w:val="auto"/>
          <w:sz w:val="24"/>
          <w:szCs w:val="24"/>
        </w:rPr>
        <w:t>――单因子污染指数；</w:t>
      </w:r>
    </w:p>
    <w:p w14:paraId="7B1DA74C">
      <w:pPr>
        <w:autoSpaceDE w:val="0"/>
        <w:autoSpaceDN w:val="0"/>
        <w:adjustRightInd w:val="0"/>
        <w:spacing w:line="36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t xml:space="preserve">      C</w:t>
      </w:r>
      <w:r>
        <w:rPr>
          <w:rFonts w:hint="default" w:ascii="Times New Roman" w:hAnsi="Times New Roman" w:eastAsia="宋体" w:cs="Times New Roman"/>
          <w:b w:val="0"/>
          <w:bCs w:val="0"/>
          <w:color w:val="auto"/>
          <w:sz w:val="24"/>
          <w:szCs w:val="24"/>
          <w:vertAlign w:val="subscript"/>
        </w:rPr>
        <w:t>ij</w:t>
      </w:r>
      <w:r>
        <w:rPr>
          <w:rFonts w:hint="default" w:ascii="Times New Roman" w:hAnsi="Times New Roman" w:eastAsia="宋体" w:cs="Times New Roman"/>
          <w:b w:val="0"/>
          <w:bCs w:val="0"/>
          <w:color w:val="auto"/>
          <w:sz w:val="24"/>
          <w:szCs w:val="24"/>
        </w:rPr>
        <w:t>――污染物浓度实测值，mg/L；</w:t>
      </w:r>
    </w:p>
    <w:p w14:paraId="72218249">
      <w:pPr>
        <w:snapToGrid w:val="0"/>
        <w:spacing w:line="360" w:lineRule="auto"/>
        <w:ind w:firstLine="480" w:firstLineChars="200"/>
        <w:jc w:val="left"/>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t xml:space="preserve">      C</w:t>
      </w:r>
      <w:r>
        <w:rPr>
          <w:rFonts w:hint="default" w:ascii="Times New Roman" w:hAnsi="Times New Roman" w:eastAsia="宋体" w:cs="Times New Roman"/>
          <w:b w:val="0"/>
          <w:bCs w:val="0"/>
          <w:color w:val="auto"/>
          <w:sz w:val="24"/>
          <w:szCs w:val="24"/>
          <w:vertAlign w:val="subscript"/>
        </w:rPr>
        <w:t>sj</w:t>
      </w:r>
      <w:r>
        <w:rPr>
          <w:rFonts w:hint="default" w:ascii="Times New Roman" w:hAnsi="Times New Roman" w:eastAsia="宋体" w:cs="Times New Roman"/>
          <w:b w:val="0"/>
          <w:bCs w:val="0"/>
          <w:color w:val="auto"/>
          <w:sz w:val="24"/>
          <w:szCs w:val="24"/>
        </w:rPr>
        <w:t>――污染物相应的标准，mg/L。</w:t>
      </w:r>
    </w:p>
    <w:p w14:paraId="6CE37B2C">
      <w:pPr>
        <w:snapToGrid w:val="0"/>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）监测结果统计和分析见下表</w:t>
      </w:r>
      <w:r>
        <w:rPr>
          <w:rFonts w:hint="default" w:ascii="Times New Roman" w:hAnsi="Times New Roman" w:cs="Times New Roman"/>
          <w:color w:val="auto"/>
        </w:rPr>
        <w:t>：</w:t>
      </w:r>
    </w:p>
    <w:p w14:paraId="52E30C5B">
      <w:pPr>
        <w:autoSpaceDE w:val="0"/>
        <w:autoSpaceDN w:val="0"/>
        <w:adjustRightInd w:val="0"/>
        <w:spacing w:line="360" w:lineRule="auto"/>
        <w:ind w:firstLine="105" w:firstLineChars="50"/>
        <w:jc w:val="center"/>
        <w:rPr>
          <w:rFonts w:hint="default" w:ascii="Times New Roman" w:hAnsi="Times New Roman" w:eastAsia="宋体" w:cs="Times New Roman"/>
          <w:b w:val="0"/>
          <w:bCs w:val="0"/>
          <w:color w:val="auto"/>
          <w:sz w:val="24"/>
          <w:szCs w:val="24"/>
          <w:highlight w:val="yellow"/>
        </w:rPr>
      </w:pPr>
      <w:r>
        <w:rPr>
          <w:rFonts w:hint="default" w:ascii="Times New Roman" w:hAnsi="Times New Roman" w:eastAsia="宋体" w:cs="Times New Roman"/>
          <w:b/>
          <w:color w:val="auto"/>
          <w:sz w:val="21"/>
          <w:szCs w:val="21"/>
        </w:rPr>
        <w:t>表</w:t>
      </w:r>
      <w:r>
        <w:rPr>
          <w:rFonts w:hint="default" w:ascii="Times New Roman" w:hAnsi="Times New Roman" w:cs="Times New Roman"/>
          <w:b/>
          <w:color w:val="auto"/>
          <w:sz w:val="21"/>
          <w:szCs w:val="21"/>
          <w:lang w:val="en-US" w:eastAsia="zh-CN"/>
        </w:rPr>
        <w:t>4.3</w:t>
      </w:r>
      <w:r>
        <w:rPr>
          <w:rFonts w:hint="default" w:ascii="Times New Roman" w:hAnsi="Times New Roman" w:eastAsia="宋体" w:cs="Times New Roman"/>
          <w:b/>
          <w:color w:val="auto"/>
          <w:sz w:val="21"/>
          <w:szCs w:val="21"/>
        </w:rPr>
        <w:t>-</w:t>
      </w:r>
      <w:r>
        <w:rPr>
          <w:rFonts w:hint="default" w:ascii="Times New Roman" w:hAnsi="Times New Roman" w:cs="Times New Roman"/>
          <w:b/>
          <w:color w:val="auto"/>
          <w:sz w:val="21"/>
          <w:szCs w:val="21"/>
          <w:lang w:val="en-US" w:eastAsia="zh-CN"/>
        </w:rPr>
        <w:t>1</w:t>
      </w:r>
      <w:r>
        <w:rPr>
          <w:rFonts w:hint="default" w:ascii="Times New Roman" w:hAnsi="Times New Roman" w:eastAsia="宋体" w:cs="Times New Roman"/>
          <w:b/>
          <w:color w:val="auto"/>
          <w:sz w:val="21"/>
          <w:szCs w:val="21"/>
        </w:rPr>
        <w:t xml:space="preserve">  环境空气评价结果一览表</w:t>
      </w:r>
    </w:p>
    <w:tbl>
      <w:tblPr>
        <w:tblStyle w:val="23"/>
        <w:tblW w:w="9057"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204"/>
        <w:gridCol w:w="1390"/>
        <w:gridCol w:w="1027"/>
        <w:gridCol w:w="1257"/>
        <w:gridCol w:w="1529"/>
        <w:gridCol w:w="912"/>
        <w:gridCol w:w="888"/>
        <w:gridCol w:w="850"/>
      </w:tblGrid>
      <w:tr w14:paraId="202A194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108" w:hRule="atLeast"/>
          <w:jc w:val="center"/>
        </w:trPr>
        <w:tc>
          <w:tcPr>
            <w:tcW w:w="1204" w:type="dxa"/>
            <w:vAlign w:val="center"/>
          </w:tcPr>
          <w:p w14:paraId="7A2D7432">
            <w:pPr>
              <w:spacing w:line="240" w:lineRule="auto"/>
              <w:jc w:val="center"/>
              <w:rPr>
                <w:rFonts w:hint="default" w:ascii="Times New Roman" w:hAnsi="Times New Roman" w:cs="Times New Roman"/>
                <w:b/>
                <w:bCs/>
                <w:color w:val="auto"/>
                <w:spacing w:val="1"/>
                <w:sz w:val="18"/>
                <w:szCs w:val="18"/>
              </w:rPr>
            </w:pPr>
            <w:r>
              <w:rPr>
                <w:rFonts w:hint="default" w:ascii="Times New Roman" w:hAnsi="Times New Roman" w:cs="Times New Roman"/>
                <w:b/>
                <w:bCs/>
                <w:color w:val="auto"/>
                <w:spacing w:val="1"/>
                <w:sz w:val="18"/>
                <w:szCs w:val="18"/>
              </w:rPr>
              <w:t>监测</w:t>
            </w:r>
          </w:p>
          <w:p w14:paraId="38E0A1BC">
            <w:pPr>
              <w:spacing w:line="240" w:lineRule="auto"/>
              <w:jc w:val="center"/>
              <w:rPr>
                <w:rFonts w:hint="default" w:ascii="Times New Roman" w:hAnsi="Times New Roman" w:cs="Times New Roman"/>
                <w:b/>
                <w:bCs/>
                <w:color w:val="auto"/>
                <w:spacing w:val="1"/>
                <w:sz w:val="18"/>
                <w:szCs w:val="18"/>
              </w:rPr>
            </w:pPr>
            <w:r>
              <w:rPr>
                <w:rFonts w:hint="default" w:ascii="Times New Roman" w:hAnsi="Times New Roman" w:cs="Times New Roman"/>
                <w:b/>
                <w:bCs/>
                <w:color w:val="auto"/>
                <w:spacing w:val="1"/>
                <w:sz w:val="18"/>
                <w:szCs w:val="18"/>
              </w:rPr>
              <w:t>点位</w:t>
            </w:r>
          </w:p>
        </w:tc>
        <w:tc>
          <w:tcPr>
            <w:tcW w:w="1390" w:type="dxa"/>
            <w:vAlign w:val="center"/>
          </w:tcPr>
          <w:p w14:paraId="08F18FB8">
            <w:pPr>
              <w:spacing w:line="240" w:lineRule="auto"/>
              <w:jc w:val="center"/>
              <w:rPr>
                <w:rFonts w:hint="default" w:ascii="Times New Roman" w:hAnsi="Times New Roman" w:cs="Times New Roman"/>
                <w:b/>
                <w:bCs/>
                <w:color w:val="auto"/>
                <w:spacing w:val="1"/>
                <w:sz w:val="18"/>
                <w:szCs w:val="18"/>
              </w:rPr>
            </w:pPr>
            <w:r>
              <w:rPr>
                <w:rFonts w:hint="default" w:ascii="Times New Roman" w:hAnsi="Times New Roman" w:cs="Times New Roman"/>
                <w:b/>
                <w:bCs/>
                <w:color w:val="auto"/>
                <w:spacing w:val="1"/>
                <w:sz w:val="18"/>
                <w:szCs w:val="18"/>
              </w:rPr>
              <w:t>污染物</w:t>
            </w:r>
          </w:p>
        </w:tc>
        <w:tc>
          <w:tcPr>
            <w:tcW w:w="1027" w:type="dxa"/>
            <w:vAlign w:val="center"/>
          </w:tcPr>
          <w:p w14:paraId="25E929BF">
            <w:pPr>
              <w:spacing w:line="240" w:lineRule="auto"/>
              <w:jc w:val="center"/>
              <w:rPr>
                <w:rFonts w:hint="default" w:ascii="Times New Roman" w:hAnsi="Times New Roman" w:cs="Times New Roman"/>
                <w:b/>
                <w:bCs/>
                <w:color w:val="auto"/>
                <w:spacing w:val="1"/>
                <w:sz w:val="18"/>
                <w:szCs w:val="18"/>
              </w:rPr>
            </w:pPr>
            <w:r>
              <w:rPr>
                <w:rFonts w:hint="default" w:ascii="Times New Roman" w:hAnsi="Times New Roman" w:cs="Times New Roman"/>
                <w:b/>
                <w:bCs/>
                <w:color w:val="auto"/>
                <w:spacing w:val="1"/>
                <w:sz w:val="18"/>
                <w:szCs w:val="18"/>
              </w:rPr>
              <w:t>监测时段</w:t>
            </w:r>
          </w:p>
        </w:tc>
        <w:tc>
          <w:tcPr>
            <w:tcW w:w="1257" w:type="dxa"/>
            <w:vAlign w:val="center"/>
          </w:tcPr>
          <w:p w14:paraId="0DAB04EB">
            <w:pPr>
              <w:spacing w:line="240" w:lineRule="auto"/>
              <w:jc w:val="center"/>
              <w:rPr>
                <w:rFonts w:hint="default" w:ascii="Times New Roman" w:hAnsi="Times New Roman" w:cs="Times New Roman"/>
                <w:b/>
                <w:bCs/>
                <w:color w:val="auto"/>
                <w:spacing w:val="1"/>
                <w:sz w:val="18"/>
                <w:szCs w:val="18"/>
              </w:rPr>
            </w:pPr>
            <w:r>
              <w:rPr>
                <w:rFonts w:hint="default" w:ascii="Times New Roman" w:hAnsi="Times New Roman" w:cs="Times New Roman"/>
                <w:b/>
                <w:bCs/>
                <w:color w:val="auto"/>
                <w:spacing w:val="1"/>
                <w:sz w:val="18"/>
                <w:szCs w:val="18"/>
              </w:rPr>
              <w:t>评价标准（</w:t>
            </w:r>
            <w:r>
              <w:rPr>
                <w:rFonts w:hint="default" w:ascii="Times New Roman" w:hAnsi="Times New Roman" w:cs="Times New Roman"/>
                <w:b/>
                <w:bCs/>
                <w:color w:val="auto"/>
                <w:spacing w:val="1"/>
                <w:sz w:val="18"/>
                <w:szCs w:val="18"/>
                <w:lang w:val="en-US" w:eastAsia="zh-CN"/>
              </w:rPr>
              <w:t>m</w:t>
            </w:r>
            <w:r>
              <w:rPr>
                <w:rFonts w:hint="default" w:ascii="Times New Roman" w:hAnsi="Times New Roman" w:cs="Times New Roman"/>
                <w:b/>
                <w:bCs/>
                <w:color w:val="auto"/>
                <w:spacing w:val="1"/>
                <w:sz w:val="18"/>
                <w:szCs w:val="18"/>
              </w:rPr>
              <w:t>g/m</w:t>
            </w:r>
            <w:r>
              <w:rPr>
                <w:rFonts w:hint="default" w:ascii="Times New Roman" w:hAnsi="Times New Roman" w:cs="Times New Roman"/>
                <w:b/>
                <w:bCs/>
                <w:color w:val="auto"/>
                <w:spacing w:val="1"/>
                <w:sz w:val="18"/>
                <w:szCs w:val="18"/>
                <w:vertAlign w:val="superscript"/>
              </w:rPr>
              <w:t>3</w:t>
            </w:r>
            <w:r>
              <w:rPr>
                <w:rFonts w:hint="default" w:ascii="Times New Roman" w:hAnsi="Times New Roman" w:cs="Times New Roman"/>
                <w:b/>
                <w:bCs/>
                <w:color w:val="auto"/>
                <w:spacing w:val="1"/>
                <w:sz w:val="18"/>
                <w:szCs w:val="18"/>
              </w:rPr>
              <w:t>）</w:t>
            </w:r>
          </w:p>
        </w:tc>
        <w:tc>
          <w:tcPr>
            <w:tcW w:w="1529" w:type="dxa"/>
            <w:vAlign w:val="center"/>
          </w:tcPr>
          <w:p w14:paraId="589F8596">
            <w:pPr>
              <w:spacing w:line="240" w:lineRule="auto"/>
              <w:jc w:val="center"/>
              <w:rPr>
                <w:rFonts w:hint="default" w:ascii="Times New Roman" w:hAnsi="Times New Roman" w:cs="Times New Roman"/>
                <w:b/>
                <w:bCs/>
                <w:color w:val="auto"/>
                <w:spacing w:val="1"/>
                <w:sz w:val="18"/>
                <w:szCs w:val="18"/>
              </w:rPr>
            </w:pPr>
            <w:r>
              <w:rPr>
                <w:rFonts w:hint="default" w:ascii="Times New Roman" w:hAnsi="Times New Roman" w:cs="Times New Roman"/>
                <w:b/>
                <w:bCs/>
                <w:color w:val="auto"/>
                <w:spacing w:val="1"/>
                <w:sz w:val="18"/>
                <w:szCs w:val="18"/>
              </w:rPr>
              <w:t>监测浓度范围（</w:t>
            </w:r>
            <w:r>
              <w:rPr>
                <w:rFonts w:hint="default" w:ascii="Times New Roman" w:hAnsi="Times New Roman" w:cs="Times New Roman"/>
                <w:b/>
                <w:bCs/>
                <w:color w:val="auto"/>
                <w:spacing w:val="1"/>
                <w:sz w:val="18"/>
                <w:szCs w:val="18"/>
                <w:lang w:val="en-US" w:eastAsia="zh-CN"/>
              </w:rPr>
              <w:t>m</w:t>
            </w:r>
            <w:r>
              <w:rPr>
                <w:rFonts w:hint="default" w:ascii="Times New Roman" w:hAnsi="Times New Roman" w:cs="Times New Roman"/>
                <w:b/>
                <w:bCs/>
                <w:color w:val="auto"/>
                <w:spacing w:val="1"/>
                <w:sz w:val="18"/>
                <w:szCs w:val="18"/>
              </w:rPr>
              <w:t>g/m</w:t>
            </w:r>
            <w:r>
              <w:rPr>
                <w:rFonts w:hint="default" w:ascii="Times New Roman" w:hAnsi="Times New Roman" w:cs="Times New Roman"/>
                <w:b/>
                <w:bCs/>
                <w:color w:val="auto"/>
                <w:spacing w:val="1"/>
                <w:sz w:val="18"/>
                <w:szCs w:val="18"/>
                <w:vertAlign w:val="superscript"/>
              </w:rPr>
              <w:t>3</w:t>
            </w:r>
            <w:r>
              <w:rPr>
                <w:rFonts w:hint="default" w:ascii="Times New Roman" w:hAnsi="Times New Roman" w:cs="Times New Roman"/>
                <w:b/>
                <w:bCs/>
                <w:color w:val="auto"/>
                <w:spacing w:val="1"/>
                <w:sz w:val="18"/>
                <w:szCs w:val="18"/>
              </w:rPr>
              <w:t>）</w:t>
            </w:r>
          </w:p>
        </w:tc>
        <w:tc>
          <w:tcPr>
            <w:tcW w:w="912" w:type="dxa"/>
            <w:vAlign w:val="center"/>
          </w:tcPr>
          <w:p w14:paraId="6D67AF72">
            <w:pPr>
              <w:spacing w:line="240" w:lineRule="auto"/>
              <w:jc w:val="center"/>
              <w:rPr>
                <w:rFonts w:hint="default" w:ascii="Times New Roman" w:hAnsi="Times New Roman" w:cs="Times New Roman"/>
                <w:b/>
                <w:bCs/>
                <w:color w:val="auto"/>
                <w:spacing w:val="1"/>
                <w:sz w:val="18"/>
                <w:szCs w:val="18"/>
              </w:rPr>
            </w:pPr>
            <w:r>
              <w:rPr>
                <w:rFonts w:hint="default" w:ascii="Times New Roman" w:hAnsi="Times New Roman" w:cs="Times New Roman"/>
                <w:b/>
                <w:bCs/>
                <w:color w:val="auto"/>
                <w:spacing w:val="1"/>
                <w:sz w:val="18"/>
                <w:szCs w:val="18"/>
              </w:rPr>
              <w:t>最大浓度占标率（%）</w:t>
            </w:r>
          </w:p>
        </w:tc>
        <w:tc>
          <w:tcPr>
            <w:tcW w:w="888" w:type="dxa"/>
            <w:vAlign w:val="center"/>
          </w:tcPr>
          <w:p w14:paraId="137FD0B9">
            <w:pPr>
              <w:spacing w:line="240" w:lineRule="auto"/>
              <w:jc w:val="center"/>
              <w:rPr>
                <w:rFonts w:hint="default" w:ascii="Times New Roman" w:hAnsi="Times New Roman" w:cs="Times New Roman"/>
                <w:b/>
                <w:bCs/>
                <w:color w:val="auto"/>
                <w:spacing w:val="1"/>
                <w:sz w:val="18"/>
                <w:szCs w:val="18"/>
              </w:rPr>
            </w:pPr>
            <w:r>
              <w:rPr>
                <w:rFonts w:hint="default" w:ascii="Times New Roman" w:hAnsi="Times New Roman" w:cs="Times New Roman"/>
                <w:b/>
                <w:bCs/>
                <w:color w:val="auto"/>
                <w:spacing w:val="1"/>
                <w:sz w:val="18"/>
                <w:szCs w:val="18"/>
              </w:rPr>
              <w:t>超标率（%）</w:t>
            </w:r>
          </w:p>
        </w:tc>
        <w:tc>
          <w:tcPr>
            <w:tcW w:w="850" w:type="dxa"/>
            <w:vAlign w:val="center"/>
          </w:tcPr>
          <w:p w14:paraId="53516442">
            <w:pPr>
              <w:spacing w:line="240" w:lineRule="auto"/>
              <w:jc w:val="center"/>
              <w:rPr>
                <w:rFonts w:hint="default" w:ascii="Times New Roman" w:hAnsi="Times New Roman" w:cs="Times New Roman"/>
                <w:b/>
                <w:bCs/>
                <w:color w:val="auto"/>
                <w:spacing w:val="1"/>
                <w:sz w:val="18"/>
                <w:szCs w:val="18"/>
              </w:rPr>
            </w:pPr>
            <w:r>
              <w:rPr>
                <w:rFonts w:hint="default" w:ascii="Times New Roman" w:hAnsi="Times New Roman" w:cs="Times New Roman"/>
                <w:b/>
                <w:bCs/>
                <w:color w:val="auto"/>
                <w:spacing w:val="1"/>
                <w:sz w:val="18"/>
                <w:szCs w:val="18"/>
              </w:rPr>
              <w:t>达标情况</w:t>
            </w:r>
          </w:p>
        </w:tc>
      </w:tr>
      <w:tr w14:paraId="4323D88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1204" w:type="dxa"/>
            <w:vMerge w:val="restart"/>
            <w:vAlign w:val="center"/>
          </w:tcPr>
          <w:p w14:paraId="167D0120">
            <w:pPr>
              <w:spacing w:line="240" w:lineRule="auto"/>
              <w:jc w:val="center"/>
              <w:rPr>
                <w:rFonts w:hint="default" w:ascii="Times New Roman" w:hAnsi="Times New Roman" w:cs="Times New Roman"/>
                <w:color w:val="auto"/>
                <w:spacing w:val="2"/>
                <w:sz w:val="18"/>
                <w:szCs w:val="18"/>
              </w:rPr>
            </w:pPr>
            <w:r>
              <w:rPr>
                <w:rFonts w:hint="default" w:ascii="Times New Roman" w:hAnsi="Times New Roman" w:eastAsia="宋体" w:cs="Times New Roman"/>
                <w:b w:val="0"/>
                <w:bCs w:val="0"/>
                <w:color w:val="auto"/>
                <w:sz w:val="18"/>
                <w:szCs w:val="18"/>
                <w:lang w:val="en-US" w:eastAsia="zh-CN"/>
              </w:rPr>
              <w:t>项目厂址中心</w:t>
            </w:r>
          </w:p>
        </w:tc>
        <w:tc>
          <w:tcPr>
            <w:tcW w:w="1390" w:type="dxa"/>
            <w:vAlign w:val="center"/>
          </w:tcPr>
          <w:p w14:paraId="4CCC91B9">
            <w:pPr>
              <w:spacing w:line="240" w:lineRule="auto"/>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H</w:t>
            </w:r>
            <w:r>
              <w:rPr>
                <w:rFonts w:hint="default" w:ascii="Times New Roman" w:hAnsi="Times New Roman" w:cs="Times New Roman"/>
                <w:color w:val="auto"/>
                <w:spacing w:val="1"/>
                <w:sz w:val="18"/>
                <w:szCs w:val="18"/>
                <w:vertAlign w:val="subscript"/>
              </w:rPr>
              <w:t>2</w:t>
            </w:r>
            <w:r>
              <w:rPr>
                <w:rFonts w:hint="default" w:ascii="Times New Roman" w:hAnsi="Times New Roman" w:cs="Times New Roman"/>
                <w:color w:val="auto"/>
                <w:spacing w:val="1"/>
                <w:sz w:val="18"/>
                <w:szCs w:val="18"/>
              </w:rPr>
              <w:t>S</w:t>
            </w:r>
          </w:p>
        </w:tc>
        <w:tc>
          <w:tcPr>
            <w:tcW w:w="1027" w:type="dxa"/>
            <w:vMerge w:val="restart"/>
            <w:vAlign w:val="center"/>
          </w:tcPr>
          <w:p w14:paraId="47BB0120">
            <w:pPr>
              <w:spacing w:line="240" w:lineRule="auto"/>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小时值</w:t>
            </w:r>
          </w:p>
        </w:tc>
        <w:tc>
          <w:tcPr>
            <w:tcW w:w="1257" w:type="dxa"/>
            <w:vAlign w:val="center"/>
          </w:tcPr>
          <w:p w14:paraId="7358FE86">
            <w:pPr>
              <w:spacing w:line="240" w:lineRule="auto"/>
              <w:jc w:val="center"/>
              <w:rPr>
                <w:rFonts w:hint="default" w:ascii="Times New Roman" w:hAnsi="Times New Roman" w:eastAsia="宋体" w:cs="Times New Roman"/>
                <w:color w:val="auto"/>
                <w:spacing w:val="1"/>
                <w:sz w:val="18"/>
                <w:szCs w:val="18"/>
                <w:lang w:val="en-US" w:eastAsia="zh-CN"/>
              </w:rPr>
            </w:pPr>
            <w:r>
              <w:rPr>
                <w:rFonts w:hint="default" w:ascii="Times New Roman" w:hAnsi="Times New Roman" w:cs="Times New Roman"/>
                <w:color w:val="auto"/>
                <w:spacing w:val="1"/>
                <w:sz w:val="18"/>
                <w:szCs w:val="18"/>
                <w:lang w:val="en-US" w:eastAsia="zh-CN"/>
              </w:rPr>
              <w:t>0.01</w:t>
            </w:r>
          </w:p>
        </w:tc>
        <w:tc>
          <w:tcPr>
            <w:tcW w:w="1529" w:type="dxa"/>
            <w:vAlign w:val="center"/>
          </w:tcPr>
          <w:p w14:paraId="2523EDFC">
            <w:pPr>
              <w:spacing w:line="240" w:lineRule="auto"/>
              <w:jc w:val="center"/>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b w:val="0"/>
                <w:bCs w:val="0"/>
                <w:color w:val="auto"/>
                <w:sz w:val="18"/>
                <w:szCs w:val="18"/>
                <w:lang w:val="en-US" w:eastAsia="zh-CN"/>
              </w:rPr>
              <w:t>&lt;0.001</w:t>
            </w:r>
          </w:p>
        </w:tc>
        <w:tc>
          <w:tcPr>
            <w:tcW w:w="912" w:type="dxa"/>
            <w:vAlign w:val="center"/>
          </w:tcPr>
          <w:p w14:paraId="3912EA27">
            <w:pPr>
              <w:spacing w:line="240" w:lineRule="auto"/>
              <w:jc w:val="center"/>
              <w:rPr>
                <w:rFonts w:hint="default" w:ascii="Times New Roman" w:hAnsi="Times New Roman" w:eastAsia="宋体" w:cs="Times New Roman"/>
                <w:color w:val="auto"/>
                <w:spacing w:val="1"/>
                <w:sz w:val="18"/>
                <w:szCs w:val="18"/>
                <w:lang w:val="en-US" w:eastAsia="zh-CN"/>
              </w:rPr>
            </w:pPr>
            <w:r>
              <w:rPr>
                <w:rFonts w:hint="default" w:ascii="Times New Roman" w:hAnsi="Times New Roman" w:cs="Times New Roman"/>
                <w:color w:val="auto"/>
                <w:spacing w:val="1"/>
                <w:sz w:val="18"/>
                <w:szCs w:val="18"/>
                <w:lang w:val="en-US" w:eastAsia="zh-CN"/>
              </w:rPr>
              <w:t>/</w:t>
            </w:r>
          </w:p>
        </w:tc>
        <w:tc>
          <w:tcPr>
            <w:tcW w:w="888" w:type="dxa"/>
            <w:vAlign w:val="center"/>
          </w:tcPr>
          <w:p w14:paraId="76863BCF">
            <w:pPr>
              <w:spacing w:line="240" w:lineRule="auto"/>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0</w:t>
            </w:r>
          </w:p>
        </w:tc>
        <w:tc>
          <w:tcPr>
            <w:tcW w:w="850" w:type="dxa"/>
            <w:vAlign w:val="center"/>
          </w:tcPr>
          <w:p w14:paraId="0C5AD098">
            <w:pPr>
              <w:spacing w:line="240" w:lineRule="auto"/>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达标</w:t>
            </w:r>
          </w:p>
        </w:tc>
      </w:tr>
      <w:tr w14:paraId="79A3E04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04" w:type="dxa"/>
            <w:vMerge w:val="continue"/>
            <w:vAlign w:val="center"/>
          </w:tcPr>
          <w:p w14:paraId="3602A580">
            <w:pPr>
              <w:spacing w:line="240" w:lineRule="auto"/>
              <w:jc w:val="center"/>
              <w:rPr>
                <w:rFonts w:hint="default" w:ascii="Times New Roman" w:hAnsi="Times New Roman" w:cs="Times New Roman"/>
                <w:color w:val="auto"/>
                <w:spacing w:val="2"/>
                <w:sz w:val="18"/>
                <w:szCs w:val="18"/>
              </w:rPr>
            </w:pPr>
          </w:p>
        </w:tc>
        <w:tc>
          <w:tcPr>
            <w:tcW w:w="1390" w:type="dxa"/>
            <w:vAlign w:val="center"/>
          </w:tcPr>
          <w:p w14:paraId="6CB3695F">
            <w:pPr>
              <w:spacing w:line="240" w:lineRule="auto"/>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NH</w:t>
            </w:r>
            <w:r>
              <w:rPr>
                <w:rFonts w:hint="default" w:ascii="Times New Roman" w:hAnsi="Times New Roman" w:cs="Times New Roman"/>
                <w:color w:val="auto"/>
                <w:spacing w:val="1"/>
                <w:sz w:val="18"/>
                <w:szCs w:val="18"/>
                <w:vertAlign w:val="subscript"/>
              </w:rPr>
              <w:t>3</w:t>
            </w:r>
          </w:p>
        </w:tc>
        <w:tc>
          <w:tcPr>
            <w:tcW w:w="1027" w:type="dxa"/>
            <w:vMerge w:val="continue"/>
            <w:vAlign w:val="center"/>
          </w:tcPr>
          <w:p w14:paraId="6CA8834C">
            <w:pPr>
              <w:spacing w:line="240" w:lineRule="auto"/>
              <w:jc w:val="center"/>
              <w:rPr>
                <w:rFonts w:hint="default" w:ascii="Times New Roman" w:hAnsi="Times New Roman" w:cs="Times New Roman"/>
                <w:color w:val="auto"/>
                <w:spacing w:val="1"/>
                <w:sz w:val="18"/>
                <w:szCs w:val="18"/>
              </w:rPr>
            </w:pPr>
          </w:p>
        </w:tc>
        <w:tc>
          <w:tcPr>
            <w:tcW w:w="1257" w:type="dxa"/>
            <w:vAlign w:val="center"/>
          </w:tcPr>
          <w:p w14:paraId="3892E0DE">
            <w:pPr>
              <w:spacing w:line="240" w:lineRule="auto"/>
              <w:jc w:val="center"/>
              <w:rPr>
                <w:rFonts w:hint="default" w:ascii="Times New Roman" w:hAnsi="Times New Roman" w:eastAsia="宋体" w:cs="Times New Roman"/>
                <w:color w:val="auto"/>
                <w:spacing w:val="1"/>
                <w:sz w:val="18"/>
                <w:szCs w:val="18"/>
                <w:lang w:val="en-US" w:eastAsia="zh-CN"/>
              </w:rPr>
            </w:pPr>
            <w:r>
              <w:rPr>
                <w:rFonts w:hint="default" w:ascii="Times New Roman" w:hAnsi="Times New Roman" w:cs="Times New Roman"/>
                <w:color w:val="auto"/>
                <w:spacing w:val="1"/>
                <w:sz w:val="18"/>
                <w:szCs w:val="18"/>
                <w:lang w:val="en-US" w:eastAsia="zh-CN"/>
              </w:rPr>
              <w:t>0.2</w:t>
            </w:r>
          </w:p>
        </w:tc>
        <w:tc>
          <w:tcPr>
            <w:tcW w:w="1529" w:type="dxa"/>
            <w:vAlign w:val="center"/>
          </w:tcPr>
          <w:p w14:paraId="17A19C37">
            <w:pPr>
              <w:spacing w:line="240" w:lineRule="auto"/>
              <w:jc w:val="center"/>
              <w:rPr>
                <w:rFonts w:hint="default" w:ascii="Times New Roman" w:hAnsi="Times New Roman" w:cs="Times New Roman"/>
                <w:color w:val="auto"/>
                <w:spacing w:val="1"/>
                <w:sz w:val="18"/>
                <w:szCs w:val="18"/>
              </w:rPr>
            </w:pPr>
            <w:r>
              <w:rPr>
                <w:rFonts w:hint="default" w:ascii="Times New Roman" w:hAnsi="Times New Roman" w:eastAsia="宋体" w:cs="Times New Roman"/>
                <w:b w:val="0"/>
                <w:bCs w:val="0"/>
                <w:color w:val="auto"/>
                <w:sz w:val="18"/>
                <w:szCs w:val="18"/>
                <w:lang w:val="en-US" w:eastAsia="zh-CN"/>
              </w:rPr>
              <w:t>0.0</w:t>
            </w:r>
            <w:r>
              <w:rPr>
                <w:rFonts w:hint="default" w:ascii="Times New Roman" w:hAnsi="Times New Roman" w:cs="Times New Roman"/>
                <w:b w:val="0"/>
                <w:bCs w:val="0"/>
                <w:color w:val="auto"/>
                <w:sz w:val="18"/>
                <w:szCs w:val="18"/>
                <w:lang w:val="en-US" w:eastAsia="zh-CN"/>
              </w:rPr>
              <w:t>2</w:t>
            </w:r>
            <w:r>
              <w:rPr>
                <w:rFonts w:hint="default" w:ascii="Times New Roman" w:hAnsi="Times New Roman" w:eastAsia="宋体" w:cs="Times New Roman"/>
                <w:b w:val="0"/>
                <w:bCs w:val="0"/>
                <w:color w:val="auto"/>
                <w:sz w:val="18"/>
                <w:szCs w:val="18"/>
              </w:rPr>
              <w:t>~</w:t>
            </w:r>
            <w:r>
              <w:rPr>
                <w:rFonts w:hint="default" w:ascii="Times New Roman" w:hAnsi="Times New Roman" w:eastAsia="宋体" w:cs="Times New Roman"/>
                <w:b w:val="0"/>
                <w:bCs w:val="0"/>
                <w:color w:val="auto"/>
                <w:sz w:val="18"/>
                <w:szCs w:val="18"/>
                <w:lang w:val="en-US" w:eastAsia="zh-CN"/>
              </w:rPr>
              <w:t>0.0</w:t>
            </w:r>
            <w:r>
              <w:rPr>
                <w:rFonts w:hint="default" w:ascii="Times New Roman" w:hAnsi="Times New Roman" w:cs="Times New Roman"/>
                <w:b w:val="0"/>
                <w:bCs w:val="0"/>
                <w:color w:val="auto"/>
                <w:sz w:val="18"/>
                <w:szCs w:val="18"/>
                <w:lang w:val="en-US" w:eastAsia="zh-CN"/>
              </w:rPr>
              <w:t>4</w:t>
            </w:r>
          </w:p>
        </w:tc>
        <w:tc>
          <w:tcPr>
            <w:tcW w:w="912" w:type="dxa"/>
            <w:vAlign w:val="center"/>
          </w:tcPr>
          <w:p w14:paraId="2C165409">
            <w:pPr>
              <w:spacing w:line="240" w:lineRule="auto"/>
              <w:jc w:val="center"/>
              <w:rPr>
                <w:rFonts w:hint="default" w:ascii="Times New Roman" w:hAnsi="Times New Roman" w:eastAsia="宋体" w:cs="Times New Roman"/>
                <w:color w:val="auto"/>
                <w:spacing w:val="1"/>
                <w:sz w:val="18"/>
                <w:szCs w:val="18"/>
                <w:lang w:val="en-US" w:eastAsia="zh-CN"/>
              </w:rPr>
            </w:pPr>
            <w:r>
              <w:rPr>
                <w:rFonts w:hint="default" w:ascii="Times New Roman" w:hAnsi="Times New Roman" w:cs="Times New Roman"/>
                <w:color w:val="auto"/>
                <w:kern w:val="0"/>
                <w:sz w:val="18"/>
                <w:szCs w:val="18"/>
                <w:lang w:val="en-US" w:eastAsia="zh-CN"/>
              </w:rPr>
              <w:t>20</w:t>
            </w:r>
          </w:p>
        </w:tc>
        <w:tc>
          <w:tcPr>
            <w:tcW w:w="888" w:type="dxa"/>
            <w:vAlign w:val="center"/>
          </w:tcPr>
          <w:p w14:paraId="5616061B">
            <w:pPr>
              <w:spacing w:line="240" w:lineRule="auto"/>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0</w:t>
            </w:r>
          </w:p>
        </w:tc>
        <w:tc>
          <w:tcPr>
            <w:tcW w:w="850" w:type="dxa"/>
            <w:vAlign w:val="center"/>
          </w:tcPr>
          <w:p w14:paraId="652DBFA5">
            <w:pPr>
              <w:spacing w:line="240" w:lineRule="auto"/>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达标</w:t>
            </w:r>
          </w:p>
        </w:tc>
      </w:tr>
      <w:tr w14:paraId="16D7E3C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04" w:type="dxa"/>
            <w:vMerge w:val="continue"/>
            <w:vAlign w:val="center"/>
          </w:tcPr>
          <w:p w14:paraId="42DE869C">
            <w:pPr>
              <w:spacing w:line="240" w:lineRule="auto"/>
              <w:jc w:val="center"/>
              <w:rPr>
                <w:rFonts w:hint="default" w:ascii="Times New Roman" w:hAnsi="Times New Roman" w:cs="Times New Roman"/>
                <w:color w:val="auto"/>
                <w:spacing w:val="2"/>
                <w:sz w:val="18"/>
                <w:szCs w:val="18"/>
              </w:rPr>
            </w:pPr>
          </w:p>
        </w:tc>
        <w:tc>
          <w:tcPr>
            <w:tcW w:w="1390" w:type="dxa"/>
            <w:vAlign w:val="center"/>
          </w:tcPr>
          <w:p w14:paraId="2B2DAE07">
            <w:pPr>
              <w:spacing w:line="240" w:lineRule="auto"/>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臭气浓度</w:t>
            </w:r>
          </w:p>
        </w:tc>
        <w:tc>
          <w:tcPr>
            <w:tcW w:w="1027" w:type="dxa"/>
            <w:vMerge w:val="continue"/>
            <w:vAlign w:val="center"/>
          </w:tcPr>
          <w:p w14:paraId="5DC01C94">
            <w:pPr>
              <w:spacing w:line="240" w:lineRule="auto"/>
              <w:jc w:val="center"/>
              <w:rPr>
                <w:rFonts w:hint="default" w:ascii="Times New Roman" w:hAnsi="Times New Roman" w:cs="Times New Roman"/>
                <w:color w:val="auto"/>
                <w:spacing w:val="1"/>
                <w:sz w:val="18"/>
                <w:szCs w:val="18"/>
              </w:rPr>
            </w:pPr>
          </w:p>
        </w:tc>
        <w:tc>
          <w:tcPr>
            <w:tcW w:w="1257" w:type="dxa"/>
            <w:vAlign w:val="center"/>
          </w:tcPr>
          <w:p w14:paraId="5ACE05D8">
            <w:pPr>
              <w:spacing w:line="240" w:lineRule="auto"/>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w:t>
            </w:r>
          </w:p>
        </w:tc>
        <w:tc>
          <w:tcPr>
            <w:tcW w:w="1529" w:type="dxa"/>
            <w:vAlign w:val="center"/>
          </w:tcPr>
          <w:p w14:paraId="526CF1FB">
            <w:pPr>
              <w:spacing w:line="240" w:lineRule="auto"/>
              <w:jc w:val="center"/>
              <w:rPr>
                <w:rFonts w:hint="default" w:ascii="Times New Roman" w:hAnsi="Times New Roman" w:eastAsia="宋体" w:cs="Times New Roman"/>
                <w:color w:val="auto"/>
                <w:spacing w:val="1"/>
                <w:sz w:val="18"/>
                <w:szCs w:val="18"/>
                <w:lang w:eastAsia="zh-CN"/>
              </w:rPr>
            </w:pPr>
            <w:r>
              <w:rPr>
                <w:rFonts w:hint="default" w:ascii="Times New Roman" w:hAnsi="Times New Roman" w:cs="Times New Roman"/>
                <w:color w:val="auto"/>
                <w:spacing w:val="-1"/>
                <w:sz w:val="18"/>
                <w:szCs w:val="18"/>
              </w:rPr>
              <w:t>＜10</w:t>
            </w:r>
            <w:r>
              <w:rPr>
                <w:rFonts w:hint="default" w:ascii="Times New Roman" w:hAnsi="Times New Roman" w:cs="Times New Roman"/>
                <w:color w:val="auto"/>
                <w:spacing w:val="-1"/>
                <w:sz w:val="18"/>
                <w:szCs w:val="18"/>
                <w:lang w:eastAsia="zh-CN"/>
              </w:rPr>
              <w:t>（</w:t>
            </w:r>
            <w:r>
              <w:rPr>
                <w:rFonts w:hint="default" w:ascii="Times New Roman" w:hAnsi="Times New Roman" w:cs="Times New Roman"/>
                <w:color w:val="auto"/>
                <w:spacing w:val="-1"/>
                <w:sz w:val="18"/>
                <w:szCs w:val="18"/>
                <w:lang w:val="en-US" w:eastAsia="zh-CN"/>
              </w:rPr>
              <w:t>无量纲</w:t>
            </w:r>
            <w:r>
              <w:rPr>
                <w:rFonts w:hint="default" w:ascii="Times New Roman" w:hAnsi="Times New Roman" w:cs="Times New Roman"/>
                <w:color w:val="auto"/>
                <w:spacing w:val="-1"/>
                <w:sz w:val="18"/>
                <w:szCs w:val="18"/>
                <w:lang w:eastAsia="zh-CN"/>
              </w:rPr>
              <w:t>）</w:t>
            </w:r>
          </w:p>
        </w:tc>
        <w:tc>
          <w:tcPr>
            <w:tcW w:w="912" w:type="dxa"/>
            <w:vAlign w:val="center"/>
          </w:tcPr>
          <w:p w14:paraId="372750C9">
            <w:pPr>
              <w:spacing w:line="240" w:lineRule="auto"/>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w:t>
            </w:r>
          </w:p>
        </w:tc>
        <w:tc>
          <w:tcPr>
            <w:tcW w:w="888" w:type="dxa"/>
            <w:vAlign w:val="center"/>
          </w:tcPr>
          <w:p w14:paraId="128FAB84">
            <w:pPr>
              <w:spacing w:line="240" w:lineRule="auto"/>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w:t>
            </w:r>
          </w:p>
        </w:tc>
        <w:tc>
          <w:tcPr>
            <w:tcW w:w="850" w:type="dxa"/>
            <w:vAlign w:val="center"/>
          </w:tcPr>
          <w:p w14:paraId="36CC8DC4">
            <w:pPr>
              <w:spacing w:line="240" w:lineRule="auto"/>
              <w:jc w:val="center"/>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w:t>
            </w:r>
          </w:p>
        </w:tc>
      </w:tr>
      <w:tr w14:paraId="2CBAADA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04" w:type="dxa"/>
            <w:vMerge w:val="continue"/>
            <w:vAlign w:val="center"/>
          </w:tcPr>
          <w:p w14:paraId="1BB92651">
            <w:pPr>
              <w:spacing w:line="240" w:lineRule="auto"/>
              <w:jc w:val="center"/>
              <w:rPr>
                <w:rFonts w:hint="default" w:ascii="Times New Roman" w:hAnsi="Times New Roman" w:cs="Times New Roman"/>
                <w:color w:val="auto"/>
                <w:spacing w:val="2"/>
                <w:sz w:val="18"/>
                <w:szCs w:val="18"/>
              </w:rPr>
            </w:pPr>
          </w:p>
        </w:tc>
        <w:tc>
          <w:tcPr>
            <w:tcW w:w="1390" w:type="dxa"/>
            <w:vAlign w:val="center"/>
          </w:tcPr>
          <w:p w14:paraId="2ED21B9A">
            <w:pPr>
              <w:spacing w:line="240" w:lineRule="auto"/>
              <w:jc w:val="center"/>
              <w:rPr>
                <w:rFonts w:hint="default" w:ascii="Times New Roman" w:hAnsi="Times New Roman" w:eastAsia="宋体" w:cs="Times New Roman"/>
                <w:color w:val="auto"/>
                <w:spacing w:val="1"/>
                <w:sz w:val="18"/>
                <w:szCs w:val="18"/>
                <w:lang w:val="en-US" w:eastAsia="zh-CN"/>
              </w:rPr>
            </w:pPr>
            <w:r>
              <w:rPr>
                <w:rFonts w:hint="default" w:ascii="Times New Roman" w:hAnsi="Times New Roman" w:cs="Times New Roman"/>
                <w:color w:val="auto"/>
                <w:spacing w:val="1"/>
                <w:sz w:val="18"/>
                <w:szCs w:val="18"/>
                <w:lang w:val="en-US" w:eastAsia="zh-CN"/>
              </w:rPr>
              <w:t>TSP</w:t>
            </w:r>
          </w:p>
        </w:tc>
        <w:tc>
          <w:tcPr>
            <w:tcW w:w="1027" w:type="dxa"/>
            <w:vAlign w:val="center"/>
          </w:tcPr>
          <w:p w14:paraId="237E73AF">
            <w:pPr>
              <w:spacing w:line="240" w:lineRule="auto"/>
              <w:jc w:val="center"/>
              <w:rPr>
                <w:rFonts w:hint="default" w:ascii="Times New Roman" w:hAnsi="Times New Roman" w:eastAsia="宋体" w:cs="Times New Roman"/>
                <w:color w:val="auto"/>
                <w:spacing w:val="1"/>
                <w:sz w:val="18"/>
                <w:szCs w:val="18"/>
                <w:lang w:val="en-US" w:eastAsia="zh-CN"/>
              </w:rPr>
            </w:pPr>
            <w:r>
              <w:rPr>
                <w:rFonts w:hint="default" w:ascii="Times New Roman" w:hAnsi="Times New Roman" w:cs="Times New Roman"/>
                <w:color w:val="auto"/>
                <w:spacing w:val="1"/>
                <w:sz w:val="18"/>
                <w:szCs w:val="18"/>
                <w:lang w:val="en-US" w:eastAsia="zh-CN"/>
              </w:rPr>
              <w:t>日均</w:t>
            </w:r>
          </w:p>
        </w:tc>
        <w:tc>
          <w:tcPr>
            <w:tcW w:w="1257" w:type="dxa"/>
            <w:vAlign w:val="center"/>
          </w:tcPr>
          <w:p w14:paraId="5B7D9A2D">
            <w:pPr>
              <w:spacing w:line="240" w:lineRule="auto"/>
              <w:jc w:val="center"/>
              <w:rPr>
                <w:rFonts w:hint="default" w:ascii="Times New Roman" w:hAnsi="Times New Roman" w:eastAsia="宋体" w:cs="Times New Roman"/>
                <w:color w:val="auto"/>
                <w:spacing w:val="1"/>
                <w:sz w:val="18"/>
                <w:szCs w:val="18"/>
                <w:lang w:val="en-US" w:eastAsia="zh-CN"/>
              </w:rPr>
            </w:pPr>
            <w:r>
              <w:rPr>
                <w:rFonts w:hint="default" w:ascii="Times New Roman" w:hAnsi="Times New Roman" w:cs="Times New Roman"/>
                <w:color w:val="auto"/>
                <w:spacing w:val="1"/>
                <w:sz w:val="18"/>
                <w:szCs w:val="18"/>
                <w:lang w:val="en-US" w:eastAsia="zh-CN"/>
              </w:rPr>
              <w:t>0.3</w:t>
            </w:r>
          </w:p>
        </w:tc>
        <w:tc>
          <w:tcPr>
            <w:tcW w:w="1529" w:type="dxa"/>
            <w:vAlign w:val="center"/>
          </w:tcPr>
          <w:p w14:paraId="7276D2B2">
            <w:pPr>
              <w:spacing w:line="240" w:lineRule="auto"/>
              <w:jc w:val="center"/>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b w:val="0"/>
                <w:bCs w:val="0"/>
                <w:color w:val="auto"/>
                <w:sz w:val="18"/>
                <w:szCs w:val="18"/>
              </w:rPr>
              <w:t>0.</w:t>
            </w:r>
            <w:r>
              <w:rPr>
                <w:rFonts w:hint="default" w:ascii="Times New Roman" w:hAnsi="Times New Roman" w:cs="Times New Roman"/>
                <w:b w:val="0"/>
                <w:bCs w:val="0"/>
                <w:color w:val="auto"/>
                <w:sz w:val="18"/>
                <w:szCs w:val="18"/>
                <w:lang w:val="en-US" w:eastAsia="zh-CN"/>
              </w:rPr>
              <w:t>110</w:t>
            </w:r>
            <w:r>
              <w:rPr>
                <w:rFonts w:hint="default" w:ascii="Times New Roman" w:hAnsi="Times New Roman" w:eastAsia="宋体" w:cs="Times New Roman"/>
                <w:b w:val="0"/>
                <w:bCs w:val="0"/>
                <w:color w:val="auto"/>
                <w:sz w:val="18"/>
                <w:szCs w:val="18"/>
              </w:rPr>
              <w:t>~0.</w:t>
            </w:r>
            <w:r>
              <w:rPr>
                <w:rFonts w:hint="default" w:ascii="Times New Roman" w:hAnsi="Times New Roman" w:cs="Times New Roman"/>
                <w:b w:val="0"/>
                <w:bCs w:val="0"/>
                <w:color w:val="auto"/>
                <w:sz w:val="18"/>
                <w:szCs w:val="18"/>
                <w:lang w:val="en-US" w:eastAsia="zh-CN"/>
              </w:rPr>
              <w:t>120</w:t>
            </w:r>
          </w:p>
        </w:tc>
        <w:tc>
          <w:tcPr>
            <w:tcW w:w="912" w:type="dxa"/>
            <w:vAlign w:val="center"/>
          </w:tcPr>
          <w:p w14:paraId="6EBEF528">
            <w:pPr>
              <w:spacing w:line="240" w:lineRule="auto"/>
              <w:jc w:val="center"/>
              <w:rPr>
                <w:rFonts w:hint="default" w:ascii="Times New Roman" w:hAnsi="Times New Roman" w:eastAsia="宋体" w:cs="Times New Roman"/>
                <w:color w:val="auto"/>
                <w:spacing w:val="1"/>
                <w:sz w:val="18"/>
                <w:szCs w:val="18"/>
                <w:lang w:val="en-US" w:eastAsia="zh-CN"/>
              </w:rPr>
            </w:pPr>
            <w:r>
              <w:rPr>
                <w:rFonts w:hint="default" w:ascii="Times New Roman" w:hAnsi="Times New Roman" w:cs="Times New Roman"/>
                <w:color w:val="auto"/>
                <w:spacing w:val="1"/>
                <w:sz w:val="18"/>
                <w:szCs w:val="18"/>
                <w:lang w:val="en-US" w:eastAsia="zh-CN"/>
              </w:rPr>
              <w:t>40</w:t>
            </w:r>
          </w:p>
        </w:tc>
        <w:tc>
          <w:tcPr>
            <w:tcW w:w="888" w:type="dxa"/>
            <w:vAlign w:val="center"/>
          </w:tcPr>
          <w:p w14:paraId="507829C0">
            <w:pPr>
              <w:spacing w:line="240" w:lineRule="auto"/>
              <w:jc w:val="center"/>
              <w:rPr>
                <w:rFonts w:hint="default" w:ascii="Times New Roman" w:hAnsi="Times New Roman" w:eastAsia="宋体" w:cs="Times New Roman"/>
                <w:color w:val="auto"/>
                <w:spacing w:val="1"/>
                <w:sz w:val="18"/>
                <w:szCs w:val="18"/>
                <w:lang w:val="en-US" w:eastAsia="zh-CN"/>
              </w:rPr>
            </w:pPr>
            <w:r>
              <w:rPr>
                <w:rFonts w:hint="default" w:ascii="Times New Roman" w:hAnsi="Times New Roman" w:cs="Times New Roman"/>
                <w:color w:val="auto"/>
                <w:spacing w:val="1"/>
                <w:sz w:val="18"/>
                <w:szCs w:val="18"/>
                <w:lang w:val="en-US" w:eastAsia="zh-CN"/>
              </w:rPr>
              <w:t>0</w:t>
            </w:r>
          </w:p>
        </w:tc>
        <w:tc>
          <w:tcPr>
            <w:tcW w:w="850" w:type="dxa"/>
            <w:vAlign w:val="center"/>
          </w:tcPr>
          <w:p w14:paraId="0246A4E2">
            <w:pPr>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spacing w:val="1"/>
                <w:sz w:val="18"/>
                <w:szCs w:val="18"/>
              </w:rPr>
              <w:t>达标</w:t>
            </w:r>
          </w:p>
        </w:tc>
      </w:tr>
    </w:tbl>
    <w:p w14:paraId="70B9DDDB">
      <w:pPr>
        <w:pStyle w:val="14"/>
        <w:spacing w:line="360" w:lineRule="auto"/>
        <w:ind w:firstLine="480"/>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color w:val="auto"/>
          <w:szCs w:val="21"/>
          <w:lang w:val="en-US" w:eastAsia="zh-CN"/>
        </w:rPr>
        <w:t>注：</w:t>
      </w:r>
      <w:r>
        <w:rPr>
          <w:rFonts w:hint="default" w:ascii="Times New Roman" w:hAnsi="Times New Roman" w:eastAsia="宋体" w:cs="Times New Roman"/>
          <w:color w:val="auto"/>
          <w:kern w:val="2"/>
          <w:sz w:val="21"/>
          <w:szCs w:val="21"/>
          <w:lang w:val="en-US" w:eastAsia="zh-CN" w:bidi="ar"/>
        </w:rPr>
        <w:t>检测结果低于方法检出限时，检测结果以“&lt;检出限”表示。</w:t>
      </w:r>
    </w:p>
    <w:p w14:paraId="3273EAAB">
      <w:pPr>
        <w:snapToGrid w:val="0"/>
        <w:jc w:val="center"/>
        <w:rPr>
          <w:rFonts w:hint="default" w:ascii="Times New Roman" w:hAnsi="Times New Roman" w:cs="Times New Roman"/>
          <w:b/>
          <w:color w:val="auto"/>
          <w:szCs w:val="21"/>
          <w:highlight w:val="none"/>
        </w:rPr>
      </w:pPr>
    </w:p>
    <w:p w14:paraId="1C757C12">
      <w:pPr>
        <w:adjustRightInd w:val="0"/>
        <w:snapToGrid w:val="0"/>
        <w:spacing w:before="156" w:beforeLines="50"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3、大气环境现状评价</w:t>
      </w:r>
    </w:p>
    <w:p w14:paraId="327CC103">
      <w:pPr>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综上，弥勒市环境空气质量满足《环境空气质量标准》（GB3095-2012）及其修改单二级标准限值要求，故项目所在地为环境空气质量达标区。</w:t>
      </w:r>
    </w:p>
    <w:p w14:paraId="0A03AC6E">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kern w:val="0"/>
          <w:sz w:val="24"/>
          <w:highlight w:val="none"/>
        </w:rPr>
        <w:t>根据监测数据可知，项目区所在区域内</w:t>
      </w:r>
      <w:r>
        <w:rPr>
          <w:rFonts w:hint="default" w:ascii="Times New Roman" w:hAnsi="Times New Roman" w:cs="Times New Roman"/>
          <w:color w:val="auto"/>
          <w:sz w:val="24"/>
          <w:highlight w:val="none"/>
        </w:rPr>
        <w:t>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w:t>
      </w:r>
      <w:r>
        <w:rPr>
          <w:rFonts w:hint="default" w:ascii="Times New Roman" w:hAnsi="Times New Roman" w:cs="Times New Roman"/>
          <w:color w:val="auto"/>
          <w:kern w:val="0"/>
          <w:sz w:val="24"/>
          <w:highlight w:val="none"/>
        </w:rPr>
        <w:t>小时均值</w:t>
      </w:r>
      <w:r>
        <w:rPr>
          <w:rFonts w:hint="default" w:ascii="Times New Roman" w:hAnsi="Times New Roman" w:cs="Times New Roman"/>
          <w:color w:val="auto"/>
          <w:sz w:val="24"/>
          <w:highlight w:val="none"/>
        </w:rPr>
        <w:t>浓度达到《环境影响评价技术导则 大气环境》（HJ2.2-2018）附录D其他污染物空气质量浓度参考限值要求，即NH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≤200</w:t>
      </w:r>
      <w:r>
        <w:rPr>
          <w:rFonts w:hint="eastAsia" w:cs="Times New Roman"/>
          <w:color w:val="auto"/>
          <w:sz w:val="24"/>
          <w:highlight w:val="none"/>
          <w:lang w:eastAsia="zh-CN"/>
        </w:rPr>
        <w:t>μg/m3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S≤10</w:t>
      </w:r>
      <w:r>
        <w:rPr>
          <w:rFonts w:hint="eastAsia" w:ascii="Times New Roman" w:hAnsi="Times New Roman" w:cs="Times New Roman"/>
          <w:color w:val="auto"/>
          <w:sz w:val="24"/>
          <w:highlight w:val="none"/>
          <w:lang w:eastAsia="zh-CN"/>
        </w:rPr>
        <w:t>μg/m3</w:t>
      </w:r>
      <w:r>
        <w:rPr>
          <w:rFonts w:hint="default" w:ascii="Times New Roman" w:hAnsi="Times New Roman" w:cs="Times New Roman"/>
          <w:color w:val="auto"/>
          <w:sz w:val="24"/>
          <w:highlight w:val="none"/>
        </w:rPr>
        <w:t>。</w:t>
      </w:r>
      <w:r>
        <w:rPr>
          <w:rFonts w:hint="default" w:ascii="Times New Roman" w:hAnsi="Times New Roman" w:eastAsia="宋体" w:cs="Times New Roman"/>
          <w:b w:val="0"/>
          <w:bCs w:val="0"/>
          <w:color w:val="auto"/>
          <w:kern w:val="0"/>
          <w:sz w:val="24"/>
          <w:szCs w:val="24"/>
        </w:rPr>
        <w:t>TSP日均浓度满足《环境空气质量标准》（GB3095-2012）二级标准要求</w:t>
      </w:r>
      <w:r>
        <w:rPr>
          <w:rFonts w:hint="default" w:ascii="Times New Roman" w:hAnsi="Times New Roman" w:eastAsia="宋体" w:cs="Times New Roman"/>
          <w:b w:val="0"/>
          <w:bCs w:val="0"/>
          <w:color w:val="auto"/>
          <w:kern w:val="0"/>
          <w:sz w:val="24"/>
          <w:szCs w:val="24"/>
          <w:lang w:val="en-US" w:eastAsia="zh-CN"/>
        </w:rPr>
        <w:t>,</w:t>
      </w:r>
      <w:r>
        <w:rPr>
          <w:rFonts w:hint="default" w:ascii="Times New Roman" w:hAnsi="Times New Roman" w:cs="Times New Roman"/>
          <w:color w:val="auto"/>
          <w:sz w:val="24"/>
          <w:highlight w:val="none"/>
        </w:rPr>
        <w:t>即</w:t>
      </w:r>
      <w:r>
        <w:rPr>
          <w:rFonts w:hint="default" w:ascii="Times New Roman" w:hAnsi="Times New Roman" w:eastAsia="宋体" w:cs="Times New Roman"/>
          <w:b w:val="0"/>
          <w:bCs w:val="0"/>
          <w:color w:val="auto"/>
          <w:kern w:val="0"/>
          <w:sz w:val="24"/>
          <w:szCs w:val="24"/>
        </w:rPr>
        <w:t>TSP</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00</w:t>
      </w:r>
      <w:r>
        <w:rPr>
          <w:rFonts w:hint="eastAsia" w:ascii="Times New Roman" w:hAnsi="Times New Roman" w:cs="Times New Roman"/>
          <w:color w:val="auto"/>
          <w:sz w:val="24"/>
          <w:highlight w:val="none"/>
          <w:lang w:eastAsia="zh-CN"/>
        </w:rPr>
        <w:t>μg/m3</w:t>
      </w:r>
      <w:r>
        <w:rPr>
          <w:rFonts w:hint="default" w:ascii="Times New Roman" w:hAnsi="Times New Roman" w:cs="Times New Roman"/>
          <w:color w:val="auto"/>
          <w:sz w:val="24"/>
          <w:highlight w:val="none"/>
          <w:vertAlign w:val="baseline"/>
          <w:lang w:eastAsia="zh-CN"/>
        </w:rPr>
        <w:t>。</w:t>
      </w:r>
    </w:p>
    <w:p w14:paraId="1E97694D">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235" w:name="_Toc15347"/>
      <w:r>
        <w:rPr>
          <w:rStyle w:val="35"/>
          <w:rFonts w:hint="default" w:ascii="Times New Roman" w:hAnsi="Times New Roman" w:eastAsia="宋体" w:cs="Times New Roman"/>
          <w:color w:val="auto"/>
          <w:sz w:val="24"/>
          <w:szCs w:val="24"/>
          <w:highlight w:val="none"/>
        </w:rPr>
        <w:t>4.3.2地表水环境质量现状</w:t>
      </w:r>
      <w:bookmarkEnd w:id="235"/>
    </w:p>
    <w:p w14:paraId="09248A7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pacing w:val="0"/>
          <w:w w:val="100"/>
          <w:kern w:val="0"/>
          <w:position w:val="0"/>
          <w:sz w:val="24"/>
          <w:szCs w:val="24"/>
          <w:highlight w:val="none"/>
          <w:lang w:val="en-US" w:eastAsia="zh-CN"/>
        </w:rPr>
      </w:pPr>
      <w:r>
        <w:rPr>
          <w:rFonts w:hint="default" w:ascii="Times New Roman" w:hAnsi="Times New Roman" w:eastAsia="宋体" w:cs="Times New Roman"/>
          <w:color w:val="auto"/>
          <w:spacing w:val="0"/>
          <w:w w:val="100"/>
          <w:kern w:val="0"/>
          <w:position w:val="0"/>
          <w:sz w:val="24"/>
          <w:szCs w:val="24"/>
          <w:highlight w:val="none"/>
        </w:rPr>
        <w:t>根据</w:t>
      </w:r>
      <w:r>
        <w:rPr>
          <w:rFonts w:hint="default" w:ascii="Times New Roman" w:hAnsi="Times New Roman" w:eastAsia="宋体" w:cs="Times New Roman"/>
          <w:color w:val="auto"/>
          <w:spacing w:val="0"/>
          <w:w w:val="100"/>
          <w:kern w:val="0"/>
          <w:position w:val="0"/>
          <w:sz w:val="24"/>
          <w:szCs w:val="24"/>
        </w:rPr>
        <w:t>202</w:t>
      </w:r>
      <w:r>
        <w:rPr>
          <w:rFonts w:hint="default" w:ascii="Times New Roman" w:hAnsi="Times New Roman" w:eastAsia="宋体" w:cs="Times New Roman"/>
          <w:color w:val="auto"/>
          <w:spacing w:val="0"/>
          <w:w w:val="100"/>
          <w:kern w:val="0"/>
          <w:position w:val="0"/>
          <w:sz w:val="24"/>
          <w:szCs w:val="24"/>
          <w:lang w:val="en-US" w:eastAsia="zh-CN"/>
        </w:rPr>
        <w:t>5</w:t>
      </w:r>
      <w:r>
        <w:rPr>
          <w:rFonts w:hint="default" w:ascii="Times New Roman" w:hAnsi="Times New Roman" w:eastAsia="宋体" w:cs="Times New Roman"/>
          <w:color w:val="auto"/>
          <w:spacing w:val="0"/>
          <w:w w:val="100"/>
          <w:kern w:val="0"/>
          <w:position w:val="0"/>
          <w:sz w:val="24"/>
          <w:szCs w:val="24"/>
        </w:rPr>
        <w:t>年</w:t>
      </w:r>
      <w:r>
        <w:rPr>
          <w:rFonts w:hint="default" w:ascii="Times New Roman" w:hAnsi="Times New Roman" w:eastAsia="宋体" w:cs="Times New Roman"/>
          <w:color w:val="auto"/>
          <w:spacing w:val="0"/>
          <w:w w:val="100"/>
          <w:kern w:val="0"/>
          <w:position w:val="0"/>
          <w:sz w:val="24"/>
          <w:szCs w:val="24"/>
          <w:lang w:val="en-US" w:eastAsia="zh-CN"/>
        </w:rPr>
        <w:t>1</w:t>
      </w:r>
      <w:r>
        <w:rPr>
          <w:rFonts w:hint="default" w:ascii="Times New Roman" w:hAnsi="Times New Roman" w:eastAsia="宋体" w:cs="Times New Roman"/>
          <w:color w:val="auto"/>
          <w:spacing w:val="0"/>
          <w:w w:val="100"/>
          <w:kern w:val="0"/>
          <w:position w:val="0"/>
          <w:sz w:val="24"/>
          <w:szCs w:val="24"/>
        </w:rPr>
        <w:t>月</w:t>
      </w:r>
      <w:r>
        <w:rPr>
          <w:rFonts w:hint="default" w:ascii="Times New Roman" w:hAnsi="Times New Roman" w:eastAsia="宋体" w:cs="Times New Roman"/>
          <w:color w:val="auto"/>
          <w:spacing w:val="0"/>
          <w:w w:val="100"/>
          <w:kern w:val="0"/>
          <w:position w:val="0"/>
          <w:sz w:val="24"/>
          <w:szCs w:val="24"/>
          <w:lang w:val="en-US" w:eastAsia="zh-CN"/>
        </w:rPr>
        <w:t>7</w:t>
      </w:r>
      <w:r>
        <w:rPr>
          <w:rFonts w:hint="default" w:ascii="Times New Roman" w:hAnsi="Times New Roman" w:eastAsia="宋体" w:cs="Times New Roman"/>
          <w:color w:val="auto"/>
          <w:spacing w:val="0"/>
          <w:w w:val="100"/>
          <w:kern w:val="0"/>
          <w:position w:val="0"/>
          <w:sz w:val="24"/>
          <w:szCs w:val="24"/>
        </w:rPr>
        <w:t>日红河州生态环境局弥勒分局公布的《弥勒市202</w:t>
      </w:r>
      <w:r>
        <w:rPr>
          <w:rFonts w:hint="default" w:ascii="Times New Roman" w:hAnsi="Times New Roman" w:eastAsia="宋体" w:cs="Times New Roman"/>
          <w:color w:val="auto"/>
          <w:spacing w:val="0"/>
          <w:w w:val="100"/>
          <w:kern w:val="0"/>
          <w:position w:val="0"/>
          <w:sz w:val="24"/>
          <w:szCs w:val="24"/>
          <w:lang w:val="en-US" w:eastAsia="zh-CN"/>
        </w:rPr>
        <w:t>4</w:t>
      </w:r>
      <w:r>
        <w:rPr>
          <w:rFonts w:hint="default" w:ascii="Times New Roman" w:hAnsi="Times New Roman" w:eastAsia="宋体" w:cs="Times New Roman"/>
          <w:color w:val="auto"/>
          <w:spacing w:val="0"/>
          <w:w w:val="100"/>
          <w:kern w:val="0"/>
          <w:position w:val="0"/>
          <w:sz w:val="24"/>
          <w:szCs w:val="24"/>
        </w:rPr>
        <w:t>年</w:t>
      </w:r>
      <w:r>
        <w:rPr>
          <w:rFonts w:hint="default" w:ascii="Times New Roman" w:hAnsi="Times New Roman" w:eastAsia="宋体" w:cs="Times New Roman"/>
          <w:color w:val="auto"/>
          <w:spacing w:val="0"/>
          <w:w w:val="100"/>
          <w:kern w:val="0"/>
          <w:position w:val="0"/>
          <w:sz w:val="24"/>
          <w:szCs w:val="24"/>
          <w:lang w:val="en-US" w:eastAsia="zh-CN"/>
        </w:rPr>
        <w:t>12</w:t>
      </w:r>
      <w:r>
        <w:rPr>
          <w:rFonts w:hint="default" w:ascii="Times New Roman" w:hAnsi="Times New Roman" w:eastAsia="宋体" w:cs="Times New Roman"/>
          <w:color w:val="auto"/>
          <w:spacing w:val="0"/>
          <w:w w:val="100"/>
          <w:kern w:val="0"/>
          <w:position w:val="0"/>
          <w:sz w:val="24"/>
          <w:szCs w:val="24"/>
        </w:rPr>
        <w:t>月</w:t>
      </w:r>
      <w:r>
        <w:rPr>
          <w:rFonts w:hint="default" w:ascii="Times New Roman" w:hAnsi="Times New Roman" w:eastAsia="宋体" w:cs="Times New Roman"/>
          <w:color w:val="auto"/>
          <w:spacing w:val="0"/>
          <w:w w:val="100"/>
          <w:kern w:val="0"/>
          <w:position w:val="0"/>
          <w:sz w:val="24"/>
          <w:szCs w:val="24"/>
          <w:lang w:val="en-US" w:eastAsia="zh-CN"/>
        </w:rPr>
        <w:t>水环境质量</w:t>
      </w:r>
      <w:r>
        <w:rPr>
          <w:rFonts w:hint="default" w:ascii="Times New Roman" w:hAnsi="Times New Roman" w:eastAsia="宋体" w:cs="Times New Roman"/>
          <w:color w:val="auto"/>
          <w:spacing w:val="0"/>
          <w:w w:val="100"/>
          <w:kern w:val="0"/>
          <w:position w:val="0"/>
          <w:sz w:val="24"/>
          <w:szCs w:val="24"/>
        </w:rPr>
        <w:t>监测情况》</w:t>
      </w:r>
      <w:r>
        <w:rPr>
          <w:rFonts w:hint="default" w:ascii="Times New Roman" w:hAnsi="Times New Roman" w:eastAsia="宋体" w:cs="Times New Roman"/>
          <w:color w:val="auto"/>
          <w:spacing w:val="0"/>
          <w:w w:val="100"/>
          <w:kern w:val="0"/>
          <w:position w:val="0"/>
          <w:sz w:val="24"/>
          <w:szCs w:val="24"/>
          <w:highlight w:val="none"/>
        </w:rPr>
        <w:t>，甸溪河省控断面（扯龙桥断面）水质</w:t>
      </w:r>
      <w:r>
        <w:rPr>
          <w:rFonts w:hint="default" w:ascii="Times New Roman" w:hAnsi="Times New Roman" w:eastAsia="宋体" w:cs="Times New Roman"/>
          <w:color w:val="auto"/>
          <w:spacing w:val="0"/>
          <w:w w:val="100"/>
          <w:kern w:val="0"/>
          <w:position w:val="0"/>
          <w:sz w:val="24"/>
          <w:szCs w:val="24"/>
          <w:highlight w:val="none"/>
          <w:lang w:val="en-US" w:eastAsia="zh-CN"/>
        </w:rPr>
        <w:t>为</w:t>
      </w:r>
      <w:r>
        <w:rPr>
          <w:rFonts w:hint="default" w:ascii="Times New Roman" w:hAnsi="Times New Roman" w:eastAsia="宋体" w:cs="Times New Roman"/>
          <w:color w:val="auto"/>
          <w:spacing w:val="0"/>
          <w:w w:val="100"/>
          <w:kern w:val="0"/>
          <w:position w:val="0"/>
          <w:sz w:val="24"/>
          <w:szCs w:val="24"/>
          <w:highlight w:val="none"/>
        </w:rPr>
        <w:t>《地表水环境质量标准》（GB3838-2002）</w:t>
      </w:r>
      <w:r>
        <w:rPr>
          <w:rFonts w:hint="default" w:ascii="Times New Roman" w:hAnsi="Times New Roman" w:eastAsia="宋体" w:cs="Times New Roman"/>
          <w:color w:val="auto"/>
          <w:spacing w:val="0"/>
          <w:w w:val="100"/>
          <w:kern w:val="0"/>
          <w:position w:val="0"/>
          <w:sz w:val="24"/>
          <w:szCs w:val="24"/>
          <w:lang w:eastAsia="zh-CN"/>
        </w:rPr>
        <w:t>Ⅲ</w:t>
      </w:r>
      <w:r>
        <w:rPr>
          <w:rFonts w:hint="default" w:ascii="Times New Roman" w:hAnsi="Times New Roman" w:eastAsia="宋体" w:cs="Times New Roman"/>
          <w:color w:val="auto"/>
          <w:spacing w:val="0"/>
          <w:w w:val="100"/>
          <w:kern w:val="0"/>
          <w:position w:val="0"/>
          <w:sz w:val="24"/>
          <w:szCs w:val="24"/>
          <w:highlight w:val="none"/>
        </w:rPr>
        <w:t>类，能满足《地表水环境质量标准》（GB3838-2002）Ⅲ类标准水质要求。</w:t>
      </w:r>
    </w:p>
    <w:p w14:paraId="654A60B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pacing w:val="0"/>
          <w:w w:val="100"/>
          <w:kern w:val="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rPr>
        <w:t>其公布截图如下：</w:t>
      </w:r>
    </w:p>
    <w:p w14:paraId="237B8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color w:val="auto"/>
          <w:spacing w:val="0"/>
          <w:w w:val="100"/>
          <w:kern w:val="0"/>
          <w:position w:val="0"/>
          <w:sz w:val="21"/>
          <w:szCs w:val="21"/>
          <w:highlight w:val="none"/>
          <w:lang w:eastAsia="zh-CN"/>
        </w:rPr>
      </w:pPr>
      <w:r>
        <w:rPr>
          <w:rFonts w:hint="default" w:ascii="Times New Roman" w:hAnsi="Times New Roman" w:cs="Times New Roman"/>
          <w:color w:val="auto"/>
          <w:spacing w:val="0"/>
          <w:w w:val="100"/>
          <w:kern w:val="0"/>
          <w:position w:val="0"/>
        </w:rPr>
        <w:drawing>
          <wp:inline distT="0" distB="0" distL="114300" distR="114300">
            <wp:extent cx="5104765" cy="3533140"/>
            <wp:effectExtent l="0" t="0" r="635" b="1016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1"/>
                    <a:srcRect b="6424"/>
                    <a:stretch>
                      <a:fillRect/>
                    </a:stretch>
                  </pic:blipFill>
                  <pic:spPr>
                    <a:xfrm>
                      <a:off x="0" y="0"/>
                      <a:ext cx="5104765" cy="3533140"/>
                    </a:xfrm>
                    <a:prstGeom prst="rect">
                      <a:avLst/>
                    </a:prstGeom>
                    <a:noFill/>
                    <a:ln>
                      <a:noFill/>
                    </a:ln>
                  </pic:spPr>
                </pic:pic>
              </a:graphicData>
            </a:graphic>
          </wp:inline>
        </w:drawing>
      </w:r>
    </w:p>
    <w:p w14:paraId="7E08C0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auto"/>
          <w:spacing w:val="0"/>
          <w:w w:val="100"/>
          <w:kern w:val="0"/>
          <w:position w:val="0"/>
          <w:sz w:val="24"/>
          <w:szCs w:val="24"/>
          <w:lang w:val="en-US" w:eastAsia="zh-CN"/>
        </w:rPr>
      </w:pPr>
      <w:r>
        <w:rPr>
          <w:rFonts w:hint="default" w:ascii="Times New Roman" w:hAnsi="Times New Roman" w:eastAsia="宋体" w:cs="Times New Roman"/>
          <w:b/>
          <w:color w:val="auto"/>
          <w:spacing w:val="0"/>
          <w:w w:val="100"/>
          <w:kern w:val="0"/>
          <w:position w:val="0"/>
          <w:sz w:val="21"/>
          <w:szCs w:val="21"/>
          <w:highlight w:val="none"/>
        </w:rPr>
        <w:t>图</w:t>
      </w:r>
      <w:r>
        <w:rPr>
          <w:rFonts w:hint="default" w:ascii="Times New Roman" w:hAnsi="Times New Roman" w:cs="Times New Roman"/>
          <w:b/>
          <w:color w:val="auto"/>
          <w:spacing w:val="0"/>
          <w:w w:val="100"/>
          <w:kern w:val="0"/>
          <w:position w:val="0"/>
          <w:sz w:val="21"/>
          <w:szCs w:val="21"/>
          <w:highlight w:val="none"/>
          <w:lang w:val="en-US" w:eastAsia="zh-CN"/>
        </w:rPr>
        <w:t>4.</w:t>
      </w:r>
      <w:r>
        <w:rPr>
          <w:rFonts w:hint="default" w:ascii="Times New Roman" w:hAnsi="Times New Roman" w:eastAsia="宋体" w:cs="Times New Roman"/>
          <w:b/>
          <w:color w:val="auto"/>
          <w:spacing w:val="0"/>
          <w:w w:val="100"/>
          <w:kern w:val="0"/>
          <w:position w:val="0"/>
          <w:sz w:val="21"/>
          <w:szCs w:val="21"/>
          <w:highlight w:val="none"/>
          <w:lang w:val="en-US" w:eastAsia="zh-CN"/>
        </w:rPr>
        <w:t>3</w:t>
      </w:r>
      <w:r>
        <w:rPr>
          <w:rFonts w:hint="default" w:ascii="Times New Roman" w:hAnsi="Times New Roman" w:eastAsia="宋体" w:cs="Times New Roman"/>
          <w:b/>
          <w:color w:val="auto"/>
          <w:spacing w:val="0"/>
          <w:w w:val="100"/>
          <w:kern w:val="0"/>
          <w:position w:val="0"/>
          <w:sz w:val="21"/>
          <w:szCs w:val="21"/>
          <w:highlight w:val="none"/>
        </w:rPr>
        <w:t>-</w:t>
      </w:r>
      <w:r>
        <w:rPr>
          <w:rFonts w:hint="default" w:ascii="Times New Roman" w:hAnsi="Times New Roman" w:cs="Times New Roman"/>
          <w:b/>
          <w:color w:val="auto"/>
          <w:spacing w:val="0"/>
          <w:w w:val="100"/>
          <w:kern w:val="0"/>
          <w:position w:val="0"/>
          <w:sz w:val="21"/>
          <w:szCs w:val="21"/>
          <w:highlight w:val="none"/>
          <w:lang w:val="en-US" w:eastAsia="zh-CN"/>
        </w:rPr>
        <w:t xml:space="preserve">1 </w:t>
      </w:r>
      <w:r>
        <w:rPr>
          <w:rFonts w:hint="default" w:ascii="Times New Roman" w:hAnsi="Times New Roman" w:eastAsia="宋体" w:cs="Times New Roman"/>
          <w:b/>
          <w:color w:val="auto"/>
          <w:spacing w:val="0"/>
          <w:w w:val="100"/>
          <w:kern w:val="0"/>
          <w:position w:val="0"/>
          <w:sz w:val="21"/>
          <w:szCs w:val="21"/>
          <w:highlight w:val="none"/>
        </w:rPr>
        <w:t xml:space="preserve"> 甸溪河国控、省控监测断面水质情况截图</w:t>
      </w:r>
    </w:p>
    <w:p w14:paraId="18406F7A">
      <w:pPr>
        <w:adjustRightInd w:val="0"/>
        <w:snapToGrid w:val="0"/>
        <w:spacing w:line="360" w:lineRule="auto"/>
        <w:ind w:firstLine="480" w:firstLineChars="200"/>
        <w:rPr>
          <w:rFonts w:hint="default" w:ascii="Times New Roman" w:hAnsi="Times New Roman" w:cs="Times New Roman"/>
          <w:color w:val="auto"/>
          <w:sz w:val="24"/>
          <w:szCs w:val="20"/>
          <w:highlight w:val="none"/>
          <w:lang w:bidi="ar"/>
        </w:rPr>
      </w:pPr>
      <w:r>
        <w:rPr>
          <w:rFonts w:hint="default" w:ascii="Times New Roman" w:hAnsi="Times New Roman" w:cs="Times New Roman"/>
          <w:color w:val="auto"/>
          <w:sz w:val="24"/>
          <w:szCs w:val="20"/>
          <w:highlight w:val="none"/>
          <w:lang w:val="en-US" w:eastAsia="zh-CN" w:bidi="ar"/>
        </w:rPr>
        <w:t>综上，项目区地表水环境质量</w:t>
      </w:r>
      <w:r>
        <w:rPr>
          <w:rFonts w:hint="default" w:ascii="Times New Roman" w:hAnsi="Times New Roman" w:cs="Times New Roman"/>
          <w:color w:val="auto"/>
          <w:sz w:val="24"/>
          <w:szCs w:val="20"/>
          <w:highlight w:val="none"/>
          <w:lang w:bidi="ar"/>
        </w:rPr>
        <w:t>满足《地表水环境质量标准》（GB3838-2002）Ⅲ类水质标准。</w:t>
      </w:r>
    </w:p>
    <w:p w14:paraId="277860FE">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236" w:name="_Toc5101"/>
      <w:r>
        <w:rPr>
          <w:rStyle w:val="35"/>
          <w:rFonts w:hint="default" w:ascii="Times New Roman" w:hAnsi="Times New Roman" w:eastAsia="宋体" w:cs="Times New Roman"/>
          <w:color w:val="auto"/>
          <w:sz w:val="24"/>
          <w:szCs w:val="24"/>
          <w:highlight w:val="none"/>
        </w:rPr>
        <w:t>4.3.3地下水环境质量现状</w:t>
      </w:r>
      <w:bookmarkEnd w:id="236"/>
    </w:p>
    <w:p w14:paraId="71C82EAF">
      <w:pPr>
        <w:pStyle w:val="48"/>
        <w:spacing w:line="360" w:lineRule="auto"/>
        <w:ind w:firstLine="480" w:firstLineChars="20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（1）地下水环境质量现状</w:t>
      </w:r>
    </w:p>
    <w:p w14:paraId="2EEB9575">
      <w:pPr>
        <w:pStyle w:val="48"/>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本次评价</w:t>
      </w:r>
      <w:r>
        <w:rPr>
          <w:rFonts w:hint="eastAsia" w:ascii="宋体" w:hAnsi="宋体" w:eastAsia="宋体" w:cs="宋体"/>
          <w:color w:val="auto"/>
          <w:sz w:val="24"/>
          <w:szCs w:val="24"/>
          <w:highlight w:val="none"/>
        </w:rPr>
        <w:t>引用了“</w:t>
      </w:r>
      <w:r>
        <w:rPr>
          <w:rFonts w:hint="eastAsia" w:ascii="宋体" w:hAnsi="宋体" w:eastAsia="宋体" w:cs="宋体"/>
          <w:color w:val="auto"/>
          <w:sz w:val="24"/>
          <w:szCs w:val="24"/>
          <w:highlight w:val="none"/>
          <w:lang w:eastAsia="zh-CN"/>
        </w:rPr>
        <w:t>弥勒温氏畜牧有限公司梅子哨后备猪培育基地</w:t>
      </w:r>
      <w:r>
        <w:rPr>
          <w:rFonts w:hint="eastAsia" w:ascii="宋体" w:hAnsi="宋体" w:eastAsia="宋体" w:cs="宋体"/>
          <w:color w:val="auto"/>
          <w:sz w:val="24"/>
          <w:szCs w:val="24"/>
          <w:highlight w:val="none"/>
        </w:rPr>
        <w:t>”环评阶段的地下水现状监测数据。</w:t>
      </w:r>
      <w:r>
        <w:rPr>
          <w:rFonts w:hint="eastAsia" w:ascii="宋体" w:hAnsi="宋体" w:eastAsia="宋体" w:cs="宋体"/>
          <w:color w:val="auto"/>
          <w:sz w:val="24"/>
          <w:szCs w:val="24"/>
          <w:highlight w:val="none"/>
          <w:lang w:eastAsia="zh-CN"/>
        </w:rPr>
        <w:t>弥勒温氏畜牧有限公司梅子哨后备猪培育基地</w:t>
      </w:r>
      <w:r>
        <w:rPr>
          <w:rFonts w:hint="eastAsia" w:ascii="宋体" w:hAnsi="宋体" w:eastAsia="宋体" w:cs="宋体"/>
          <w:color w:val="auto"/>
          <w:sz w:val="24"/>
          <w:szCs w:val="24"/>
          <w:highlight w:val="none"/>
          <w:lang w:val="en-US" w:eastAsia="zh-CN"/>
        </w:rPr>
        <w:t>位于本项目东南侧1120m，</w:t>
      </w:r>
      <w:r>
        <w:rPr>
          <w:rFonts w:hint="eastAsia" w:ascii="宋体" w:hAnsi="宋体" w:eastAsia="宋体" w:cs="宋体"/>
          <w:color w:val="auto"/>
          <w:sz w:val="24"/>
          <w:szCs w:val="24"/>
          <w:lang w:val="en-US" w:eastAsia="zh-CN"/>
        </w:rPr>
        <w:t>监测时间：</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14</w:t>
      </w:r>
      <w:r>
        <w:rPr>
          <w:rFonts w:hint="eastAsia" w:ascii="宋体" w:hAnsi="宋体" w:eastAsia="宋体" w:cs="宋体"/>
          <w:color w:val="auto"/>
          <w:sz w:val="24"/>
          <w:szCs w:val="24"/>
        </w:rPr>
        <w:t>日--202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16</w:t>
      </w:r>
      <w:r>
        <w:rPr>
          <w:rFonts w:hint="eastAsia" w:ascii="宋体" w:hAnsi="宋体" w:eastAsia="宋体" w:cs="宋体"/>
          <w:color w:val="auto"/>
          <w:sz w:val="24"/>
          <w:szCs w:val="24"/>
        </w:rPr>
        <w:t>日。</w:t>
      </w:r>
      <w:r>
        <w:rPr>
          <w:rFonts w:hint="eastAsia" w:ascii="宋体" w:hAnsi="宋体" w:eastAsia="宋体" w:cs="宋体"/>
          <w:color w:val="auto"/>
          <w:sz w:val="24"/>
          <w:szCs w:val="24"/>
          <w:lang w:val="en-US" w:eastAsia="zh-CN"/>
        </w:rPr>
        <w:t>监测点位与本项目的关系见下表。</w:t>
      </w:r>
    </w:p>
    <w:p w14:paraId="354B3C4C">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表4.3-</w:t>
      </w:r>
      <w:r>
        <w:rPr>
          <w:rFonts w:hint="default"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rPr>
        <w:t xml:space="preserve">  </w:t>
      </w:r>
      <w:r>
        <w:rPr>
          <w:rFonts w:hint="eastAsia" w:ascii="Times New Roman" w:hAnsi="Times New Roman" w:cs="Times New Roman"/>
          <w:b/>
          <w:color w:val="auto"/>
          <w:sz w:val="21"/>
          <w:szCs w:val="21"/>
          <w:lang w:val="en-US" w:eastAsia="zh-CN"/>
        </w:rPr>
        <w:t>引用</w:t>
      </w:r>
      <w:r>
        <w:rPr>
          <w:rFonts w:hint="default" w:ascii="Times New Roman" w:hAnsi="Times New Roman" w:cs="Times New Roman"/>
          <w:b/>
          <w:color w:val="auto"/>
          <w:sz w:val="21"/>
          <w:szCs w:val="21"/>
        </w:rPr>
        <w:t>地下水监测点位一览表</w:t>
      </w:r>
    </w:p>
    <w:tbl>
      <w:tblPr>
        <w:tblStyle w:val="23"/>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793"/>
        <w:gridCol w:w="1136"/>
        <w:gridCol w:w="1130"/>
        <w:gridCol w:w="860"/>
        <w:gridCol w:w="823"/>
        <w:gridCol w:w="911"/>
        <w:gridCol w:w="1243"/>
      </w:tblGrid>
      <w:tr w14:paraId="1D4E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94" w:type="dxa"/>
            <w:vAlign w:val="center"/>
          </w:tcPr>
          <w:p w14:paraId="0D7F655B">
            <w:pPr>
              <w:spacing w:line="240" w:lineRule="auto"/>
              <w:jc w:val="center"/>
              <w:rPr>
                <w:rFonts w:hint="default" w:ascii="Times New Roman" w:hAnsi="Times New Roman" w:cs="Times New Roman"/>
                <w:b/>
                <w:color w:val="auto"/>
                <w:sz w:val="18"/>
                <w:szCs w:val="18"/>
                <w:highlight w:val="none"/>
                <w:lang w:bidi="zh-CN"/>
              </w:rPr>
            </w:pPr>
            <w:r>
              <w:rPr>
                <w:rFonts w:hint="default" w:ascii="Times New Roman" w:hAnsi="Times New Roman" w:cs="Times New Roman"/>
                <w:b/>
                <w:color w:val="auto"/>
                <w:sz w:val="18"/>
                <w:szCs w:val="18"/>
                <w:highlight w:val="none"/>
                <w:lang w:bidi="zh-CN"/>
              </w:rPr>
              <w:t>名称</w:t>
            </w:r>
          </w:p>
        </w:tc>
        <w:tc>
          <w:tcPr>
            <w:tcW w:w="1793" w:type="dxa"/>
            <w:vAlign w:val="center"/>
          </w:tcPr>
          <w:p w14:paraId="13B0454B">
            <w:pPr>
              <w:spacing w:line="240" w:lineRule="auto"/>
              <w:jc w:val="center"/>
              <w:rPr>
                <w:rFonts w:hint="default" w:ascii="Times New Roman" w:hAnsi="Times New Roman" w:cs="Times New Roman"/>
                <w:b/>
                <w:color w:val="auto"/>
                <w:sz w:val="18"/>
                <w:szCs w:val="18"/>
                <w:highlight w:val="none"/>
                <w:lang w:bidi="zh-CN"/>
              </w:rPr>
            </w:pPr>
            <w:r>
              <w:rPr>
                <w:rFonts w:hint="default" w:ascii="Times New Roman" w:hAnsi="Times New Roman" w:cs="Times New Roman"/>
                <w:b/>
                <w:color w:val="auto"/>
                <w:sz w:val="18"/>
                <w:szCs w:val="18"/>
                <w:highlight w:val="none"/>
                <w:lang w:bidi="zh-CN"/>
              </w:rPr>
              <w:t>经纬度</w:t>
            </w:r>
          </w:p>
        </w:tc>
        <w:tc>
          <w:tcPr>
            <w:tcW w:w="1136" w:type="dxa"/>
            <w:vAlign w:val="center"/>
          </w:tcPr>
          <w:p w14:paraId="7D80DD6A">
            <w:pPr>
              <w:spacing w:line="240" w:lineRule="auto"/>
              <w:jc w:val="center"/>
              <w:rPr>
                <w:rFonts w:hint="default" w:ascii="Times New Roman" w:hAnsi="Times New Roman" w:cs="Times New Roman"/>
                <w:b/>
                <w:color w:val="auto"/>
                <w:sz w:val="18"/>
                <w:szCs w:val="18"/>
                <w:highlight w:val="none"/>
                <w:lang w:bidi="zh-CN"/>
              </w:rPr>
            </w:pPr>
            <w:r>
              <w:rPr>
                <w:rFonts w:hint="default" w:ascii="Times New Roman" w:hAnsi="Times New Roman" w:cs="Times New Roman"/>
                <w:b/>
                <w:bCs/>
                <w:color w:val="auto"/>
                <w:sz w:val="18"/>
                <w:szCs w:val="18"/>
                <w:lang w:val="en-US" w:eastAsia="zh-CN"/>
              </w:rPr>
              <w:t>与本项目关系</w:t>
            </w:r>
          </w:p>
        </w:tc>
        <w:tc>
          <w:tcPr>
            <w:tcW w:w="1130" w:type="dxa"/>
            <w:vAlign w:val="center"/>
          </w:tcPr>
          <w:p w14:paraId="3114068A">
            <w:pPr>
              <w:spacing w:line="240" w:lineRule="auto"/>
              <w:jc w:val="center"/>
              <w:rPr>
                <w:rFonts w:hint="default" w:ascii="Times New Roman" w:hAnsi="Times New Roman" w:cs="Times New Roman"/>
                <w:b/>
                <w:color w:val="auto"/>
                <w:sz w:val="18"/>
                <w:szCs w:val="18"/>
                <w:highlight w:val="none"/>
                <w:lang w:bidi="zh-CN"/>
              </w:rPr>
            </w:pPr>
            <w:r>
              <w:rPr>
                <w:rFonts w:hint="default" w:ascii="Times New Roman" w:hAnsi="Times New Roman" w:cs="Times New Roman"/>
                <w:b/>
                <w:color w:val="auto"/>
                <w:sz w:val="18"/>
                <w:szCs w:val="18"/>
                <w:highlight w:val="none"/>
                <w:lang w:bidi="zh-CN"/>
              </w:rPr>
              <w:t>位置</w:t>
            </w:r>
          </w:p>
        </w:tc>
        <w:tc>
          <w:tcPr>
            <w:tcW w:w="860" w:type="dxa"/>
            <w:vAlign w:val="center"/>
          </w:tcPr>
          <w:p w14:paraId="31808108">
            <w:pPr>
              <w:spacing w:line="240" w:lineRule="auto"/>
              <w:jc w:val="center"/>
              <w:rPr>
                <w:rFonts w:hint="default" w:ascii="Times New Roman" w:hAnsi="Times New Roman" w:cs="Times New Roman"/>
                <w:b/>
                <w:color w:val="auto"/>
                <w:sz w:val="18"/>
                <w:szCs w:val="18"/>
                <w:highlight w:val="none"/>
                <w:lang w:bidi="zh-CN"/>
              </w:rPr>
            </w:pPr>
            <w:r>
              <w:rPr>
                <w:rFonts w:hint="default" w:ascii="Times New Roman" w:hAnsi="Times New Roman" w:cs="Times New Roman"/>
                <w:b/>
                <w:bCs/>
                <w:color w:val="auto"/>
                <w:sz w:val="18"/>
                <w:szCs w:val="18"/>
                <w:highlight w:val="none"/>
                <w:lang w:val="en-US" w:eastAsia="zh-CN"/>
              </w:rPr>
              <w:t>井口标高</w:t>
            </w:r>
          </w:p>
        </w:tc>
        <w:tc>
          <w:tcPr>
            <w:tcW w:w="823" w:type="dxa"/>
            <w:vAlign w:val="center"/>
          </w:tcPr>
          <w:p w14:paraId="71B57B78">
            <w:pPr>
              <w:spacing w:line="240" w:lineRule="auto"/>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地下水揭露高程</w:t>
            </w:r>
          </w:p>
        </w:tc>
        <w:tc>
          <w:tcPr>
            <w:tcW w:w="911" w:type="dxa"/>
            <w:vAlign w:val="center"/>
          </w:tcPr>
          <w:p w14:paraId="4D537D18">
            <w:pPr>
              <w:spacing w:line="240" w:lineRule="auto"/>
              <w:jc w:val="center"/>
              <w:rPr>
                <w:rFonts w:hint="default" w:ascii="Times New Roman" w:hAnsi="Times New Roman" w:cs="Times New Roman"/>
                <w:b/>
                <w:color w:val="auto"/>
                <w:sz w:val="18"/>
                <w:szCs w:val="18"/>
                <w:highlight w:val="none"/>
                <w:lang w:bidi="zh-CN"/>
              </w:rPr>
            </w:pPr>
            <w:r>
              <w:rPr>
                <w:rFonts w:hint="default" w:ascii="Times New Roman" w:hAnsi="Times New Roman" w:cs="Times New Roman"/>
                <w:b/>
                <w:color w:val="auto"/>
                <w:sz w:val="18"/>
                <w:szCs w:val="18"/>
                <w:highlight w:val="none"/>
                <w:lang w:bidi="zh-CN"/>
              </w:rPr>
              <w:t>地下水层</w:t>
            </w:r>
          </w:p>
        </w:tc>
        <w:tc>
          <w:tcPr>
            <w:tcW w:w="1243" w:type="dxa"/>
            <w:vAlign w:val="center"/>
          </w:tcPr>
          <w:p w14:paraId="15D582E5">
            <w:pPr>
              <w:spacing w:line="240" w:lineRule="auto"/>
              <w:jc w:val="center"/>
              <w:rPr>
                <w:rFonts w:hint="default" w:ascii="Times New Roman" w:hAnsi="Times New Roman" w:cs="Times New Roman"/>
                <w:b/>
                <w:color w:val="auto"/>
                <w:sz w:val="18"/>
                <w:szCs w:val="18"/>
                <w:highlight w:val="none"/>
                <w:lang w:bidi="zh-CN"/>
              </w:rPr>
            </w:pPr>
            <w:r>
              <w:rPr>
                <w:rFonts w:hint="default" w:ascii="Times New Roman" w:hAnsi="Times New Roman" w:cs="Times New Roman"/>
                <w:b/>
                <w:color w:val="auto"/>
                <w:sz w:val="18"/>
                <w:szCs w:val="18"/>
                <w:highlight w:val="none"/>
                <w:lang w:bidi="zh-CN"/>
              </w:rPr>
              <w:t>利用情况</w:t>
            </w:r>
          </w:p>
        </w:tc>
      </w:tr>
      <w:tr w14:paraId="6967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894" w:type="dxa"/>
            <w:vAlign w:val="center"/>
          </w:tcPr>
          <w:p w14:paraId="04D591D4">
            <w:pPr>
              <w:spacing w:line="240" w:lineRule="auto"/>
              <w:jc w:val="center"/>
              <w:rPr>
                <w:rFonts w:hint="default" w:ascii="Times New Roman" w:hAnsi="Times New Roman" w:eastAsia="宋体" w:cs="Times New Roman"/>
                <w:bCs/>
                <w:color w:val="auto"/>
                <w:sz w:val="18"/>
                <w:szCs w:val="18"/>
                <w:highlight w:val="none"/>
                <w:lang w:eastAsia="zh-CN" w:bidi="zh-CN"/>
              </w:rPr>
            </w:pPr>
            <w:r>
              <w:rPr>
                <w:rFonts w:hint="default" w:ascii="Times New Roman" w:hAnsi="Times New Roman" w:cs="Times New Roman"/>
                <w:bCs/>
                <w:color w:val="auto"/>
                <w:sz w:val="18"/>
                <w:szCs w:val="18"/>
                <w:highlight w:val="none"/>
                <w:lang w:val="en-US" w:eastAsia="zh-CN"/>
              </w:rPr>
              <w:t>林场水井</w:t>
            </w:r>
          </w:p>
        </w:tc>
        <w:tc>
          <w:tcPr>
            <w:tcW w:w="1793" w:type="dxa"/>
            <w:vAlign w:val="center"/>
          </w:tcPr>
          <w:p w14:paraId="1F9391D9">
            <w:pPr>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10</w:t>
            </w:r>
            <w:r>
              <w:rPr>
                <w:rFonts w:hint="default" w:ascii="Times New Roman" w:hAnsi="Times New Roman" w:cs="Times New Roman"/>
                <w:bCs/>
                <w:color w:val="auto"/>
                <w:sz w:val="18"/>
                <w:szCs w:val="18"/>
                <w:highlight w:val="none"/>
                <w:lang w:val="en-US" w:eastAsia="zh-CN"/>
              </w:rPr>
              <w:t>3.508353</w:t>
            </w:r>
            <w:r>
              <w:rPr>
                <w:rFonts w:hint="default" w:ascii="Times New Roman" w:hAnsi="Times New Roman" w:cs="Times New Roman"/>
                <w:bCs/>
                <w:color w:val="auto"/>
                <w:sz w:val="18"/>
                <w:szCs w:val="18"/>
                <w:highlight w:val="none"/>
              </w:rPr>
              <w:t>°E</w:t>
            </w:r>
          </w:p>
          <w:p w14:paraId="235AF55B">
            <w:pPr>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val="en-US" w:eastAsia="zh-CN"/>
              </w:rPr>
              <w:t>24.277271</w:t>
            </w:r>
            <w:r>
              <w:rPr>
                <w:rFonts w:hint="default" w:ascii="Times New Roman" w:hAnsi="Times New Roman" w:cs="Times New Roman"/>
                <w:bCs/>
                <w:color w:val="auto"/>
                <w:sz w:val="18"/>
                <w:szCs w:val="18"/>
                <w:highlight w:val="none"/>
              </w:rPr>
              <w:t>°N</w:t>
            </w:r>
          </w:p>
        </w:tc>
        <w:tc>
          <w:tcPr>
            <w:tcW w:w="1136" w:type="dxa"/>
            <w:vAlign w:val="center"/>
          </w:tcPr>
          <w:p w14:paraId="386EC623">
            <w:pPr>
              <w:spacing w:line="240" w:lineRule="auto"/>
              <w:jc w:val="center"/>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lang w:val="en-US" w:eastAsia="zh-CN"/>
              </w:rPr>
              <w:t>项目区侧游</w:t>
            </w:r>
          </w:p>
        </w:tc>
        <w:tc>
          <w:tcPr>
            <w:tcW w:w="1130" w:type="dxa"/>
            <w:vAlign w:val="center"/>
          </w:tcPr>
          <w:p w14:paraId="71252206">
            <w:pPr>
              <w:keepNext/>
              <w:keepLines/>
              <w:spacing w:line="240" w:lineRule="auto"/>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lang w:val="en-US" w:eastAsia="zh-CN"/>
              </w:rPr>
              <w:t>项目区东</w:t>
            </w:r>
            <w:r>
              <w:rPr>
                <w:rFonts w:hint="default" w:ascii="Times New Roman" w:hAnsi="Times New Roman" w:cs="Times New Roman"/>
                <w:bCs/>
                <w:color w:val="auto"/>
                <w:sz w:val="18"/>
                <w:szCs w:val="18"/>
                <w:lang w:val="en-US" w:eastAsia="zh-CN"/>
              </w:rPr>
              <w:t>南</w:t>
            </w:r>
            <w:r>
              <w:rPr>
                <w:rFonts w:hint="default" w:ascii="Times New Roman" w:hAnsi="Times New Roman" w:eastAsia="宋体" w:cs="Times New Roman"/>
                <w:bCs/>
                <w:color w:val="auto"/>
                <w:sz w:val="18"/>
                <w:szCs w:val="18"/>
                <w:lang w:val="en-US" w:eastAsia="zh-CN"/>
              </w:rPr>
              <w:t>侧</w:t>
            </w:r>
            <w:r>
              <w:rPr>
                <w:rFonts w:hint="default" w:ascii="Times New Roman" w:hAnsi="Times New Roman" w:cs="Times New Roman"/>
                <w:bCs/>
                <w:color w:val="auto"/>
                <w:sz w:val="18"/>
                <w:szCs w:val="18"/>
                <w:lang w:val="en-US" w:eastAsia="zh-CN"/>
              </w:rPr>
              <w:t>1.5</w:t>
            </w:r>
            <w:r>
              <w:rPr>
                <w:rFonts w:hint="default" w:ascii="Times New Roman" w:hAnsi="Times New Roman" w:eastAsia="宋体" w:cs="Times New Roman"/>
                <w:bCs/>
                <w:color w:val="auto"/>
                <w:sz w:val="18"/>
                <w:szCs w:val="18"/>
                <w:lang w:val="en-US" w:eastAsia="zh-CN"/>
              </w:rPr>
              <w:t>km</w:t>
            </w:r>
          </w:p>
        </w:tc>
        <w:tc>
          <w:tcPr>
            <w:tcW w:w="860" w:type="dxa"/>
            <w:vAlign w:val="center"/>
          </w:tcPr>
          <w:p w14:paraId="2D03D993">
            <w:pPr>
              <w:spacing w:line="240" w:lineRule="auto"/>
              <w:jc w:val="center"/>
              <w:rPr>
                <w:rFonts w:hint="default" w:ascii="Times New Roman" w:hAnsi="Times New Roman" w:cs="Times New Roman"/>
                <w:color w:val="auto"/>
                <w:sz w:val="18"/>
                <w:szCs w:val="18"/>
                <w:highlight w:val="none"/>
                <w:lang w:val="en-US" w:bidi="zh-CN"/>
              </w:rPr>
            </w:pPr>
            <w:r>
              <w:rPr>
                <w:rFonts w:hint="default" w:ascii="Times New Roman" w:hAnsi="Times New Roman" w:cs="Times New Roman"/>
                <w:color w:val="auto"/>
                <w:sz w:val="18"/>
                <w:szCs w:val="18"/>
                <w:highlight w:val="none"/>
                <w:lang w:val="en-US" w:bidi="zh-CN"/>
              </w:rPr>
              <w:t>1527m</w:t>
            </w:r>
          </w:p>
        </w:tc>
        <w:tc>
          <w:tcPr>
            <w:tcW w:w="823" w:type="dxa"/>
            <w:vAlign w:val="center"/>
          </w:tcPr>
          <w:p w14:paraId="52EE6C3F">
            <w:pPr>
              <w:spacing w:line="240" w:lineRule="auto"/>
              <w:jc w:val="center"/>
              <w:rPr>
                <w:rFonts w:hint="default" w:ascii="Times New Roman" w:hAnsi="Times New Roman" w:cs="Times New Roman"/>
                <w:color w:val="auto"/>
                <w:sz w:val="18"/>
                <w:szCs w:val="18"/>
                <w:highlight w:val="none"/>
                <w:lang w:val="en-US" w:bidi="zh-CN"/>
              </w:rPr>
            </w:pPr>
            <w:r>
              <w:rPr>
                <w:rFonts w:hint="default" w:ascii="Times New Roman" w:hAnsi="Times New Roman" w:cs="Times New Roman"/>
                <w:color w:val="auto"/>
                <w:sz w:val="18"/>
                <w:szCs w:val="18"/>
                <w:highlight w:val="none"/>
                <w:lang w:val="en-US" w:bidi="zh-CN"/>
              </w:rPr>
              <w:t>1523m</w:t>
            </w:r>
          </w:p>
        </w:tc>
        <w:tc>
          <w:tcPr>
            <w:tcW w:w="911" w:type="dxa"/>
            <w:vAlign w:val="center"/>
          </w:tcPr>
          <w:p w14:paraId="6444AC4A">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T</w:t>
            </w:r>
            <w:r>
              <w:rPr>
                <w:rFonts w:hint="default" w:ascii="Times New Roman" w:hAnsi="Times New Roman" w:cs="Times New Roman"/>
                <w:bCs/>
                <w:color w:val="auto"/>
                <w:sz w:val="18"/>
                <w:szCs w:val="18"/>
                <w:highlight w:val="none"/>
                <w:vertAlign w:val="subscript"/>
              </w:rPr>
              <w:t>2</w:t>
            </w:r>
            <w:r>
              <w:rPr>
                <w:rFonts w:hint="default" w:ascii="Times New Roman" w:hAnsi="Times New Roman" w:cs="Times New Roman"/>
                <w:bCs/>
                <w:color w:val="auto"/>
                <w:sz w:val="18"/>
                <w:szCs w:val="18"/>
                <w:highlight w:val="none"/>
              </w:rPr>
              <w:t>g</w:t>
            </w:r>
            <w:r>
              <w:rPr>
                <w:rFonts w:hint="default" w:ascii="Times New Roman" w:hAnsi="Times New Roman" w:cs="Times New Roman"/>
                <w:bCs/>
                <w:color w:val="auto"/>
                <w:sz w:val="18"/>
                <w:szCs w:val="18"/>
                <w:highlight w:val="none"/>
                <w:vertAlign w:val="superscript"/>
              </w:rPr>
              <w:t>d</w:t>
            </w:r>
            <w:r>
              <w:rPr>
                <w:rFonts w:hint="default" w:ascii="Times New Roman" w:hAnsi="Times New Roman" w:cs="Times New Roman"/>
                <w:bCs/>
                <w:color w:val="auto"/>
                <w:sz w:val="18"/>
                <w:szCs w:val="18"/>
                <w:highlight w:val="none"/>
              </w:rPr>
              <w:t>含水层</w:t>
            </w:r>
          </w:p>
        </w:tc>
        <w:tc>
          <w:tcPr>
            <w:tcW w:w="1243" w:type="dxa"/>
            <w:vAlign w:val="center"/>
          </w:tcPr>
          <w:p w14:paraId="317EA66D">
            <w:pPr>
              <w:spacing w:line="240" w:lineRule="auto"/>
              <w:jc w:val="center"/>
              <w:rPr>
                <w:rFonts w:hint="default" w:ascii="Times New Roman" w:hAnsi="Times New Roman" w:cs="Times New Roman"/>
                <w:bCs/>
                <w:color w:val="auto"/>
                <w:sz w:val="18"/>
                <w:szCs w:val="18"/>
                <w:highlight w:val="none"/>
                <w:lang w:val="en-US" w:bidi="zh-CN"/>
              </w:rPr>
            </w:pPr>
            <w:r>
              <w:rPr>
                <w:rFonts w:hint="default" w:ascii="Times New Roman" w:hAnsi="Times New Roman" w:cs="Times New Roman"/>
                <w:bCs/>
                <w:color w:val="auto"/>
                <w:sz w:val="18"/>
                <w:szCs w:val="18"/>
                <w:highlight w:val="none"/>
                <w:lang w:val="en-US" w:bidi="zh-CN"/>
              </w:rPr>
              <w:t>林木浇灌，无饮用水功能</w:t>
            </w:r>
          </w:p>
        </w:tc>
      </w:tr>
      <w:tr w14:paraId="6BD6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894" w:type="dxa"/>
            <w:vAlign w:val="center"/>
          </w:tcPr>
          <w:p w14:paraId="1EAEE55E">
            <w:pPr>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eastAsia="宋体" w:cs="Times New Roman"/>
                <w:color w:val="auto"/>
                <w:sz w:val="18"/>
                <w:szCs w:val="18"/>
                <w:highlight w:val="none"/>
                <w:lang w:val="en-US" w:eastAsia="zh-CN"/>
              </w:rPr>
              <w:t>小沙冲水井</w:t>
            </w:r>
          </w:p>
        </w:tc>
        <w:tc>
          <w:tcPr>
            <w:tcW w:w="1793" w:type="dxa"/>
            <w:vAlign w:val="center"/>
          </w:tcPr>
          <w:p w14:paraId="5BCB394B">
            <w:pPr>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10</w:t>
            </w:r>
            <w:r>
              <w:rPr>
                <w:rFonts w:hint="default" w:ascii="Times New Roman" w:hAnsi="Times New Roman" w:cs="Times New Roman"/>
                <w:bCs/>
                <w:color w:val="auto"/>
                <w:sz w:val="18"/>
                <w:szCs w:val="18"/>
                <w:highlight w:val="none"/>
                <w:lang w:val="en-US" w:eastAsia="zh-CN"/>
              </w:rPr>
              <w:t>3.479344</w:t>
            </w:r>
            <w:r>
              <w:rPr>
                <w:rFonts w:hint="default" w:ascii="Times New Roman" w:hAnsi="Times New Roman" w:cs="Times New Roman"/>
                <w:bCs/>
                <w:color w:val="auto"/>
                <w:sz w:val="18"/>
                <w:szCs w:val="18"/>
                <w:highlight w:val="none"/>
              </w:rPr>
              <w:t>°E</w:t>
            </w:r>
          </w:p>
          <w:p w14:paraId="11138B47">
            <w:pPr>
              <w:spacing w:line="240" w:lineRule="auto"/>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val="en-US" w:eastAsia="zh-CN"/>
              </w:rPr>
              <w:t>24.257555</w:t>
            </w:r>
            <w:r>
              <w:rPr>
                <w:rFonts w:hint="default" w:ascii="Times New Roman" w:hAnsi="Times New Roman" w:cs="Times New Roman"/>
                <w:bCs/>
                <w:color w:val="auto"/>
                <w:sz w:val="18"/>
                <w:szCs w:val="18"/>
                <w:highlight w:val="none"/>
              </w:rPr>
              <w:t>°N</w:t>
            </w:r>
          </w:p>
        </w:tc>
        <w:tc>
          <w:tcPr>
            <w:tcW w:w="1136" w:type="dxa"/>
            <w:vAlign w:val="center"/>
          </w:tcPr>
          <w:p w14:paraId="51FBD4A0">
            <w:pPr>
              <w:spacing w:line="240" w:lineRule="auto"/>
              <w:jc w:val="center"/>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lang w:val="en-US" w:eastAsia="zh-CN"/>
              </w:rPr>
              <w:t>项目区下游</w:t>
            </w:r>
          </w:p>
        </w:tc>
        <w:tc>
          <w:tcPr>
            <w:tcW w:w="1130" w:type="dxa"/>
            <w:vAlign w:val="center"/>
          </w:tcPr>
          <w:p w14:paraId="616A0217">
            <w:pPr>
              <w:keepNext/>
              <w:keepLines/>
              <w:spacing w:line="240" w:lineRule="auto"/>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lang w:val="en-US" w:eastAsia="zh-CN"/>
              </w:rPr>
              <w:t>项目区西南侧</w:t>
            </w:r>
            <w:r>
              <w:rPr>
                <w:rFonts w:hint="default" w:ascii="Times New Roman" w:hAnsi="Times New Roman" w:cs="Times New Roman"/>
                <w:bCs/>
                <w:color w:val="auto"/>
                <w:sz w:val="18"/>
                <w:szCs w:val="18"/>
                <w:lang w:val="en-US" w:eastAsia="zh-CN"/>
              </w:rPr>
              <w:t>2.8</w:t>
            </w:r>
            <w:r>
              <w:rPr>
                <w:rFonts w:hint="default" w:ascii="Times New Roman" w:hAnsi="Times New Roman" w:eastAsia="宋体" w:cs="Times New Roman"/>
                <w:bCs/>
                <w:color w:val="auto"/>
                <w:sz w:val="18"/>
                <w:szCs w:val="18"/>
                <w:lang w:val="en-US" w:eastAsia="zh-CN"/>
              </w:rPr>
              <w:t>km</w:t>
            </w:r>
          </w:p>
        </w:tc>
        <w:tc>
          <w:tcPr>
            <w:tcW w:w="860" w:type="dxa"/>
            <w:vAlign w:val="center"/>
          </w:tcPr>
          <w:p w14:paraId="07F6D461">
            <w:pPr>
              <w:spacing w:line="240" w:lineRule="auto"/>
              <w:jc w:val="center"/>
              <w:rPr>
                <w:rFonts w:hint="default" w:ascii="Times New Roman" w:hAnsi="Times New Roman" w:cs="Times New Roman"/>
                <w:color w:val="auto"/>
                <w:sz w:val="18"/>
                <w:szCs w:val="18"/>
                <w:highlight w:val="none"/>
                <w:lang w:val="en-US" w:bidi="zh-CN"/>
              </w:rPr>
            </w:pPr>
            <w:r>
              <w:rPr>
                <w:rFonts w:hint="default" w:ascii="Times New Roman" w:hAnsi="Times New Roman" w:cs="Times New Roman"/>
                <w:color w:val="auto"/>
                <w:sz w:val="18"/>
                <w:szCs w:val="18"/>
                <w:highlight w:val="none"/>
                <w:lang w:val="en-US" w:bidi="zh-CN"/>
              </w:rPr>
              <w:t>1423m</w:t>
            </w:r>
          </w:p>
        </w:tc>
        <w:tc>
          <w:tcPr>
            <w:tcW w:w="823" w:type="dxa"/>
            <w:vAlign w:val="center"/>
          </w:tcPr>
          <w:p w14:paraId="7EB06D8A">
            <w:pPr>
              <w:spacing w:line="240" w:lineRule="auto"/>
              <w:jc w:val="center"/>
              <w:rPr>
                <w:rFonts w:hint="default" w:ascii="Times New Roman" w:hAnsi="Times New Roman" w:cs="Times New Roman"/>
                <w:color w:val="auto"/>
                <w:sz w:val="18"/>
                <w:szCs w:val="18"/>
                <w:highlight w:val="none"/>
                <w:lang w:val="en-US" w:bidi="zh-CN"/>
              </w:rPr>
            </w:pPr>
            <w:r>
              <w:rPr>
                <w:rFonts w:hint="default" w:ascii="Times New Roman" w:hAnsi="Times New Roman" w:cs="Times New Roman"/>
                <w:color w:val="auto"/>
                <w:sz w:val="18"/>
                <w:szCs w:val="18"/>
                <w:highlight w:val="none"/>
                <w:lang w:val="en-US" w:bidi="zh-CN"/>
              </w:rPr>
              <w:t>1412m</w:t>
            </w:r>
          </w:p>
        </w:tc>
        <w:tc>
          <w:tcPr>
            <w:tcW w:w="911" w:type="dxa"/>
            <w:vAlign w:val="center"/>
          </w:tcPr>
          <w:p w14:paraId="128045B1">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lang w:val="en-US" w:eastAsia="zh-CN"/>
              </w:rPr>
              <w:t>N</w:t>
            </w:r>
            <w:r>
              <w:rPr>
                <w:rFonts w:hint="default" w:ascii="Times New Roman" w:hAnsi="Times New Roman" w:cs="Times New Roman"/>
                <w:bCs/>
                <w:color w:val="auto"/>
                <w:sz w:val="18"/>
                <w:szCs w:val="18"/>
                <w:highlight w:val="none"/>
                <w:vertAlign w:val="subscript"/>
                <w:lang w:val="en-US" w:eastAsia="zh-CN"/>
              </w:rPr>
              <w:t>1-2</w:t>
            </w:r>
            <w:r>
              <w:rPr>
                <w:rFonts w:hint="default" w:ascii="Times New Roman" w:hAnsi="Times New Roman" w:cs="Times New Roman"/>
                <w:bCs/>
                <w:color w:val="auto"/>
                <w:sz w:val="18"/>
                <w:szCs w:val="18"/>
                <w:highlight w:val="none"/>
                <w:vertAlign w:val="superscript"/>
                <w:lang w:val="en-US" w:eastAsia="zh-CN"/>
              </w:rPr>
              <w:t>h</w:t>
            </w:r>
            <w:r>
              <w:rPr>
                <w:rFonts w:hint="default" w:ascii="Times New Roman" w:hAnsi="Times New Roman" w:cs="Times New Roman"/>
                <w:bCs/>
                <w:color w:val="auto"/>
                <w:sz w:val="18"/>
                <w:szCs w:val="18"/>
                <w:highlight w:val="none"/>
              </w:rPr>
              <w:t>含水层</w:t>
            </w:r>
          </w:p>
        </w:tc>
        <w:tc>
          <w:tcPr>
            <w:tcW w:w="1243" w:type="dxa"/>
            <w:vAlign w:val="center"/>
          </w:tcPr>
          <w:p w14:paraId="1365A333">
            <w:pPr>
              <w:spacing w:line="240" w:lineRule="auto"/>
              <w:jc w:val="center"/>
              <w:rPr>
                <w:rFonts w:hint="default" w:ascii="Times New Roman" w:hAnsi="Times New Roman" w:cs="Times New Roman"/>
                <w:bCs/>
                <w:color w:val="auto"/>
                <w:sz w:val="18"/>
                <w:szCs w:val="18"/>
                <w:highlight w:val="none"/>
                <w:lang w:val="en-US" w:bidi="zh-CN"/>
              </w:rPr>
            </w:pPr>
            <w:r>
              <w:rPr>
                <w:rFonts w:hint="default" w:ascii="Times New Roman" w:hAnsi="Times New Roman" w:cs="Times New Roman"/>
                <w:bCs/>
                <w:color w:val="auto"/>
                <w:sz w:val="18"/>
                <w:szCs w:val="18"/>
                <w:highlight w:val="none"/>
                <w:lang w:val="en-US" w:bidi="zh-CN"/>
              </w:rPr>
              <w:t>浇菜、洗衣等用水，无饮用水功能</w:t>
            </w:r>
          </w:p>
        </w:tc>
      </w:tr>
      <w:tr w14:paraId="2A8F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894" w:type="dxa"/>
            <w:vAlign w:val="center"/>
          </w:tcPr>
          <w:p w14:paraId="33C30BC1">
            <w:pPr>
              <w:spacing w:line="240" w:lineRule="auto"/>
              <w:jc w:val="center"/>
              <w:rPr>
                <w:rFonts w:hint="default" w:ascii="Times New Roman" w:hAnsi="Times New Roman" w:cs="Times New Roman"/>
                <w:color w:val="auto"/>
                <w:sz w:val="18"/>
                <w:szCs w:val="18"/>
                <w:highlight w:val="none"/>
                <w:lang w:bidi="zh-CN"/>
              </w:rPr>
            </w:pPr>
            <w:r>
              <w:rPr>
                <w:rFonts w:hint="default" w:ascii="Times New Roman" w:hAnsi="Times New Roman" w:eastAsia="宋体" w:cs="Times New Roman"/>
                <w:color w:val="auto"/>
                <w:sz w:val="18"/>
                <w:szCs w:val="18"/>
                <w:highlight w:val="none"/>
                <w:lang w:val="en-US" w:eastAsia="zh-CN"/>
              </w:rPr>
              <w:t>梅子哨村水井</w:t>
            </w:r>
          </w:p>
        </w:tc>
        <w:tc>
          <w:tcPr>
            <w:tcW w:w="1793" w:type="dxa"/>
            <w:vAlign w:val="center"/>
          </w:tcPr>
          <w:p w14:paraId="5EC0759C">
            <w:pPr>
              <w:spacing w:line="240" w:lineRule="auto"/>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10</w:t>
            </w:r>
            <w:r>
              <w:rPr>
                <w:rFonts w:hint="default" w:ascii="Times New Roman" w:hAnsi="Times New Roman" w:cs="Times New Roman"/>
                <w:color w:val="auto"/>
                <w:sz w:val="18"/>
                <w:szCs w:val="18"/>
                <w:highlight w:val="none"/>
                <w:lang w:val="en-US" w:bidi="zh-CN"/>
              </w:rPr>
              <w:t>3.479882</w:t>
            </w:r>
            <w:r>
              <w:rPr>
                <w:rFonts w:hint="default" w:ascii="Times New Roman" w:hAnsi="Times New Roman" w:cs="Times New Roman"/>
                <w:color w:val="auto"/>
                <w:sz w:val="18"/>
                <w:szCs w:val="18"/>
                <w:highlight w:val="none"/>
                <w:lang w:bidi="zh-CN"/>
              </w:rPr>
              <w:t>°E</w:t>
            </w:r>
          </w:p>
          <w:p w14:paraId="6F88100F">
            <w:pPr>
              <w:spacing w:line="240" w:lineRule="auto"/>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val="en-US" w:bidi="zh-CN"/>
              </w:rPr>
              <w:t>24.267653</w:t>
            </w:r>
            <w:r>
              <w:rPr>
                <w:rFonts w:hint="default" w:ascii="Times New Roman" w:hAnsi="Times New Roman" w:cs="Times New Roman"/>
                <w:color w:val="auto"/>
                <w:sz w:val="18"/>
                <w:szCs w:val="18"/>
                <w:highlight w:val="none"/>
                <w:lang w:bidi="zh-CN"/>
              </w:rPr>
              <w:t>°N</w:t>
            </w:r>
          </w:p>
        </w:tc>
        <w:tc>
          <w:tcPr>
            <w:tcW w:w="1136" w:type="dxa"/>
            <w:vAlign w:val="center"/>
          </w:tcPr>
          <w:p w14:paraId="2170D587">
            <w:pPr>
              <w:spacing w:line="240" w:lineRule="auto"/>
              <w:jc w:val="center"/>
              <w:rPr>
                <w:rFonts w:hint="default" w:ascii="Times New Roman" w:hAnsi="Times New Roman" w:cs="Times New Roman"/>
                <w:color w:val="auto"/>
                <w:sz w:val="18"/>
                <w:szCs w:val="18"/>
                <w:highlight w:val="none"/>
                <w:lang w:val="en-US" w:bidi="zh-CN"/>
              </w:rPr>
            </w:pPr>
            <w:r>
              <w:rPr>
                <w:rFonts w:hint="default" w:ascii="Times New Roman" w:hAnsi="Times New Roman" w:cs="Times New Roman"/>
                <w:bCs/>
                <w:color w:val="auto"/>
                <w:sz w:val="18"/>
                <w:szCs w:val="18"/>
                <w:lang w:val="en-US" w:eastAsia="zh-CN"/>
              </w:rPr>
              <w:t>项目区下游</w:t>
            </w:r>
          </w:p>
        </w:tc>
        <w:tc>
          <w:tcPr>
            <w:tcW w:w="1130" w:type="dxa"/>
            <w:vAlign w:val="center"/>
          </w:tcPr>
          <w:p w14:paraId="24DD243B">
            <w:pPr>
              <w:keepNext/>
              <w:keepLines/>
              <w:spacing w:line="240" w:lineRule="auto"/>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lang w:val="en-US" w:eastAsia="zh-CN"/>
              </w:rPr>
              <w:t>项目区西南侧</w:t>
            </w:r>
            <w:r>
              <w:rPr>
                <w:rFonts w:hint="default" w:ascii="Times New Roman" w:hAnsi="Times New Roman" w:cs="Times New Roman"/>
                <w:bCs/>
                <w:color w:val="auto"/>
                <w:sz w:val="18"/>
                <w:szCs w:val="18"/>
                <w:lang w:val="en-US" w:eastAsia="zh-CN"/>
              </w:rPr>
              <w:t>2.2</w:t>
            </w:r>
            <w:r>
              <w:rPr>
                <w:rFonts w:hint="default" w:ascii="Times New Roman" w:hAnsi="Times New Roman" w:eastAsia="宋体" w:cs="Times New Roman"/>
                <w:bCs/>
                <w:color w:val="auto"/>
                <w:sz w:val="18"/>
                <w:szCs w:val="18"/>
                <w:lang w:val="en-US" w:eastAsia="zh-CN"/>
              </w:rPr>
              <w:t>km</w:t>
            </w:r>
          </w:p>
        </w:tc>
        <w:tc>
          <w:tcPr>
            <w:tcW w:w="860" w:type="dxa"/>
            <w:vAlign w:val="center"/>
          </w:tcPr>
          <w:p w14:paraId="77B27A6B">
            <w:pPr>
              <w:spacing w:line="240" w:lineRule="auto"/>
              <w:jc w:val="center"/>
              <w:rPr>
                <w:rFonts w:hint="default" w:ascii="Times New Roman" w:hAnsi="Times New Roman" w:cs="Times New Roman"/>
                <w:color w:val="auto"/>
                <w:sz w:val="18"/>
                <w:szCs w:val="18"/>
                <w:highlight w:val="none"/>
                <w:lang w:val="en-US" w:bidi="zh-CN"/>
              </w:rPr>
            </w:pPr>
            <w:r>
              <w:rPr>
                <w:rFonts w:hint="default" w:ascii="Times New Roman" w:hAnsi="Times New Roman" w:cs="Times New Roman"/>
                <w:color w:val="auto"/>
                <w:sz w:val="18"/>
                <w:szCs w:val="18"/>
                <w:highlight w:val="none"/>
                <w:lang w:val="en-US" w:bidi="zh-CN"/>
              </w:rPr>
              <w:t>1411m</w:t>
            </w:r>
          </w:p>
        </w:tc>
        <w:tc>
          <w:tcPr>
            <w:tcW w:w="823" w:type="dxa"/>
            <w:vAlign w:val="center"/>
          </w:tcPr>
          <w:p w14:paraId="19A7567C">
            <w:pPr>
              <w:spacing w:line="240" w:lineRule="auto"/>
              <w:jc w:val="center"/>
              <w:rPr>
                <w:rFonts w:hint="default" w:ascii="Times New Roman" w:hAnsi="Times New Roman" w:cs="Times New Roman"/>
                <w:color w:val="auto"/>
                <w:sz w:val="18"/>
                <w:szCs w:val="18"/>
                <w:highlight w:val="none"/>
                <w:lang w:val="en-US" w:bidi="zh-CN"/>
              </w:rPr>
            </w:pPr>
            <w:r>
              <w:rPr>
                <w:rFonts w:hint="default" w:ascii="Times New Roman" w:hAnsi="Times New Roman" w:cs="Times New Roman"/>
                <w:color w:val="auto"/>
                <w:sz w:val="18"/>
                <w:szCs w:val="18"/>
                <w:highlight w:val="none"/>
                <w:lang w:val="en-US" w:bidi="zh-CN"/>
              </w:rPr>
              <w:t>1401m</w:t>
            </w:r>
          </w:p>
        </w:tc>
        <w:tc>
          <w:tcPr>
            <w:tcW w:w="911" w:type="dxa"/>
            <w:vAlign w:val="center"/>
          </w:tcPr>
          <w:p w14:paraId="21BA2543">
            <w:pPr>
              <w:spacing w:line="240" w:lineRule="auto"/>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bCs/>
                <w:color w:val="auto"/>
                <w:sz w:val="18"/>
                <w:szCs w:val="18"/>
                <w:highlight w:val="none"/>
                <w:lang w:val="en-US" w:eastAsia="zh-CN"/>
              </w:rPr>
              <w:t>N</w:t>
            </w:r>
            <w:r>
              <w:rPr>
                <w:rFonts w:hint="default" w:ascii="Times New Roman" w:hAnsi="Times New Roman" w:cs="Times New Roman"/>
                <w:bCs/>
                <w:color w:val="auto"/>
                <w:sz w:val="18"/>
                <w:szCs w:val="18"/>
                <w:highlight w:val="none"/>
                <w:vertAlign w:val="subscript"/>
                <w:lang w:val="en-US" w:eastAsia="zh-CN"/>
              </w:rPr>
              <w:t>1-2</w:t>
            </w:r>
            <w:r>
              <w:rPr>
                <w:rFonts w:hint="default" w:ascii="Times New Roman" w:hAnsi="Times New Roman" w:cs="Times New Roman"/>
                <w:bCs/>
                <w:color w:val="auto"/>
                <w:sz w:val="18"/>
                <w:szCs w:val="18"/>
                <w:highlight w:val="none"/>
                <w:vertAlign w:val="superscript"/>
                <w:lang w:val="en-US" w:eastAsia="zh-CN"/>
              </w:rPr>
              <w:t>h</w:t>
            </w:r>
            <w:r>
              <w:rPr>
                <w:rFonts w:hint="default" w:ascii="Times New Roman" w:hAnsi="Times New Roman" w:cs="Times New Roman"/>
                <w:bCs/>
                <w:color w:val="auto"/>
                <w:sz w:val="18"/>
                <w:szCs w:val="18"/>
                <w:highlight w:val="none"/>
              </w:rPr>
              <w:t>含水层</w:t>
            </w:r>
          </w:p>
        </w:tc>
        <w:tc>
          <w:tcPr>
            <w:tcW w:w="1243" w:type="dxa"/>
            <w:vAlign w:val="center"/>
          </w:tcPr>
          <w:p w14:paraId="56856A4B">
            <w:pPr>
              <w:spacing w:line="240" w:lineRule="auto"/>
              <w:jc w:val="center"/>
              <w:rPr>
                <w:rFonts w:hint="default" w:ascii="Times New Roman" w:hAnsi="Times New Roman" w:cs="Times New Roman"/>
                <w:color w:val="auto"/>
                <w:sz w:val="18"/>
                <w:szCs w:val="18"/>
                <w:highlight w:val="none"/>
                <w:lang w:val="en-US" w:bidi="zh-CN"/>
              </w:rPr>
            </w:pPr>
            <w:r>
              <w:rPr>
                <w:rFonts w:hint="default" w:ascii="Times New Roman" w:hAnsi="Times New Roman" w:cs="Times New Roman"/>
                <w:bCs/>
                <w:color w:val="auto"/>
                <w:sz w:val="18"/>
                <w:szCs w:val="18"/>
                <w:highlight w:val="none"/>
                <w:lang w:val="en-US" w:bidi="zh-CN"/>
              </w:rPr>
              <w:t>浇菜，无饮用水功能</w:t>
            </w:r>
          </w:p>
        </w:tc>
      </w:tr>
    </w:tbl>
    <w:p w14:paraId="32294586">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监测项目：</w:t>
      </w:r>
      <w:r>
        <w:rPr>
          <w:rFonts w:hint="default" w:ascii="Times New Roman" w:hAnsi="Times New Roman" w:cs="Times New Roman"/>
          <w:color w:val="auto"/>
          <w:kern w:val="0"/>
          <w:sz w:val="24"/>
          <w:szCs w:val="24"/>
          <w:lang w:bidi="ar"/>
        </w:rPr>
        <w:t>K</w:t>
      </w:r>
      <w:r>
        <w:rPr>
          <w:rFonts w:hint="default" w:ascii="Times New Roman" w:hAnsi="Times New Roman" w:cs="Times New Roman"/>
          <w:color w:val="auto"/>
          <w:kern w:val="0"/>
          <w:sz w:val="24"/>
          <w:szCs w:val="24"/>
          <w:vertAlign w:val="superscript"/>
          <w:lang w:bidi="ar"/>
        </w:rPr>
        <w:t>+</w:t>
      </w:r>
      <w:r>
        <w:rPr>
          <w:rFonts w:hint="default" w:ascii="Times New Roman" w:hAnsi="Times New Roman" w:cs="Times New Roman"/>
          <w:color w:val="auto"/>
          <w:kern w:val="0"/>
          <w:sz w:val="24"/>
          <w:szCs w:val="24"/>
          <w:lang w:bidi="ar"/>
        </w:rPr>
        <w:t>、Na</w:t>
      </w:r>
      <w:r>
        <w:rPr>
          <w:rFonts w:hint="default" w:ascii="Times New Roman" w:hAnsi="Times New Roman" w:cs="Times New Roman"/>
          <w:color w:val="auto"/>
          <w:kern w:val="0"/>
          <w:sz w:val="24"/>
          <w:szCs w:val="24"/>
          <w:vertAlign w:val="superscript"/>
          <w:lang w:bidi="ar"/>
        </w:rPr>
        <w:t>+</w:t>
      </w:r>
      <w:r>
        <w:rPr>
          <w:rFonts w:hint="default" w:ascii="Times New Roman" w:hAnsi="Times New Roman" w:cs="Times New Roman"/>
          <w:color w:val="auto"/>
          <w:kern w:val="0"/>
          <w:sz w:val="24"/>
          <w:szCs w:val="24"/>
          <w:lang w:bidi="ar"/>
        </w:rPr>
        <w:t>、Ca</w:t>
      </w:r>
      <w:r>
        <w:rPr>
          <w:rFonts w:hint="default" w:ascii="Times New Roman" w:hAnsi="Times New Roman" w:cs="Times New Roman"/>
          <w:color w:val="auto"/>
          <w:kern w:val="0"/>
          <w:sz w:val="24"/>
          <w:szCs w:val="24"/>
          <w:vertAlign w:val="superscript"/>
          <w:lang w:bidi="ar"/>
        </w:rPr>
        <w:t>2+</w:t>
      </w:r>
      <w:r>
        <w:rPr>
          <w:rFonts w:hint="default" w:ascii="Times New Roman" w:hAnsi="Times New Roman" w:cs="Times New Roman"/>
          <w:color w:val="auto"/>
          <w:kern w:val="0"/>
          <w:sz w:val="24"/>
          <w:szCs w:val="24"/>
          <w:lang w:bidi="ar"/>
        </w:rPr>
        <w:t>、Mg</w:t>
      </w:r>
      <w:r>
        <w:rPr>
          <w:rFonts w:hint="default" w:ascii="Times New Roman" w:hAnsi="Times New Roman" w:cs="Times New Roman"/>
          <w:color w:val="auto"/>
          <w:kern w:val="0"/>
          <w:sz w:val="24"/>
          <w:szCs w:val="24"/>
          <w:vertAlign w:val="superscript"/>
          <w:lang w:bidi="ar"/>
        </w:rPr>
        <w:t>2+</w:t>
      </w:r>
      <w:r>
        <w:rPr>
          <w:rFonts w:hint="default" w:ascii="Times New Roman" w:hAnsi="Times New Roman" w:cs="Times New Roman"/>
          <w:color w:val="auto"/>
          <w:kern w:val="0"/>
          <w:sz w:val="24"/>
          <w:szCs w:val="24"/>
          <w:lang w:bidi="ar"/>
        </w:rPr>
        <w:t>、CO</w:t>
      </w:r>
      <w:r>
        <w:rPr>
          <w:rFonts w:hint="default" w:ascii="Times New Roman" w:hAnsi="Times New Roman" w:cs="Times New Roman"/>
          <w:color w:val="auto"/>
          <w:kern w:val="0"/>
          <w:sz w:val="24"/>
          <w:szCs w:val="24"/>
          <w:vertAlign w:val="subscript"/>
          <w:lang w:bidi="ar"/>
        </w:rPr>
        <w:t>3</w:t>
      </w:r>
      <w:r>
        <w:rPr>
          <w:rFonts w:hint="default" w:ascii="Times New Roman" w:hAnsi="Times New Roman" w:cs="Times New Roman"/>
          <w:color w:val="auto"/>
          <w:kern w:val="0"/>
          <w:sz w:val="24"/>
          <w:szCs w:val="24"/>
          <w:vertAlign w:val="superscript"/>
          <w:lang w:bidi="ar"/>
        </w:rPr>
        <w:t>2-</w:t>
      </w:r>
      <w:r>
        <w:rPr>
          <w:rFonts w:hint="default" w:ascii="Times New Roman" w:hAnsi="Times New Roman" w:cs="Times New Roman"/>
          <w:color w:val="auto"/>
          <w:kern w:val="0"/>
          <w:sz w:val="24"/>
          <w:szCs w:val="24"/>
          <w:lang w:bidi="ar"/>
        </w:rPr>
        <w:t>、HCO</w:t>
      </w:r>
      <w:r>
        <w:rPr>
          <w:rFonts w:hint="default" w:ascii="Times New Roman" w:hAnsi="Times New Roman" w:cs="Times New Roman"/>
          <w:color w:val="auto"/>
          <w:kern w:val="0"/>
          <w:sz w:val="24"/>
          <w:szCs w:val="24"/>
          <w:vertAlign w:val="subscript"/>
          <w:lang w:bidi="ar"/>
        </w:rPr>
        <w:t>3</w:t>
      </w:r>
      <w:r>
        <w:rPr>
          <w:rFonts w:hint="default" w:ascii="Times New Roman" w:hAnsi="Times New Roman" w:cs="Times New Roman"/>
          <w:color w:val="auto"/>
          <w:kern w:val="0"/>
          <w:sz w:val="24"/>
          <w:szCs w:val="24"/>
          <w:vertAlign w:val="superscript"/>
          <w:lang w:bidi="ar"/>
        </w:rPr>
        <w:t>-</w:t>
      </w:r>
      <w:r>
        <w:rPr>
          <w:rFonts w:hint="default" w:ascii="Times New Roman" w:hAnsi="Times New Roman" w:cs="Times New Roman"/>
          <w:color w:val="auto"/>
          <w:kern w:val="0"/>
          <w:sz w:val="24"/>
          <w:szCs w:val="24"/>
          <w:lang w:bidi="ar"/>
        </w:rPr>
        <w:t>、Cl</w:t>
      </w:r>
      <w:r>
        <w:rPr>
          <w:rFonts w:hint="default" w:ascii="Times New Roman" w:hAnsi="Times New Roman" w:cs="Times New Roman"/>
          <w:color w:val="auto"/>
          <w:kern w:val="0"/>
          <w:sz w:val="24"/>
          <w:szCs w:val="24"/>
          <w:vertAlign w:val="superscript"/>
          <w:lang w:bidi="ar"/>
        </w:rPr>
        <w:t>-</w:t>
      </w:r>
      <w:r>
        <w:rPr>
          <w:rFonts w:hint="default" w:ascii="Times New Roman" w:hAnsi="Times New Roman" w:cs="Times New Roman"/>
          <w:color w:val="auto"/>
          <w:kern w:val="0"/>
          <w:sz w:val="24"/>
          <w:szCs w:val="24"/>
          <w:lang w:bidi="ar"/>
        </w:rPr>
        <w:t>、SO</w:t>
      </w:r>
      <w:r>
        <w:rPr>
          <w:rFonts w:hint="default" w:ascii="Times New Roman" w:hAnsi="Times New Roman" w:cs="Times New Roman"/>
          <w:color w:val="auto"/>
          <w:kern w:val="0"/>
          <w:sz w:val="24"/>
          <w:szCs w:val="24"/>
          <w:vertAlign w:val="subscript"/>
          <w:lang w:bidi="ar"/>
        </w:rPr>
        <w:t>4</w:t>
      </w:r>
      <w:r>
        <w:rPr>
          <w:rFonts w:hint="default" w:ascii="Times New Roman" w:hAnsi="Times New Roman" w:cs="Times New Roman"/>
          <w:color w:val="auto"/>
          <w:kern w:val="0"/>
          <w:sz w:val="24"/>
          <w:szCs w:val="24"/>
          <w:vertAlign w:val="superscript"/>
          <w:lang w:bidi="ar"/>
        </w:rPr>
        <w:t>2-</w:t>
      </w:r>
      <w:r>
        <w:rPr>
          <w:rFonts w:hint="default" w:ascii="Times New Roman" w:hAnsi="Times New Roman" w:cs="Times New Roman"/>
          <w:color w:val="auto"/>
          <w:kern w:val="0"/>
          <w:sz w:val="24"/>
          <w:szCs w:val="24"/>
          <w:lang w:bidi="ar"/>
        </w:rPr>
        <w:t>，pH、氨氮、硝酸盐、亚硝酸盐、挥发性酚类、氰化物、砷、汞、六价铬、总硬度、铅、氟化物、镉、铁、锰、溶解性总固体、耗氧量（高锰酸盐指数）、硫酸盐、氯化物、总大肠菌群、细菌总数</w:t>
      </w:r>
      <w:r>
        <w:rPr>
          <w:rFonts w:hint="default" w:ascii="Times New Roman" w:hAnsi="Times New Roman" w:cs="Times New Roman"/>
          <w:color w:val="auto"/>
          <w:sz w:val="24"/>
          <w:szCs w:val="24"/>
        </w:rPr>
        <w:t>。</w:t>
      </w:r>
    </w:p>
    <w:p w14:paraId="0C596A6F">
      <w:pPr>
        <w:snapToGrid w:val="0"/>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w:t>
      </w:r>
      <w:r>
        <w:rPr>
          <w:rFonts w:hint="default" w:ascii="Times New Roman" w:hAnsi="Times New Roman" w:cs="Times New Roman"/>
          <w:b/>
          <w:color w:val="auto"/>
          <w:sz w:val="24"/>
          <w:szCs w:val="24"/>
          <w:lang w:val="en-US" w:eastAsia="zh-CN"/>
        </w:rPr>
        <w:t>引用</w:t>
      </w:r>
      <w:r>
        <w:rPr>
          <w:rFonts w:hint="default" w:ascii="Times New Roman" w:hAnsi="Times New Roman" w:cs="Times New Roman"/>
          <w:b/>
          <w:color w:val="auto"/>
          <w:sz w:val="24"/>
          <w:szCs w:val="24"/>
        </w:rPr>
        <w:t>地下水监测结果</w:t>
      </w:r>
    </w:p>
    <w:p w14:paraId="1938D835">
      <w:pPr>
        <w:adjustRightInd w:val="0"/>
        <w:snapToGrid w:val="0"/>
        <w:spacing w:line="276"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表4.3-</w:t>
      </w:r>
      <w:r>
        <w:rPr>
          <w:rFonts w:hint="default" w:ascii="Times New Roman" w:hAnsi="Times New Roman" w:cs="Times New Roman"/>
          <w:b/>
          <w:color w:val="auto"/>
          <w:sz w:val="21"/>
          <w:szCs w:val="21"/>
          <w:lang w:val="en-US" w:eastAsia="zh-CN"/>
        </w:rPr>
        <w:t xml:space="preserve">3 </w:t>
      </w:r>
      <w:r>
        <w:rPr>
          <w:rFonts w:hint="default" w:ascii="Times New Roman" w:hAnsi="Times New Roman" w:cs="Times New Roman"/>
          <w:b/>
          <w:color w:val="auto"/>
          <w:sz w:val="21"/>
          <w:szCs w:val="21"/>
        </w:rPr>
        <w:t xml:space="preserve"> </w:t>
      </w:r>
      <w:r>
        <w:rPr>
          <w:rFonts w:hint="default" w:ascii="Times New Roman" w:hAnsi="Times New Roman" w:cs="Times New Roman"/>
          <w:b/>
          <w:color w:val="auto"/>
          <w:sz w:val="21"/>
          <w:szCs w:val="21"/>
          <w:lang w:val="en-US" w:eastAsia="zh-CN"/>
        </w:rPr>
        <w:t>引用</w:t>
      </w:r>
      <w:r>
        <w:rPr>
          <w:rFonts w:hint="default" w:ascii="Times New Roman" w:hAnsi="Times New Roman" w:cs="Times New Roman"/>
          <w:b/>
          <w:color w:val="auto"/>
          <w:sz w:val="21"/>
          <w:szCs w:val="21"/>
        </w:rPr>
        <w:t>地下水监测结果一览表 单位：pH无量纲，其他指标单位为mg/L</w:t>
      </w:r>
    </w:p>
    <w:tbl>
      <w:tblPr>
        <w:tblStyle w:val="23"/>
        <w:tblW w:w="8954"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30"/>
        <w:gridCol w:w="1362"/>
        <w:gridCol w:w="1373"/>
        <w:gridCol w:w="1339"/>
        <w:gridCol w:w="1225"/>
        <w:gridCol w:w="1394"/>
        <w:gridCol w:w="831"/>
      </w:tblGrid>
      <w:tr w14:paraId="15D35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C75DBEE">
            <w:pPr>
              <w:spacing w:line="240" w:lineRule="auto"/>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点位</w:t>
            </w:r>
          </w:p>
        </w:tc>
        <w:tc>
          <w:tcPr>
            <w:tcW w:w="4074" w:type="dxa"/>
            <w:gridSpan w:val="3"/>
            <w:vAlign w:val="center"/>
          </w:tcPr>
          <w:p w14:paraId="15A88706">
            <w:pPr>
              <w:spacing w:line="240" w:lineRule="auto"/>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lang w:val="en-US" w:eastAsia="zh-CN"/>
              </w:rPr>
              <w:t>林场水井</w:t>
            </w:r>
          </w:p>
        </w:tc>
        <w:tc>
          <w:tcPr>
            <w:tcW w:w="1225" w:type="dxa"/>
            <w:vMerge w:val="restart"/>
            <w:vAlign w:val="center"/>
          </w:tcPr>
          <w:p w14:paraId="247F6575">
            <w:pPr>
              <w:spacing w:line="240" w:lineRule="auto"/>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标准值≤</w:t>
            </w:r>
          </w:p>
        </w:tc>
        <w:tc>
          <w:tcPr>
            <w:tcW w:w="1394" w:type="dxa"/>
            <w:vMerge w:val="restart"/>
            <w:vAlign w:val="center"/>
          </w:tcPr>
          <w:p w14:paraId="12FFAB9E">
            <w:pPr>
              <w:spacing w:line="240" w:lineRule="auto"/>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Sij</w:t>
            </w:r>
          </w:p>
        </w:tc>
        <w:tc>
          <w:tcPr>
            <w:tcW w:w="831" w:type="dxa"/>
            <w:vMerge w:val="restart"/>
            <w:vAlign w:val="center"/>
          </w:tcPr>
          <w:p w14:paraId="7F149206">
            <w:pPr>
              <w:spacing w:line="240" w:lineRule="auto"/>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达标情况</w:t>
            </w:r>
          </w:p>
        </w:tc>
      </w:tr>
      <w:tr w14:paraId="1C9255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Merge w:val="restart"/>
            <w:vAlign w:val="center"/>
          </w:tcPr>
          <w:p w14:paraId="7FD19983">
            <w:pPr>
              <w:spacing w:line="240" w:lineRule="auto"/>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检测项目</w:t>
            </w:r>
          </w:p>
        </w:tc>
        <w:tc>
          <w:tcPr>
            <w:tcW w:w="4074" w:type="dxa"/>
            <w:gridSpan w:val="3"/>
            <w:vAlign w:val="center"/>
          </w:tcPr>
          <w:p w14:paraId="4D8C121E">
            <w:pPr>
              <w:spacing w:line="240" w:lineRule="auto"/>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检测日期</w:t>
            </w:r>
          </w:p>
        </w:tc>
        <w:tc>
          <w:tcPr>
            <w:tcW w:w="1225" w:type="dxa"/>
            <w:vMerge w:val="continue"/>
            <w:vAlign w:val="center"/>
          </w:tcPr>
          <w:p w14:paraId="746B327F">
            <w:pPr>
              <w:spacing w:line="240" w:lineRule="auto"/>
              <w:jc w:val="center"/>
              <w:rPr>
                <w:rFonts w:hint="default" w:ascii="Times New Roman" w:hAnsi="Times New Roman" w:cs="Times New Roman"/>
                <w:color w:val="auto"/>
                <w:sz w:val="18"/>
                <w:szCs w:val="18"/>
                <w:highlight w:val="none"/>
              </w:rPr>
            </w:pPr>
          </w:p>
        </w:tc>
        <w:tc>
          <w:tcPr>
            <w:tcW w:w="1394" w:type="dxa"/>
            <w:vMerge w:val="continue"/>
            <w:vAlign w:val="center"/>
          </w:tcPr>
          <w:p w14:paraId="65079224">
            <w:pPr>
              <w:spacing w:line="240" w:lineRule="auto"/>
              <w:jc w:val="center"/>
              <w:rPr>
                <w:rFonts w:hint="default" w:ascii="Times New Roman" w:hAnsi="Times New Roman" w:cs="Times New Roman"/>
                <w:color w:val="auto"/>
                <w:sz w:val="18"/>
                <w:szCs w:val="18"/>
                <w:highlight w:val="none"/>
              </w:rPr>
            </w:pPr>
          </w:p>
        </w:tc>
        <w:tc>
          <w:tcPr>
            <w:tcW w:w="831" w:type="dxa"/>
            <w:vMerge w:val="continue"/>
            <w:vAlign w:val="center"/>
          </w:tcPr>
          <w:p w14:paraId="1BF08B42">
            <w:pPr>
              <w:spacing w:line="240" w:lineRule="auto"/>
              <w:jc w:val="center"/>
              <w:rPr>
                <w:rFonts w:hint="default" w:ascii="Times New Roman" w:hAnsi="Times New Roman" w:cs="Times New Roman"/>
                <w:color w:val="auto"/>
                <w:sz w:val="18"/>
                <w:szCs w:val="18"/>
                <w:highlight w:val="none"/>
              </w:rPr>
            </w:pPr>
          </w:p>
        </w:tc>
      </w:tr>
      <w:tr w14:paraId="26C435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Merge w:val="continue"/>
            <w:vAlign w:val="center"/>
          </w:tcPr>
          <w:p w14:paraId="635A745C">
            <w:pPr>
              <w:spacing w:line="240" w:lineRule="auto"/>
              <w:jc w:val="center"/>
              <w:rPr>
                <w:rFonts w:hint="default" w:ascii="Times New Roman" w:hAnsi="Times New Roman" w:cs="Times New Roman"/>
                <w:b/>
                <w:color w:val="auto"/>
                <w:sz w:val="18"/>
                <w:szCs w:val="18"/>
                <w:highlight w:val="none"/>
              </w:rPr>
            </w:pPr>
          </w:p>
        </w:tc>
        <w:tc>
          <w:tcPr>
            <w:tcW w:w="1362" w:type="dxa"/>
            <w:vAlign w:val="center"/>
          </w:tcPr>
          <w:p w14:paraId="1EA684EA">
            <w:pPr>
              <w:spacing w:line="240" w:lineRule="auto"/>
              <w:jc w:val="center"/>
              <w:rPr>
                <w:rFonts w:hint="default" w:ascii="Times New Roman" w:hAnsi="Times New Roman" w:eastAsia="宋体" w:cs="Times New Roman"/>
                <w:b/>
                <w:color w:val="auto"/>
                <w:sz w:val="18"/>
                <w:szCs w:val="18"/>
                <w:highlight w:val="none"/>
                <w:lang w:val="en-US" w:eastAsia="zh-CN"/>
              </w:rPr>
            </w:pPr>
            <w:r>
              <w:rPr>
                <w:rFonts w:hint="default" w:ascii="Times New Roman" w:hAnsi="Times New Roman" w:cs="Times New Roman"/>
                <w:b/>
                <w:color w:val="auto"/>
                <w:sz w:val="18"/>
                <w:szCs w:val="18"/>
                <w:highlight w:val="none"/>
              </w:rPr>
              <w:t>202</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14</w:t>
            </w:r>
          </w:p>
        </w:tc>
        <w:tc>
          <w:tcPr>
            <w:tcW w:w="1373" w:type="dxa"/>
            <w:vAlign w:val="center"/>
          </w:tcPr>
          <w:p w14:paraId="209CEC97">
            <w:pPr>
              <w:spacing w:line="240" w:lineRule="auto"/>
              <w:jc w:val="center"/>
              <w:rPr>
                <w:rFonts w:hint="default" w:ascii="Times New Roman" w:hAnsi="Times New Roman" w:eastAsia="宋体" w:cs="Times New Roman"/>
                <w:b/>
                <w:color w:val="auto"/>
                <w:sz w:val="18"/>
                <w:szCs w:val="18"/>
                <w:highlight w:val="none"/>
                <w:lang w:val="en-US" w:eastAsia="zh-CN"/>
              </w:rPr>
            </w:pPr>
            <w:r>
              <w:rPr>
                <w:rFonts w:hint="default" w:ascii="Times New Roman" w:hAnsi="Times New Roman" w:cs="Times New Roman"/>
                <w:b/>
                <w:color w:val="auto"/>
                <w:sz w:val="18"/>
                <w:szCs w:val="18"/>
                <w:highlight w:val="none"/>
              </w:rPr>
              <w:t>202</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15</w:t>
            </w:r>
          </w:p>
        </w:tc>
        <w:tc>
          <w:tcPr>
            <w:tcW w:w="1339" w:type="dxa"/>
            <w:vAlign w:val="center"/>
          </w:tcPr>
          <w:p w14:paraId="797DC19C">
            <w:pPr>
              <w:spacing w:line="240" w:lineRule="auto"/>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202</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16</w:t>
            </w:r>
          </w:p>
        </w:tc>
        <w:tc>
          <w:tcPr>
            <w:tcW w:w="1225" w:type="dxa"/>
            <w:vMerge w:val="continue"/>
            <w:vAlign w:val="center"/>
          </w:tcPr>
          <w:p w14:paraId="0853E322">
            <w:pPr>
              <w:spacing w:line="240" w:lineRule="auto"/>
              <w:jc w:val="center"/>
              <w:rPr>
                <w:rFonts w:hint="default" w:ascii="Times New Roman" w:hAnsi="Times New Roman" w:cs="Times New Roman"/>
                <w:color w:val="auto"/>
                <w:sz w:val="18"/>
                <w:szCs w:val="18"/>
                <w:highlight w:val="none"/>
              </w:rPr>
            </w:pPr>
          </w:p>
        </w:tc>
        <w:tc>
          <w:tcPr>
            <w:tcW w:w="1394" w:type="dxa"/>
            <w:vMerge w:val="continue"/>
            <w:vAlign w:val="center"/>
          </w:tcPr>
          <w:p w14:paraId="11B71556">
            <w:pPr>
              <w:spacing w:line="240" w:lineRule="auto"/>
              <w:jc w:val="center"/>
              <w:rPr>
                <w:rFonts w:hint="default" w:ascii="Times New Roman" w:hAnsi="Times New Roman" w:cs="Times New Roman"/>
                <w:color w:val="auto"/>
                <w:sz w:val="18"/>
                <w:szCs w:val="18"/>
                <w:highlight w:val="none"/>
              </w:rPr>
            </w:pPr>
          </w:p>
        </w:tc>
        <w:tc>
          <w:tcPr>
            <w:tcW w:w="831" w:type="dxa"/>
            <w:vMerge w:val="continue"/>
            <w:vAlign w:val="center"/>
          </w:tcPr>
          <w:p w14:paraId="07342F85">
            <w:pPr>
              <w:spacing w:line="240" w:lineRule="auto"/>
              <w:jc w:val="center"/>
              <w:rPr>
                <w:rFonts w:hint="default" w:ascii="Times New Roman" w:hAnsi="Times New Roman" w:cs="Times New Roman"/>
                <w:color w:val="auto"/>
                <w:sz w:val="18"/>
                <w:szCs w:val="18"/>
                <w:highlight w:val="none"/>
              </w:rPr>
            </w:pPr>
          </w:p>
        </w:tc>
      </w:tr>
      <w:tr w14:paraId="0F6613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D6DFB2F">
            <w:pPr>
              <w:snapToGrid w:val="0"/>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pH</w:t>
            </w:r>
          </w:p>
        </w:tc>
        <w:tc>
          <w:tcPr>
            <w:tcW w:w="1362" w:type="dxa"/>
            <w:vAlign w:val="center"/>
          </w:tcPr>
          <w:p w14:paraId="346A75E2">
            <w:pPr>
              <w:snapToGrid w:val="0"/>
              <w:spacing w:line="0" w:lineRule="atLeast"/>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en-US" w:eastAsia="zh-CN"/>
              </w:rPr>
              <w:t>8.0</w:t>
            </w:r>
          </w:p>
        </w:tc>
        <w:tc>
          <w:tcPr>
            <w:tcW w:w="1373" w:type="dxa"/>
            <w:vAlign w:val="center"/>
          </w:tcPr>
          <w:p w14:paraId="756A62A0">
            <w:pPr>
              <w:snapToGrid w:val="0"/>
              <w:spacing w:line="0" w:lineRule="atLeast"/>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en-US" w:eastAsia="zh-CN"/>
              </w:rPr>
              <w:t>8.0</w:t>
            </w:r>
          </w:p>
        </w:tc>
        <w:tc>
          <w:tcPr>
            <w:tcW w:w="1339" w:type="dxa"/>
            <w:vAlign w:val="center"/>
          </w:tcPr>
          <w:p w14:paraId="29A012AC">
            <w:pPr>
              <w:snapToGrid w:val="0"/>
              <w:spacing w:line="0" w:lineRule="atLeast"/>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en-US" w:eastAsia="zh-CN"/>
              </w:rPr>
              <w:t>7.9</w:t>
            </w:r>
          </w:p>
        </w:tc>
        <w:tc>
          <w:tcPr>
            <w:tcW w:w="1225" w:type="dxa"/>
            <w:vAlign w:val="center"/>
          </w:tcPr>
          <w:p w14:paraId="13B3024B">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6.5~8.5</w:t>
            </w:r>
          </w:p>
        </w:tc>
        <w:tc>
          <w:tcPr>
            <w:tcW w:w="1394" w:type="dxa"/>
            <w:vAlign w:val="center"/>
          </w:tcPr>
          <w:p w14:paraId="3C75B591">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517E213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14:paraId="487577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1" w:hRule="atLeast"/>
        </w:trPr>
        <w:tc>
          <w:tcPr>
            <w:tcW w:w="1430" w:type="dxa"/>
            <w:vAlign w:val="center"/>
          </w:tcPr>
          <w:p w14:paraId="7A2D839F">
            <w:pPr>
              <w:snapToGrid w:val="0"/>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K</w:t>
            </w:r>
            <w:r>
              <w:rPr>
                <w:rFonts w:hint="default" w:ascii="Times New Roman" w:hAnsi="Times New Roman" w:cs="Times New Roman"/>
                <w:color w:val="auto"/>
                <w:sz w:val="18"/>
                <w:szCs w:val="18"/>
                <w:highlight w:val="none"/>
                <w:vertAlign w:val="superscript"/>
              </w:rPr>
              <w:t>+</w:t>
            </w:r>
          </w:p>
        </w:tc>
        <w:tc>
          <w:tcPr>
            <w:tcW w:w="1362" w:type="dxa"/>
            <w:vAlign w:val="center"/>
          </w:tcPr>
          <w:p w14:paraId="04693DB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3.62</w:t>
            </w:r>
          </w:p>
        </w:tc>
        <w:tc>
          <w:tcPr>
            <w:tcW w:w="1373" w:type="dxa"/>
            <w:vAlign w:val="center"/>
          </w:tcPr>
          <w:p w14:paraId="0099BF61">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3.77</w:t>
            </w:r>
          </w:p>
        </w:tc>
        <w:tc>
          <w:tcPr>
            <w:tcW w:w="1339" w:type="dxa"/>
            <w:vAlign w:val="center"/>
          </w:tcPr>
          <w:p w14:paraId="73C07A8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3.78</w:t>
            </w:r>
          </w:p>
        </w:tc>
        <w:tc>
          <w:tcPr>
            <w:tcW w:w="1225" w:type="dxa"/>
            <w:vAlign w:val="center"/>
          </w:tcPr>
          <w:p w14:paraId="59302E23">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394" w:type="dxa"/>
            <w:vAlign w:val="center"/>
          </w:tcPr>
          <w:p w14:paraId="55BAAF40">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3D2BDED7">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7511DB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F1F3ED9">
            <w:pPr>
              <w:snapToGrid w:val="0"/>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Na</w:t>
            </w:r>
            <w:r>
              <w:rPr>
                <w:rFonts w:hint="default" w:ascii="Times New Roman" w:hAnsi="Times New Roman" w:cs="Times New Roman"/>
                <w:color w:val="auto"/>
                <w:sz w:val="18"/>
                <w:szCs w:val="18"/>
                <w:highlight w:val="none"/>
                <w:vertAlign w:val="superscript"/>
              </w:rPr>
              <w:t>+</w:t>
            </w:r>
          </w:p>
        </w:tc>
        <w:tc>
          <w:tcPr>
            <w:tcW w:w="1362" w:type="dxa"/>
            <w:vAlign w:val="center"/>
          </w:tcPr>
          <w:p w14:paraId="0E68FC0B">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2.32</w:t>
            </w:r>
          </w:p>
        </w:tc>
        <w:tc>
          <w:tcPr>
            <w:tcW w:w="1373" w:type="dxa"/>
            <w:vAlign w:val="center"/>
          </w:tcPr>
          <w:p w14:paraId="34D5FB48">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2.37</w:t>
            </w:r>
          </w:p>
        </w:tc>
        <w:tc>
          <w:tcPr>
            <w:tcW w:w="1339" w:type="dxa"/>
            <w:vAlign w:val="center"/>
          </w:tcPr>
          <w:p w14:paraId="0161A52A">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2.39</w:t>
            </w:r>
          </w:p>
        </w:tc>
        <w:tc>
          <w:tcPr>
            <w:tcW w:w="1225" w:type="dxa"/>
            <w:vAlign w:val="center"/>
          </w:tcPr>
          <w:p w14:paraId="0130DDA7">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394" w:type="dxa"/>
            <w:vAlign w:val="center"/>
          </w:tcPr>
          <w:p w14:paraId="0A0C4829">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7C0C8E60">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13F83B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49D20CFC">
            <w:pPr>
              <w:snapToGrid w:val="0"/>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Ca</w:t>
            </w:r>
            <w:r>
              <w:rPr>
                <w:rFonts w:hint="default" w:ascii="Times New Roman" w:hAnsi="Times New Roman" w:cs="Times New Roman"/>
                <w:color w:val="auto"/>
                <w:sz w:val="18"/>
                <w:szCs w:val="18"/>
                <w:highlight w:val="none"/>
                <w:vertAlign w:val="superscript"/>
              </w:rPr>
              <w:t>2+</w:t>
            </w:r>
          </w:p>
        </w:tc>
        <w:tc>
          <w:tcPr>
            <w:tcW w:w="1362" w:type="dxa"/>
            <w:vAlign w:val="center"/>
          </w:tcPr>
          <w:p w14:paraId="5F1A50CE">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77.9</w:t>
            </w:r>
          </w:p>
        </w:tc>
        <w:tc>
          <w:tcPr>
            <w:tcW w:w="1373" w:type="dxa"/>
            <w:vAlign w:val="center"/>
          </w:tcPr>
          <w:p w14:paraId="7059A398">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78.2</w:t>
            </w:r>
          </w:p>
        </w:tc>
        <w:tc>
          <w:tcPr>
            <w:tcW w:w="1339" w:type="dxa"/>
            <w:vAlign w:val="center"/>
          </w:tcPr>
          <w:p w14:paraId="20B0062B">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78.5</w:t>
            </w:r>
          </w:p>
        </w:tc>
        <w:tc>
          <w:tcPr>
            <w:tcW w:w="1225" w:type="dxa"/>
            <w:vAlign w:val="center"/>
          </w:tcPr>
          <w:p w14:paraId="5965CBCC">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394" w:type="dxa"/>
            <w:vAlign w:val="center"/>
          </w:tcPr>
          <w:p w14:paraId="5C4B345A">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6F8299AA">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5DA80F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C876416">
            <w:pPr>
              <w:snapToGrid w:val="0"/>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w:t>
            </w:r>
            <w:r>
              <w:rPr>
                <w:rFonts w:hint="default" w:ascii="Times New Roman" w:hAnsi="Times New Roman" w:cs="Times New Roman"/>
                <w:color w:val="auto"/>
                <w:sz w:val="18"/>
                <w:szCs w:val="18"/>
                <w:highlight w:val="none"/>
                <w:vertAlign w:val="superscript"/>
              </w:rPr>
              <w:t>2+</w:t>
            </w:r>
          </w:p>
        </w:tc>
        <w:tc>
          <w:tcPr>
            <w:tcW w:w="1362" w:type="dxa"/>
            <w:vAlign w:val="center"/>
          </w:tcPr>
          <w:p w14:paraId="465BB8D4">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23.7</w:t>
            </w:r>
          </w:p>
        </w:tc>
        <w:tc>
          <w:tcPr>
            <w:tcW w:w="1373" w:type="dxa"/>
            <w:vAlign w:val="center"/>
          </w:tcPr>
          <w:p w14:paraId="509B1AFA">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23.9</w:t>
            </w:r>
          </w:p>
        </w:tc>
        <w:tc>
          <w:tcPr>
            <w:tcW w:w="1339" w:type="dxa"/>
            <w:vAlign w:val="center"/>
          </w:tcPr>
          <w:p w14:paraId="4ABFCD31">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24.0</w:t>
            </w:r>
          </w:p>
        </w:tc>
        <w:tc>
          <w:tcPr>
            <w:tcW w:w="1225" w:type="dxa"/>
            <w:vAlign w:val="center"/>
          </w:tcPr>
          <w:p w14:paraId="6C9EBDF5">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394" w:type="dxa"/>
            <w:vAlign w:val="center"/>
          </w:tcPr>
          <w:p w14:paraId="11E59969">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3CB58AD7">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4CE309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E9256AF">
            <w:pPr>
              <w:snapToGrid w:val="0"/>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CO</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vertAlign w:val="superscript"/>
              </w:rPr>
              <w:t>2-</w:t>
            </w:r>
          </w:p>
        </w:tc>
        <w:tc>
          <w:tcPr>
            <w:tcW w:w="1362" w:type="dxa"/>
            <w:vAlign w:val="center"/>
          </w:tcPr>
          <w:p w14:paraId="67E36E36">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31</w:t>
            </w:r>
          </w:p>
        </w:tc>
        <w:tc>
          <w:tcPr>
            <w:tcW w:w="1373" w:type="dxa"/>
            <w:vAlign w:val="center"/>
          </w:tcPr>
          <w:p w14:paraId="36C081FA">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30</w:t>
            </w:r>
          </w:p>
        </w:tc>
        <w:tc>
          <w:tcPr>
            <w:tcW w:w="1339" w:type="dxa"/>
            <w:vAlign w:val="center"/>
          </w:tcPr>
          <w:p w14:paraId="560EEDBB">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33</w:t>
            </w:r>
          </w:p>
        </w:tc>
        <w:tc>
          <w:tcPr>
            <w:tcW w:w="1225" w:type="dxa"/>
            <w:vAlign w:val="center"/>
          </w:tcPr>
          <w:p w14:paraId="66BD1E4B">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394" w:type="dxa"/>
            <w:vAlign w:val="center"/>
          </w:tcPr>
          <w:p w14:paraId="60B76B0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6F982AF4">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600CCF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0E9944C1">
            <w:pPr>
              <w:snapToGrid w:val="0"/>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HCO</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vertAlign w:val="superscript"/>
              </w:rPr>
              <w:t>-</w:t>
            </w:r>
          </w:p>
        </w:tc>
        <w:tc>
          <w:tcPr>
            <w:tcW w:w="1362" w:type="dxa"/>
            <w:vAlign w:val="center"/>
          </w:tcPr>
          <w:p w14:paraId="5FCE122F">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289</w:t>
            </w:r>
          </w:p>
        </w:tc>
        <w:tc>
          <w:tcPr>
            <w:tcW w:w="1373" w:type="dxa"/>
            <w:vAlign w:val="center"/>
          </w:tcPr>
          <w:p w14:paraId="0A70D04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287</w:t>
            </w:r>
          </w:p>
        </w:tc>
        <w:tc>
          <w:tcPr>
            <w:tcW w:w="1339" w:type="dxa"/>
            <w:vAlign w:val="center"/>
          </w:tcPr>
          <w:p w14:paraId="7E27BA21">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291</w:t>
            </w:r>
          </w:p>
        </w:tc>
        <w:tc>
          <w:tcPr>
            <w:tcW w:w="1225" w:type="dxa"/>
            <w:vAlign w:val="center"/>
          </w:tcPr>
          <w:p w14:paraId="7A0710E9">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394" w:type="dxa"/>
            <w:vAlign w:val="center"/>
          </w:tcPr>
          <w:p w14:paraId="72899B0C">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310E284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245AC0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E3CA623">
            <w:pPr>
              <w:snapToGrid w:val="0"/>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Cl</w:t>
            </w:r>
            <w:r>
              <w:rPr>
                <w:rFonts w:hint="default" w:ascii="Times New Roman" w:hAnsi="Times New Roman" w:cs="Times New Roman"/>
                <w:color w:val="auto"/>
                <w:sz w:val="18"/>
                <w:szCs w:val="18"/>
                <w:highlight w:val="none"/>
                <w:vertAlign w:val="superscript"/>
              </w:rPr>
              <w:t>-</w:t>
            </w:r>
          </w:p>
        </w:tc>
        <w:tc>
          <w:tcPr>
            <w:tcW w:w="1362" w:type="dxa"/>
            <w:vAlign w:val="center"/>
          </w:tcPr>
          <w:p w14:paraId="06B16F33">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0.861</w:t>
            </w:r>
          </w:p>
        </w:tc>
        <w:tc>
          <w:tcPr>
            <w:tcW w:w="1373" w:type="dxa"/>
            <w:vAlign w:val="center"/>
          </w:tcPr>
          <w:p w14:paraId="30DC9E54">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0.909</w:t>
            </w:r>
          </w:p>
        </w:tc>
        <w:tc>
          <w:tcPr>
            <w:tcW w:w="1339" w:type="dxa"/>
            <w:vAlign w:val="center"/>
          </w:tcPr>
          <w:p w14:paraId="64DE091A">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0.952</w:t>
            </w:r>
          </w:p>
        </w:tc>
        <w:tc>
          <w:tcPr>
            <w:tcW w:w="1225" w:type="dxa"/>
            <w:vAlign w:val="center"/>
          </w:tcPr>
          <w:p w14:paraId="196ABAC9">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394" w:type="dxa"/>
            <w:vAlign w:val="center"/>
          </w:tcPr>
          <w:p w14:paraId="02B293EB">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020F97C6">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1B624B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0FAE8B5">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SO</w:t>
            </w:r>
            <w:r>
              <w:rPr>
                <w:rFonts w:hint="default" w:ascii="Times New Roman" w:hAnsi="Times New Roman" w:cs="Times New Roman"/>
                <w:color w:val="auto"/>
                <w:sz w:val="18"/>
                <w:szCs w:val="18"/>
                <w:highlight w:val="none"/>
                <w:vertAlign w:val="subscript"/>
              </w:rPr>
              <w:t>4</w:t>
            </w:r>
            <w:r>
              <w:rPr>
                <w:rFonts w:hint="default" w:ascii="Times New Roman" w:hAnsi="Times New Roman" w:cs="Times New Roman"/>
                <w:color w:val="auto"/>
                <w:sz w:val="18"/>
                <w:szCs w:val="18"/>
                <w:highlight w:val="none"/>
                <w:vertAlign w:val="superscript"/>
              </w:rPr>
              <w:t>2-</w:t>
            </w:r>
          </w:p>
        </w:tc>
        <w:tc>
          <w:tcPr>
            <w:tcW w:w="1362" w:type="dxa"/>
            <w:vAlign w:val="center"/>
          </w:tcPr>
          <w:p w14:paraId="10225F6F">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2.22</w:t>
            </w:r>
          </w:p>
        </w:tc>
        <w:tc>
          <w:tcPr>
            <w:tcW w:w="1373" w:type="dxa"/>
            <w:vAlign w:val="center"/>
          </w:tcPr>
          <w:p w14:paraId="443C475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2.27</w:t>
            </w:r>
          </w:p>
        </w:tc>
        <w:tc>
          <w:tcPr>
            <w:tcW w:w="1339" w:type="dxa"/>
            <w:vAlign w:val="center"/>
          </w:tcPr>
          <w:p w14:paraId="35B6FBFF">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2.31</w:t>
            </w:r>
          </w:p>
        </w:tc>
        <w:tc>
          <w:tcPr>
            <w:tcW w:w="1225" w:type="dxa"/>
            <w:vAlign w:val="center"/>
          </w:tcPr>
          <w:p w14:paraId="133A4332">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394" w:type="dxa"/>
            <w:vAlign w:val="center"/>
          </w:tcPr>
          <w:p w14:paraId="29076616">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54D58DBC">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219243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0592A4F">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氨氮</w:t>
            </w:r>
          </w:p>
        </w:tc>
        <w:tc>
          <w:tcPr>
            <w:tcW w:w="1362" w:type="dxa"/>
            <w:vAlign w:val="center"/>
          </w:tcPr>
          <w:p w14:paraId="2B8BF1E1">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w:t>
            </w:r>
            <w:r>
              <w:rPr>
                <w:rFonts w:hint="default" w:ascii="Times New Roman" w:hAnsi="Times New Roman" w:eastAsia="仿宋_GB2312" w:cs="Times New Roman"/>
                <w:color w:val="auto"/>
                <w:sz w:val="18"/>
                <w:szCs w:val="18"/>
                <w:highlight w:val="none"/>
                <w:lang w:val="en-US" w:eastAsia="zh-CN"/>
              </w:rPr>
              <w:t>040</w:t>
            </w:r>
          </w:p>
        </w:tc>
        <w:tc>
          <w:tcPr>
            <w:tcW w:w="1373" w:type="dxa"/>
            <w:vAlign w:val="center"/>
          </w:tcPr>
          <w:p w14:paraId="38966B5D">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0.0405</w:t>
            </w:r>
          </w:p>
        </w:tc>
        <w:tc>
          <w:tcPr>
            <w:tcW w:w="1339" w:type="dxa"/>
            <w:vAlign w:val="center"/>
          </w:tcPr>
          <w:p w14:paraId="4EBFB24D">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0.052</w:t>
            </w:r>
          </w:p>
        </w:tc>
        <w:tc>
          <w:tcPr>
            <w:tcW w:w="1225" w:type="dxa"/>
            <w:vAlign w:val="center"/>
          </w:tcPr>
          <w:p w14:paraId="23592778">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0.5</w:t>
            </w:r>
          </w:p>
        </w:tc>
        <w:tc>
          <w:tcPr>
            <w:tcW w:w="1394" w:type="dxa"/>
            <w:vAlign w:val="center"/>
          </w:tcPr>
          <w:p w14:paraId="6CA6A476">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8</w:t>
            </w:r>
            <w:r>
              <w:rPr>
                <w:rFonts w:hint="default" w:ascii="Times New Roman" w:hAnsi="Times New Roman" w:cs="Times New Roman"/>
                <w:color w:val="auto"/>
                <w:sz w:val="18"/>
                <w:szCs w:val="18"/>
                <w:highlight w:val="none"/>
              </w:rPr>
              <w:t>-0.1</w:t>
            </w:r>
            <w:r>
              <w:rPr>
                <w:rFonts w:hint="default" w:ascii="Times New Roman" w:hAnsi="Times New Roman" w:cs="Times New Roman"/>
                <w:color w:val="auto"/>
                <w:sz w:val="18"/>
                <w:szCs w:val="18"/>
                <w:highlight w:val="none"/>
                <w:lang w:val="en-US" w:eastAsia="zh-CN"/>
              </w:rPr>
              <w:t>04</w:t>
            </w:r>
          </w:p>
        </w:tc>
        <w:tc>
          <w:tcPr>
            <w:tcW w:w="831" w:type="dxa"/>
            <w:vAlign w:val="center"/>
          </w:tcPr>
          <w:p w14:paraId="32E55D64">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r>
      <w:tr w14:paraId="748B27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1C3124B">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硝酸盐</w:t>
            </w:r>
          </w:p>
        </w:tc>
        <w:tc>
          <w:tcPr>
            <w:tcW w:w="1362" w:type="dxa"/>
            <w:vAlign w:val="center"/>
          </w:tcPr>
          <w:p w14:paraId="633B2C8F">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0.48</w:t>
            </w:r>
          </w:p>
        </w:tc>
        <w:tc>
          <w:tcPr>
            <w:tcW w:w="1373" w:type="dxa"/>
            <w:vAlign w:val="center"/>
          </w:tcPr>
          <w:p w14:paraId="1FBEFDC0">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0.98</w:t>
            </w:r>
          </w:p>
        </w:tc>
        <w:tc>
          <w:tcPr>
            <w:tcW w:w="1339" w:type="dxa"/>
            <w:vAlign w:val="center"/>
          </w:tcPr>
          <w:p w14:paraId="05ACD415">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1.02</w:t>
            </w:r>
          </w:p>
        </w:tc>
        <w:tc>
          <w:tcPr>
            <w:tcW w:w="1225" w:type="dxa"/>
            <w:vAlign w:val="center"/>
          </w:tcPr>
          <w:p w14:paraId="50E4888E">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20</w:t>
            </w:r>
          </w:p>
        </w:tc>
        <w:tc>
          <w:tcPr>
            <w:tcW w:w="1394" w:type="dxa"/>
            <w:vAlign w:val="center"/>
          </w:tcPr>
          <w:p w14:paraId="1948A203">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24</w:t>
            </w: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51</w:t>
            </w:r>
          </w:p>
        </w:tc>
        <w:tc>
          <w:tcPr>
            <w:tcW w:w="831" w:type="dxa"/>
            <w:vAlign w:val="center"/>
          </w:tcPr>
          <w:p w14:paraId="653FAEAB">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r>
      <w:tr w14:paraId="43D422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2A112150">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亚硝酸盐</w:t>
            </w:r>
          </w:p>
        </w:tc>
        <w:tc>
          <w:tcPr>
            <w:tcW w:w="1362" w:type="dxa"/>
            <w:vAlign w:val="center"/>
          </w:tcPr>
          <w:p w14:paraId="1A6981C7">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0.026</w:t>
            </w:r>
          </w:p>
        </w:tc>
        <w:tc>
          <w:tcPr>
            <w:tcW w:w="1373" w:type="dxa"/>
            <w:vAlign w:val="center"/>
          </w:tcPr>
          <w:p w14:paraId="382CA931">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0.026</w:t>
            </w:r>
          </w:p>
        </w:tc>
        <w:tc>
          <w:tcPr>
            <w:tcW w:w="1339" w:type="dxa"/>
            <w:vAlign w:val="center"/>
          </w:tcPr>
          <w:p w14:paraId="798D138A">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0.027</w:t>
            </w:r>
          </w:p>
        </w:tc>
        <w:tc>
          <w:tcPr>
            <w:tcW w:w="1225" w:type="dxa"/>
            <w:vAlign w:val="center"/>
          </w:tcPr>
          <w:p w14:paraId="34C85CC5">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1.0</w:t>
            </w:r>
          </w:p>
        </w:tc>
        <w:tc>
          <w:tcPr>
            <w:tcW w:w="1394" w:type="dxa"/>
            <w:vAlign w:val="center"/>
          </w:tcPr>
          <w:p w14:paraId="64E892C7">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0.026-0.027</w:t>
            </w:r>
          </w:p>
        </w:tc>
        <w:tc>
          <w:tcPr>
            <w:tcW w:w="831" w:type="dxa"/>
            <w:vAlign w:val="center"/>
          </w:tcPr>
          <w:p w14:paraId="5E435366">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r>
      <w:tr w14:paraId="74BDB5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22D5EB0">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挥发性酚类</w:t>
            </w:r>
          </w:p>
        </w:tc>
        <w:tc>
          <w:tcPr>
            <w:tcW w:w="1362" w:type="dxa"/>
            <w:vAlign w:val="center"/>
          </w:tcPr>
          <w:p w14:paraId="6472636F">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＜0.0003</w:t>
            </w:r>
          </w:p>
        </w:tc>
        <w:tc>
          <w:tcPr>
            <w:tcW w:w="1373" w:type="dxa"/>
            <w:vAlign w:val="center"/>
          </w:tcPr>
          <w:p w14:paraId="7B4D2844">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＜0.0003</w:t>
            </w:r>
          </w:p>
        </w:tc>
        <w:tc>
          <w:tcPr>
            <w:tcW w:w="1339" w:type="dxa"/>
            <w:vAlign w:val="center"/>
          </w:tcPr>
          <w:p w14:paraId="2A4B1861">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＜0.0003</w:t>
            </w:r>
          </w:p>
        </w:tc>
        <w:tc>
          <w:tcPr>
            <w:tcW w:w="1225" w:type="dxa"/>
            <w:vAlign w:val="center"/>
          </w:tcPr>
          <w:p w14:paraId="204FFC78">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0.002</w:t>
            </w:r>
          </w:p>
        </w:tc>
        <w:tc>
          <w:tcPr>
            <w:tcW w:w="1394" w:type="dxa"/>
            <w:vAlign w:val="center"/>
          </w:tcPr>
          <w:p w14:paraId="6511F16F">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75A5217C">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r>
      <w:tr w14:paraId="7E22CC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444B728A">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氰化物</w:t>
            </w:r>
          </w:p>
        </w:tc>
        <w:tc>
          <w:tcPr>
            <w:tcW w:w="1362" w:type="dxa"/>
            <w:vAlign w:val="center"/>
          </w:tcPr>
          <w:p w14:paraId="75E25C4D">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＜0.004</w:t>
            </w:r>
          </w:p>
        </w:tc>
        <w:tc>
          <w:tcPr>
            <w:tcW w:w="1373" w:type="dxa"/>
            <w:vAlign w:val="center"/>
          </w:tcPr>
          <w:p w14:paraId="3182F395">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＜0.004</w:t>
            </w:r>
          </w:p>
        </w:tc>
        <w:tc>
          <w:tcPr>
            <w:tcW w:w="1339" w:type="dxa"/>
            <w:vAlign w:val="center"/>
          </w:tcPr>
          <w:p w14:paraId="222FE4FD">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＜0.004</w:t>
            </w:r>
          </w:p>
        </w:tc>
        <w:tc>
          <w:tcPr>
            <w:tcW w:w="1225" w:type="dxa"/>
            <w:vAlign w:val="center"/>
          </w:tcPr>
          <w:p w14:paraId="504B9138">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0.05</w:t>
            </w:r>
          </w:p>
        </w:tc>
        <w:tc>
          <w:tcPr>
            <w:tcW w:w="1394" w:type="dxa"/>
            <w:vAlign w:val="center"/>
          </w:tcPr>
          <w:p w14:paraId="64279F41">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5D5C4F2F">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r>
      <w:tr w14:paraId="5D68EF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14BA8790">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总硬度</w:t>
            </w:r>
          </w:p>
        </w:tc>
        <w:tc>
          <w:tcPr>
            <w:tcW w:w="1362" w:type="dxa"/>
            <w:vAlign w:val="center"/>
          </w:tcPr>
          <w:p w14:paraId="19D04093">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239</w:t>
            </w:r>
          </w:p>
        </w:tc>
        <w:tc>
          <w:tcPr>
            <w:tcW w:w="1373" w:type="dxa"/>
            <w:vAlign w:val="center"/>
          </w:tcPr>
          <w:p w14:paraId="3D41C1A4">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243</w:t>
            </w:r>
          </w:p>
        </w:tc>
        <w:tc>
          <w:tcPr>
            <w:tcW w:w="1339" w:type="dxa"/>
            <w:vAlign w:val="center"/>
          </w:tcPr>
          <w:p w14:paraId="6197714E">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235</w:t>
            </w:r>
          </w:p>
        </w:tc>
        <w:tc>
          <w:tcPr>
            <w:tcW w:w="1225" w:type="dxa"/>
            <w:vAlign w:val="center"/>
          </w:tcPr>
          <w:p w14:paraId="3048B61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450</w:t>
            </w:r>
          </w:p>
        </w:tc>
        <w:tc>
          <w:tcPr>
            <w:tcW w:w="1394" w:type="dxa"/>
            <w:vAlign w:val="center"/>
          </w:tcPr>
          <w:p w14:paraId="37716BFB">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522</w:t>
            </w:r>
            <w:r>
              <w:rPr>
                <w:rFonts w:hint="default" w:ascii="Times New Roman" w:hAnsi="Times New Roman" w:cs="Times New Roman"/>
                <w:color w:val="auto"/>
                <w:sz w:val="18"/>
                <w:szCs w:val="18"/>
                <w:highlight w:val="none"/>
              </w:rPr>
              <w:t>-0.5</w:t>
            </w:r>
            <w:r>
              <w:rPr>
                <w:rFonts w:hint="default" w:ascii="Times New Roman" w:hAnsi="Times New Roman" w:cs="Times New Roman"/>
                <w:color w:val="auto"/>
                <w:sz w:val="18"/>
                <w:szCs w:val="18"/>
                <w:highlight w:val="none"/>
                <w:lang w:val="en-US" w:eastAsia="zh-CN"/>
              </w:rPr>
              <w:t>4</w:t>
            </w:r>
          </w:p>
        </w:tc>
        <w:tc>
          <w:tcPr>
            <w:tcW w:w="831" w:type="dxa"/>
            <w:vAlign w:val="center"/>
          </w:tcPr>
          <w:p w14:paraId="57CC9AD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14:paraId="088C27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C0A31E4">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氟化物</w:t>
            </w:r>
          </w:p>
        </w:tc>
        <w:tc>
          <w:tcPr>
            <w:tcW w:w="1362" w:type="dxa"/>
            <w:vAlign w:val="center"/>
          </w:tcPr>
          <w:p w14:paraId="0E5986A4">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0.21</w:t>
            </w:r>
          </w:p>
        </w:tc>
        <w:tc>
          <w:tcPr>
            <w:tcW w:w="1373" w:type="dxa"/>
            <w:vAlign w:val="center"/>
          </w:tcPr>
          <w:p w14:paraId="1187CE80">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0.22</w:t>
            </w:r>
          </w:p>
        </w:tc>
        <w:tc>
          <w:tcPr>
            <w:tcW w:w="1339" w:type="dxa"/>
            <w:vAlign w:val="center"/>
          </w:tcPr>
          <w:p w14:paraId="52A21A01">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0.23</w:t>
            </w:r>
          </w:p>
        </w:tc>
        <w:tc>
          <w:tcPr>
            <w:tcW w:w="1225" w:type="dxa"/>
            <w:vAlign w:val="center"/>
          </w:tcPr>
          <w:p w14:paraId="3BB170FD">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1.0</w:t>
            </w:r>
          </w:p>
        </w:tc>
        <w:tc>
          <w:tcPr>
            <w:tcW w:w="1394" w:type="dxa"/>
            <w:vAlign w:val="center"/>
          </w:tcPr>
          <w:p w14:paraId="30516A62">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0.21</w:t>
            </w: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23</w:t>
            </w:r>
          </w:p>
        </w:tc>
        <w:tc>
          <w:tcPr>
            <w:tcW w:w="831" w:type="dxa"/>
            <w:vAlign w:val="center"/>
          </w:tcPr>
          <w:p w14:paraId="0ED32B21">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r>
      <w:tr w14:paraId="0F7780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2FB0214D">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溶解性总固体</w:t>
            </w:r>
          </w:p>
        </w:tc>
        <w:tc>
          <w:tcPr>
            <w:tcW w:w="1362" w:type="dxa"/>
            <w:vAlign w:val="center"/>
          </w:tcPr>
          <w:p w14:paraId="0562E243">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472</w:t>
            </w:r>
          </w:p>
        </w:tc>
        <w:tc>
          <w:tcPr>
            <w:tcW w:w="1373" w:type="dxa"/>
            <w:vAlign w:val="center"/>
          </w:tcPr>
          <w:p w14:paraId="2CB747F8">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482</w:t>
            </w:r>
          </w:p>
        </w:tc>
        <w:tc>
          <w:tcPr>
            <w:tcW w:w="1339" w:type="dxa"/>
            <w:vAlign w:val="center"/>
          </w:tcPr>
          <w:p w14:paraId="48943D8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489</w:t>
            </w:r>
          </w:p>
        </w:tc>
        <w:tc>
          <w:tcPr>
            <w:tcW w:w="1225" w:type="dxa"/>
            <w:vAlign w:val="center"/>
          </w:tcPr>
          <w:p w14:paraId="689CF3E3">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1000</w:t>
            </w:r>
          </w:p>
        </w:tc>
        <w:tc>
          <w:tcPr>
            <w:tcW w:w="1394" w:type="dxa"/>
            <w:vAlign w:val="center"/>
          </w:tcPr>
          <w:p w14:paraId="0F20BC9D">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0.472</w:t>
            </w: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489</w:t>
            </w:r>
          </w:p>
        </w:tc>
        <w:tc>
          <w:tcPr>
            <w:tcW w:w="831" w:type="dxa"/>
            <w:vAlign w:val="center"/>
          </w:tcPr>
          <w:p w14:paraId="1CC76301">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14:paraId="397A9F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6673F0FC">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高锰酸钾指数</w:t>
            </w:r>
          </w:p>
        </w:tc>
        <w:tc>
          <w:tcPr>
            <w:tcW w:w="1362" w:type="dxa"/>
            <w:vAlign w:val="center"/>
          </w:tcPr>
          <w:p w14:paraId="34C5003E">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2.9</w:t>
            </w:r>
          </w:p>
        </w:tc>
        <w:tc>
          <w:tcPr>
            <w:tcW w:w="1373" w:type="dxa"/>
            <w:vAlign w:val="center"/>
          </w:tcPr>
          <w:p w14:paraId="7A3B67AE">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2.8</w:t>
            </w:r>
          </w:p>
        </w:tc>
        <w:tc>
          <w:tcPr>
            <w:tcW w:w="1339" w:type="dxa"/>
            <w:vAlign w:val="center"/>
          </w:tcPr>
          <w:p w14:paraId="41FA493A">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2.9</w:t>
            </w:r>
          </w:p>
        </w:tc>
        <w:tc>
          <w:tcPr>
            <w:tcW w:w="1225" w:type="dxa"/>
            <w:vAlign w:val="center"/>
          </w:tcPr>
          <w:p w14:paraId="1D9B0556">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w:t>
            </w:r>
          </w:p>
        </w:tc>
        <w:tc>
          <w:tcPr>
            <w:tcW w:w="1394" w:type="dxa"/>
            <w:vAlign w:val="center"/>
          </w:tcPr>
          <w:p w14:paraId="3EDB1745">
            <w:pPr>
              <w:spacing w:line="240"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0.467-0.483</w:t>
            </w:r>
          </w:p>
        </w:tc>
        <w:tc>
          <w:tcPr>
            <w:tcW w:w="831" w:type="dxa"/>
            <w:vAlign w:val="center"/>
          </w:tcPr>
          <w:p w14:paraId="23763D97">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14:paraId="374F06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29B8725A">
            <w:pPr>
              <w:spacing w:line="240" w:lineRule="auto"/>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硫酸盐</w:t>
            </w:r>
          </w:p>
        </w:tc>
        <w:tc>
          <w:tcPr>
            <w:tcW w:w="1362" w:type="dxa"/>
            <w:vAlign w:val="center"/>
          </w:tcPr>
          <w:p w14:paraId="7A5ED02D">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8L</w:t>
            </w:r>
          </w:p>
        </w:tc>
        <w:tc>
          <w:tcPr>
            <w:tcW w:w="1373" w:type="dxa"/>
            <w:vAlign w:val="center"/>
          </w:tcPr>
          <w:p w14:paraId="6E05A8BF">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8L</w:t>
            </w:r>
          </w:p>
        </w:tc>
        <w:tc>
          <w:tcPr>
            <w:tcW w:w="1339" w:type="dxa"/>
            <w:vAlign w:val="center"/>
          </w:tcPr>
          <w:p w14:paraId="41AE6F77">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8L</w:t>
            </w:r>
          </w:p>
        </w:tc>
        <w:tc>
          <w:tcPr>
            <w:tcW w:w="1225" w:type="dxa"/>
            <w:vAlign w:val="center"/>
          </w:tcPr>
          <w:p w14:paraId="1DE6AA47">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250</w:t>
            </w:r>
          </w:p>
        </w:tc>
        <w:tc>
          <w:tcPr>
            <w:tcW w:w="1394" w:type="dxa"/>
            <w:vAlign w:val="center"/>
          </w:tcPr>
          <w:p w14:paraId="6AA97C5A">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7C4382BC">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r>
      <w:tr w14:paraId="795C0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20D40557">
            <w:pPr>
              <w:spacing w:line="240" w:lineRule="auto"/>
              <w:jc w:val="center"/>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氯化物</w:t>
            </w:r>
          </w:p>
        </w:tc>
        <w:tc>
          <w:tcPr>
            <w:tcW w:w="1362" w:type="dxa"/>
            <w:vAlign w:val="center"/>
          </w:tcPr>
          <w:p w14:paraId="235C4124">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kern w:val="2"/>
                <w:sz w:val="18"/>
                <w:szCs w:val="18"/>
                <w:highlight w:val="none"/>
                <w:lang w:val="en-US" w:eastAsia="zh-CN" w:bidi="ar-SA"/>
              </w:rPr>
              <w:t>25</w:t>
            </w:r>
          </w:p>
        </w:tc>
        <w:tc>
          <w:tcPr>
            <w:tcW w:w="1373" w:type="dxa"/>
            <w:vAlign w:val="center"/>
          </w:tcPr>
          <w:p w14:paraId="6AF757E0">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kern w:val="2"/>
                <w:sz w:val="18"/>
                <w:szCs w:val="18"/>
                <w:highlight w:val="none"/>
                <w:lang w:val="en-US" w:eastAsia="zh-CN" w:bidi="ar-SA"/>
              </w:rPr>
              <w:t>24</w:t>
            </w:r>
          </w:p>
        </w:tc>
        <w:tc>
          <w:tcPr>
            <w:tcW w:w="1339" w:type="dxa"/>
            <w:vAlign w:val="center"/>
          </w:tcPr>
          <w:p w14:paraId="3DA97E30">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kern w:val="2"/>
                <w:sz w:val="18"/>
                <w:szCs w:val="18"/>
                <w:highlight w:val="none"/>
                <w:lang w:val="en-US" w:eastAsia="zh-CN" w:bidi="ar-SA"/>
              </w:rPr>
              <w:t>26</w:t>
            </w:r>
          </w:p>
        </w:tc>
        <w:tc>
          <w:tcPr>
            <w:tcW w:w="1225" w:type="dxa"/>
            <w:vAlign w:val="center"/>
          </w:tcPr>
          <w:p w14:paraId="4E063890">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250</w:t>
            </w:r>
          </w:p>
        </w:tc>
        <w:tc>
          <w:tcPr>
            <w:tcW w:w="1394" w:type="dxa"/>
            <w:vAlign w:val="center"/>
          </w:tcPr>
          <w:p w14:paraId="5523F360">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0.096-0.104</w:t>
            </w:r>
          </w:p>
        </w:tc>
        <w:tc>
          <w:tcPr>
            <w:tcW w:w="831" w:type="dxa"/>
            <w:vAlign w:val="center"/>
          </w:tcPr>
          <w:p w14:paraId="2FD6C775">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r>
      <w:tr w14:paraId="59A3A6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1613F4D5">
            <w:pPr>
              <w:spacing w:line="240" w:lineRule="auto"/>
              <w:jc w:val="center"/>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六价铬</w:t>
            </w:r>
          </w:p>
        </w:tc>
        <w:tc>
          <w:tcPr>
            <w:tcW w:w="1362" w:type="dxa"/>
            <w:vAlign w:val="center"/>
          </w:tcPr>
          <w:p w14:paraId="41C654B8">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0.004</w:t>
            </w:r>
            <w:r>
              <w:rPr>
                <w:rFonts w:hint="default" w:ascii="Times New Roman" w:hAnsi="Times New Roman" w:eastAsia="仿宋_GB2312" w:cs="Times New Roman"/>
                <w:color w:val="auto"/>
                <w:sz w:val="18"/>
                <w:szCs w:val="18"/>
                <w:highlight w:val="none"/>
                <w:lang w:val="en-US" w:eastAsia="zh-CN"/>
              </w:rPr>
              <w:t>L</w:t>
            </w:r>
          </w:p>
        </w:tc>
        <w:tc>
          <w:tcPr>
            <w:tcW w:w="1373" w:type="dxa"/>
            <w:vAlign w:val="center"/>
          </w:tcPr>
          <w:p w14:paraId="4017C6E8">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0.004</w:t>
            </w:r>
            <w:r>
              <w:rPr>
                <w:rFonts w:hint="default" w:ascii="Times New Roman" w:hAnsi="Times New Roman" w:eastAsia="仿宋_GB2312" w:cs="Times New Roman"/>
                <w:color w:val="auto"/>
                <w:sz w:val="18"/>
                <w:szCs w:val="18"/>
                <w:highlight w:val="none"/>
                <w:lang w:val="en-US" w:eastAsia="zh-CN"/>
              </w:rPr>
              <w:t>L</w:t>
            </w:r>
          </w:p>
        </w:tc>
        <w:tc>
          <w:tcPr>
            <w:tcW w:w="1339" w:type="dxa"/>
            <w:vAlign w:val="center"/>
          </w:tcPr>
          <w:p w14:paraId="04B20444">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0.004</w:t>
            </w:r>
            <w:r>
              <w:rPr>
                <w:rFonts w:hint="default" w:ascii="Times New Roman" w:hAnsi="Times New Roman" w:eastAsia="仿宋_GB2312" w:cs="Times New Roman"/>
                <w:color w:val="auto"/>
                <w:sz w:val="18"/>
                <w:szCs w:val="18"/>
                <w:highlight w:val="none"/>
                <w:lang w:val="en-US" w:eastAsia="zh-CN"/>
              </w:rPr>
              <w:t>L</w:t>
            </w:r>
          </w:p>
        </w:tc>
        <w:tc>
          <w:tcPr>
            <w:tcW w:w="1225" w:type="dxa"/>
            <w:vAlign w:val="center"/>
          </w:tcPr>
          <w:p w14:paraId="60D3B4F2">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0.05</w:t>
            </w:r>
          </w:p>
        </w:tc>
        <w:tc>
          <w:tcPr>
            <w:tcW w:w="1394" w:type="dxa"/>
            <w:vAlign w:val="center"/>
          </w:tcPr>
          <w:p w14:paraId="1C8FC944">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070EDF9E">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r>
      <w:tr w14:paraId="04E729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679D6995">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砷</w:t>
            </w:r>
          </w:p>
        </w:tc>
        <w:tc>
          <w:tcPr>
            <w:tcW w:w="1362" w:type="dxa"/>
            <w:vAlign w:val="center"/>
          </w:tcPr>
          <w:p w14:paraId="57FEA82E">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4×10</w:t>
            </w:r>
            <w:r>
              <w:rPr>
                <w:rFonts w:hint="default" w:ascii="Times New Roman" w:hAnsi="Times New Roman" w:eastAsia="仿宋_GB2312" w:cs="Times New Roman"/>
                <w:color w:val="auto"/>
                <w:sz w:val="18"/>
                <w:szCs w:val="18"/>
                <w:highlight w:val="none"/>
                <w:vertAlign w:val="superscript"/>
                <w:lang w:val="en-US" w:eastAsia="zh-CN"/>
              </w:rPr>
              <w:t>-4</w:t>
            </w:r>
          </w:p>
        </w:tc>
        <w:tc>
          <w:tcPr>
            <w:tcW w:w="1373" w:type="dxa"/>
            <w:vAlign w:val="center"/>
          </w:tcPr>
          <w:p w14:paraId="522BF46F">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4×10</w:t>
            </w:r>
            <w:r>
              <w:rPr>
                <w:rFonts w:hint="default" w:ascii="Times New Roman" w:hAnsi="Times New Roman" w:eastAsia="仿宋_GB2312" w:cs="Times New Roman"/>
                <w:color w:val="auto"/>
                <w:sz w:val="18"/>
                <w:szCs w:val="18"/>
                <w:highlight w:val="none"/>
                <w:vertAlign w:val="superscript"/>
                <w:lang w:val="en-US" w:eastAsia="zh-CN"/>
              </w:rPr>
              <w:t>-4</w:t>
            </w:r>
          </w:p>
        </w:tc>
        <w:tc>
          <w:tcPr>
            <w:tcW w:w="1339" w:type="dxa"/>
            <w:vAlign w:val="center"/>
          </w:tcPr>
          <w:p w14:paraId="1367E7BD">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4×10</w:t>
            </w:r>
            <w:r>
              <w:rPr>
                <w:rFonts w:hint="default" w:ascii="Times New Roman" w:hAnsi="Times New Roman" w:eastAsia="仿宋_GB2312" w:cs="Times New Roman"/>
                <w:color w:val="auto"/>
                <w:sz w:val="18"/>
                <w:szCs w:val="18"/>
                <w:highlight w:val="none"/>
                <w:vertAlign w:val="superscript"/>
                <w:lang w:val="en-US" w:eastAsia="zh-CN"/>
              </w:rPr>
              <w:t>-4</w:t>
            </w:r>
          </w:p>
        </w:tc>
        <w:tc>
          <w:tcPr>
            <w:tcW w:w="1225" w:type="dxa"/>
            <w:vAlign w:val="center"/>
          </w:tcPr>
          <w:p w14:paraId="5F43FE4E">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0.01</w:t>
            </w:r>
          </w:p>
        </w:tc>
        <w:tc>
          <w:tcPr>
            <w:tcW w:w="1394" w:type="dxa"/>
            <w:vAlign w:val="center"/>
          </w:tcPr>
          <w:p w14:paraId="0B351BCB">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0.04</w:t>
            </w:r>
          </w:p>
        </w:tc>
        <w:tc>
          <w:tcPr>
            <w:tcW w:w="831" w:type="dxa"/>
            <w:vAlign w:val="center"/>
          </w:tcPr>
          <w:p w14:paraId="55490F81">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r>
      <w:tr w14:paraId="0F4644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1337504A">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汞</w:t>
            </w:r>
          </w:p>
        </w:tc>
        <w:tc>
          <w:tcPr>
            <w:tcW w:w="1362" w:type="dxa"/>
            <w:vAlign w:val="center"/>
          </w:tcPr>
          <w:p w14:paraId="4C42E8D9">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9×10</w:t>
            </w:r>
            <w:r>
              <w:rPr>
                <w:rFonts w:hint="default" w:ascii="Times New Roman" w:hAnsi="Times New Roman" w:eastAsia="仿宋_GB2312" w:cs="Times New Roman"/>
                <w:color w:val="auto"/>
                <w:sz w:val="18"/>
                <w:szCs w:val="18"/>
                <w:highlight w:val="none"/>
                <w:vertAlign w:val="superscript"/>
                <w:lang w:val="en-US" w:eastAsia="zh-CN"/>
              </w:rPr>
              <w:t>-5</w:t>
            </w:r>
          </w:p>
        </w:tc>
        <w:tc>
          <w:tcPr>
            <w:tcW w:w="1373" w:type="dxa"/>
            <w:vAlign w:val="center"/>
          </w:tcPr>
          <w:p w14:paraId="5942DEB7">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7×10</w:t>
            </w:r>
            <w:r>
              <w:rPr>
                <w:rFonts w:hint="default" w:ascii="Times New Roman" w:hAnsi="Times New Roman" w:eastAsia="仿宋_GB2312" w:cs="Times New Roman"/>
                <w:color w:val="auto"/>
                <w:sz w:val="18"/>
                <w:szCs w:val="18"/>
                <w:highlight w:val="none"/>
                <w:vertAlign w:val="superscript"/>
                <w:lang w:val="en-US" w:eastAsia="zh-CN"/>
              </w:rPr>
              <w:t>-5</w:t>
            </w:r>
          </w:p>
        </w:tc>
        <w:tc>
          <w:tcPr>
            <w:tcW w:w="1339" w:type="dxa"/>
            <w:vAlign w:val="center"/>
          </w:tcPr>
          <w:p w14:paraId="5CE97591">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8×10</w:t>
            </w:r>
            <w:r>
              <w:rPr>
                <w:rFonts w:hint="default" w:ascii="Times New Roman" w:hAnsi="Times New Roman" w:eastAsia="仿宋_GB2312" w:cs="Times New Roman"/>
                <w:color w:val="auto"/>
                <w:sz w:val="18"/>
                <w:szCs w:val="18"/>
                <w:highlight w:val="none"/>
                <w:vertAlign w:val="superscript"/>
                <w:lang w:val="en-US" w:eastAsia="zh-CN"/>
              </w:rPr>
              <w:t>-5</w:t>
            </w:r>
          </w:p>
        </w:tc>
        <w:tc>
          <w:tcPr>
            <w:tcW w:w="1225" w:type="dxa"/>
            <w:vAlign w:val="center"/>
          </w:tcPr>
          <w:p w14:paraId="2B9FDD76">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0.001</w:t>
            </w:r>
          </w:p>
        </w:tc>
        <w:tc>
          <w:tcPr>
            <w:tcW w:w="1394" w:type="dxa"/>
            <w:vAlign w:val="center"/>
          </w:tcPr>
          <w:p w14:paraId="6B4D86B2">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0.07-0.09</w:t>
            </w:r>
          </w:p>
        </w:tc>
        <w:tc>
          <w:tcPr>
            <w:tcW w:w="831" w:type="dxa"/>
            <w:vAlign w:val="center"/>
          </w:tcPr>
          <w:p w14:paraId="2C16E56D">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r>
      <w:tr w14:paraId="7BB5FE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8BB50BD">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铅</w:t>
            </w:r>
          </w:p>
        </w:tc>
        <w:tc>
          <w:tcPr>
            <w:tcW w:w="1362" w:type="dxa"/>
            <w:vAlign w:val="center"/>
          </w:tcPr>
          <w:p w14:paraId="00819CEC">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0.001</w:t>
            </w:r>
            <w:r>
              <w:rPr>
                <w:rFonts w:hint="default" w:ascii="Times New Roman" w:hAnsi="Times New Roman" w:eastAsia="仿宋_GB2312" w:cs="Times New Roman"/>
                <w:color w:val="auto"/>
                <w:sz w:val="18"/>
                <w:szCs w:val="18"/>
                <w:highlight w:val="none"/>
                <w:lang w:val="en-US" w:eastAsia="zh-CN"/>
              </w:rPr>
              <w:t>L</w:t>
            </w:r>
          </w:p>
        </w:tc>
        <w:tc>
          <w:tcPr>
            <w:tcW w:w="1373" w:type="dxa"/>
            <w:vAlign w:val="center"/>
          </w:tcPr>
          <w:p w14:paraId="7656C7E3">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0.001</w:t>
            </w:r>
            <w:r>
              <w:rPr>
                <w:rFonts w:hint="default" w:ascii="Times New Roman" w:hAnsi="Times New Roman" w:eastAsia="仿宋_GB2312" w:cs="Times New Roman"/>
                <w:color w:val="auto"/>
                <w:sz w:val="18"/>
                <w:szCs w:val="18"/>
                <w:highlight w:val="none"/>
                <w:lang w:val="en-US" w:eastAsia="zh-CN"/>
              </w:rPr>
              <w:t>L</w:t>
            </w:r>
          </w:p>
        </w:tc>
        <w:tc>
          <w:tcPr>
            <w:tcW w:w="1339" w:type="dxa"/>
            <w:vAlign w:val="center"/>
          </w:tcPr>
          <w:p w14:paraId="5B01528F">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0.001</w:t>
            </w:r>
            <w:r>
              <w:rPr>
                <w:rFonts w:hint="default" w:ascii="Times New Roman" w:hAnsi="Times New Roman" w:eastAsia="仿宋_GB2312" w:cs="Times New Roman"/>
                <w:color w:val="auto"/>
                <w:sz w:val="18"/>
                <w:szCs w:val="18"/>
                <w:highlight w:val="none"/>
                <w:lang w:val="en-US" w:eastAsia="zh-CN"/>
              </w:rPr>
              <w:t>L</w:t>
            </w:r>
          </w:p>
        </w:tc>
        <w:tc>
          <w:tcPr>
            <w:tcW w:w="1225" w:type="dxa"/>
            <w:vAlign w:val="center"/>
          </w:tcPr>
          <w:p w14:paraId="0B3B4905">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0.01</w:t>
            </w:r>
          </w:p>
        </w:tc>
        <w:tc>
          <w:tcPr>
            <w:tcW w:w="1394" w:type="dxa"/>
            <w:vAlign w:val="center"/>
          </w:tcPr>
          <w:p w14:paraId="67E02C2F">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629C5CD9">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r>
      <w:tr w14:paraId="42CD3D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6332B3E3">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镉</w:t>
            </w:r>
          </w:p>
        </w:tc>
        <w:tc>
          <w:tcPr>
            <w:tcW w:w="1362" w:type="dxa"/>
            <w:vAlign w:val="center"/>
          </w:tcPr>
          <w:p w14:paraId="01FAAFBE">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0.0001</w:t>
            </w:r>
            <w:r>
              <w:rPr>
                <w:rFonts w:hint="default" w:ascii="Times New Roman" w:hAnsi="Times New Roman" w:eastAsia="仿宋_GB2312" w:cs="Times New Roman"/>
                <w:color w:val="auto"/>
                <w:sz w:val="18"/>
                <w:szCs w:val="18"/>
                <w:highlight w:val="none"/>
                <w:lang w:val="en-US" w:eastAsia="zh-CN"/>
              </w:rPr>
              <w:t>L</w:t>
            </w:r>
          </w:p>
        </w:tc>
        <w:tc>
          <w:tcPr>
            <w:tcW w:w="1373" w:type="dxa"/>
            <w:vAlign w:val="center"/>
          </w:tcPr>
          <w:p w14:paraId="781FF516">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0.0001</w:t>
            </w:r>
            <w:r>
              <w:rPr>
                <w:rFonts w:hint="default" w:ascii="Times New Roman" w:hAnsi="Times New Roman" w:eastAsia="仿宋_GB2312" w:cs="Times New Roman"/>
                <w:color w:val="auto"/>
                <w:sz w:val="18"/>
                <w:szCs w:val="18"/>
                <w:highlight w:val="none"/>
                <w:lang w:val="en-US" w:eastAsia="zh-CN"/>
              </w:rPr>
              <w:t>L</w:t>
            </w:r>
          </w:p>
        </w:tc>
        <w:tc>
          <w:tcPr>
            <w:tcW w:w="1339" w:type="dxa"/>
            <w:vAlign w:val="center"/>
          </w:tcPr>
          <w:p w14:paraId="14ED65F1">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0.0001</w:t>
            </w:r>
            <w:r>
              <w:rPr>
                <w:rFonts w:hint="default" w:ascii="Times New Roman" w:hAnsi="Times New Roman" w:eastAsia="仿宋_GB2312" w:cs="Times New Roman"/>
                <w:color w:val="auto"/>
                <w:sz w:val="18"/>
                <w:szCs w:val="18"/>
                <w:highlight w:val="none"/>
                <w:lang w:val="en-US" w:eastAsia="zh-CN"/>
              </w:rPr>
              <w:t>L</w:t>
            </w:r>
          </w:p>
        </w:tc>
        <w:tc>
          <w:tcPr>
            <w:tcW w:w="1225" w:type="dxa"/>
            <w:vAlign w:val="center"/>
          </w:tcPr>
          <w:p w14:paraId="7E152942">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0.005</w:t>
            </w:r>
          </w:p>
        </w:tc>
        <w:tc>
          <w:tcPr>
            <w:tcW w:w="1394" w:type="dxa"/>
            <w:vAlign w:val="center"/>
          </w:tcPr>
          <w:p w14:paraId="5CF899E4">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25E0FD9D">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r>
      <w:tr w14:paraId="4F673F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7A10D203">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铁</w:t>
            </w:r>
          </w:p>
        </w:tc>
        <w:tc>
          <w:tcPr>
            <w:tcW w:w="1362" w:type="dxa"/>
            <w:vAlign w:val="center"/>
          </w:tcPr>
          <w:p w14:paraId="1958BDD6">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0.03L</w:t>
            </w:r>
          </w:p>
        </w:tc>
        <w:tc>
          <w:tcPr>
            <w:tcW w:w="1373" w:type="dxa"/>
            <w:vAlign w:val="center"/>
          </w:tcPr>
          <w:p w14:paraId="01216230">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0.03L</w:t>
            </w:r>
          </w:p>
        </w:tc>
        <w:tc>
          <w:tcPr>
            <w:tcW w:w="1339" w:type="dxa"/>
            <w:vAlign w:val="center"/>
          </w:tcPr>
          <w:p w14:paraId="212ED538">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0.03L</w:t>
            </w:r>
          </w:p>
        </w:tc>
        <w:tc>
          <w:tcPr>
            <w:tcW w:w="1225" w:type="dxa"/>
            <w:vAlign w:val="center"/>
          </w:tcPr>
          <w:p w14:paraId="194998F2">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0.3</w:t>
            </w:r>
          </w:p>
        </w:tc>
        <w:tc>
          <w:tcPr>
            <w:tcW w:w="1394" w:type="dxa"/>
            <w:vAlign w:val="center"/>
          </w:tcPr>
          <w:p w14:paraId="03B83D47">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2D37B3EC">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r>
      <w:tr w14:paraId="374A35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03E9A78">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锰</w:t>
            </w:r>
          </w:p>
        </w:tc>
        <w:tc>
          <w:tcPr>
            <w:tcW w:w="1362" w:type="dxa"/>
            <w:vAlign w:val="center"/>
          </w:tcPr>
          <w:p w14:paraId="5782C964">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0.01</w:t>
            </w:r>
            <w:r>
              <w:rPr>
                <w:rFonts w:hint="default" w:ascii="Times New Roman" w:hAnsi="Times New Roman" w:eastAsia="仿宋_GB2312" w:cs="Times New Roman"/>
                <w:color w:val="auto"/>
                <w:sz w:val="18"/>
                <w:szCs w:val="18"/>
                <w:highlight w:val="none"/>
                <w:lang w:val="en-US" w:eastAsia="zh-CN"/>
              </w:rPr>
              <w:t>L</w:t>
            </w:r>
          </w:p>
        </w:tc>
        <w:tc>
          <w:tcPr>
            <w:tcW w:w="1373" w:type="dxa"/>
            <w:vAlign w:val="center"/>
          </w:tcPr>
          <w:p w14:paraId="4FE7A075">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0.01</w:t>
            </w:r>
            <w:r>
              <w:rPr>
                <w:rFonts w:hint="default" w:ascii="Times New Roman" w:hAnsi="Times New Roman" w:eastAsia="仿宋_GB2312" w:cs="Times New Roman"/>
                <w:color w:val="auto"/>
                <w:sz w:val="18"/>
                <w:szCs w:val="18"/>
                <w:highlight w:val="none"/>
                <w:lang w:val="en-US" w:eastAsia="zh-CN"/>
              </w:rPr>
              <w:t>L</w:t>
            </w:r>
          </w:p>
        </w:tc>
        <w:tc>
          <w:tcPr>
            <w:tcW w:w="1339" w:type="dxa"/>
            <w:vAlign w:val="center"/>
          </w:tcPr>
          <w:p w14:paraId="7D9D77B9">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0.01</w:t>
            </w:r>
            <w:r>
              <w:rPr>
                <w:rFonts w:hint="default" w:ascii="Times New Roman" w:hAnsi="Times New Roman" w:eastAsia="仿宋_GB2312" w:cs="Times New Roman"/>
                <w:color w:val="auto"/>
                <w:sz w:val="18"/>
                <w:szCs w:val="18"/>
                <w:highlight w:val="none"/>
                <w:lang w:val="en-US" w:eastAsia="zh-CN"/>
              </w:rPr>
              <w:t>L</w:t>
            </w:r>
          </w:p>
        </w:tc>
        <w:tc>
          <w:tcPr>
            <w:tcW w:w="1225" w:type="dxa"/>
            <w:vAlign w:val="center"/>
          </w:tcPr>
          <w:p w14:paraId="3593C3CD">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0.1</w:t>
            </w:r>
          </w:p>
        </w:tc>
        <w:tc>
          <w:tcPr>
            <w:tcW w:w="1394" w:type="dxa"/>
            <w:vAlign w:val="center"/>
          </w:tcPr>
          <w:p w14:paraId="495CF9EF">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42EB481A">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r>
      <w:tr w14:paraId="339919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05199869">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总大肠菌群（MPN/100mL））</w:t>
            </w:r>
          </w:p>
        </w:tc>
        <w:tc>
          <w:tcPr>
            <w:tcW w:w="1362" w:type="dxa"/>
            <w:vAlign w:val="center"/>
          </w:tcPr>
          <w:p w14:paraId="353BD00C">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未检出</w:t>
            </w:r>
          </w:p>
        </w:tc>
        <w:tc>
          <w:tcPr>
            <w:tcW w:w="1373" w:type="dxa"/>
            <w:vAlign w:val="center"/>
          </w:tcPr>
          <w:p w14:paraId="5F778A47">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未检出</w:t>
            </w:r>
          </w:p>
        </w:tc>
        <w:tc>
          <w:tcPr>
            <w:tcW w:w="1339" w:type="dxa"/>
            <w:vAlign w:val="center"/>
          </w:tcPr>
          <w:p w14:paraId="26AE85FC">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未检出</w:t>
            </w:r>
          </w:p>
        </w:tc>
        <w:tc>
          <w:tcPr>
            <w:tcW w:w="1225" w:type="dxa"/>
            <w:vAlign w:val="center"/>
          </w:tcPr>
          <w:p w14:paraId="14D1F49C">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3</w:t>
            </w:r>
          </w:p>
        </w:tc>
        <w:tc>
          <w:tcPr>
            <w:tcW w:w="1394" w:type="dxa"/>
            <w:vAlign w:val="center"/>
          </w:tcPr>
          <w:p w14:paraId="1053A659">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未检出</w:t>
            </w:r>
          </w:p>
        </w:tc>
        <w:tc>
          <w:tcPr>
            <w:tcW w:w="831" w:type="dxa"/>
            <w:vAlign w:val="center"/>
          </w:tcPr>
          <w:p w14:paraId="0C6A901A">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达标</w:t>
            </w:r>
          </w:p>
        </w:tc>
      </w:tr>
      <w:tr w14:paraId="458E7F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2D72D405">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菌落总数（CFU/mL）</w:t>
            </w:r>
          </w:p>
        </w:tc>
        <w:tc>
          <w:tcPr>
            <w:tcW w:w="1362" w:type="dxa"/>
            <w:vAlign w:val="center"/>
          </w:tcPr>
          <w:p w14:paraId="2A621003">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45</w:t>
            </w:r>
          </w:p>
        </w:tc>
        <w:tc>
          <w:tcPr>
            <w:tcW w:w="1373" w:type="dxa"/>
            <w:vAlign w:val="center"/>
          </w:tcPr>
          <w:p w14:paraId="751CCE3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50</w:t>
            </w:r>
          </w:p>
        </w:tc>
        <w:tc>
          <w:tcPr>
            <w:tcW w:w="1339" w:type="dxa"/>
            <w:vAlign w:val="center"/>
          </w:tcPr>
          <w:p w14:paraId="78BE4D33">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55</w:t>
            </w:r>
          </w:p>
        </w:tc>
        <w:tc>
          <w:tcPr>
            <w:tcW w:w="1225" w:type="dxa"/>
            <w:vAlign w:val="center"/>
          </w:tcPr>
          <w:p w14:paraId="2C15D60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100</w:t>
            </w:r>
          </w:p>
        </w:tc>
        <w:tc>
          <w:tcPr>
            <w:tcW w:w="1394" w:type="dxa"/>
            <w:vAlign w:val="center"/>
          </w:tcPr>
          <w:p w14:paraId="071E43AE">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0.45</w:t>
            </w: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55</w:t>
            </w:r>
          </w:p>
        </w:tc>
        <w:tc>
          <w:tcPr>
            <w:tcW w:w="831" w:type="dxa"/>
            <w:vAlign w:val="center"/>
          </w:tcPr>
          <w:p w14:paraId="4549DA57">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14:paraId="3032BB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1338DF97">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点位</w:t>
            </w:r>
          </w:p>
        </w:tc>
        <w:tc>
          <w:tcPr>
            <w:tcW w:w="4074" w:type="dxa"/>
            <w:gridSpan w:val="3"/>
            <w:vAlign w:val="center"/>
          </w:tcPr>
          <w:p w14:paraId="716723D4">
            <w:pPr>
              <w:spacing w:line="240" w:lineRule="auto"/>
              <w:jc w:val="center"/>
              <w:rPr>
                <w:rFonts w:hint="default" w:ascii="Times New Roman" w:hAnsi="Times New Roman" w:eastAsia="宋体"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lang w:val="en-US" w:eastAsia="zh-CN"/>
              </w:rPr>
              <w:t>小沙冲水井</w:t>
            </w:r>
          </w:p>
        </w:tc>
        <w:tc>
          <w:tcPr>
            <w:tcW w:w="1225" w:type="dxa"/>
            <w:vMerge w:val="restart"/>
            <w:vAlign w:val="center"/>
          </w:tcPr>
          <w:p w14:paraId="54AFDFA9">
            <w:pPr>
              <w:spacing w:line="240" w:lineRule="auto"/>
              <w:jc w:val="center"/>
              <w:rPr>
                <w:rFonts w:hint="default" w:ascii="Times New Roman" w:hAnsi="Times New Roman"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标准值≤</w:t>
            </w:r>
          </w:p>
        </w:tc>
        <w:tc>
          <w:tcPr>
            <w:tcW w:w="1394" w:type="dxa"/>
            <w:vMerge w:val="restart"/>
            <w:vAlign w:val="center"/>
          </w:tcPr>
          <w:p w14:paraId="378A78F5">
            <w:pPr>
              <w:spacing w:line="240" w:lineRule="auto"/>
              <w:jc w:val="center"/>
              <w:rPr>
                <w:rFonts w:hint="default" w:ascii="Times New Roman" w:hAnsi="Times New Roman"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Sij</w:t>
            </w:r>
          </w:p>
        </w:tc>
        <w:tc>
          <w:tcPr>
            <w:tcW w:w="831" w:type="dxa"/>
            <w:vMerge w:val="restart"/>
            <w:vAlign w:val="center"/>
          </w:tcPr>
          <w:p w14:paraId="503E72EF">
            <w:pPr>
              <w:spacing w:line="240" w:lineRule="auto"/>
              <w:jc w:val="center"/>
              <w:rPr>
                <w:rFonts w:hint="default" w:ascii="Times New Roman" w:hAnsi="Times New Roman"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达标情况</w:t>
            </w:r>
          </w:p>
        </w:tc>
      </w:tr>
      <w:tr w14:paraId="41316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Merge w:val="restart"/>
            <w:vAlign w:val="center"/>
          </w:tcPr>
          <w:p w14:paraId="1D2E1D7A">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检测项目</w:t>
            </w:r>
          </w:p>
        </w:tc>
        <w:tc>
          <w:tcPr>
            <w:tcW w:w="4074" w:type="dxa"/>
            <w:gridSpan w:val="3"/>
            <w:vAlign w:val="center"/>
          </w:tcPr>
          <w:p w14:paraId="3D58AD6F">
            <w:pPr>
              <w:spacing w:line="240" w:lineRule="auto"/>
              <w:jc w:val="center"/>
              <w:rPr>
                <w:rFonts w:hint="default" w:ascii="Times New Roman" w:hAnsi="Times New Roman"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检测日期</w:t>
            </w:r>
          </w:p>
        </w:tc>
        <w:tc>
          <w:tcPr>
            <w:tcW w:w="1225" w:type="dxa"/>
            <w:vMerge w:val="continue"/>
            <w:vAlign w:val="center"/>
          </w:tcPr>
          <w:p w14:paraId="3F7C1DAA">
            <w:pPr>
              <w:spacing w:line="240" w:lineRule="auto"/>
              <w:jc w:val="center"/>
              <w:rPr>
                <w:rFonts w:hint="default" w:ascii="Times New Roman" w:hAnsi="Times New Roman" w:cs="Times New Roman"/>
                <w:color w:val="auto"/>
                <w:sz w:val="18"/>
                <w:szCs w:val="18"/>
                <w:highlight w:val="none"/>
              </w:rPr>
            </w:pPr>
          </w:p>
        </w:tc>
        <w:tc>
          <w:tcPr>
            <w:tcW w:w="1394" w:type="dxa"/>
            <w:vMerge w:val="continue"/>
            <w:vAlign w:val="center"/>
          </w:tcPr>
          <w:p w14:paraId="30753494">
            <w:pPr>
              <w:spacing w:line="240" w:lineRule="auto"/>
              <w:jc w:val="center"/>
              <w:rPr>
                <w:rFonts w:hint="default" w:ascii="Times New Roman" w:hAnsi="Times New Roman" w:cs="Times New Roman"/>
                <w:color w:val="auto"/>
                <w:sz w:val="18"/>
                <w:szCs w:val="18"/>
                <w:highlight w:val="none"/>
              </w:rPr>
            </w:pPr>
          </w:p>
        </w:tc>
        <w:tc>
          <w:tcPr>
            <w:tcW w:w="831" w:type="dxa"/>
            <w:vMerge w:val="continue"/>
            <w:vAlign w:val="center"/>
          </w:tcPr>
          <w:p w14:paraId="37FBABA6">
            <w:pPr>
              <w:spacing w:line="240" w:lineRule="auto"/>
              <w:jc w:val="center"/>
              <w:rPr>
                <w:rFonts w:hint="default" w:ascii="Times New Roman" w:hAnsi="Times New Roman" w:cs="Times New Roman"/>
                <w:color w:val="auto"/>
                <w:sz w:val="18"/>
                <w:szCs w:val="18"/>
                <w:highlight w:val="none"/>
              </w:rPr>
            </w:pPr>
          </w:p>
        </w:tc>
      </w:tr>
      <w:tr w14:paraId="3AB47C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Merge w:val="continue"/>
            <w:vAlign w:val="center"/>
          </w:tcPr>
          <w:p w14:paraId="345C16EA">
            <w:pPr>
              <w:spacing w:line="240" w:lineRule="auto"/>
              <w:jc w:val="center"/>
              <w:rPr>
                <w:rFonts w:hint="default" w:ascii="Times New Roman" w:hAnsi="Times New Roman" w:cs="Times New Roman"/>
                <w:color w:val="auto"/>
                <w:sz w:val="18"/>
                <w:szCs w:val="18"/>
                <w:highlight w:val="none"/>
              </w:rPr>
            </w:pPr>
          </w:p>
        </w:tc>
        <w:tc>
          <w:tcPr>
            <w:tcW w:w="1362" w:type="dxa"/>
            <w:vAlign w:val="center"/>
          </w:tcPr>
          <w:p w14:paraId="2EB951ED">
            <w:pPr>
              <w:spacing w:line="240" w:lineRule="auto"/>
              <w:jc w:val="center"/>
              <w:rPr>
                <w:rFonts w:hint="default" w:ascii="Times New Roman" w:hAnsi="Times New Roman" w:eastAsia="宋体"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202</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14</w:t>
            </w:r>
          </w:p>
        </w:tc>
        <w:tc>
          <w:tcPr>
            <w:tcW w:w="1373" w:type="dxa"/>
            <w:vAlign w:val="center"/>
          </w:tcPr>
          <w:p w14:paraId="4BF14B4F">
            <w:pPr>
              <w:spacing w:line="240" w:lineRule="auto"/>
              <w:jc w:val="center"/>
              <w:rPr>
                <w:rFonts w:hint="default" w:ascii="Times New Roman" w:hAnsi="Times New Roman" w:eastAsia="宋体"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202</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15</w:t>
            </w:r>
          </w:p>
        </w:tc>
        <w:tc>
          <w:tcPr>
            <w:tcW w:w="1339" w:type="dxa"/>
            <w:vAlign w:val="center"/>
          </w:tcPr>
          <w:p w14:paraId="1D9C593F">
            <w:pPr>
              <w:spacing w:line="240" w:lineRule="auto"/>
              <w:jc w:val="center"/>
              <w:rPr>
                <w:rFonts w:hint="default" w:ascii="Times New Roman" w:hAnsi="Times New Roman"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202</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16</w:t>
            </w:r>
          </w:p>
        </w:tc>
        <w:tc>
          <w:tcPr>
            <w:tcW w:w="1225" w:type="dxa"/>
            <w:vMerge w:val="continue"/>
            <w:vAlign w:val="center"/>
          </w:tcPr>
          <w:p w14:paraId="0DA97D61">
            <w:pPr>
              <w:spacing w:line="240" w:lineRule="auto"/>
              <w:jc w:val="center"/>
              <w:rPr>
                <w:rFonts w:hint="default" w:ascii="Times New Roman" w:hAnsi="Times New Roman" w:cs="Times New Roman"/>
                <w:color w:val="auto"/>
                <w:sz w:val="18"/>
                <w:szCs w:val="18"/>
                <w:highlight w:val="none"/>
              </w:rPr>
            </w:pPr>
          </w:p>
        </w:tc>
        <w:tc>
          <w:tcPr>
            <w:tcW w:w="1394" w:type="dxa"/>
            <w:vMerge w:val="continue"/>
            <w:vAlign w:val="center"/>
          </w:tcPr>
          <w:p w14:paraId="31910319">
            <w:pPr>
              <w:spacing w:line="240" w:lineRule="auto"/>
              <w:jc w:val="center"/>
              <w:rPr>
                <w:rFonts w:hint="default" w:ascii="Times New Roman" w:hAnsi="Times New Roman" w:cs="Times New Roman"/>
                <w:color w:val="auto"/>
                <w:sz w:val="18"/>
                <w:szCs w:val="18"/>
                <w:highlight w:val="none"/>
              </w:rPr>
            </w:pPr>
          </w:p>
        </w:tc>
        <w:tc>
          <w:tcPr>
            <w:tcW w:w="831" w:type="dxa"/>
            <w:vMerge w:val="continue"/>
            <w:vAlign w:val="center"/>
          </w:tcPr>
          <w:p w14:paraId="0E94D901">
            <w:pPr>
              <w:spacing w:line="240" w:lineRule="auto"/>
              <w:jc w:val="center"/>
              <w:rPr>
                <w:rFonts w:hint="default" w:ascii="Times New Roman" w:hAnsi="Times New Roman" w:cs="Times New Roman"/>
                <w:color w:val="auto"/>
                <w:sz w:val="18"/>
                <w:szCs w:val="18"/>
                <w:highlight w:val="none"/>
              </w:rPr>
            </w:pPr>
          </w:p>
        </w:tc>
      </w:tr>
      <w:tr w14:paraId="5ABF98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7B35519B">
            <w:pPr>
              <w:snapToGrid w:val="0"/>
              <w:spacing w:line="0" w:lineRule="atLeas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pH</w:t>
            </w:r>
          </w:p>
        </w:tc>
        <w:tc>
          <w:tcPr>
            <w:tcW w:w="1362" w:type="dxa"/>
            <w:vAlign w:val="center"/>
          </w:tcPr>
          <w:p w14:paraId="76055363">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7.9</w:t>
            </w:r>
          </w:p>
        </w:tc>
        <w:tc>
          <w:tcPr>
            <w:tcW w:w="1373" w:type="dxa"/>
            <w:vAlign w:val="center"/>
          </w:tcPr>
          <w:p w14:paraId="71B9FD75">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8.0</w:t>
            </w:r>
          </w:p>
        </w:tc>
        <w:tc>
          <w:tcPr>
            <w:tcW w:w="1339" w:type="dxa"/>
            <w:vAlign w:val="center"/>
          </w:tcPr>
          <w:p w14:paraId="391CDA95">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8.1</w:t>
            </w:r>
          </w:p>
        </w:tc>
        <w:tc>
          <w:tcPr>
            <w:tcW w:w="1225" w:type="dxa"/>
            <w:vAlign w:val="center"/>
          </w:tcPr>
          <w:p w14:paraId="45A213B5">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6.5~8.5</w:t>
            </w:r>
          </w:p>
        </w:tc>
        <w:tc>
          <w:tcPr>
            <w:tcW w:w="1394" w:type="dxa"/>
            <w:vAlign w:val="center"/>
          </w:tcPr>
          <w:p w14:paraId="5E05AA0A">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14C13029">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797CB1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415FFEF0">
            <w:pPr>
              <w:snapToGrid w:val="0"/>
              <w:spacing w:line="0" w:lineRule="atLeas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K</w:t>
            </w:r>
            <w:r>
              <w:rPr>
                <w:rFonts w:hint="default" w:ascii="Times New Roman" w:hAnsi="Times New Roman" w:cs="Times New Roman"/>
                <w:color w:val="auto"/>
                <w:sz w:val="18"/>
                <w:szCs w:val="18"/>
                <w:highlight w:val="none"/>
                <w:vertAlign w:val="superscript"/>
              </w:rPr>
              <w:t>+</w:t>
            </w:r>
          </w:p>
        </w:tc>
        <w:tc>
          <w:tcPr>
            <w:tcW w:w="1362" w:type="dxa"/>
            <w:vAlign w:val="center"/>
          </w:tcPr>
          <w:p w14:paraId="42DC1B54">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4.39</w:t>
            </w:r>
          </w:p>
        </w:tc>
        <w:tc>
          <w:tcPr>
            <w:tcW w:w="1373" w:type="dxa"/>
            <w:vAlign w:val="center"/>
          </w:tcPr>
          <w:p w14:paraId="31412EE1">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4.38</w:t>
            </w:r>
          </w:p>
        </w:tc>
        <w:tc>
          <w:tcPr>
            <w:tcW w:w="1339" w:type="dxa"/>
            <w:vAlign w:val="center"/>
          </w:tcPr>
          <w:p w14:paraId="16ABE86E">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4.40</w:t>
            </w:r>
          </w:p>
        </w:tc>
        <w:tc>
          <w:tcPr>
            <w:tcW w:w="1225" w:type="dxa"/>
            <w:vAlign w:val="center"/>
          </w:tcPr>
          <w:p w14:paraId="2D4CFEED">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1394" w:type="dxa"/>
            <w:vAlign w:val="center"/>
          </w:tcPr>
          <w:p w14:paraId="0F8B0725">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611684CD">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753806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502FE8C">
            <w:pPr>
              <w:snapToGrid w:val="0"/>
              <w:spacing w:line="0" w:lineRule="atLeas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Na</w:t>
            </w:r>
            <w:r>
              <w:rPr>
                <w:rFonts w:hint="default" w:ascii="Times New Roman" w:hAnsi="Times New Roman" w:cs="Times New Roman"/>
                <w:color w:val="auto"/>
                <w:sz w:val="18"/>
                <w:szCs w:val="18"/>
                <w:highlight w:val="none"/>
                <w:vertAlign w:val="superscript"/>
              </w:rPr>
              <w:t>+</w:t>
            </w:r>
          </w:p>
        </w:tc>
        <w:tc>
          <w:tcPr>
            <w:tcW w:w="1362" w:type="dxa"/>
            <w:vAlign w:val="center"/>
          </w:tcPr>
          <w:p w14:paraId="18A12CEF">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7.47</w:t>
            </w:r>
          </w:p>
        </w:tc>
        <w:tc>
          <w:tcPr>
            <w:tcW w:w="1373" w:type="dxa"/>
            <w:vAlign w:val="center"/>
          </w:tcPr>
          <w:p w14:paraId="33C9E0F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7.12</w:t>
            </w:r>
          </w:p>
        </w:tc>
        <w:tc>
          <w:tcPr>
            <w:tcW w:w="1339" w:type="dxa"/>
            <w:vAlign w:val="center"/>
          </w:tcPr>
          <w:p w14:paraId="765A089C">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7.14</w:t>
            </w:r>
          </w:p>
        </w:tc>
        <w:tc>
          <w:tcPr>
            <w:tcW w:w="1225" w:type="dxa"/>
            <w:vAlign w:val="center"/>
          </w:tcPr>
          <w:p w14:paraId="1D9E9A26">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1394" w:type="dxa"/>
            <w:vAlign w:val="center"/>
          </w:tcPr>
          <w:p w14:paraId="12BE8CAF">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28346749">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46C08F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F738038">
            <w:pPr>
              <w:snapToGrid w:val="0"/>
              <w:spacing w:line="0" w:lineRule="atLeas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Ca</w:t>
            </w:r>
            <w:r>
              <w:rPr>
                <w:rFonts w:hint="default" w:ascii="Times New Roman" w:hAnsi="Times New Roman" w:cs="Times New Roman"/>
                <w:color w:val="auto"/>
                <w:sz w:val="18"/>
                <w:szCs w:val="18"/>
                <w:highlight w:val="none"/>
                <w:vertAlign w:val="superscript"/>
              </w:rPr>
              <w:t>2+</w:t>
            </w:r>
          </w:p>
        </w:tc>
        <w:tc>
          <w:tcPr>
            <w:tcW w:w="1362" w:type="dxa"/>
            <w:vAlign w:val="center"/>
          </w:tcPr>
          <w:p w14:paraId="5DAC4815">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67.4</w:t>
            </w:r>
          </w:p>
        </w:tc>
        <w:tc>
          <w:tcPr>
            <w:tcW w:w="1373" w:type="dxa"/>
            <w:vAlign w:val="center"/>
          </w:tcPr>
          <w:p w14:paraId="75F90BF8">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68.5</w:t>
            </w:r>
          </w:p>
        </w:tc>
        <w:tc>
          <w:tcPr>
            <w:tcW w:w="1339" w:type="dxa"/>
            <w:vAlign w:val="center"/>
          </w:tcPr>
          <w:p w14:paraId="683CD58E">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68.7</w:t>
            </w:r>
          </w:p>
        </w:tc>
        <w:tc>
          <w:tcPr>
            <w:tcW w:w="1225" w:type="dxa"/>
            <w:vAlign w:val="center"/>
          </w:tcPr>
          <w:p w14:paraId="1EC98E68">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1394" w:type="dxa"/>
            <w:vAlign w:val="center"/>
          </w:tcPr>
          <w:p w14:paraId="15BCEF16">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6B911BF3">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17800B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4C63948A">
            <w:pPr>
              <w:snapToGrid w:val="0"/>
              <w:spacing w:line="0" w:lineRule="atLeas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w:t>
            </w:r>
            <w:r>
              <w:rPr>
                <w:rFonts w:hint="default" w:ascii="Times New Roman" w:hAnsi="Times New Roman" w:cs="Times New Roman"/>
                <w:color w:val="auto"/>
                <w:sz w:val="18"/>
                <w:szCs w:val="18"/>
                <w:highlight w:val="none"/>
                <w:vertAlign w:val="superscript"/>
              </w:rPr>
              <w:t>2+</w:t>
            </w:r>
          </w:p>
        </w:tc>
        <w:tc>
          <w:tcPr>
            <w:tcW w:w="1362" w:type="dxa"/>
            <w:vAlign w:val="center"/>
          </w:tcPr>
          <w:p w14:paraId="534BF078">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13.6</w:t>
            </w:r>
          </w:p>
        </w:tc>
        <w:tc>
          <w:tcPr>
            <w:tcW w:w="1373" w:type="dxa"/>
            <w:vAlign w:val="center"/>
          </w:tcPr>
          <w:p w14:paraId="55914C7D">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14.2</w:t>
            </w:r>
          </w:p>
        </w:tc>
        <w:tc>
          <w:tcPr>
            <w:tcW w:w="1339" w:type="dxa"/>
            <w:vAlign w:val="center"/>
          </w:tcPr>
          <w:p w14:paraId="2B7B4D67">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14.4</w:t>
            </w:r>
          </w:p>
        </w:tc>
        <w:tc>
          <w:tcPr>
            <w:tcW w:w="1225" w:type="dxa"/>
            <w:vAlign w:val="center"/>
          </w:tcPr>
          <w:p w14:paraId="3BE18B50">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1394" w:type="dxa"/>
            <w:vAlign w:val="center"/>
          </w:tcPr>
          <w:p w14:paraId="5704F07C">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7DD29F6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6C98CA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99C76E8">
            <w:pPr>
              <w:snapToGrid w:val="0"/>
              <w:spacing w:line="0" w:lineRule="atLeas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CO</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vertAlign w:val="superscript"/>
              </w:rPr>
              <w:t>2-</w:t>
            </w:r>
          </w:p>
        </w:tc>
        <w:tc>
          <w:tcPr>
            <w:tcW w:w="1362" w:type="dxa"/>
            <w:vAlign w:val="center"/>
          </w:tcPr>
          <w:p w14:paraId="1CF51A4F">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5L</w:t>
            </w:r>
          </w:p>
        </w:tc>
        <w:tc>
          <w:tcPr>
            <w:tcW w:w="1373" w:type="dxa"/>
            <w:vAlign w:val="center"/>
          </w:tcPr>
          <w:p w14:paraId="17C5AF9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5L</w:t>
            </w:r>
          </w:p>
        </w:tc>
        <w:tc>
          <w:tcPr>
            <w:tcW w:w="1339" w:type="dxa"/>
            <w:vAlign w:val="center"/>
          </w:tcPr>
          <w:p w14:paraId="4E39B494">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5L</w:t>
            </w:r>
          </w:p>
        </w:tc>
        <w:tc>
          <w:tcPr>
            <w:tcW w:w="1225" w:type="dxa"/>
            <w:vAlign w:val="center"/>
          </w:tcPr>
          <w:p w14:paraId="7095EDF7">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1394" w:type="dxa"/>
            <w:vAlign w:val="center"/>
          </w:tcPr>
          <w:p w14:paraId="35A6AAEC">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37FCFF8B">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035B57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675EC07C">
            <w:pPr>
              <w:snapToGrid w:val="0"/>
              <w:spacing w:line="0" w:lineRule="atLeas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HCO</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vertAlign w:val="superscript"/>
              </w:rPr>
              <w:t>-</w:t>
            </w:r>
          </w:p>
        </w:tc>
        <w:tc>
          <w:tcPr>
            <w:tcW w:w="1362" w:type="dxa"/>
            <w:vAlign w:val="center"/>
          </w:tcPr>
          <w:p w14:paraId="6CA53B3E">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264</w:t>
            </w:r>
          </w:p>
        </w:tc>
        <w:tc>
          <w:tcPr>
            <w:tcW w:w="1373" w:type="dxa"/>
            <w:vAlign w:val="center"/>
          </w:tcPr>
          <w:p w14:paraId="11D63836">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268</w:t>
            </w:r>
          </w:p>
        </w:tc>
        <w:tc>
          <w:tcPr>
            <w:tcW w:w="1339" w:type="dxa"/>
            <w:vAlign w:val="center"/>
          </w:tcPr>
          <w:p w14:paraId="02BECE86">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270</w:t>
            </w:r>
          </w:p>
        </w:tc>
        <w:tc>
          <w:tcPr>
            <w:tcW w:w="1225" w:type="dxa"/>
            <w:vAlign w:val="center"/>
          </w:tcPr>
          <w:p w14:paraId="50388550">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1394" w:type="dxa"/>
            <w:vAlign w:val="center"/>
          </w:tcPr>
          <w:p w14:paraId="244E06A2">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10B0D623">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45EB27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3A550E3">
            <w:pPr>
              <w:snapToGrid w:val="0"/>
              <w:spacing w:line="0" w:lineRule="atLeas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Cl</w:t>
            </w:r>
            <w:r>
              <w:rPr>
                <w:rFonts w:hint="default" w:ascii="Times New Roman" w:hAnsi="Times New Roman" w:cs="Times New Roman"/>
                <w:color w:val="auto"/>
                <w:sz w:val="18"/>
                <w:szCs w:val="18"/>
                <w:highlight w:val="none"/>
                <w:vertAlign w:val="superscript"/>
              </w:rPr>
              <w:t>-</w:t>
            </w:r>
          </w:p>
        </w:tc>
        <w:tc>
          <w:tcPr>
            <w:tcW w:w="1362" w:type="dxa"/>
            <w:vAlign w:val="center"/>
          </w:tcPr>
          <w:p w14:paraId="2EC4C566">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8.46</w:t>
            </w:r>
          </w:p>
        </w:tc>
        <w:tc>
          <w:tcPr>
            <w:tcW w:w="1373" w:type="dxa"/>
            <w:vAlign w:val="center"/>
          </w:tcPr>
          <w:p w14:paraId="24C66966">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8.88</w:t>
            </w:r>
          </w:p>
        </w:tc>
        <w:tc>
          <w:tcPr>
            <w:tcW w:w="1339" w:type="dxa"/>
            <w:vAlign w:val="center"/>
          </w:tcPr>
          <w:p w14:paraId="3060D695">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9.13</w:t>
            </w:r>
          </w:p>
        </w:tc>
        <w:tc>
          <w:tcPr>
            <w:tcW w:w="1225" w:type="dxa"/>
            <w:vAlign w:val="center"/>
          </w:tcPr>
          <w:p w14:paraId="58415ADD">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1394" w:type="dxa"/>
            <w:vAlign w:val="center"/>
          </w:tcPr>
          <w:p w14:paraId="4654E31A">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72770425">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2E29AC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045368E8">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SO</w:t>
            </w:r>
            <w:r>
              <w:rPr>
                <w:rFonts w:hint="default" w:ascii="Times New Roman" w:hAnsi="Times New Roman" w:cs="Times New Roman"/>
                <w:color w:val="auto"/>
                <w:sz w:val="18"/>
                <w:szCs w:val="18"/>
                <w:highlight w:val="none"/>
                <w:vertAlign w:val="subscript"/>
              </w:rPr>
              <w:t>4</w:t>
            </w:r>
            <w:r>
              <w:rPr>
                <w:rFonts w:hint="default" w:ascii="Times New Roman" w:hAnsi="Times New Roman" w:cs="Times New Roman"/>
                <w:color w:val="auto"/>
                <w:sz w:val="18"/>
                <w:szCs w:val="18"/>
                <w:highlight w:val="none"/>
                <w:vertAlign w:val="superscript"/>
              </w:rPr>
              <w:t>2-</w:t>
            </w:r>
          </w:p>
        </w:tc>
        <w:tc>
          <w:tcPr>
            <w:tcW w:w="1362" w:type="dxa"/>
            <w:vAlign w:val="center"/>
          </w:tcPr>
          <w:p w14:paraId="04FC5125">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4.92</w:t>
            </w:r>
          </w:p>
        </w:tc>
        <w:tc>
          <w:tcPr>
            <w:tcW w:w="1373" w:type="dxa"/>
            <w:vAlign w:val="center"/>
          </w:tcPr>
          <w:p w14:paraId="062AADF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2.27</w:t>
            </w:r>
          </w:p>
        </w:tc>
        <w:tc>
          <w:tcPr>
            <w:tcW w:w="1339" w:type="dxa"/>
            <w:vAlign w:val="center"/>
          </w:tcPr>
          <w:p w14:paraId="05F13681">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2.31</w:t>
            </w:r>
          </w:p>
        </w:tc>
        <w:tc>
          <w:tcPr>
            <w:tcW w:w="1225" w:type="dxa"/>
            <w:vAlign w:val="center"/>
          </w:tcPr>
          <w:p w14:paraId="38E55C1D">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1394" w:type="dxa"/>
            <w:vAlign w:val="center"/>
          </w:tcPr>
          <w:p w14:paraId="10634BC0">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71792C10">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072434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781CC41B">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氨氮</w:t>
            </w:r>
          </w:p>
        </w:tc>
        <w:tc>
          <w:tcPr>
            <w:tcW w:w="1362" w:type="dxa"/>
            <w:vAlign w:val="center"/>
          </w:tcPr>
          <w:p w14:paraId="02E46E78">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0.031</w:t>
            </w:r>
          </w:p>
        </w:tc>
        <w:tc>
          <w:tcPr>
            <w:tcW w:w="1373" w:type="dxa"/>
            <w:vAlign w:val="center"/>
          </w:tcPr>
          <w:p w14:paraId="19199A65">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0.048</w:t>
            </w:r>
          </w:p>
        </w:tc>
        <w:tc>
          <w:tcPr>
            <w:tcW w:w="1339" w:type="dxa"/>
            <w:vAlign w:val="center"/>
          </w:tcPr>
          <w:p w14:paraId="6A50E412">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0.055</w:t>
            </w:r>
          </w:p>
        </w:tc>
        <w:tc>
          <w:tcPr>
            <w:tcW w:w="1225" w:type="dxa"/>
            <w:vAlign w:val="center"/>
          </w:tcPr>
          <w:p w14:paraId="47A130AB">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0.5</w:t>
            </w:r>
          </w:p>
        </w:tc>
        <w:tc>
          <w:tcPr>
            <w:tcW w:w="1394" w:type="dxa"/>
            <w:vAlign w:val="center"/>
          </w:tcPr>
          <w:p w14:paraId="0F3E12F7">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0.062-0.11</w:t>
            </w:r>
          </w:p>
        </w:tc>
        <w:tc>
          <w:tcPr>
            <w:tcW w:w="831" w:type="dxa"/>
            <w:vAlign w:val="center"/>
          </w:tcPr>
          <w:p w14:paraId="1CF436C7">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45C54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7ED4DCBF">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硝酸盐</w:t>
            </w:r>
          </w:p>
        </w:tc>
        <w:tc>
          <w:tcPr>
            <w:tcW w:w="1362" w:type="dxa"/>
            <w:vAlign w:val="center"/>
          </w:tcPr>
          <w:p w14:paraId="6DC334CF">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4.36</w:t>
            </w:r>
          </w:p>
        </w:tc>
        <w:tc>
          <w:tcPr>
            <w:tcW w:w="1373" w:type="dxa"/>
            <w:vAlign w:val="center"/>
          </w:tcPr>
          <w:p w14:paraId="0297888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4.35</w:t>
            </w:r>
          </w:p>
        </w:tc>
        <w:tc>
          <w:tcPr>
            <w:tcW w:w="1339" w:type="dxa"/>
            <w:vAlign w:val="center"/>
          </w:tcPr>
          <w:p w14:paraId="79158D5F">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4.26</w:t>
            </w:r>
          </w:p>
        </w:tc>
        <w:tc>
          <w:tcPr>
            <w:tcW w:w="1225" w:type="dxa"/>
            <w:vAlign w:val="center"/>
          </w:tcPr>
          <w:p w14:paraId="2DC46157">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20</w:t>
            </w:r>
          </w:p>
        </w:tc>
        <w:tc>
          <w:tcPr>
            <w:tcW w:w="1394" w:type="dxa"/>
            <w:vAlign w:val="center"/>
          </w:tcPr>
          <w:p w14:paraId="100E76D2">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0.213-0.218</w:t>
            </w:r>
          </w:p>
        </w:tc>
        <w:tc>
          <w:tcPr>
            <w:tcW w:w="831" w:type="dxa"/>
            <w:vAlign w:val="center"/>
          </w:tcPr>
          <w:p w14:paraId="4D20F69A">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355CB8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2183A8A6">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亚硝酸盐</w:t>
            </w:r>
          </w:p>
        </w:tc>
        <w:tc>
          <w:tcPr>
            <w:tcW w:w="1362" w:type="dxa"/>
            <w:vAlign w:val="center"/>
          </w:tcPr>
          <w:p w14:paraId="738AADEA">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0.122</w:t>
            </w:r>
          </w:p>
        </w:tc>
        <w:tc>
          <w:tcPr>
            <w:tcW w:w="1373" w:type="dxa"/>
            <w:vAlign w:val="center"/>
          </w:tcPr>
          <w:p w14:paraId="503E46C2">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0.123</w:t>
            </w:r>
          </w:p>
        </w:tc>
        <w:tc>
          <w:tcPr>
            <w:tcW w:w="1339" w:type="dxa"/>
            <w:vAlign w:val="center"/>
          </w:tcPr>
          <w:p w14:paraId="37A0F252">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0.123</w:t>
            </w:r>
          </w:p>
        </w:tc>
        <w:tc>
          <w:tcPr>
            <w:tcW w:w="1225" w:type="dxa"/>
            <w:vAlign w:val="center"/>
          </w:tcPr>
          <w:p w14:paraId="35AB43E2">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1.0</w:t>
            </w:r>
          </w:p>
        </w:tc>
        <w:tc>
          <w:tcPr>
            <w:tcW w:w="1394" w:type="dxa"/>
            <w:vAlign w:val="center"/>
          </w:tcPr>
          <w:p w14:paraId="07DC0171">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0.122-0.123</w:t>
            </w:r>
          </w:p>
        </w:tc>
        <w:tc>
          <w:tcPr>
            <w:tcW w:w="831" w:type="dxa"/>
            <w:vAlign w:val="center"/>
          </w:tcPr>
          <w:p w14:paraId="7A664B7C">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7AB790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71BFCD66">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挥发性酚类</w:t>
            </w:r>
          </w:p>
        </w:tc>
        <w:tc>
          <w:tcPr>
            <w:tcW w:w="1362" w:type="dxa"/>
            <w:vAlign w:val="center"/>
          </w:tcPr>
          <w:p w14:paraId="52F0DE4E">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0.0003</w:t>
            </w:r>
            <w:r>
              <w:rPr>
                <w:rFonts w:hint="default" w:ascii="Times New Roman" w:hAnsi="Times New Roman" w:eastAsia="仿宋_GB2312" w:cs="Times New Roman"/>
                <w:color w:val="auto"/>
                <w:sz w:val="18"/>
                <w:szCs w:val="18"/>
                <w:highlight w:val="none"/>
                <w:lang w:val="en-US" w:eastAsia="zh-CN"/>
              </w:rPr>
              <w:t>L</w:t>
            </w:r>
          </w:p>
        </w:tc>
        <w:tc>
          <w:tcPr>
            <w:tcW w:w="1373" w:type="dxa"/>
            <w:vAlign w:val="center"/>
          </w:tcPr>
          <w:p w14:paraId="3E2C5CAE">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0.0003</w:t>
            </w:r>
            <w:r>
              <w:rPr>
                <w:rFonts w:hint="default" w:ascii="Times New Roman" w:hAnsi="Times New Roman" w:eastAsia="仿宋_GB2312" w:cs="Times New Roman"/>
                <w:color w:val="auto"/>
                <w:sz w:val="18"/>
                <w:szCs w:val="18"/>
                <w:highlight w:val="none"/>
                <w:lang w:val="en-US" w:eastAsia="zh-CN"/>
              </w:rPr>
              <w:t>L</w:t>
            </w:r>
          </w:p>
        </w:tc>
        <w:tc>
          <w:tcPr>
            <w:tcW w:w="1339" w:type="dxa"/>
            <w:vAlign w:val="center"/>
          </w:tcPr>
          <w:p w14:paraId="41FD0596">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0.0003</w:t>
            </w:r>
            <w:r>
              <w:rPr>
                <w:rFonts w:hint="default" w:ascii="Times New Roman" w:hAnsi="Times New Roman" w:eastAsia="仿宋_GB2312" w:cs="Times New Roman"/>
                <w:color w:val="auto"/>
                <w:sz w:val="18"/>
                <w:szCs w:val="18"/>
                <w:highlight w:val="none"/>
                <w:lang w:val="en-US" w:eastAsia="zh-CN"/>
              </w:rPr>
              <w:t>L</w:t>
            </w:r>
          </w:p>
        </w:tc>
        <w:tc>
          <w:tcPr>
            <w:tcW w:w="1225" w:type="dxa"/>
            <w:vAlign w:val="center"/>
          </w:tcPr>
          <w:p w14:paraId="0FB6481E">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0.002</w:t>
            </w:r>
          </w:p>
        </w:tc>
        <w:tc>
          <w:tcPr>
            <w:tcW w:w="1394" w:type="dxa"/>
            <w:vAlign w:val="center"/>
          </w:tcPr>
          <w:p w14:paraId="5002D0B7">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712A6DF8">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1A87BA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6E84FD94">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氰化物</w:t>
            </w:r>
          </w:p>
        </w:tc>
        <w:tc>
          <w:tcPr>
            <w:tcW w:w="1362" w:type="dxa"/>
            <w:vAlign w:val="center"/>
          </w:tcPr>
          <w:p w14:paraId="3F457867">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0.004L</w:t>
            </w:r>
          </w:p>
        </w:tc>
        <w:tc>
          <w:tcPr>
            <w:tcW w:w="1373" w:type="dxa"/>
            <w:vAlign w:val="center"/>
          </w:tcPr>
          <w:p w14:paraId="302D2672">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0.004L</w:t>
            </w:r>
          </w:p>
        </w:tc>
        <w:tc>
          <w:tcPr>
            <w:tcW w:w="1339" w:type="dxa"/>
            <w:vAlign w:val="center"/>
          </w:tcPr>
          <w:p w14:paraId="7B3B4443">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0.004L</w:t>
            </w:r>
          </w:p>
        </w:tc>
        <w:tc>
          <w:tcPr>
            <w:tcW w:w="1225" w:type="dxa"/>
            <w:vAlign w:val="center"/>
          </w:tcPr>
          <w:p w14:paraId="685F5272">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0.05</w:t>
            </w:r>
          </w:p>
        </w:tc>
        <w:tc>
          <w:tcPr>
            <w:tcW w:w="1394" w:type="dxa"/>
            <w:vAlign w:val="center"/>
          </w:tcPr>
          <w:p w14:paraId="4AC336A8">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0F87C3BD">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5816B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DE3D2C8">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总硬度</w:t>
            </w:r>
          </w:p>
        </w:tc>
        <w:tc>
          <w:tcPr>
            <w:tcW w:w="1362" w:type="dxa"/>
            <w:vAlign w:val="center"/>
          </w:tcPr>
          <w:p w14:paraId="7195A75F">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251</w:t>
            </w:r>
          </w:p>
        </w:tc>
        <w:tc>
          <w:tcPr>
            <w:tcW w:w="1373" w:type="dxa"/>
            <w:vAlign w:val="center"/>
          </w:tcPr>
          <w:p w14:paraId="391A847F">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254</w:t>
            </w:r>
          </w:p>
        </w:tc>
        <w:tc>
          <w:tcPr>
            <w:tcW w:w="1339" w:type="dxa"/>
            <w:vAlign w:val="center"/>
          </w:tcPr>
          <w:p w14:paraId="0F1E29FD">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249</w:t>
            </w:r>
          </w:p>
        </w:tc>
        <w:tc>
          <w:tcPr>
            <w:tcW w:w="1225" w:type="dxa"/>
            <w:vAlign w:val="center"/>
          </w:tcPr>
          <w:p w14:paraId="6ED09C02">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450</w:t>
            </w:r>
          </w:p>
        </w:tc>
        <w:tc>
          <w:tcPr>
            <w:tcW w:w="1394" w:type="dxa"/>
            <w:vAlign w:val="center"/>
          </w:tcPr>
          <w:p w14:paraId="0C3C90A7">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0.553-0.564</w:t>
            </w:r>
          </w:p>
        </w:tc>
        <w:tc>
          <w:tcPr>
            <w:tcW w:w="831" w:type="dxa"/>
            <w:vAlign w:val="center"/>
          </w:tcPr>
          <w:p w14:paraId="06364CD5">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4E6B46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1F3C640D">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高锰酸钾指数</w:t>
            </w:r>
          </w:p>
        </w:tc>
        <w:tc>
          <w:tcPr>
            <w:tcW w:w="1362" w:type="dxa"/>
            <w:vAlign w:val="center"/>
          </w:tcPr>
          <w:p w14:paraId="38CB6EFB">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1.1</w:t>
            </w:r>
          </w:p>
        </w:tc>
        <w:tc>
          <w:tcPr>
            <w:tcW w:w="1373" w:type="dxa"/>
            <w:vAlign w:val="center"/>
          </w:tcPr>
          <w:p w14:paraId="50ADF05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1.2</w:t>
            </w:r>
          </w:p>
        </w:tc>
        <w:tc>
          <w:tcPr>
            <w:tcW w:w="1339" w:type="dxa"/>
            <w:vAlign w:val="center"/>
          </w:tcPr>
          <w:p w14:paraId="0A3877A5">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1.1</w:t>
            </w:r>
          </w:p>
        </w:tc>
        <w:tc>
          <w:tcPr>
            <w:tcW w:w="1225" w:type="dxa"/>
            <w:vAlign w:val="center"/>
          </w:tcPr>
          <w:p w14:paraId="2EA82142">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w:t>
            </w:r>
          </w:p>
        </w:tc>
        <w:tc>
          <w:tcPr>
            <w:tcW w:w="1394" w:type="dxa"/>
            <w:vAlign w:val="center"/>
          </w:tcPr>
          <w:p w14:paraId="1436FBEB">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0.183-06</w:t>
            </w:r>
          </w:p>
        </w:tc>
        <w:tc>
          <w:tcPr>
            <w:tcW w:w="831" w:type="dxa"/>
            <w:vAlign w:val="center"/>
          </w:tcPr>
          <w:p w14:paraId="6196F7FF">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79829E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E52459D">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氟化物</w:t>
            </w:r>
          </w:p>
        </w:tc>
        <w:tc>
          <w:tcPr>
            <w:tcW w:w="1362" w:type="dxa"/>
            <w:vAlign w:val="center"/>
          </w:tcPr>
          <w:p w14:paraId="6AD0C04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0.33</w:t>
            </w:r>
          </w:p>
        </w:tc>
        <w:tc>
          <w:tcPr>
            <w:tcW w:w="1373" w:type="dxa"/>
            <w:vAlign w:val="center"/>
          </w:tcPr>
          <w:p w14:paraId="1E572E22">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0.37</w:t>
            </w:r>
          </w:p>
        </w:tc>
        <w:tc>
          <w:tcPr>
            <w:tcW w:w="1339" w:type="dxa"/>
            <w:vAlign w:val="center"/>
          </w:tcPr>
          <w:p w14:paraId="7FF8BD08">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0.34</w:t>
            </w:r>
          </w:p>
        </w:tc>
        <w:tc>
          <w:tcPr>
            <w:tcW w:w="1225" w:type="dxa"/>
            <w:vAlign w:val="center"/>
          </w:tcPr>
          <w:p w14:paraId="7021DFFB">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1.0</w:t>
            </w:r>
          </w:p>
        </w:tc>
        <w:tc>
          <w:tcPr>
            <w:tcW w:w="1394" w:type="dxa"/>
            <w:vAlign w:val="center"/>
          </w:tcPr>
          <w:p w14:paraId="24C0F9D5">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0.33-0.34</w:t>
            </w:r>
          </w:p>
        </w:tc>
        <w:tc>
          <w:tcPr>
            <w:tcW w:w="831" w:type="dxa"/>
            <w:vAlign w:val="center"/>
          </w:tcPr>
          <w:p w14:paraId="1948793B">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2DDC32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2E704A0C">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溶解性总固体</w:t>
            </w:r>
          </w:p>
        </w:tc>
        <w:tc>
          <w:tcPr>
            <w:tcW w:w="1362" w:type="dxa"/>
            <w:vAlign w:val="center"/>
          </w:tcPr>
          <w:p w14:paraId="1A365446">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512</w:t>
            </w:r>
          </w:p>
        </w:tc>
        <w:tc>
          <w:tcPr>
            <w:tcW w:w="1373" w:type="dxa"/>
            <w:vAlign w:val="center"/>
          </w:tcPr>
          <w:p w14:paraId="1FE72E6B">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507</w:t>
            </w:r>
          </w:p>
        </w:tc>
        <w:tc>
          <w:tcPr>
            <w:tcW w:w="1339" w:type="dxa"/>
            <w:vAlign w:val="center"/>
          </w:tcPr>
          <w:p w14:paraId="14543EB5">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522</w:t>
            </w:r>
          </w:p>
        </w:tc>
        <w:tc>
          <w:tcPr>
            <w:tcW w:w="1225" w:type="dxa"/>
            <w:vAlign w:val="center"/>
          </w:tcPr>
          <w:p w14:paraId="129177C5">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1000</w:t>
            </w:r>
          </w:p>
        </w:tc>
        <w:tc>
          <w:tcPr>
            <w:tcW w:w="1394" w:type="dxa"/>
            <w:vAlign w:val="center"/>
          </w:tcPr>
          <w:p w14:paraId="16B43F07">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0.507-0.522</w:t>
            </w:r>
          </w:p>
        </w:tc>
        <w:tc>
          <w:tcPr>
            <w:tcW w:w="831" w:type="dxa"/>
            <w:vAlign w:val="center"/>
          </w:tcPr>
          <w:p w14:paraId="25686B03">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135412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7146CB80">
            <w:pPr>
              <w:spacing w:line="240" w:lineRule="auto"/>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硫酸盐</w:t>
            </w:r>
          </w:p>
        </w:tc>
        <w:tc>
          <w:tcPr>
            <w:tcW w:w="1362" w:type="dxa"/>
            <w:vAlign w:val="center"/>
          </w:tcPr>
          <w:p w14:paraId="51E45BD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8L</w:t>
            </w:r>
          </w:p>
        </w:tc>
        <w:tc>
          <w:tcPr>
            <w:tcW w:w="1373" w:type="dxa"/>
            <w:vAlign w:val="center"/>
          </w:tcPr>
          <w:p w14:paraId="27818AD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8L</w:t>
            </w:r>
          </w:p>
        </w:tc>
        <w:tc>
          <w:tcPr>
            <w:tcW w:w="1339" w:type="dxa"/>
            <w:vAlign w:val="center"/>
          </w:tcPr>
          <w:p w14:paraId="4BB5889F">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8L</w:t>
            </w:r>
          </w:p>
        </w:tc>
        <w:tc>
          <w:tcPr>
            <w:tcW w:w="1225" w:type="dxa"/>
            <w:vAlign w:val="center"/>
          </w:tcPr>
          <w:p w14:paraId="433FECE3">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250</w:t>
            </w:r>
          </w:p>
        </w:tc>
        <w:tc>
          <w:tcPr>
            <w:tcW w:w="1394" w:type="dxa"/>
            <w:vAlign w:val="center"/>
          </w:tcPr>
          <w:p w14:paraId="65814DB7">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220C4306">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3AEE3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01A67D68">
            <w:pPr>
              <w:spacing w:line="240" w:lineRule="auto"/>
              <w:jc w:val="center"/>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氯化物</w:t>
            </w:r>
          </w:p>
        </w:tc>
        <w:tc>
          <w:tcPr>
            <w:tcW w:w="1362" w:type="dxa"/>
            <w:vAlign w:val="center"/>
          </w:tcPr>
          <w:p w14:paraId="02F3C98B">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39</w:t>
            </w:r>
          </w:p>
        </w:tc>
        <w:tc>
          <w:tcPr>
            <w:tcW w:w="1373" w:type="dxa"/>
            <w:vAlign w:val="center"/>
          </w:tcPr>
          <w:p w14:paraId="081AF556">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37</w:t>
            </w:r>
          </w:p>
        </w:tc>
        <w:tc>
          <w:tcPr>
            <w:tcW w:w="1339" w:type="dxa"/>
            <w:vAlign w:val="center"/>
          </w:tcPr>
          <w:p w14:paraId="3297BB71">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40</w:t>
            </w:r>
          </w:p>
        </w:tc>
        <w:tc>
          <w:tcPr>
            <w:tcW w:w="1225" w:type="dxa"/>
            <w:vAlign w:val="center"/>
          </w:tcPr>
          <w:p w14:paraId="63A13043">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250</w:t>
            </w:r>
          </w:p>
        </w:tc>
        <w:tc>
          <w:tcPr>
            <w:tcW w:w="1394" w:type="dxa"/>
            <w:vAlign w:val="center"/>
          </w:tcPr>
          <w:p w14:paraId="46BBBBA0">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0.148-0.16</w:t>
            </w:r>
          </w:p>
        </w:tc>
        <w:tc>
          <w:tcPr>
            <w:tcW w:w="831" w:type="dxa"/>
            <w:vAlign w:val="center"/>
          </w:tcPr>
          <w:p w14:paraId="2B704BE8">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6C3D18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75CD39E9">
            <w:pPr>
              <w:spacing w:line="240" w:lineRule="auto"/>
              <w:jc w:val="center"/>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六价铬</w:t>
            </w:r>
          </w:p>
        </w:tc>
        <w:tc>
          <w:tcPr>
            <w:tcW w:w="1362" w:type="dxa"/>
            <w:vAlign w:val="center"/>
          </w:tcPr>
          <w:p w14:paraId="1C095566">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0.004L</w:t>
            </w:r>
          </w:p>
        </w:tc>
        <w:tc>
          <w:tcPr>
            <w:tcW w:w="1373" w:type="dxa"/>
            <w:vAlign w:val="center"/>
          </w:tcPr>
          <w:p w14:paraId="6AAC4884">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0.004L</w:t>
            </w:r>
          </w:p>
        </w:tc>
        <w:tc>
          <w:tcPr>
            <w:tcW w:w="1339" w:type="dxa"/>
            <w:vAlign w:val="center"/>
          </w:tcPr>
          <w:p w14:paraId="161C0382">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0.004L</w:t>
            </w:r>
          </w:p>
        </w:tc>
        <w:tc>
          <w:tcPr>
            <w:tcW w:w="1225" w:type="dxa"/>
            <w:vAlign w:val="center"/>
          </w:tcPr>
          <w:p w14:paraId="1BA05550">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0.05</w:t>
            </w:r>
          </w:p>
        </w:tc>
        <w:tc>
          <w:tcPr>
            <w:tcW w:w="1394" w:type="dxa"/>
            <w:vAlign w:val="center"/>
          </w:tcPr>
          <w:p w14:paraId="7D62C56B">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2C3034B6">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4179E2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18275D41">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砷</w:t>
            </w:r>
          </w:p>
        </w:tc>
        <w:tc>
          <w:tcPr>
            <w:tcW w:w="1362" w:type="dxa"/>
            <w:vAlign w:val="center"/>
          </w:tcPr>
          <w:p w14:paraId="5FF87325">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3×10</w:t>
            </w:r>
            <w:r>
              <w:rPr>
                <w:rFonts w:hint="default" w:ascii="Times New Roman" w:hAnsi="Times New Roman" w:eastAsia="仿宋_GB2312" w:cs="Times New Roman"/>
                <w:color w:val="auto"/>
                <w:sz w:val="18"/>
                <w:szCs w:val="18"/>
                <w:highlight w:val="none"/>
                <w:vertAlign w:val="superscript"/>
                <w:lang w:val="en-US" w:eastAsia="zh-CN"/>
              </w:rPr>
              <w:t>-4</w:t>
            </w:r>
            <w:r>
              <w:rPr>
                <w:rFonts w:hint="default" w:ascii="Times New Roman" w:hAnsi="Times New Roman" w:eastAsia="仿宋_GB2312" w:cs="Times New Roman"/>
                <w:color w:val="auto"/>
                <w:sz w:val="18"/>
                <w:szCs w:val="18"/>
                <w:highlight w:val="none"/>
                <w:vertAlign w:val="baseline"/>
                <w:lang w:val="en-US" w:eastAsia="zh-CN"/>
              </w:rPr>
              <w:t>L</w:t>
            </w:r>
          </w:p>
        </w:tc>
        <w:tc>
          <w:tcPr>
            <w:tcW w:w="1373" w:type="dxa"/>
            <w:vAlign w:val="center"/>
          </w:tcPr>
          <w:p w14:paraId="35E132A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3×10</w:t>
            </w:r>
            <w:r>
              <w:rPr>
                <w:rFonts w:hint="default" w:ascii="Times New Roman" w:hAnsi="Times New Roman" w:eastAsia="仿宋_GB2312" w:cs="Times New Roman"/>
                <w:color w:val="auto"/>
                <w:sz w:val="18"/>
                <w:szCs w:val="18"/>
                <w:highlight w:val="none"/>
                <w:vertAlign w:val="superscript"/>
                <w:lang w:val="en-US" w:eastAsia="zh-CN"/>
              </w:rPr>
              <w:t>-4</w:t>
            </w:r>
            <w:r>
              <w:rPr>
                <w:rFonts w:hint="default" w:ascii="Times New Roman" w:hAnsi="Times New Roman" w:eastAsia="仿宋_GB2312" w:cs="Times New Roman"/>
                <w:color w:val="auto"/>
                <w:sz w:val="18"/>
                <w:szCs w:val="18"/>
                <w:highlight w:val="none"/>
                <w:vertAlign w:val="baseline"/>
                <w:lang w:val="en-US" w:eastAsia="zh-CN"/>
              </w:rPr>
              <w:t>L</w:t>
            </w:r>
          </w:p>
        </w:tc>
        <w:tc>
          <w:tcPr>
            <w:tcW w:w="1339" w:type="dxa"/>
            <w:vAlign w:val="center"/>
          </w:tcPr>
          <w:p w14:paraId="30499B66">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3×10</w:t>
            </w:r>
            <w:r>
              <w:rPr>
                <w:rFonts w:hint="default" w:ascii="Times New Roman" w:hAnsi="Times New Roman" w:eastAsia="仿宋_GB2312" w:cs="Times New Roman"/>
                <w:color w:val="auto"/>
                <w:sz w:val="18"/>
                <w:szCs w:val="18"/>
                <w:highlight w:val="none"/>
                <w:vertAlign w:val="superscript"/>
                <w:lang w:val="en-US" w:eastAsia="zh-CN"/>
              </w:rPr>
              <w:t>-4</w:t>
            </w:r>
            <w:r>
              <w:rPr>
                <w:rFonts w:hint="default" w:ascii="Times New Roman" w:hAnsi="Times New Roman" w:eastAsia="仿宋_GB2312" w:cs="Times New Roman"/>
                <w:color w:val="auto"/>
                <w:sz w:val="18"/>
                <w:szCs w:val="18"/>
                <w:highlight w:val="none"/>
                <w:vertAlign w:val="baseline"/>
                <w:lang w:val="en-US" w:eastAsia="zh-CN"/>
              </w:rPr>
              <w:t>L</w:t>
            </w:r>
          </w:p>
        </w:tc>
        <w:tc>
          <w:tcPr>
            <w:tcW w:w="1225" w:type="dxa"/>
            <w:vAlign w:val="center"/>
          </w:tcPr>
          <w:p w14:paraId="67B9EB58">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0.01</w:t>
            </w:r>
          </w:p>
        </w:tc>
        <w:tc>
          <w:tcPr>
            <w:tcW w:w="1394" w:type="dxa"/>
            <w:vAlign w:val="center"/>
          </w:tcPr>
          <w:p w14:paraId="4D81E517">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54DD0974">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2838B6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8E66581">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汞</w:t>
            </w:r>
          </w:p>
        </w:tc>
        <w:tc>
          <w:tcPr>
            <w:tcW w:w="1362" w:type="dxa"/>
            <w:vAlign w:val="center"/>
          </w:tcPr>
          <w:p w14:paraId="0370E8F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6×10</w:t>
            </w:r>
            <w:r>
              <w:rPr>
                <w:rFonts w:hint="default" w:ascii="Times New Roman" w:hAnsi="Times New Roman" w:eastAsia="仿宋_GB2312" w:cs="Times New Roman"/>
                <w:color w:val="auto"/>
                <w:sz w:val="18"/>
                <w:szCs w:val="18"/>
                <w:highlight w:val="none"/>
                <w:vertAlign w:val="superscript"/>
                <w:lang w:val="en-US" w:eastAsia="zh-CN"/>
              </w:rPr>
              <w:t>-5</w:t>
            </w:r>
          </w:p>
        </w:tc>
        <w:tc>
          <w:tcPr>
            <w:tcW w:w="1373" w:type="dxa"/>
            <w:vAlign w:val="center"/>
          </w:tcPr>
          <w:p w14:paraId="44FEA722">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7×10</w:t>
            </w:r>
            <w:r>
              <w:rPr>
                <w:rFonts w:hint="default" w:ascii="Times New Roman" w:hAnsi="Times New Roman" w:eastAsia="仿宋_GB2312" w:cs="Times New Roman"/>
                <w:color w:val="auto"/>
                <w:sz w:val="18"/>
                <w:szCs w:val="18"/>
                <w:highlight w:val="none"/>
                <w:vertAlign w:val="superscript"/>
                <w:lang w:val="en-US" w:eastAsia="zh-CN"/>
              </w:rPr>
              <w:t>-5</w:t>
            </w:r>
          </w:p>
        </w:tc>
        <w:tc>
          <w:tcPr>
            <w:tcW w:w="1339" w:type="dxa"/>
            <w:vAlign w:val="center"/>
          </w:tcPr>
          <w:p w14:paraId="3725609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8×10</w:t>
            </w:r>
            <w:r>
              <w:rPr>
                <w:rFonts w:hint="default" w:ascii="Times New Roman" w:hAnsi="Times New Roman" w:eastAsia="仿宋_GB2312" w:cs="Times New Roman"/>
                <w:color w:val="auto"/>
                <w:sz w:val="18"/>
                <w:szCs w:val="18"/>
                <w:highlight w:val="none"/>
                <w:vertAlign w:val="superscript"/>
                <w:lang w:val="en-US" w:eastAsia="zh-CN"/>
              </w:rPr>
              <w:t>-5</w:t>
            </w:r>
          </w:p>
        </w:tc>
        <w:tc>
          <w:tcPr>
            <w:tcW w:w="1225" w:type="dxa"/>
            <w:vAlign w:val="center"/>
          </w:tcPr>
          <w:p w14:paraId="6116775B">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0.001</w:t>
            </w:r>
          </w:p>
        </w:tc>
        <w:tc>
          <w:tcPr>
            <w:tcW w:w="1394" w:type="dxa"/>
            <w:vAlign w:val="center"/>
          </w:tcPr>
          <w:p w14:paraId="38FC5265">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0.06-0.08</w:t>
            </w:r>
          </w:p>
        </w:tc>
        <w:tc>
          <w:tcPr>
            <w:tcW w:w="831" w:type="dxa"/>
            <w:vAlign w:val="center"/>
          </w:tcPr>
          <w:p w14:paraId="7094FB92">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1CEBB2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0101A7B4">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铅</w:t>
            </w:r>
          </w:p>
        </w:tc>
        <w:tc>
          <w:tcPr>
            <w:tcW w:w="1362" w:type="dxa"/>
            <w:vAlign w:val="center"/>
          </w:tcPr>
          <w:p w14:paraId="6D7DC05B">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0.001</w:t>
            </w:r>
            <w:r>
              <w:rPr>
                <w:rFonts w:hint="default" w:ascii="Times New Roman" w:hAnsi="Times New Roman" w:eastAsia="仿宋_GB2312" w:cs="Times New Roman"/>
                <w:color w:val="auto"/>
                <w:sz w:val="18"/>
                <w:szCs w:val="18"/>
                <w:highlight w:val="none"/>
                <w:lang w:val="en-US" w:eastAsia="zh-CN"/>
              </w:rPr>
              <w:t>L</w:t>
            </w:r>
          </w:p>
        </w:tc>
        <w:tc>
          <w:tcPr>
            <w:tcW w:w="1373" w:type="dxa"/>
            <w:vAlign w:val="center"/>
          </w:tcPr>
          <w:p w14:paraId="463C8844">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0.001</w:t>
            </w:r>
            <w:r>
              <w:rPr>
                <w:rFonts w:hint="default" w:ascii="Times New Roman" w:hAnsi="Times New Roman" w:eastAsia="仿宋_GB2312" w:cs="Times New Roman"/>
                <w:color w:val="auto"/>
                <w:sz w:val="18"/>
                <w:szCs w:val="18"/>
                <w:highlight w:val="none"/>
                <w:lang w:val="en-US" w:eastAsia="zh-CN"/>
              </w:rPr>
              <w:t>L</w:t>
            </w:r>
          </w:p>
        </w:tc>
        <w:tc>
          <w:tcPr>
            <w:tcW w:w="1339" w:type="dxa"/>
            <w:vAlign w:val="center"/>
          </w:tcPr>
          <w:p w14:paraId="479BF822">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0.001</w:t>
            </w:r>
            <w:r>
              <w:rPr>
                <w:rFonts w:hint="default" w:ascii="Times New Roman" w:hAnsi="Times New Roman" w:eastAsia="仿宋_GB2312" w:cs="Times New Roman"/>
                <w:color w:val="auto"/>
                <w:sz w:val="18"/>
                <w:szCs w:val="18"/>
                <w:highlight w:val="none"/>
                <w:lang w:val="en-US" w:eastAsia="zh-CN"/>
              </w:rPr>
              <w:t>L</w:t>
            </w:r>
          </w:p>
        </w:tc>
        <w:tc>
          <w:tcPr>
            <w:tcW w:w="1225" w:type="dxa"/>
            <w:vAlign w:val="center"/>
          </w:tcPr>
          <w:p w14:paraId="2344112B">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0.01</w:t>
            </w:r>
          </w:p>
        </w:tc>
        <w:tc>
          <w:tcPr>
            <w:tcW w:w="1394" w:type="dxa"/>
            <w:vAlign w:val="center"/>
          </w:tcPr>
          <w:p w14:paraId="30468708">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01D1C761">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43BC8B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81F5DD5">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镉</w:t>
            </w:r>
          </w:p>
        </w:tc>
        <w:tc>
          <w:tcPr>
            <w:tcW w:w="1362" w:type="dxa"/>
            <w:vAlign w:val="center"/>
          </w:tcPr>
          <w:p w14:paraId="3182C81C">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0.0001</w:t>
            </w:r>
            <w:r>
              <w:rPr>
                <w:rFonts w:hint="default" w:ascii="Times New Roman" w:hAnsi="Times New Roman" w:eastAsia="仿宋_GB2312" w:cs="Times New Roman"/>
                <w:color w:val="auto"/>
                <w:sz w:val="18"/>
                <w:szCs w:val="18"/>
                <w:highlight w:val="none"/>
                <w:lang w:val="en-US" w:eastAsia="zh-CN"/>
              </w:rPr>
              <w:t>L</w:t>
            </w:r>
          </w:p>
        </w:tc>
        <w:tc>
          <w:tcPr>
            <w:tcW w:w="1373" w:type="dxa"/>
            <w:vAlign w:val="center"/>
          </w:tcPr>
          <w:p w14:paraId="4D308CC3">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0.0001</w:t>
            </w:r>
            <w:r>
              <w:rPr>
                <w:rFonts w:hint="default" w:ascii="Times New Roman" w:hAnsi="Times New Roman" w:eastAsia="仿宋_GB2312" w:cs="Times New Roman"/>
                <w:color w:val="auto"/>
                <w:sz w:val="18"/>
                <w:szCs w:val="18"/>
                <w:highlight w:val="none"/>
                <w:lang w:val="en-US" w:eastAsia="zh-CN"/>
              </w:rPr>
              <w:t>L</w:t>
            </w:r>
          </w:p>
        </w:tc>
        <w:tc>
          <w:tcPr>
            <w:tcW w:w="1339" w:type="dxa"/>
            <w:vAlign w:val="center"/>
          </w:tcPr>
          <w:p w14:paraId="240FFFC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0.0001</w:t>
            </w:r>
            <w:r>
              <w:rPr>
                <w:rFonts w:hint="default" w:ascii="Times New Roman" w:hAnsi="Times New Roman" w:eastAsia="仿宋_GB2312" w:cs="Times New Roman"/>
                <w:color w:val="auto"/>
                <w:sz w:val="18"/>
                <w:szCs w:val="18"/>
                <w:highlight w:val="none"/>
                <w:lang w:val="en-US" w:eastAsia="zh-CN"/>
              </w:rPr>
              <w:t>L</w:t>
            </w:r>
          </w:p>
        </w:tc>
        <w:tc>
          <w:tcPr>
            <w:tcW w:w="1225" w:type="dxa"/>
            <w:vAlign w:val="center"/>
          </w:tcPr>
          <w:p w14:paraId="70B3CDC0">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0.005</w:t>
            </w:r>
          </w:p>
        </w:tc>
        <w:tc>
          <w:tcPr>
            <w:tcW w:w="1394" w:type="dxa"/>
            <w:vAlign w:val="center"/>
          </w:tcPr>
          <w:p w14:paraId="5D315477">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5196E1C2">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29D001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25C37BF">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铁</w:t>
            </w:r>
          </w:p>
        </w:tc>
        <w:tc>
          <w:tcPr>
            <w:tcW w:w="1362" w:type="dxa"/>
            <w:vAlign w:val="center"/>
          </w:tcPr>
          <w:p w14:paraId="26702B4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0.03L</w:t>
            </w:r>
          </w:p>
        </w:tc>
        <w:tc>
          <w:tcPr>
            <w:tcW w:w="1373" w:type="dxa"/>
            <w:vAlign w:val="center"/>
          </w:tcPr>
          <w:p w14:paraId="148B74C5">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0.03L</w:t>
            </w:r>
          </w:p>
        </w:tc>
        <w:tc>
          <w:tcPr>
            <w:tcW w:w="1339" w:type="dxa"/>
            <w:vAlign w:val="center"/>
          </w:tcPr>
          <w:p w14:paraId="5E9D927A">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0.03L</w:t>
            </w:r>
          </w:p>
        </w:tc>
        <w:tc>
          <w:tcPr>
            <w:tcW w:w="1225" w:type="dxa"/>
            <w:vAlign w:val="center"/>
          </w:tcPr>
          <w:p w14:paraId="3B01810E">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0.3</w:t>
            </w:r>
          </w:p>
        </w:tc>
        <w:tc>
          <w:tcPr>
            <w:tcW w:w="1394" w:type="dxa"/>
            <w:vAlign w:val="center"/>
          </w:tcPr>
          <w:p w14:paraId="7E2D1BE9">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55FF583D">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54ACE2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019A12BE">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锰</w:t>
            </w:r>
          </w:p>
        </w:tc>
        <w:tc>
          <w:tcPr>
            <w:tcW w:w="1362" w:type="dxa"/>
            <w:vAlign w:val="center"/>
          </w:tcPr>
          <w:p w14:paraId="11F26D51">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0.01L</w:t>
            </w:r>
          </w:p>
        </w:tc>
        <w:tc>
          <w:tcPr>
            <w:tcW w:w="1373" w:type="dxa"/>
            <w:vAlign w:val="center"/>
          </w:tcPr>
          <w:p w14:paraId="557EBB23">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0.01L</w:t>
            </w:r>
          </w:p>
        </w:tc>
        <w:tc>
          <w:tcPr>
            <w:tcW w:w="1339" w:type="dxa"/>
            <w:vAlign w:val="center"/>
          </w:tcPr>
          <w:p w14:paraId="55EA0777">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0.01L</w:t>
            </w:r>
          </w:p>
        </w:tc>
        <w:tc>
          <w:tcPr>
            <w:tcW w:w="1225" w:type="dxa"/>
            <w:vAlign w:val="center"/>
          </w:tcPr>
          <w:p w14:paraId="4D87DA2E">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0.1</w:t>
            </w:r>
          </w:p>
        </w:tc>
        <w:tc>
          <w:tcPr>
            <w:tcW w:w="1394" w:type="dxa"/>
            <w:vAlign w:val="center"/>
          </w:tcPr>
          <w:p w14:paraId="77268B4C">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2070FF6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51A6D7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A41A74F">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总大肠菌群（MPN/100mL）</w:t>
            </w:r>
          </w:p>
        </w:tc>
        <w:tc>
          <w:tcPr>
            <w:tcW w:w="1362" w:type="dxa"/>
            <w:vAlign w:val="center"/>
          </w:tcPr>
          <w:p w14:paraId="72C33334">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未检出</w:t>
            </w:r>
          </w:p>
        </w:tc>
        <w:tc>
          <w:tcPr>
            <w:tcW w:w="1373" w:type="dxa"/>
            <w:vAlign w:val="center"/>
          </w:tcPr>
          <w:p w14:paraId="3CB877E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未检出</w:t>
            </w:r>
          </w:p>
        </w:tc>
        <w:tc>
          <w:tcPr>
            <w:tcW w:w="1339" w:type="dxa"/>
            <w:vAlign w:val="center"/>
          </w:tcPr>
          <w:p w14:paraId="185D0C2E">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未检出</w:t>
            </w:r>
          </w:p>
        </w:tc>
        <w:tc>
          <w:tcPr>
            <w:tcW w:w="1225" w:type="dxa"/>
            <w:vAlign w:val="center"/>
          </w:tcPr>
          <w:p w14:paraId="6CE2344E">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3</w:t>
            </w:r>
          </w:p>
        </w:tc>
        <w:tc>
          <w:tcPr>
            <w:tcW w:w="1394" w:type="dxa"/>
            <w:vAlign w:val="center"/>
          </w:tcPr>
          <w:p w14:paraId="36F881BB">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1C35E045">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70A292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2D67266F">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菌落总数（CFU/mL）</w:t>
            </w:r>
          </w:p>
        </w:tc>
        <w:tc>
          <w:tcPr>
            <w:tcW w:w="1362" w:type="dxa"/>
            <w:vAlign w:val="center"/>
          </w:tcPr>
          <w:p w14:paraId="788398B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55</w:t>
            </w:r>
          </w:p>
        </w:tc>
        <w:tc>
          <w:tcPr>
            <w:tcW w:w="1373" w:type="dxa"/>
            <w:vAlign w:val="center"/>
          </w:tcPr>
          <w:p w14:paraId="15E0F41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50</w:t>
            </w:r>
          </w:p>
        </w:tc>
        <w:tc>
          <w:tcPr>
            <w:tcW w:w="1339" w:type="dxa"/>
            <w:vAlign w:val="center"/>
          </w:tcPr>
          <w:p w14:paraId="32101E9B">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50</w:t>
            </w:r>
          </w:p>
        </w:tc>
        <w:tc>
          <w:tcPr>
            <w:tcW w:w="1225" w:type="dxa"/>
            <w:vAlign w:val="center"/>
          </w:tcPr>
          <w:p w14:paraId="79E1909B">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100</w:t>
            </w:r>
          </w:p>
        </w:tc>
        <w:tc>
          <w:tcPr>
            <w:tcW w:w="1394" w:type="dxa"/>
            <w:vAlign w:val="center"/>
          </w:tcPr>
          <w:p w14:paraId="16D8F627">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0.5-0.55</w:t>
            </w:r>
          </w:p>
        </w:tc>
        <w:tc>
          <w:tcPr>
            <w:tcW w:w="831" w:type="dxa"/>
            <w:vAlign w:val="center"/>
          </w:tcPr>
          <w:p w14:paraId="0511880F">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331C94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5527088">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点位</w:t>
            </w:r>
          </w:p>
        </w:tc>
        <w:tc>
          <w:tcPr>
            <w:tcW w:w="4074" w:type="dxa"/>
            <w:gridSpan w:val="3"/>
            <w:vAlign w:val="center"/>
          </w:tcPr>
          <w:p w14:paraId="3577AC3C">
            <w:pPr>
              <w:spacing w:line="240" w:lineRule="auto"/>
              <w:jc w:val="center"/>
              <w:rPr>
                <w:rFonts w:hint="default" w:ascii="Times New Roman" w:hAnsi="Times New Roman" w:eastAsia="宋体" w:cs="Times New Roman"/>
                <w:b/>
                <w:color w:val="auto"/>
                <w:kern w:val="2"/>
                <w:sz w:val="18"/>
                <w:szCs w:val="18"/>
                <w:highlight w:val="none"/>
                <w:lang w:val="en-US" w:eastAsia="zh-CN" w:bidi="ar-SA"/>
              </w:rPr>
            </w:pPr>
            <w:r>
              <w:rPr>
                <w:rFonts w:hint="default" w:ascii="Times New Roman" w:hAnsi="Times New Roman" w:cs="Times New Roman"/>
                <w:b/>
                <w:color w:val="auto"/>
                <w:kern w:val="2"/>
                <w:sz w:val="18"/>
                <w:szCs w:val="18"/>
                <w:highlight w:val="none"/>
                <w:lang w:val="en-US" w:eastAsia="zh-CN" w:bidi="ar-SA"/>
              </w:rPr>
              <w:t>梅子哨水井</w:t>
            </w:r>
          </w:p>
        </w:tc>
        <w:tc>
          <w:tcPr>
            <w:tcW w:w="1225" w:type="dxa"/>
            <w:vMerge w:val="restart"/>
            <w:vAlign w:val="center"/>
          </w:tcPr>
          <w:p w14:paraId="4E58D3C9">
            <w:pPr>
              <w:spacing w:line="240" w:lineRule="auto"/>
              <w:jc w:val="center"/>
              <w:rPr>
                <w:rFonts w:hint="default" w:ascii="Times New Roman" w:hAnsi="Times New Roman"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标准值≤</w:t>
            </w:r>
          </w:p>
        </w:tc>
        <w:tc>
          <w:tcPr>
            <w:tcW w:w="1394" w:type="dxa"/>
            <w:vMerge w:val="restart"/>
            <w:vAlign w:val="center"/>
          </w:tcPr>
          <w:p w14:paraId="227A3A8F">
            <w:pPr>
              <w:spacing w:line="240" w:lineRule="auto"/>
              <w:jc w:val="center"/>
              <w:rPr>
                <w:rFonts w:hint="default" w:ascii="Times New Roman" w:hAnsi="Times New Roman"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Sij</w:t>
            </w:r>
          </w:p>
        </w:tc>
        <w:tc>
          <w:tcPr>
            <w:tcW w:w="831" w:type="dxa"/>
            <w:vMerge w:val="restart"/>
            <w:vAlign w:val="center"/>
          </w:tcPr>
          <w:p w14:paraId="5A3015AD">
            <w:pPr>
              <w:spacing w:line="240" w:lineRule="auto"/>
              <w:jc w:val="center"/>
              <w:rPr>
                <w:rFonts w:hint="default" w:ascii="Times New Roman" w:hAnsi="Times New Roman"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达标情况</w:t>
            </w:r>
          </w:p>
        </w:tc>
      </w:tr>
      <w:tr w14:paraId="4138A6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Merge w:val="restart"/>
            <w:vAlign w:val="center"/>
          </w:tcPr>
          <w:p w14:paraId="36F983CF">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检测项目</w:t>
            </w:r>
          </w:p>
        </w:tc>
        <w:tc>
          <w:tcPr>
            <w:tcW w:w="4074" w:type="dxa"/>
            <w:gridSpan w:val="3"/>
            <w:vAlign w:val="center"/>
          </w:tcPr>
          <w:p w14:paraId="090AED3C">
            <w:pPr>
              <w:spacing w:line="240" w:lineRule="auto"/>
              <w:jc w:val="center"/>
              <w:rPr>
                <w:rFonts w:hint="default" w:ascii="Times New Roman" w:hAnsi="Times New Roman"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检测日期</w:t>
            </w:r>
          </w:p>
        </w:tc>
        <w:tc>
          <w:tcPr>
            <w:tcW w:w="1225" w:type="dxa"/>
            <w:vMerge w:val="continue"/>
            <w:vAlign w:val="center"/>
          </w:tcPr>
          <w:p w14:paraId="64680F47">
            <w:pPr>
              <w:spacing w:line="240" w:lineRule="auto"/>
              <w:jc w:val="center"/>
              <w:rPr>
                <w:rFonts w:hint="default" w:ascii="Times New Roman" w:hAnsi="Times New Roman" w:cs="Times New Roman"/>
                <w:color w:val="auto"/>
                <w:sz w:val="18"/>
                <w:szCs w:val="18"/>
                <w:highlight w:val="none"/>
              </w:rPr>
            </w:pPr>
          </w:p>
        </w:tc>
        <w:tc>
          <w:tcPr>
            <w:tcW w:w="1394" w:type="dxa"/>
            <w:vMerge w:val="continue"/>
            <w:vAlign w:val="center"/>
          </w:tcPr>
          <w:p w14:paraId="68FB9E1F">
            <w:pPr>
              <w:spacing w:line="240" w:lineRule="auto"/>
              <w:jc w:val="center"/>
              <w:rPr>
                <w:rFonts w:hint="default" w:ascii="Times New Roman" w:hAnsi="Times New Roman" w:cs="Times New Roman"/>
                <w:color w:val="auto"/>
                <w:sz w:val="18"/>
                <w:szCs w:val="18"/>
                <w:highlight w:val="none"/>
              </w:rPr>
            </w:pPr>
          </w:p>
        </w:tc>
        <w:tc>
          <w:tcPr>
            <w:tcW w:w="831" w:type="dxa"/>
            <w:vMerge w:val="continue"/>
            <w:vAlign w:val="center"/>
          </w:tcPr>
          <w:p w14:paraId="1D35C940">
            <w:pPr>
              <w:spacing w:line="240" w:lineRule="auto"/>
              <w:jc w:val="center"/>
              <w:rPr>
                <w:rFonts w:hint="default" w:ascii="Times New Roman" w:hAnsi="Times New Roman" w:cs="Times New Roman"/>
                <w:color w:val="auto"/>
                <w:sz w:val="18"/>
                <w:szCs w:val="18"/>
                <w:highlight w:val="none"/>
              </w:rPr>
            </w:pPr>
          </w:p>
        </w:tc>
      </w:tr>
      <w:tr w14:paraId="7BC981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Merge w:val="continue"/>
            <w:vAlign w:val="center"/>
          </w:tcPr>
          <w:p w14:paraId="4588B71A">
            <w:pPr>
              <w:spacing w:line="240" w:lineRule="auto"/>
              <w:jc w:val="center"/>
              <w:rPr>
                <w:rFonts w:hint="default" w:ascii="Times New Roman" w:hAnsi="Times New Roman" w:cs="Times New Roman"/>
                <w:color w:val="auto"/>
                <w:sz w:val="18"/>
                <w:szCs w:val="18"/>
                <w:highlight w:val="none"/>
              </w:rPr>
            </w:pPr>
          </w:p>
        </w:tc>
        <w:tc>
          <w:tcPr>
            <w:tcW w:w="1362" w:type="dxa"/>
            <w:vAlign w:val="center"/>
          </w:tcPr>
          <w:p w14:paraId="1F0DF86C">
            <w:pPr>
              <w:spacing w:line="240" w:lineRule="auto"/>
              <w:jc w:val="center"/>
              <w:rPr>
                <w:rFonts w:hint="default" w:ascii="Times New Roman" w:hAnsi="Times New Roman" w:eastAsia="宋体"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202</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14</w:t>
            </w:r>
          </w:p>
        </w:tc>
        <w:tc>
          <w:tcPr>
            <w:tcW w:w="1373" w:type="dxa"/>
            <w:vAlign w:val="center"/>
          </w:tcPr>
          <w:p w14:paraId="1605DC7C">
            <w:pPr>
              <w:spacing w:line="240" w:lineRule="auto"/>
              <w:jc w:val="center"/>
              <w:rPr>
                <w:rFonts w:hint="default" w:ascii="Times New Roman" w:hAnsi="Times New Roman" w:eastAsia="宋体"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202</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15</w:t>
            </w:r>
          </w:p>
        </w:tc>
        <w:tc>
          <w:tcPr>
            <w:tcW w:w="1339" w:type="dxa"/>
            <w:vAlign w:val="center"/>
          </w:tcPr>
          <w:p w14:paraId="50798CF2">
            <w:pPr>
              <w:spacing w:line="240" w:lineRule="auto"/>
              <w:jc w:val="center"/>
              <w:rPr>
                <w:rFonts w:hint="default" w:ascii="Times New Roman" w:hAnsi="Times New Roman"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202</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5</w:t>
            </w:r>
            <w:r>
              <w:rPr>
                <w:rFonts w:hint="default" w:ascii="Times New Roman" w:hAnsi="Times New Roman" w:cs="Times New Roman"/>
                <w:b/>
                <w:color w:val="auto"/>
                <w:sz w:val="18"/>
                <w:szCs w:val="18"/>
                <w:highlight w:val="none"/>
              </w:rPr>
              <w:t>.</w:t>
            </w:r>
            <w:r>
              <w:rPr>
                <w:rFonts w:hint="default" w:ascii="Times New Roman" w:hAnsi="Times New Roman" w:cs="Times New Roman"/>
                <w:b/>
                <w:color w:val="auto"/>
                <w:sz w:val="18"/>
                <w:szCs w:val="18"/>
                <w:highlight w:val="none"/>
                <w:lang w:val="en-US" w:eastAsia="zh-CN"/>
              </w:rPr>
              <w:t>16</w:t>
            </w:r>
          </w:p>
        </w:tc>
        <w:tc>
          <w:tcPr>
            <w:tcW w:w="1225" w:type="dxa"/>
            <w:vMerge w:val="continue"/>
            <w:vAlign w:val="center"/>
          </w:tcPr>
          <w:p w14:paraId="2E1EBDCC">
            <w:pPr>
              <w:spacing w:line="240" w:lineRule="auto"/>
              <w:jc w:val="center"/>
              <w:rPr>
                <w:rFonts w:hint="default" w:ascii="Times New Roman" w:hAnsi="Times New Roman" w:cs="Times New Roman"/>
                <w:color w:val="auto"/>
                <w:sz w:val="18"/>
                <w:szCs w:val="18"/>
                <w:highlight w:val="none"/>
              </w:rPr>
            </w:pPr>
          </w:p>
        </w:tc>
        <w:tc>
          <w:tcPr>
            <w:tcW w:w="1394" w:type="dxa"/>
            <w:vMerge w:val="continue"/>
            <w:vAlign w:val="center"/>
          </w:tcPr>
          <w:p w14:paraId="6F569BFB">
            <w:pPr>
              <w:spacing w:line="240" w:lineRule="auto"/>
              <w:jc w:val="center"/>
              <w:rPr>
                <w:rFonts w:hint="default" w:ascii="Times New Roman" w:hAnsi="Times New Roman" w:cs="Times New Roman"/>
                <w:color w:val="auto"/>
                <w:sz w:val="18"/>
                <w:szCs w:val="18"/>
                <w:highlight w:val="none"/>
              </w:rPr>
            </w:pPr>
          </w:p>
        </w:tc>
        <w:tc>
          <w:tcPr>
            <w:tcW w:w="831" w:type="dxa"/>
            <w:vMerge w:val="continue"/>
            <w:vAlign w:val="center"/>
          </w:tcPr>
          <w:p w14:paraId="5779D927">
            <w:pPr>
              <w:spacing w:line="240" w:lineRule="auto"/>
              <w:jc w:val="center"/>
              <w:rPr>
                <w:rFonts w:hint="default" w:ascii="Times New Roman" w:hAnsi="Times New Roman" w:cs="Times New Roman"/>
                <w:color w:val="auto"/>
                <w:sz w:val="18"/>
                <w:szCs w:val="18"/>
                <w:highlight w:val="none"/>
              </w:rPr>
            </w:pPr>
          </w:p>
        </w:tc>
      </w:tr>
      <w:tr w14:paraId="025B85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17974956">
            <w:pPr>
              <w:snapToGrid w:val="0"/>
              <w:spacing w:line="0" w:lineRule="atLeas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pH</w:t>
            </w:r>
          </w:p>
        </w:tc>
        <w:tc>
          <w:tcPr>
            <w:tcW w:w="1362" w:type="dxa"/>
            <w:vAlign w:val="center"/>
          </w:tcPr>
          <w:p w14:paraId="5B03A7C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8.1</w:t>
            </w:r>
          </w:p>
        </w:tc>
        <w:tc>
          <w:tcPr>
            <w:tcW w:w="1373" w:type="dxa"/>
            <w:vAlign w:val="center"/>
          </w:tcPr>
          <w:p w14:paraId="7D8B8D37">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8.1</w:t>
            </w:r>
          </w:p>
        </w:tc>
        <w:tc>
          <w:tcPr>
            <w:tcW w:w="1339" w:type="dxa"/>
            <w:vAlign w:val="center"/>
          </w:tcPr>
          <w:p w14:paraId="0CEBACAB">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8.0</w:t>
            </w:r>
          </w:p>
        </w:tc>
        <w:tc>
          <w:tcPr>
            <w:tcW w:w="1225" w:type="dxa"/>
            <w:vAlign w:val="center"/>
          </w:tcPr>
          <w:p w14:paraId="17FB3F71">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6.5~8.5</w:t>
            </w:r>
          </w:p>
        </w:tc>
        <w:tc>
          <w:tcPr>
            <w:tcW w:w="1394" w:type="dxa"/>
            <w:vAlign w:val="center"/>
          </w:tcPr>
          <w:p w14:paraId="03CD86C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134DA60B">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3E9919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74248A0A">
            <w:pPr>
              <w:snapToGrid w:val="0"/>
              <w:spacing w:line="0" w:lineRule="atLeas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K</w:t>
            </w:r>
            <w:r>
              <w:rPr>
                <w:rFonts w:hint="default" w:ascii="Times New Roman" w:hAnsi="Times New Roman" w:cs="Times New Roman"/>
                <w:color w:val="auto"/>
                <w:sz w:val="18"/>
                <w:szCs w:val="18"/>
                <w:highlight w:val="none"/>
                <w:vertAlign w:val="superscript"/>
              </w:rPr>
              <w:t>+</w:t>
            </w:r>
          </w:p>
        </w:tc>
        <w:tc>
          <w:tcPr>
            <w:tcW w:w="1362" w:type="dxa"/>
            <w:vAlign w:val="center"/>
          </w:tcPr>
          <w:p w14:paraId="6B5641C2">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1.77</w:t>
            </w:r>
          </w:p>
        </w:tc>
        <w:tc>
          <w:tcPr>
            <w:tcW w:w="1373" w:type="dxa"/>
            <w:vAlign w:val="center"/>
          </w:tcPr>
          <w:p w14:paraId="127E9E7C">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1.71</w:t>
            </w:r>
          </w:p>
        </w:tc>
        <w:tc>
          <w:tcPr>
            <w:tcW w:w="1339" w:type="dxa"/>
            <w:vAlign w:val="center"/>
          </w:tcPr>
          <w:p w14:paraId="41A84095">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1.76</w:t>
            </w:r>
          </w:p>
        </w:tc>
        <w:tc>
          <w:tcPr>
            <w:tcW w:w="1225" w:type="dxa"/>
            <w:vAlign w:val="center"/>
          </w:tcPr>
          <w:p w14:paraId="4141A308">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1394" w:type="dxa"/>
            <w:vAlign w:val="center"/>
          </w:tcPr>
          <w:p w14:paraId="16B6EAFF">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1B3467AA">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34B91B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91BEFD5">
            <w:pPr>
              <w:snapToGrid w:val="0"/>
              <w:spacing w:line="0" w:lineRule="atLeas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Na</w:t>
            </w:r>
            <w:r>
              <w:rPr>
                <w:rFonts w:hint="default" w:ascii="Times New Roman" w:hAnsi="Times New Roman" w:cs="Times New Roman"/>
                <w:color w:val="auto"/>
                <w:sz w:val="18"/>
                <w:szCs w:val="18"/>
                <w:highlight w:val="none"/>
                <w:vertAlign w:val="superscript"/>
              </w:rPr>
              <w:t>+</w:t>
            </w:r>
          </w:p>
        </w:tc>
        <w:tc>
          <w:tcPr>
            <w:tcW w:w="1362" w:type="dxa"/>
            <w:vAlign w:val="center"/>
          </w:tcPr>
          <w:p w14:paraId="2C7A14CD">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12.4</w:t>
            </w:r>
          </w:p>
        </w:tc>
        <w:tc>
          <w:tcPr>
            <w:tcW w:w="1373" w:type="dxa"/>
            <w:vAlign w:val="center"/>
          </w:tcPr>
          <w:p w14:paraId="2AF5CD07">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12.6</w:t>
            </w:r>
          </w:p>
        </w:tc>
        <w:tc>
          <w:tcPr>
            <w:tcW w:w="1339" w:type="dxa"/>
            <w:vAlign w:val="center"/>
          </w:tcPr>
          <w:p w14:paraId="41F734F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12.7</w:t>
            </w:r>
          </w:p>
        </w:tc>
        <w:tc>
          <w:tcPr>
            <w:tcW w:w="1225" w:type="dxa"/>
            <w:vAlign w:val="center"/>
          </w:tcPr>
          <w:p w14:paraId="3E37FF53">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1394" w:type="dxa"/>
            <w:vAlign w:val="center"/>
          </w:tcPr>
          <w:p w14:paraId="3237E58A">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0C364C8C">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323FD3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FA9F467">
            <w:pPr>
              <w:snapToGrid w:val="0"/>
              <w:spacing w:line="0" w:lineRule="atLeas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Ca</w:t>
            </w:r>
            <w:r>
              <w:rPr>
                <w:rFonts w:hint="default" w:ascii="Times New Roman" w:hAnsi="Times New Roman" w:cs="Times New Roman"/>
                <w:color w:val="auto"/>
                <w:sz w:val="18"/>
                <w:szCs w:val="18"/>
                <w:highlight w:val="none"/>
                <w:vertAlign w:val="superscript"/>
              </w:rPr>
              <w:t>2+</w:t>
            </w:r>
          </w:p>
        </w:tc>
        <w:tc>
          <w:tcPr>
            <w:tcW w:w="1362" w:type="dxa"/>
            <w:vAlign w:val="center"/>
          </w:tcPr>
          <w:p w14:paraId="5DCD897D">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40.5</w:t>
            </w:r>
          </w:p>
        </w:tc>
        <w:tc>
          <w:tcPr>
            <w:tcW w:w="1373" w:type="dxa"/>
            <w:vAlign w:val="center"/>
          </w:tcPr>
          <w:p w14:paraId="26BD9A5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41.8</w:t>
            </w:r>
          </w:p>
        </w:tc>
        <w:tc>
          <w:tcPr>
            <w:tcW w:w="1339" w:type="dxa"/>
            <w:vAlign w:val="center"/>
          </w:tcPr>
          <w:p w14:paraId="20E4EDB4">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41.9</w:t>
            </w:r>
          </w:p>
        </w:tc>
        <w:tc>
          <w:tcPr>
            <w:tcW w:w="1225" w:type="dxa"/>
            <w:vAlign w:val="center"/>
          </w:tcPr>
          <w:p w14:paraId="06B1D6BD">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1394" w:type="dxa"/>
            <w:vAlign w:val="center"/>
          </w:tcPr>
          <w:p w14:paraId="6C9D30B7">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479FBE2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1BBA16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7381F7A">
            <w:pPr>
              <w:snapToGrid w:val="0"/>
              <w:spacing w:line="0" w:lineRule="atLeas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Mg</w:t>
            </w:r>
            <w:r>
              <w:rPr>
                <w:rFonts w:hint="default" w:ascii="Times New Roman" w:hAnsi="Times New Roman" w:cs="Times New Roman"/>
                <w:color w:val="auto"/>
                <w:sz w:val="18"/>
                <w:szCs w:val="18"/>
                <w:highlight w:val="none"/>
                <w:vertAlign w:val="superscript"/>
              </w:rPr>
              <w:t>2+</w:t>
            </w:r>
          </w:p>
        </w:tc>
        <w:tc>
          <w:tcPr>
            <w:tcW w:w="1362" w:type="dxa"/>
            <w:vAlign w:val="center"/>
          </w:tcPr>
          <w:p w14:paraId="56EF77AA">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11.6</w:t>
            </w:r>
          </w:p>
        </w:tc>
        <w:tc>
          <w:tcPr>
            <w:tcW w:w="1373" w:type="dxa"/>
            <w:vAlign w:val="center"/>
          </w:tcPr>
          <w:p w14:paraId="051DDB9C">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12.1</w:t>
            </w:r>
          </w:p>
        </w:tc>
        <w:tc>
          <w:tcPr>
            <w:tcW w:w="1339" w:type="dxa"/>
            <w:vAlign w:val="center"/>
          </w:tcPr>
          <w:p w14:paraId="2B3C5FE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12.1</w:t>
            </w:r>
          </w:p>
        </w:tc>
        <w:tc>
          <w:tcPr>
            <w:tcW w:w="1225" w:type="dxa"/>
            <w:vAlign w:val="center"/>
          </w:tcPr>
          <w:p w14:paraId="25F28807">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1394" w:type="dxa"/>
            <w:vAlign w:val="center"/>
          </w:tcPr>
          <w:p w14:paraId="26B29E1A">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60B797D1">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4AEF3E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5AA37B4">
            <w:pPr>
              <w:snapToGrid w:val="0"/>
              <w:spacing w:line="0" w:lineRule="atLeas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CO</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vertAlign w:val="superscript"/>
              </w:rPr>
              <w:t>2-</w:t>
            </w:r>
          </w:p>
        </w:tc>
        <w:tc>
          <w:tcPr>
            <w:tcW w:w="1362" w:type="dxa"/>
            <w:vAlign w:val="center"/>
          </w:tcPr>
          <w:p w14:paraId="618E38D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5L</w:t>
            </w:r>
          </w:p>
        </w:tc>
        <w:tc>
          <w:tcPr>
            <w:tcW w:w="1373" w:type="dxa"/>
            <w:vAlign w:val="center"/>
          </w:tcPr>
          <w:p w14:paraId="7D798E82">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5L</w:t>
            </w:r>
          </w:p>
        </w:tc>
        <w:tc>
          <w:tcPr>
            <w:tcW w:w="1339" w:type="dxa"/>
            <w:vAlign w:val="center"/>
          </w:tcPr>
          <w:p w14:paraId="558BF46F">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5L</w:t>
            </w:r>
          </w:p>
        </w:tc>
        <w:tc>
          <w:tcPr>
            <w:tcW w:w="1225" w:type="dxa"/>
            <w:vAlign w:val="center"/>
          </w:tcPr>
          <w:p w14:paraId="686F9277">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1394" w:type="dxa"/>
            <w:vAlign w:val="center"/>
          </w:tcPr>
          <w:p w14:paraId="230C74D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18E3EDC0">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21DEC7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07A1C02F">
            <w:pPr>
              <w:snapToGrid w:val="0"/>
              <w:spacing w:line="0" w:lineRule="atLeas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HCO</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vertAlign w:val="superscript"/>
              </w:rPr>
              <w:t>-</w:t>
            </w:r>
          </w:p>
        </w:tc>
        <w:tc>
          <w:tcPr>
            <w:tcW w:w="1362" w:type="dxa"/>
            <w:vAlign w:val="center"/>
          </w:tcPr>
          <w:p w14:paraId="337C50B3">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99</w:t>
            </w:r>
          </w:p>
        </w:tc>
        <w:tc>
          <w:tcPr>
            <w:tcW w:w="1373" w:type="dxa"/>
            <w:vAlign w:val="center"/>
          </w:tcPr>
          <w:p w14:paraId="6C2E6782">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101</w:t>
            </w:r>
          </w:p>
        </w:tc>
        <w:tc>
          <w:tcPr>
            <w:tcW w:w="1339" w:type="dxa"/>
            <w:vAlign w:val="center"/>
          </w:tcPr>
          <w:p w14:paraId="4465302B">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103</w:t>
            </w:r>
          </w:p>
        </w:tc>
        <w:tc>
          <w:tcPr>
            <w:tcW w:w="1225" w:type="dxa"/>
            <w:vAlign w:val="center"/>
          </w:tcPr>
          <w:p w14:paraId="0B12F9D0">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1394" w:type="dxa"/>
            <w:vAlign w:val="center"/>
          </w:tcPr>
          <w:p w14:paraId="0805E530">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57428FD4">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59ADB5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83CBDDD">
            <w:pPr>
              <w:snapToGrid w:val="0"/>
              <w:spacing w:line="0" w:lineRule="atLeas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Cl</w:t>
            </w:r>
            <w:r>
              <w:rPr>
                <w:rFonts w:hint="default" w:ascii="Times New Roman" w:hAnsi="Times New Roman" w:cs="Times New Roman"/>
                <w:color w:val="auto"/>
                <w:sz w:val="18"/>
                <w:szCs w:val="18"/>
                <w:highlight w:val="none"/>
                <w:vertAlign w:val="superscript"/>
              </w:rPr>
              <w:t>-</w:t>
            </w:r>
          </w:p>
        </w:tc>
        <w:tc>
          <w:tcPr>
            <w:tcW w:w="1362" w:type="dxa"/>
            <w:vAlign w:val="center"/>
          </w:tcPr>
          <w:p w14:paraId="63022B23">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63.8</w:t>
            </w:r>
          </w:p>
        </w:tc>
        <w:tc>
          <w:tcPr>
            <w:tcW w:w="1373" w:type="dxa"/>
            <w:vAlign w:val="center"/>
          </w:tcPr>
          <w:p w14:paraId="712A50E6">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64.6</w:t>
            </w:r>
          </w:p>
        </w:tc>
        <w:tc>
          <w:tcPr>
            <w:tcW w:w="1339" w:type="dxa"/>
            <w:vAlign w:val="center"/>
          </w:tcPr>
          <w:p w14:paraId="19D8603C">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65.0</w:t>
            </w:r>
          </w:p>
        </w:tc>
        <w:tc>
          <w:tcPr>
            <w:tcW w:w="1225" w:type="dxa"/>
            <w:vAlign w:val="center"/>
          </w:tcPr>
          <w:p w14:paraId="31371460">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1394" w:type="dxa"/>
            <w:vAlign w:val="center"/>
          </w:tcPr>
          <w:p w14:paraId="0A9BE54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79601CBD">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478E97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7E005B7A">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SO</w:t>
            </w:r>
            <w:r>
              <w:rPr>
                <w:rFonts w:hint="default" w:ascii="Times New Roman" w:hAnsi="Times New Roman" w:cs="Times New Roman"/>
                <w:color w:val="auto"/>
                <w:sz w:val="18"/>
                <w:szCs w:val="18"/>
                <w:highlight w:val="none"/>
                <w:vertAlign w:val="subscript"/>
              </w:rPr>
              <w:t>4</w:t>
            </w:r>
            <w:r>
              <w:rPr>
                <w:rFonts w:hint="default" w:ascii="Times New Roman" w:hAnsi="Times New Roman" w:cs="Times New Roman"/>
                <w:color w:val="auto"/>
                <w:sz w:val="18"/>
                <w:szCs w:val="18"/>
                <w:highlight w:val="none"/>
                <w:vertAlign w:val="superscript"/>
              </w:rPr>
              <w:t>2-</w:t>
            </w:r>
          </w:p>
        </w:tc>
        <w:tc>
          <w:tcPr>
            <w:tcW w:w="1362" w:type="dxa"/>
            <w:vAlign w:val="center"/>
          </w:tcPr>
          <w:p w14:paraId="39A5311F">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2.38</w:t>
            </w:r>
          </w:p>
        </w:tc>
        <w:tc>
          <w:tcPr>
            <w:tcW w:w="1373" w:type="dxa"/>
            <w:vAlign w:val="center"/>
          </w:tcPr>
          <w:p w14:paraId="65FAA9A7">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2.36</w:t>
            </w:r>
          </w:p>
        </w:tc>
        <w:tc>
          <w:tcPr>
            <w:tcW w:w="1339" w:type="dxa"/>
            <w:vAlign w:val="center"/>
          </w:tcPr>
          <w:p w14:paraId="70C7F384">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2.37</w:t>
            </w:r>
          </w:p>
        </w:tc>
        <w:tc>
          <w:tcPr>
            <w:tcW w:w="1225" w:type="dxa"/>
            <w:vAlign w:val="center"/>
          </w:tcPr>
          <w:p w14:paraId="106FE7DE">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w:t>
            </w:r>
          </w:p>
        </w:tc>
        <w:tc>
          <w:tcPr>
            <w:tcW w:w="1394" w:type="dxa"/>
            <w:vAlign w:val="center"/>
          </w:tcPr>
          <w:p w14:paraId="0274D904">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31" w:type="dxa"/>
            <w:vAlign w:val="center"/>
          </w:tcPr>
          <w:p w14:paraId="554AE630">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1C13E3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6D4468E1">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氨氮</w:t>
            </w:r>
          </w:p>
        </w:tc>
        <w:tc>
          <w:tcPr>
            <w:tcW w:w="1362" w:type="dxa"/>
            <w:vAlign w:val="center"/>
          </w:tcPr>
          <w:p w14:paraId="3612C232">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0.250</w:t>
            </w:r>
          </w:p>
        </w:tc>
        <w:tc>
          <w:tcPr>
            <w:tcW w:w="1373" w:type="dxa"/>
            <w:vAlign w:val="center"/>
          </w:tcPr>
          <w:p w14:paraId="46D0521B">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0.243</w:t>
            </w:r>
          </w:p>
        </w:tc>
        <w:tc>
          <w:tcPr>
            <w:tcW w:w="1339" w:type="dxa"/>
            <w:vAlign w:val="center"/>
          </w:tcPr>
          <w:p w14:paraId="35639A4B">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0.255</w:t>
            </w:r>
          </w:p>
        </w:tc>
        <w:tc>
          <w:tcPr>
            <w:tcW w:w="1225" w:type="dxa"/>
            <w:vAlign w:val="center"/>
          </w:tcPr>
          <w:p w14:paraId="28967CDA">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0.5</w:t>
            </w:r>
          </w:p>
        </w:tc>
        <w:tc>
          <w:tcPr>
            <w:tcW w:w="1394" w:type="dxa"/>
            <w:vAlign w:val="center"/>
          </w:tcPr>
          <w:p w14:paraId="12EA4160">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0.486-0.51</w:t>
            </w:r>
          </w:p>
        </w:tc>
        <w:tc>
          <w:tcPr>
            <w:tcW w:w="831" w:type="dxa"/>
            <w:vAlign w:val="center"/>
          </w:tcPr>
          <w:p w14:paraId="19315A09">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54494E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28691489">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硝酸盐</w:t>
            </w:r>
          </w:p>
        </w:tc>
        <w:tc>
          <w:tcPr>
            <w:tcW w:w="1362" w:type="dxa"/>
            <w:vAlign w:val="center"/>
          </w:tcPr>
          <w:p w14:paraId="6F7BA14B">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5.28</w:t>
            </w:r>
          </w:p>
        </w:tc>
        <w:tc>
          <w:tcPr>
            <w:tcW w:w="1373" w:type="dxa"/>
            <w:vAlign w:val="center"/>
          </w:tcPr>
          <w:p w14:paraId="7F219B81">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5.27</w:t>
            </w:r>
          </w:p>
        </w:tc>
        <w:tc>
          <w:tcPr>
            <w:tcW w:w="1339" w:type="dxa"/>
            <w:vAlign w:val="center"/>
          </w:tcPr>
          <w:p w14:paraId="682009CC">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5.19</w:t>
            </w:r>
          </w:p>
        </w:tc>
        <w:tc>
          <w:tcPr>
            <w:tcW w:w="1225" w:type="dxa"/>
            <w:vAlign w:val="center"/>
          </w:tcPr>
          <w:p w14:paraId="1D57036B">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20</w:t>
            </w:r>
          </w:p>
        </w:tc>
        <w:tc>
          <w:tcPr>
            <w:tcW w:w="1394" w:type="dxa"/>
            <w:vAlign w:val="center"/>
          </w:tcPr>
          <w:p w14:paraId="446F24AB">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0.260-0.264</w:t>
            </w:r>
          </w:p>
        </w:tc>
        <w:tc>
          <w:tcPr>
            <w:tcW w:w="831" w:type="dxa"/>
            <w:vAlign w:val="center"/>
          </w:tcPr>
          <w:p w14:paraId="54331DC3">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2F532D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C9F8FF8">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亚硝酸盐</w:t>
            </w:r>
          </w:p>
        </w:tc>
        <w:tc>
          <w:tcPr>
            <w:tcW w:w="1362" w:type="dxa"/>
            <w:vAlign w:val="center"/>
          </w:tcPr>
          <w:p w14:paraId="4B143634">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0.157</w:t>
            </w:r>
          </w:p>
        </w:tc>
        <w:tc>
          <w:tcPr>
            <w:tcW w:w="1373" w:type="dxa"/>
            <w:vAlign w:val="center"/>
          </w:tcPr>
          <w:p w14:paraId="05C6BABF">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0.159</w:t>
            </w:r>
          </w:p>
        </w:tc>
        <w:tc>
          <w:tcPr>
            <w:tcW w:w="1339" w:type="dxa"/>
            <w:vAlign w:val="center"/>
          </w:tcPr>
          <w:p w14:paraId="37FC1BDD">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0.156</w:t>
            </w:r>
          </w:p>
        </w:tc>
        <w:tc>
          <w:tcPr>
            <w:tcW w:w="1225" w:type="dxa"/>
            <w:vAlign w:val="center"/>
          </w:tcPr>
          <w:p w14:paraId="14DA1374">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1.0</w:t>
            </w:r>
          </w:p>
        </w:tc>
        <w:tc>
          <w:tcPr>
            <w:tcW w:w="1394" w:type="dxa"/>
            <w:vAlign w:val="center"/>
          </w:tcPr>
          <w:p w14:paraId="4B9BB0EF">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0.156-0.159</w:t>
            </w:r>
          </w:p>
        </w:tc>
        <w:tc>
          <w:tcPr>
            <w:tcW w:w="831" w:type="dxa"/>
            <w:vAlign w:val="center"/>
          </w:tcPr>
          <w:p w14:paraId="7A40FAFE">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711332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4B3EEEAF">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挥发性酚类</w:t>
            </w:r>
          </w:p>
        </w:tc>
        <w:tc>
          <w:tcPr>
            <w:tcW w:w="1362" w:type="dxa"/>
            <w:vAlign w:val="center"/>
          </w:tcPr>
          <w:p w14:paraId="73CE6476">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rPr>
              <w:t>0.000</w:t>
            </w:r>
            <w:r>
              <w:rPr>
                <w:rFonts w:hint="default" w:ascii="Times New Roman" w:hAnsi="Times New Roman" w:eastAsia="仿宋_GB2312" w:cs="Times New Roman"/>
                <w:color w:val="auto"/>
                <w:sz w:val="18"/>
                <w:szCs w:val="18"/>
                <w:highlight w:val="none"/>
                <w:lang w:val="en-US" w:eastAsia="zh-CN"/>
              </w:rPr>
              <w:t>5</w:t>
            </w:r>
          </w:p>
        </w:tc>
        <w:tc>
          <w:tcPr>
            <w:tcW w:w="1373" w:type="dxa"/>
            <w:vAlign w:val="center"/>
          </w:tcPr>
          <w:p w14:paraId="65826F9F">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0.000</w:t>
            </w:r>
            <w:r>
              <w:rPr>
                <w:rFonts w:hint="default" w:ascii="Times New Roman" w:hAnsi="Times New Roman" w:eastAsia="仿宋_GB2312" w:cs="Times New Roman"/>
                <w:color w:val="auto"/>
                <w:sz w:val="18"/>
                <w:szCs w:val="18"/>
                <w:highlight w:val="none"/>
                <w:lang w:val="en-US" w:eastAsia="zh-CN"/>
              </w:rPr>
              <w:t>4</w:t>
            </w:r>
          </w:p>
        </w:tc>
        <w:tc>
          <w:tcPr>
            <w:tcW w:w="1339" w:type="dxa"/>
            <w:vAlign w:val="center"/>
          </w:tcPr>
          <w:p w14:paraId="1D05DD0B">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rPr>
              <w:t>0.000</w:t>
            </w:r>
            <w:r>
              <w:rPr>
                <w:rFonts w:hint="default" w:ascii="Times New Roman" w:hAnsi="Times New Roman" w:eastAsia="仿宋_GB2312" w:cs="Times New Roman"/>
                <w:color w:val="auto"/>
                <w:sz w:val="18"/>
                <w:szCs w:val="18"/>
                <w:highlight w:val="none"/>
                <w:lang w:val="en-US" w:eastAsia="zh-CN"/>
              </w:rPr>
              <w:t>4</w:t>
            </w:r>
          </w:p>
        </w:tc>
        <w:tc>
          <w:tcPr>
            <w:tcW w:w="1225" w:type="dxa"/>
            <w:vAlign w:val="center"/>
          </w:tcPr>
          <w:p w14:paraId="609686B3">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0.002</w:t>
            </w:r>
          </w:p>
        </w:tc>
        <w:tc>
          <w:tcPr>
            <w:tcW w:w="1394" w:type="dxa"/>
            <w:vAlign w:val="center"/>
          </w:tcPr>
          <w:p w14:paraId="19F4DB65">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0.2-0.25</w:t>
            </w:r>
          </w:p>
        </w:tc>
        <w:tc>
          <w:tcPr>
            <w:tcW w:w="831" w:type="dxa"/>
            <w:vAlign w:val="center"/>
          </w:tcPr>
          <w:p w14:paraId="6B9431CB">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4D772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10C5C3A">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氰化物</w:t>
            </w:r>
          </w:p>
        </w:tc>
        <w:tc>
          <w:tcPr>
            <w:tcW w:w="1362" w:type="dxa"/>
            <w:vAlign w:val="center"/>
          </w:tcPr>
          <w:p w14:paraId="60318B2D">
            <w:pPr>
              <w:snapToGrid w:val="0"/>
              <w:spacing w:line="0" w:lineRule="atLeast"/>
              <w:jc w:val="center"/>
              <w:rPr>
                <w:rFonts w:hint="default" w:ascii="Times New Roman" w:hAnsi="Times New Roman" w:eastAsia="仿宋_GB2312" w:cs="Times New Roman"/>
                <w:color w:val="auto"/>
                <w:kern w:val="2"/>
                <w:sz w:val="18"/>
                <w:szCs w:val="18"/>
                <w:highlight w:val="none"/>
                <w:lang w:val="en-US" w:eastAsia="zh-CN" w:bidi="ar-SA"/>
              </w:rPr>
            </w:pPr>
            <w:r>
              <w:rPr>
                <w:rFonts w:hint="default" w:ascii="Times New Roman" w:hAnsi="Times New Roman" w:eastAsia="仿宋_GB2312" w:cs="Times New Roman"/>
                <w:color w:val="auto"/>
                <w:sz w:val="18"/>
                <w:szCs w:val="18"/>
                <w:highlight w:val="none"/>
                <w:lang w:val="en-US" w:eastAsia="zh-CN"/>
              </w:rPr>
              <w:t>0.004L</w:t>
            </w:r>
          </w:p>
        </w:tc>
        <w:tc>
          <w:tcPr>
            <w:tcW w:w="1373" w:type="dxa"/>
            <w:vAlign w:val="center"/>
          </w:tcPr>
          <w:p w14:paraId="40828BF4">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0.004L</w:t>
            </w:r>
          </w:p>
        </w:tc>
        <w:tc>
          <w:tcPr>
            <w:tcW w:w="1339" w:type="dxa"/>
            <w:vAlign w:val="center"/>
          </w:tcPr>
          <w:p w14:paraId="2E20D9C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0.004L</w:t>
            </w:r>
          </w:p>
        </w:tc>
        <w:tc>
          <w:tcPr>
            <w:tcW w:w="1225" w:type="dxa"/>
            <w:vAlign w:val="center"/>
          </w:tcPr>
          <w:p w14:paraId="226A1676">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0.05</w:t>
            </w:r>
          </w:p>
        </w:tc>
        <w:tc>
          <w:tcPr>
            <w:tcW w:w="1394" w:type="dxa"/>
            <w:vAlign w:val="center"/>
          </w:tcPr>
          <w:p w14:paraId="01452F78">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677CE376">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453B93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44BCF22B">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总硬度</w:t>
            </w:r>
          </w:p>
        </w:tc>
        <w:tc>
          <w:tcPr>
            <w:tcW w:w="1362" w:type="dxa"/>
            <w:vAlign w:val="center"/>
          </w:tcPr>
          <w:p w14:paraId="3BC0C87B">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211</w:t>
            </w:r>
          </w:p>
        </w:tc>
        <w:tc>
          <w:tcPr>
            <w:tcW w:w="1373" w:type="dxa"/>
            <w:vAlign w:val="center"/>
          </w:tcPr>
          <w:p w14:paraId="6FF2C88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210</w:t>
            </w:r>
          </w:p>
        </w:tc>
        <w:tc>
          <w:tcPr>
            <w:tcW w:w="1339" w:type="dxa"/>
            <w:vAlign w:val="center"/>
          </w:tcPr>
          <w:p w14:paraId="5AF52BF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213</w:t>
            </w:r>
          </w:p>
        </w:tc>
        <w:tc>
          <w:tcPr>
            <w:tcW w:w="1225" w:type="dxa"/>
            <w:vAlign w:val="center"/>
          </w:tcPr>
          <w:p w14:paraId="17A782A0">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450</w:t>
            </w:r>
          </w:p>
        </w:tc>
        <w:tc>
          <w:tcPr>
            <w:tcW w:w="1394" w:type="dxa"/>
            <w:vAlign w:val="center"/>
          </w:tcPr>
          <w:p w14:paraId="2CF187CE">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0.467-0.473</w:t>
            </w:r>
          </w:p>
        </w:tc>
        <w:tc>
          <w:tcPr>
            <w:tcW w:w="831" w:type="dxa"/>
            <w:vAlign w:val="center"/>
          </w:tcPr>
          <w:p w14:paraId="7C88B61C">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1748DD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2A18CBE5">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高锰酸钾指数</w:t>
            </w:r>
          </w:p>
        </w:tc>
        <w:tc>
          <w:tcPr>
            <w:tcW w:w="1362" w:type="dxa"/>
            <w:vAlign w:val="center"/>
          </w:tcPr>
          <w:p w14:paraId="3A7640BF">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1.9</w:t>
            </w:r>
          </w:p>
        </w:tc>
        <w:tc>
          <w:tcPr>
            <w:tcW w:w="1373" w:type="dxa"/>
            <w:vAlign w:val="center"/>
          </w:tcPr>
          <w:p w14:paraId="36268498">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1.8</w:t>
            </w:r>
          </w:p>
        </w:tc>
        <w:tc>
          <w:tcPr>
            <w:tcW w:w="1339" w:type="dxa"/>
            <w:vAlign w:val="center"/>
          </w:tcPr>
          <w:p w14:paraId="66A661A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2.0</w:t>
            </w:r>
          </w:p>
        </w:tc>
        <w:tc>
          <w:tcPr>
            <w:tcW w:w="1225" w:type="dxa"/>
            <w:vAlign w:val="center"/>
          </w:tcPr>
          <w:p w14:paraId="625FFC9A">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w:t>
            </w:r>
          </w:p>
        </w:tc>
        <w:tc>
          <w:tcPr>
            <w:tcW w:w="1394" w:type="dxa"/>
            <w:vAlign w:val="center"/>
          </w:tcPr>
          <w:p w14:paraId="7947A2A8">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0.3-0.333</w:t>
            </w:r>
          </w:p>
        </w:tc>
        <w:tc>
          <w:tcPr>
            <w:tcW w:w="831" w:type="dxa"/>
            <w:vAlign w:val="center"/>
          </w:tcPr>
          <w:p w14:paraId="3DE16FA1">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1FAE42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692640B9">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氟化物</w:t>
            </w:r>
          </w:p>
        </w:tc>
        <w:tc>
          <w:tcPr>
            <w:tcW w:w="1362" w:type="dxa"/>
            <w:vAlign w:val="center"/>
          </w:tcPr>
          <w:p w14:paraId="31DBCE9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0.24</w:t>
            </w:r>
          </w:p>
        </w:tc>
        <w:tc>
          <w:tcPr>
            <w:tcW w:w="1373" w:type="dxa"/>
            <w:vAlign w:val="center"/>
          </w:tcPr>
          <w:p w14:paraId="35B2C1D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0.26</w:t>
            </w:r>
          </w:p>
        </w:tc>
        <w:tc>
          <w:tcPr>
            <w:tcW w:w="1339" w:type="dxa"/>
            <w:vAlign w:val="center"/>
          </w:tcPr>
          <w:p w14:paraId="0BCBA913">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0.25</w:t>
            </w:r>
          </w:p>
        </w:tc>
        <w:tc>
          <w:tcPr>
            <w:tcW w:w="1225" w:type="dxa"/>
            <w:vAlign w:val="center"/>
          </w:tcPr>
          <w:p w14:paraId="3D897BEE">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1.0</w:t>
            </w:r>
          </w:p>
        </w:tc>
        <w:tc>
          <w:tcPr>
            <w:tcW w:w="1394" w:type="dxa"/>
            <w:vAlign w:val="center"/>
          </w:tcPr>
          <w:p w14:paraId="32A0E4C0">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0.24-0.26</w:t>
            </w:r>
          </w:p>
        </w:tc>
        <w:tc>
          <w:tcPr>
            <w:tcW w:w="831" w:type="dxa"/>
            <w:vAlign w:val="center"/>
          </w:tcPr>
          <w:p w14:paraId="0E6D9134">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5EA7D8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0D73F127">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溶解性总固体</w:t>
            </w:r>
          </w:p>
        </w:tc>
        <w:tc>
          <w:tcPr>
            <w:tcW w:w="1362" w:type="dxa"/>
            <w:vAlign w:val="center"/>
          </w:tcPr>
          <w:p w14:paraId="3BAF77B4">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433</w:t>
            </w:r>
          </w:p>
        </w:tc>
        <w:tc>
          <w:tcPr>
            <w:tcW w:w="1373" w:type="dxa"/>
            <w:vAlign w:val="center"/>
          </w:tcPr>
          <w:p w14:paraId="107A6D72">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442</w:t>
            </w:r>
          </w:p>
        </w:tc>
        <w:tc>
          <w:tcPr>
            <w:tcW w:w="1339" w:type="dxa"/>
            <w:vAlign w:val="center"/>
          </w:tcPr>
          <w:p w14:paraId="6119F47C">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428</w:t>
            </w:r>
          </w:p>
        </w:tc>
        <w:tc>
          <w:tcPr>
            <w:tcW w:w="1225" w:type="dxa"/>
            <w:vAlign w:val="center"/>
          </w:tcPr>
          <w:p w14:paraId="0C895524">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1000</w:t>
            </w:r>
          </w:p>
        </w:tc>
        <w:tc>
          <w:tcPr>
            <w:tcW w:w="1394" w:type="dxa"/>
            <w:vAlign w:val="center"/>
          </w:tcPr>
          <w:p w14:paraId="42D55574">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0.428-0.442</w:t>
            </w:r>
          </w:p>
        </w:tc>
        <w:tc>
          <w:tcPr>
            <w:tcW w:w="831" w:type="dxa"/>
            <w:vAlign w:val="center"/>
          </w:tcPr>
          <w:p w14:paraId="451FE97F">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477883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664126CA">
            <w:pPr>
              <w:spacing w:line="240" w:lineRule="auto"/>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硫酸盐</w:t>
            </w:r>
          </w:p>
        </w:tc>
        <w:tc>
          <w:tcPr>
            <w:tcW w:w="1362" w:type="dxa"/>
            <w:vAlign w:val="center"/>
          </w:tcPr>
          <w:p w14:paraId="41388C16">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9</w:t>
            </w:r>
          </w:p>
        </w:tc>
        <w:tc>
          <w:tcPr>
            <w:tcW w:w="1373" w:type="dxa"/>
            <w:vAlign w:val="center"/>
          </w:tcPr>
          <w:p w14:paraId="77F5E7AB">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9</w:t>
            </w:r>
          </w:p>
        </w:tc>
        <w:tc>
          <w:tcPr>
            <w:tcW w:w="1339" w:type="dxa"/>
            <w:vAlign w:val="center"/>
          </w:tcPr>
          <w:p w14:paraId="6B33E4E3">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c>
          <w:tcPr>
            <w:tcW w:w="1225" w:type="dxa"/>
            <w:vAlign w:val="center"/>
          </w:tcPr>
          <w:p w14:paraId="4C845128">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250</w:t>
            </w:r>
          </w:p>
        </w:tc>
        <w:tc>
          <w:tcPr>
            <w:tcW w:w="1394" w:type="dxa"/>
            <w:vAlign w:val="center"/>
          </w:tcPr>
          <w:p w14:paraId="21B90F3E">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0.036-0.04</w:t>
            </w:r>
          </w:p>
        </w:tc>
        <w:tc>
          <w:tcPr>
            <w:tcW w:w="831" w:type="dxa"/>
            <w:vAlign w:val="center"/>
          </w:tcPr>
          <w:p w14:paraId="34E01318">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35E8A2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E0B5B22">
            <w:pPr>
              <w:spacing w:line="240" w:lineRule="auto"/>
              <w:jc w:val="center"/>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氯化物</w:t>
            </w:r>
          </w:p>
        </w:tc>
        <w:tc>
          <w:tcPr>
            <w:tcW w:w="1362" w:type="dxa"/>
            <w:vAlign w:val="center"/>
          </w:tcPr>
          <w:p w14:paraId="4F1B4F3C">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121</w:t>
            </w:r>
          </w:p>
        </w:tc>
        <w:tc>
          <w:tcPr>
            <w:tcW w:w="1373" w:type="dxa"/>
            <w:vAlign w:val="center"/>
          </w:tcPr>
          <w:p w14:paraId="0DEA81D1">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119</w:t>
            </w:r>
          </w:p>
        </w:tc>
        <w:tc>
          <w:tcPr>
            <w:tcW w:w="1339" w:type="dxa"/>
            <w:vAlign w:val="center"/>
          </w:tcPr>
          <w:p w14:paraId="4EB4D32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122</w:t>
            </w:r>
          </w:p>
        </w:tc>
        <w:tc>
          <w:tcPr>
            <w:tcW w:w="1225" w:type="dxa"/>
            <w:vAlign w:val="center"/>
          </w:tcPr>
          <w:p w14:paraId="2414A7BD">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250</w:t>
            </w:r>
          </w:p>
        </w:tc>
        <w:tc>
          <w:tcPr>
            <w:tcW w:w="1394" w:type="dxa"/>
            <w:vAlign w:val="center"/>
          </w:tcPr>
          <w:p w14:paraId="3D2283D8">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0.476-0.488</w:t>
            </w:r>
          </w:p>
        </w:tc>
        <w:tc>
          <w:tcPr>
            <w:tcW w:w="831" w:type="dxa"/>
            <w:vAlign w:val="center"/>
          </w:tcPr>
          <w:p w14:paraId="43475F61">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6FAD74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1692970E">
            <w:pPr>
              <w:spacing w:line="240" w:lineRule="auto"/>
              <w:jc w:val="center"/>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六价铬</w:t>
            </w:r>
          </w:p>
        </w:tc>
        <w:tc>
          <w:tcPr>
            <w:tcW w:w="1362" w:type="dxa"/>
            <w:vAlign w:val="center"/>
          </w:tcPr>
          <w:p w14:paraId="7ACE977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0.004L</w:t>
            </w:r>
          </w:p>
        </w:tc>
        <w:tc>
          <w:tcPr>
            <w:tcW w:w="1373" w:type="dxa"/>
            <w:vAlign w:val="center"/>
          </w:tcPr>
          <w:p w14:paraId="683BC596">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0.004L</w:t>
            </w:r>
          </w:p>
        </w:tc>
        <w:tc>
          <w:tcPr>
            <w:tcW w:w="1339" w:type="dxa"/>
            <w:vAlign w:val="center"/>
          </w:tcPr>
          <w:p w14:paraId="6C61E851">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0.004L</w:t>
            </w:r>
          </w:p>
        </w:tc>
        <w:tc>
          <w:tcPr>
            <w:tcW w:w="1225" w:type="dxa"/>
            <w:vAlign w:val="center"/>
          </w:tcPr>
          <w:p w14:paraId="5CCEE63E">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0.05</w:t>
            </w:r>
          </w:p>
        </w:tc>
        <w:tc>
          <w:tcPr>
            <w:tcW w:w="1394" w:type="dxa"/>
            <w:vAlign w:val="center"/>
          </w:tcPr>
          <w:p w14:paraId="443F68BF">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1D8ADBB0">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095FE8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8EC10A3">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砷</w:t>
            </w:r>
          </w:p>
        </w:tc>
        <w:tc>
          <w:tcPr>
            <w:tcW w:w="1362" w:type="dxa"/>
            <w:vAlign w:val="center"/>
          </w:tcPr>
          <w:p w14:paraId="7278A3D1">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4×10</w:t>
            </w:r>
            <w:r>
              <w:rPr>
                <w:rFonts w:hint="default" w:ascii="Times New Roman" w:hAnsi="Times New Roman" w:eastAsia="仿宋_GB2312" w:cs="Times New Roman"/>
                <w:color w:val="auto"/>
                <w:sz w:val="18"/>
                <w:szCs w:val="18"/>
                <w:highlight w:val="none"/>
                <w:vertAlign w:val="superscript"/>
                <w:lang w:val="en-US" w:eastAsia="zh-CN"/>
              </w:rPr>
              <w:t>-4</w:t>
            </w:r>
          </w:p>
        </w:tc>
        <w:tc>
          <w:tcPr>
            <w:tcW w:w="1373" w:type="dxa"/>
            <w:vAlign w:val="center"/>
          </w:tcPr>
          <w:p w14:paraId="506A7938">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4×10</w:t>
            </w:r>
            <w:r>
              <w:rPr>
                <w:rFonts w:hint="default" w:ascii="Times New Roman" w:hAnsi="Times New Roman" w:eastAsia="仿宋_GB2312" w:cs="Times New Roman"/>
                <w:color w:val="auto"/>
                <w:sz w:val="18"/>
                <w:szCs w:val="18"/>
                <w:highlight w:val="none"/>
                <w:vertAlign w:val="superscript"/>
                <w:lang w:val="en-US" w:eastAsia="zh-CN"/>
              </w:rPr>
              <w:t>-4</w:t>
            </w:r>
          </w:p>
        </w:tc>
        <w:tc>
          <w:tcPr>
            <w:tcW w:w="1339" w:type="dxa"/>
            <w:vAlign w:val="center"/>
          </w:tcPr>
          <w:p w14:paraId="4C747FAE">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4×10</w:t>
            </w:r>
            <w:r>
              <w:rPr>
                <w:rFonts w:hint="default" w:ascii="Times New Roman" w:hAnsi="Times New Roman" w:eastAsia="仿宋_GB2312" w:cs="Times New Roman"/>
                <w:color w:val="auto"/>
                <w:sz w:val="18"/>
                <w:szCs w:val="18"/>
                <w:highlight w:val="none"/>
                <w:vertAlign w:val="superscript"/>
                <w:lang w:val="en-US" w:eastAsia="zh-CN"/>
              </w:rPr>
              <w:t>-4</w:t>
            </w:r>
          </w:p>
        </w:tc>
        <w:tc>
          <w:tcPr>
            <w:tcW w:w="1225" w:type="dxa"/>
            <w:vAlign w:val="center"/>
          </w:tcPr>
          <w:p w14:paraId="6B86B502">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0.01</w:t>
            </w:r>
          </w:p>
        </w:tc>
        <w:tc>
          <w:tcPr>
            <w:tcW w:w="1394" w:type="dxa"/>
            <w:vAlign w:val="center"/>
          </w:tcPr>
          <w:p w14:paraId="18FAA915">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0.04</w:t>
            </w:r>
          </w:p>
        </w:tc>
        <w:tc>
          <w:tcPr>
            <w:tcW w:w="831" w:type="dxa"/>
            <w:vAlign w:val="center"/>
          </w:tcPr>
          <w:p w14:paraId="680B0F88">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27755F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59772747">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汞</w:t>
            </w:r>
          </w:p>
        </w:tc>
        <w:tc>
          <w:tcPr>
            <w:tcW w:w="1362" w:type="dxa"/>
            <w:vAlign w:val="center"/>
          </w:tcPr>
          <w:p w14:paraId="5C40384F">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1×10</w:t>
            </w:r>
            <w:r>
              <w:rPr>
                <w:rFonts w:hint="default" w:ascii="Times New Roman" w:hAnsi="Times New Roman" w:eastAsia="仿宋_GB2312" w:cs="Times New Roman"/>
                <w:color w:val="auto"/>
                <w:sz w:val="18"/>
                <w:szCs w:val="18"/>
                <w:highlight w:val="none"/>
                <w:vertAlign w:val="superscript"/>
                <w:lang w:val="en-US" w:eastAsia="zh-CN"/>
              </w:rPr>
              <w:t>-4</w:t>
            </w:r>
          </w:p>
        </w:tc>
        <w:tc>
          <w:tcPr>
            <w:tcW w:w="1373" w:type="dxa"/>
            <w:vAlign w:val="center"/>
          </w:tcPr>
          <w:p w14:paraId="50536C49">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1×10</w:t>
            </w:r>
            <w:r>
              <w:rPr>
                <w:rFonts w:hint="default" w:ascii="Times New Roman" w:hAnsi="Times New Roman" w:eastAsia="仿宋_GB2312" w:cs="Times New Roman"/>
                <w:color w:val="auto"/>
                <w:sz w:val="18"/>
                <w:szCs w:val="18"/>
                <w:highlight w:val="none"/>
                <w:vertAlign w:val="superscript"/>
                <w:lang w:val="en-US" w:eastAsia="zh-CN"/>
              </w:rPr>
              <w:t>-4</w:t>
            </w:r>
          </w:p>
        </w:tc>
        <w:tc>
          <w:tcPr>
            <w:tcW w:w="1339" w:type="dxa"/>
            <w:vAlign w:val="center"/>
          </w:tcPr>
          <w:p w14:paraId="1149E00A">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1×10</w:t>
            </w:r>
            <w:r>
              <w:rPr>
                <w:rFonts w:hint="default" w:ascii="Times New Roman" w:hAnsi="Times New Roman" w:eastAsia="仿宋_GB2312" w:cs="Times New Roman"/>
                <w:color w:val="auto"/>
                <w:sz w:val="18"/>
                <w:szCs w:val="18"/>
                <w:highlight w:val="none"/>
                <w:vertAlign w:val="superscript"/>
                <w:lang w:val="en-US" w:eastAsia="zh-CN"/>
              </w:rPr>
              <w:t>-4</w:t>
            </w:r>
          </w:p>
        </w:tc>
        <w:tc>
          <w:tcPr>
            <w:tcW w:w="1225" w:type="dxa"/>
            <w:vAlign w:val="center"/>
          </w:tcPr>
          <w:p w14:paraId="650EB670">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0.001</w:t>
            </w:r>
          </w:p>
        </w:tc>
        <w:tc>
          <w:tcPr>
            <w:tcW w:w="1394" w:type="dxa"/>
            <w:vAlign w:val="center"/>
          </w:tcPr>
          <w:p w14:paraId="0EF2FA72">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w:t>
            </w:r>
          </w:p>
        </w:tc>
        <w:tc>
          <w:tcPr>
            <w:tcW w:w="831" w:type="dxa"/>
            <w:vAlign w:val="center"/>
          </w:tcPr>
          <w:p w14:paraId="2D13DB9F">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0FB42D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609F3542">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铅</w:t>
            </w:r>
          </w:p>
        </w:tc>
        <w:tc>
          <w:tcPr>
            <w:tcW w:w="1362" w:type="dxa"/>
            <w:vAlign w:val="center"/>
          </w:tcPr>
          <w:p w14:paraId="00327977">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0.001L</w:t>
            </w:r>
          </w:p>
        </w:tc>
        <w:tc>
          <w:tcPr>
            <w:tcW w:w="1373" w:type="dxa"/>
            <w:vAlign w:val="center"/>
          </w:tcPr>
          <w:p w14:paraId="3E20F707">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0.001L</w:t>
            </w:r>
          </w:p>
        </w:tc>
        <w:tc>
          <w:tcPr>
            <w:tcW w:w="1339" w:type="dxa"/>
            <w:vAlign w:val="center"/>
          </w:tcPr>
          <w:p w14:paraId="58992205">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0.001L</w:t>
            </w:r>
          </w:p>
        </w:tc>
        <w:tc>
          <w:tcPr>
            <w:tcW w:w="1225" w:type="dxa"/>
            <w:vAlign w:val="center"/>
          </w:tcPr>
          <w:p w14:paraId="235B2AFB">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0.01</w:t>
            </w:r>
          </w:p>
        </w:tc>
        <w:tc>
          <w:tcPr>
            <w:tcW w:w="1394" w:type="dxa"/>
            <w:vAlign w:val="center"/>
          </w:tcPr>
          <w:p w14:paraId="03B61961">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2FEE1D93">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78D399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47B385C0">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镉</w:t>
            </w:r>
          </w:p>
        </w:tc>
        <w:tc>
          <w:tcPr>
            <w:tcW w:w="1362" w:type="dxa"/>
            <w:vAlign w:val="center"/>
          </w:tcPr>
          <w:p w14:paraId="628760C1">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0.0001L</w:t>
            </w:r>
          </w:p>
        </w:tc>
        <w:tc>
          <w:tcPr>
            <w:tcW w:w="1373" w:type="dxa"/>
            <w:vAlign w:val="center"/>
          </w:tcPr>
          <w:p w14:paraId="243FB796">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0.0001L</w:t>
            </w:r>
          </w:p>
        </w:tc>
        <w:tc>
          <w:tcPr>
            <w:tcW w:w="1339" w:type="dxa"/>
            <w:vAlign w:val="center"/>
          </w:tcPr>
          <w:p w14:paraId="240D906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0.0001L</w:t>
            </w:r>
          </w:p>
        </w:tc>
        <w:tc>
          <w:tcPr>
            <w:tcW w:w="1225" w:type="dxa"/>
            <w:vAlign w:val="center"/>
          </w:tcPr>
          <w:p w14:paraId="3929DE1F">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0.005</w:t>
            </w:r>
          </w:p>
        </w:tc>
        <w:tc>
          <w:tcPr>
            <w:tcW w:w="1394" w:type="dxa"/>
            <w:vAlign w:val="center"/>
          </w:tcPr>
          <w:p w14:paraId="597AD23D">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6D6B7A13">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371055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7B30A267">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铁</w:t>
            </w:r>
          </w:p>
        </w:tc>
        <w:tc>
          <w:tcPr>
            <w:tcW w:w="1362" w:type="dxa"/>
            <w:vAlign w:val="center"/>
          </w:tcPr>
          <w:p w14:paraId="11BCF59D">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0.03L</w:t>
            </w:r>
          </w:p>
        </w:tc>
        <w:tc>
          <w:tcPr>
            <w:tcW w:w="1373" w:type="dxa"/>
            <w:vAlign w:val="center"/>
          </w:tcPr>
          <w:p w14:paraId="0CF78A58">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0.03L</w:t>
            </w:r>
          </w:p>
        </w:tc>
        <w:tc>
          <w:tcPr>
            <w:tcW w:w="1339" w:type="dxa"/>
            <w:vAlign w:val="center"/>
          </w:tcPr>
          <w:p w14:paraId="6E342252">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0.03L</w:t>
            </w:r>
          </w:p>
        </w:tc>
        <w:tc>
          <w:tcPr>
            <w:tcW w:w="1225" w:type="dxa"/>
            <w:vAlign w:val="center"/>
          </w:tcPr>
          <w:p w14:paraId="73CE9DA3">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0.3</w:t>
            </w:r>
          </w:p>
        </w:tc>
        <w:tc>
          <w:tcPr>
            <w:tcW w:w="1394" w:type="dxa"/>
            <w:vAlign w:val="center"/>
          </w:tcPr>
          <w:p w14:paraId="6454A49F">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未检出</w:t>
            </w:r>
          </w:p>
        </w:tc>
        <w:tc>
          <w:tcPr>
            <w:tcW w:w="831" w:type="dxa"/>
            <w:vAlign w:val="center"/>
          </w:tcPr>
          <w:p w14:paraId="2950AF65">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39FC8E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7EFD3732">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锰</w:t>
            </w:r>
          </w:p>
        </w:tc>
        <w:tc>
          <w:tcPr>
            <w:tcW w:w="1362" w:type="dxa"/>
            <w:vAlign w:val="center"/>
          </w:tcPr>
          <w:p w14:paraId="71191A90">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0.09</w:t>
            </w:r>
          </w:p>
        </w:tc>
        <w:tc>
          <w:tcPr>
            <w:tcW w:w="1373" w:type="dxa"/>
            <w:vAlign w:val="center"/>
          </w:tcPr>
          <w:p w14:paraId="0AB56CAD">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0.09</w:t>
            </w:r>
          </w:p>
        </w:tc>
        <w:tc>
          <w:tcPr>
            <w:tcW w:w="1339" w:type="dxa"/>
            <w:vAlign w:val="center"/>
          </w:tcPr>
          <w:p w14:paraId="503161B2">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0.09</w:t>
            </w:r>
          </w:p>
        </w:tc>
        <w:tc>
          <w:tcPr>
            <w:tcW w:w="1225" w:type="dxa"/>
            <w:vAlign w:val="center"/>
          </w:tcPr>
          <w:p w14:paraId="47A602C7">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0.1</w:t>
            </w:r>
          </w:p>
        </w:tc>
        <w:tc>
          <w:tcPr>
            <w:tcW w:w="1394" w:type="dxa"/>
            <w:vAlign w:val="center"/>
          </w:tcPr>
          <w:p w14:paraId="5E61CAFF">
            <w:pPr>
              <w:spacing w:line="240" w:lineRule="auto"/>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0.09</w:t>
            </w:r>
          </w:p>
        </w:tc>
        <w:tc>
          <w:tcPr>
            <w:tcW w:w="831" w:type="dxa"/>
            <w:vAlign w:val="center"/>
          </w:tcPr>
          <w:p w14:paraId="0629E0C6">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r w14:paraId="5234C9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4F5DD1D0">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总大肠菌群（MPN/100mL）</w:t>
            </w:r>
          </w:p>
        </w:tc>
        <w:tc>
          <w:tcPr>
            <w:tcW w:w="1362" w:type="dxa"/>
            <w:vAlign w:val="center"/>
          </w:tcPr>
          <w:p w14:paraId="272A553D">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未检出</w:t>
            </w:r>
          </w:p>
        </w:tc>
        <w:tc>
          <w:tcPr>
            <w:tcW w:w="1373" w:type="dxa"/>
            <w:vAlign w:val="center"/>
          </w:tcPr>
          <w:p w14:paraId="61409BFC">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未检出</w:t>
            </w:r>
          </w:p>
        </w:tc>
        <w:tc>
          <w:tcPr>
            <w:tcW w:w="1339" w:type="dxa"/>
            <w:vAlign w:val="center"/>
          </w:tcPr>
          <w:p w14:paraId="218ACC64">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未检出</w:t>
            </w:r>
          </w:p>
        </w:tc>
        <w:tc>
          <w:tcPr>
            <w:tcW w:w="1225" w:type="dxa"/>
            <w:vAlign w:val="center"/>
          </w:tcPr>
          <w:p w14:paraId="4BB9356E">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1394" w:type="dxa"/>
            <w:vAlign w:val="center"/>
          </w:tcPr>
          <w:p w14:paraId="69F6ED1A">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未检出</w:t>
            </w:r>
          </w:p>
        </w:tc>
        <w:tc>
          <w:tcPr>
            <w:tcW w:w="831" w:type="dxa"/>
            <w:vAlign w:val="center"/>
          </w:tcPr>
          <w:p w14:paraId="014E468C">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14:paraId="25CC2B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430" w:type="dxa"/>
            <w:vAlign w:val="center"/>
          </w:tcPr>
          <w:p w14:paraId="3AA8B571">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菌落总数（CFU/mL）</w:t>
            </w:r>
          </w:p>
        </w:tc>
        <w:tc>
          <w:tcPr>
            <w:tcW w:w="1362" w:type="dxa"/>
            <w:vAlign w:val="center"/>
          </w:tcPr>
          <w:p w14:paraId="3A366A4C">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50</w:t>
            </w:r>
          </w:p>
        </w:tc>
        <w:tc>
          <w:tcPr>
            <w:tcW w:w="1373" w:type="dxa"/>
            <w:vAlign w:val="center"/>
          </w:tcPr>
          <w:p w14:paraId="4E578D5C">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60</w:t>
            </w:r>
          </w:p>
        </w:tc>
        <w:tc>
          <w:tcPr>
            <w:tcW w:w="1339" w:type="dxa"/>
            <w:vAlign w:val="center"/>
          </w:tcPr>
          <w:p w14:paraId="6C926A62">
            <w:pPr>
              <w:snapToGrid w:val="0"/>
              <w:spacing w:line="0" w:lineRule="atLeast"/>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65</w:t>
            </w:r>
          </w:p>
        </w:tc>
        <w:tc>
          <w:tcPr>
            <w:tcW w:w="1225" w:type="dxa"/>
            <w:vAlign w:val="center"/>
          </w:tcPr>
          <w:p w14:paraId="73DADDD0">
            <w:pPr>
              <w:spacing w:line="240" w:lineRule="auto"/>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100</w:t>
            </w:r>
          </w:p>
        </w:tc>
        <w:tc>
          <w:tcPr>
            <w:tcW w:w="1394" w:type="dxa"/>
            <w:vAlign w:val="center"/>
          </w:tcPr>
          <w:p w14:paraId="66AC3EAD">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0.5-0.65</w:t>
            </w:r>
          </w:p>
        </w:tc>
        <w:tc>
          <w:tcPr>
            <w:tcW w:w="831" w:type="dxa"/>
            <w:vAlign w:val="center"/>
          </w:tcPr>
          <w:p w14:paraId="1E289F85">
            <w:pPr>
              <w:spacing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达标</w:t>
            </w:r>
          </w:p>
        </w:tc>
      </w:tr>
    </w:tbl>
    <w:p w14:paraId="5B42DD18">
      <w:pPr>
        <w:adjustRightInd w:val="0"/>
        <w:snapToGrid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注：检测结果中“</w:t>
      </w:r>
      <w:r>
        <w:rPr>
          <w:rFonts w:hint="default" w:ascii="Times New Roman" w:hAnsi="Times New Roman" w:cs="Times New Roman"/>
          <w:b/>
          <w:color w:val="auto"/>
          <w:sz w:val="21"/>
          <w:szCs w:val="21"/>
          <w:lang w:val="en-US" w:eastAsia="zh-CN"/>
        </w:rPr>
        <w:t>L</w:t>
      </w:r>
      <w:r>
        <w:rPr>
          <w:rFonts w:hint="default" w:ascii="Times New Roman" w:hAnsi="Times New Roman" w:cs="Times New Roman"/>
          <w:b/>
          <w:color w:val="auto"/>
          <w:sz w:val="21"/>
          <w:szCs w:val="21"/>
        </w:rPr>
        <w:t>”表示检测结果低于检出限，“/”表示该标准无此限值。</w:t>
      </w:r>
    </w:p>
    <w:p w14:paraId="7EAF1636">
      <w:pPr>
        <w:snapToGrid w:val="0"/>
        <w:spacing w:before="120" w:beforeLines="50"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（4）地下水环境现状评价</w:t>
      </w:r>
    </w:p>
    <w:p w14:paraId="4C28B1D4">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根据表4.3-</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，对地下水监测点中的8项阴、阳离子（阳离子分别为Ca</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 xml:space="preserve"> 、Mg</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 Na</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 xml:space="preserve"> 、K</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，阴离子分别为CO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 HCO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 xml:space="preserve"> 、SO</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 Cl</w:t>
      </w:r>
      <w:r>
        <w:rPr>
          <w:rFonts w:hint="default" w:ascii="Times New Roman" w:hAnsi="Times New Roman" w:cs="Times New Roman"/>
          <w:color w:val="auto"/>
          <w:sz w:val="24"/>
          <w:szCs w:val="24"/>
          <w:vertAlign w:val="superscript"/>
        </w:rPr>
        <w:t>1-</w:t>
      </w:r>
      <w:r>
        <w:rPr>
          <w:rFonts w:hint="default" w:ascii="Times New Roman" w:hAnsi="Times New Roman" w:cs="Times New Roman"/>
          <w:color w:val="auto"/>
          <w:sz w:val="24"/>
          <w:szCs w:val="24"/>
        </w:rPr>
        <w:t>）进行了监测。八大离子有两个作用，一是查明地下水的化学类型，二是查验监测结果的准确性。监测完八大离子的质量浓度后，可按照阴阳离子平衡关系进行检验，现将监测结果的质量浓度除以分子量得出摩尔浓度，再乘以带电荷数，再根据以下公式计算误差，计算公式如下：</w:t>
      </w:r>
    </w:p>
    <w:p w14:paraId="3647739F">
      <w:pPr>
        <w:snapToGrid w:val="0"/>
        <w:spacing w:line="360" w:lineRule="auto"/>
        <w:ind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2304415" cy="702310"/>
            <wp:effectExtent l="0" t="0" r="635" b="254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52"/>
                    <a:stretch>
                      <a:fillRect/>
                    </a:stretch>
                  </pic:blipFill>
                  <pic:spPr>
                    <a:xfrm>
                      <a:off x="0" y="0"/>
                      <a:ext cx="2304415" cy="702310"/>
                    </a:xfrm>
                    <a:prstGeom prst="rect">
                      <a:avLst/>
                    </a:prstGeom>
                    <a:noFill/>
                    <a:ln>
                      <a:noFill/>
                    </a:ln>
                  </pic:spPr>
                </pic:pic>
              </a:graphicData>
            </a:graphic>
          </wp:inline>
        </w:drawing>
      </w:r>
    </w:p>
    <w:p w14:paraId="3937385C">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式中：E—相对误差，若Na</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 xml:space="preserve"> 、K</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为实测值，E应介于正负5%，否则监测结果失真，或地下水已明显受到污染。</w:t>
      </w:r>
    </w:p>
    <w:p w14:paraId="355D11E5">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m</w:t>
      </w:r>
      <w:r>
        <w:rPr>
          <w:rFonts w:hint="default" w:ascii="Times New Roman" w:hAnsi="Times New Roman" w:cs="Times New Roman"/>
          <w:color w:val="auto"/>
          <w:sz w:val="24"/>
          <w:szCs w:val="24"/>
          <w:vertAlign w:val="subscript"/>
        </w:rPr>
        <w:t>a</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bscript"/>
        </w:rPr>
        <w:t>c</w:t>
      </w:r>
      <w:r>
        <w:rPr>
          <w:rFonts w:hint="default" w:ascii="Times New Roman" w:hAnsi="Times New Roman" w:cs="Times New Roman"/>
          <w:color w:val="auto"/>
          <w:sz w:val="24"/>
          <w:szCs w:val="24"/>
        </w:rPr>
        <w:t>—分别是阴阳离子的毫克当量浓度（meq/L）。</w:t>
      </w:r>
    </w:p>
    <w:p w14:paraId="49FAD507">
      <w:pPr>
        <w:snapToGrid w:val="0"/>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经计算，本次评价地下水监测点中的8项阴、阳离子E值计算见表：</w:t>
      </w:r>
    </w:p>
    <w:p w14:paraId="69C37028">
      <w:pPr>
        <w:snapToGrid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表4.3-</w:t>
      </w:r>
      <w:r>
        <w:rPr>
          <w:rFonts w:hint="default"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 xml:space="preserve">  各监测点位8项阴、阳离子E值</w:t>
      </w:r>
    </w:p>
    <w:tbl>
      <w:tblPr>
        <w:tblStyle w:val="23"/>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1"/>
        <w:gridCol w:w="2567"/>
        <w:gridCol w:w="2240"/>
        <w:gridCol w:w="2240"/>
      </w:tblGrid>
      <w:tr w14:paraId="4951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vAlign w:val="center"/>
          </w:tcPr>
          <w:p w14:paraId="52FF00FD">
            <w:pPr>
              <w:snapToGrid w:val="0"/>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点位</w:t>
            </w:r>
          </w:p>
        </w:tc>
        <w:tc>
          <w:tcPr>
            <w:tcW w:w="2567" w:type="dxa"/>
            <w:vAlign w:val="center"/>
          </w:tcPr>
          <w:p w14:paraId="1E88F3B8">
            <w:pPr>
              <w:snapToGrid w:val="0"/>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时间</w:t>
            </w:r>
          </w:p>
        </w:tc>
        <w:tc>
          <w:tcPr>
            <w:tcW w:w="2240" w:type="dxa"/>
            <w:vAlign w:val="center"/>
          </w:tcPr>
          <w:p w14:paraId="06E09C5E">
            <w:pPr>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E值—相对误差（%）</w:t>
            </w:r>
          </w:p>
        </w:tc>
        <w:tc>
          <w:tcPr>
            <w:tcW w:w="2240" w:type="dxa"/>
            <w:vAlign w:val="center"/>
          </w:tcPr>
          <w:p w14:paraId="35E81D5E">
            <w:pPr>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评价结果（%）</w:t>
            </w:r>
          </w:p>
        </w:tc>
      </w:tr>
      <w:tr w14:paraId="3153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vMerge w:val="restart"/>
            <w:vAlign w:val="center"/>
          </w:tcPr>
          <w:p w14:paraId="0C06AED1">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林场水井</w:t>
            </w:r>
          </w:p>
        </w:tc>
        <w:tc>
          <w:tcPr>
            <w:tcW w:w="2567" w:type="dxa"/>
            <w:vAlign w:val="center"/>
          </w:tcPr>
          <w:p w14:paraId="4B5C9CA0">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2025.5.14</w:t>
            </w:r>
          </w:p>
        </w:tc>
        <w:tc>
          <w:tcPr>
            <w:tcW w:w="2240" w:type="dxa"/>
            <w:vAlign w:val="center"/>
          </w:tcPr>
          <w:p w14:paraId="3233AC01">
            <w:pPr>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1.830742</w:t>
            </w:r>
          </w:p>
        </w:tc>
        <w:tc>
          <w:tcPr>
            <w:tcW w:w="2240" w:type="dxa"/>
            <w:vAlign w:val="center"/>
          </w:tcPr>
          <w:p w14:paraId="1823CF18">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r w14:paraId="5BE3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vMerge w:val="continue"/>
            <w:vAlign w:val="center"/>
          </w:tcPr>
          <w:p w14:paraId="40EB7A1C">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2567" w:type="dxa"/>
            <w:vAlign w:val="center"/>
          </w:tcPr>
          <w:p w14:paraId="300309D4">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2025.5.15</w:t>
            </w:r>
          </w:p>
        </w:tc>
        <w:tc>
          <w:tcPr>
            <w:tcW w:w="2240" w:type="dxa"/>
            <w:vAlign w:val="center"/>
          </w:tcPr>
          <w:p w14:paraId="2AB6C7EF">
            <w:pPr>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2.720604</w:t>
            </w:r>
          </w:p>
        </w:tc>
        <w:tc>
          <w:tcPr>
            <w:tcW w:w="2240" w:type="dxa"/>
            <w:vAlign w:val="center"/>
          </w:tcPr>
          <w:p w14:paraId="071BBC01">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r w14:paraId="14388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vMerge w:val="continue"/>
            <w:vAlign w:val="center"/>
          </w:tcPr>
          <w:p w14:paraId="67638731">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2567" w:type="dxa"/>
            <w:vAlign w:val="center"/>
          </w:tcPr>
          <w:p w14:paraId="63B92CC4">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2025.5.16</w:t>
            </w:r>
          </w:p>
        </w:tc>
        <w:tc>
          <w:tcPr>
            <w:tcW w:w="2240" w:type="dxa"/>
            <w:vAlign w:val="center"/>
          </w:tcPr>
          <w:p w14:paraId="75EBE0AB">
            <w:pPr>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1.491257</w:t>
            </w:r>
          </w:p>
        </w:tc>
        <w:tc>
          <w:tcPr>
            <w:tcW w:w="2240" w:type="dxa"/>
            <w:vAlign w:val="center"/>
          </w:tcPr>
          <w:p w14:paraId="5E563A23">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r w14:paraId="531A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vMerge w:val="restart"/>
            <w:vAlign w:val="center"/>
          </w:tcPr>
          <w:p w14:paraId="19B9D9D3">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小沙冲水井</w:t>
            </w:r>
          </w:p>
        </w:tc>
        <w:tc>
          <w:tcPr>
            <w:tcW w:w="2567" w:type="dxa"/>
            <w:vAlign w:val="center"/>
          </w:tcPr>
          <w:p w14:paraId="6DF6172F">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2025.5.14</w:t>
            </w:r>
          </w:p>
        </w:tc>
        <w:tc>
          <w:tcPr>
            <w:tcW w:w="2240" w:type="dxa"/>
            <w:vAlign w:val="center"/>
          </w:tcPr>
          <w:p w14:paraId="10E22FB1">
            <w:pPr>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187377</w:t>
            </w:r>
          </w:p>
        </w:tc>
        <w:tc>
          <w:tcPr>
            <w:tcW w:w="2240" w:type="dxa"/>
            <w:vAlign w:val="center"/>
          </w:tcPr>
          <w:p w14:paraId="7FB3834C">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r w14:paraId="6A08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vMerge w:val="continue"/>
            <w:vAlign w:val="center"/>
          </w:tcPr>
          <w:p w14:paraId="2EE52CFB">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2567" w:type="dxa"/>
            <w:vAlign w:val="center"/>
          </w:tcPr>
          <w:p w14:paraId="5E4250B9">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2025.5.15</w:t>
            </w:r>
          </w:p>
        </w:tc>
        <w:tc>
          <w:tcPr>
            <w:tcW w:w="2240" w:type="dxa"/>
            <w:vAlign w:val="center"/>
          </w:tcPr>
          <w:p w14:paraId="6B1C8E15">
            <w:pPr>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1.7094</w:t>
            </w:r>
            <w:r>
              <w:rPr>
                <w:rFonts w:hint="eastAsia" w:ascii="Times New Roman" w:hAnsi="Times New Roman" w:eastAsia="宋体" w:cs="Times New Roman"/>
                <w:color w:val="auto"/>
                <w:sz w:val="21"/>
                <w:szCs w:val="21"/>
                <w:highlight w:val="none"/>
                <w:lang w:val="en-US" w:eastAsia="zh-CN"/>
              </w:rPr>
              <w:t>88</w:t>
            </w:r>
          </w:p>
        </w:tc>
        <w:tc>
          <w:tcPr>
            <w:tcW w:w="2240" w:type="dxa"/>
            <w:vAlign w:val="center"/>
          </w:tcPr>
          <w:p w14:paraId="6DA9C5C1">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r w14:paraId="534E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vMerge w:val="continue"/>
            <w:vAlign w:val="center"/>
          </w:tcPr>
          <w:p w14:paraId="405D3936">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2567" w:type="dxa"/>
            <w:vAlign w:val="center"/>
          </w:tcPr>
          <w:p w14:paraId="18B19DC7">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2025.5.16</w:t>
            </w:r>
          </w:p>
        </w:tc>
        <w:tc>
          <w:tcPr>
            <w:tcW w:w="2240" w:type="dxa"/>
            <w:vAlign w:val="center"/>
          </w:tcPr>
          <w:p w14:paraId="3C6A1C53">
            <w:pPr>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1.570029</w:t>
            </w:r>
          </w:p>
        </w:tc>
        <w:tc>
          <w:tcPr>
            <w:tcW w:w="2240" w:type="dxa"/>
            <w:vAlign w:val="center"/>
          </w:tcPr>
          <w:p w14:paraId="0A373641">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r w14:paraId="6C8D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vMerge w:val="restart"/>
            <w:vAlign w:val="center"/>
          </w:tcPr>
          <w:p w14:paraId="6E1DCD4B">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梅子哨水井</w:t>
            </w:r>
          </w:p>
        </w:tc>
        <w:tc>
          <w:tcPr>
            <w:tcW w:w="2567" w:type="dxa"/>
            <w:vAlign w:val="center"/>
          </w:tcPr>
          <w:p w14:paraId="22A969E3">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2025.5.14</w:t>
            </w:r>
          </w:p>
        </w:tc>
        <w:tc>
          <w:tcPr>
            <w:tcW w:w="2240" w:type="dxa"/>
            <w:vAlign w:val="center"/>
          </w:tcPr>
          <w:p w14:paraId="0CE106C2">
            <w:pPr>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r>
              <w:rPr>
                <w:rFonts w:hint="eastAsia" w:ascii="Times New Roman" w:hAnsi="Times New Roman" w:eastAsia="宋体" w:cs="Times New Roman"/>
                <w:color w:val="auto"/>
                <w:sz w:val="21"/>
                <w:szCs w:val="21"/>
                <w:highlight w:val="none"/>
                <w:lang w:val="en-US" w:eastAsia="zh-CN"/>
              </w:rPr>
              <w:t>60993</w:t>
            </w:r>
          </w:p>
        </w:tc>
        <w:tc>
          <w:tcPr>
            <w:tcW w:w="2240" w:type="dxa"/>
            <w:vAlign w:val="center"/>
          </w:tcPr>
          <w:p w14:paraId="7A980F92">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r w14:paraId="79D3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vMerge w:val="continue"/>
            <w:vAlign w:val="center"/>
          </w:tcPr>
          <w:p w14:paraId="7721380D">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2567" w:type="dxa"/>
            <w:vAlign w:val="center"/>
          </w:tcPr>
          <w:p w14:paraId="7982258E">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2025.5.15</w:t>
            </w:r>
          </w:p>
        </w:tc>
        <w:tc>
          <w:tcPr>
            <w:tcW w:w="2240" w:type="dxa"/>
            <w:vAlign w:val="center"/>
          </w:tcPr>
          <w:p w14:paraId="681E1349">
            <w:pPr>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0.36328</w:t>
            </w:r>
          </w:p>
        </w:tc>
        <w:tc>
          <w:tcPr>
            <w:tcW w:w="2240" w:type="dxa"/>
            <w:vAlign w:val="center"/>
          </w:tcPr>
          <w:p w14:paraId="06B0F467">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r w14:paraId="4F20F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vMerge w:val="continue"/>
            <w:vAlign w:val="center"/>
          </w:tcPr>
          <w:p w14:paraId="65474CD7">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2567" w:type="dxa"/>
            <w:vAlign w:val="center"/>
          </w:tcPr>
          <w:p w14:paraId="71109702">
            <w:pPr>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2025.5.16</w:t>
            </w:r>
          </w:p>
        </w:tc>
        <w:tc>
          <w:tcPr>
            <w:tcW w:w="2240" w:type="dxa"/>
            <w:vAlign w:val="center"/>
          </w:tcPr>
          <w:p w14:paraId="414A3828">
            <w:pPr>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0.81842</w:t>
            </w:r>
          </w:p>
        </w:tc>
        <w:tc>
          <w:tcPr>
            <w:tcW w:w="2240" w:type="dxa"/>
            <w:vAlign w:val="center"/>
          </w:tcPr>
          <w:p w14:paraId="566747F7">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bl>
    <w:p w14:paraId="312E3A48">
      <w:pPr>
        <w:snapToGrid w:val="0"/>
        <w:spacing w:before="120" w:beforeLines="5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经计算，可判定监测结果准确，结合监测结果，项目区地下水可达GB/T14848-2017《地下水质量标准》Ⅲ类标准。</w:t>
      </w:r>
    </w:p>
    <w:p w14:paraId="30B9B76D">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237" w:name="_Toc7115"/>
      <w:r>
        <w:rPr>
          <w:rStyle w:val="35"/>
          <w:rFonts w:hint="default" w:ascii="Times New Roman" w:hAnsi="Times New Roman" w:eastAsia="宋体" w:cs="Times New Roman"/>
          <w:color w:val="auto"/>
          <w:sz w:val="24"/>
          <w:szCs w:val="24"/>
          <w:highlight w:val="none"/>
        </w:rPr>
        <w:t>4.3.4声环境质量现状</w:t>
      </w:r>
      <w:bookmarkEnd w:id="237"/>
    </w:p>
    <w:p w14:paraId="07D72AC1">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1、声环境现状调查</w:t>
      </w:r>
    </w:p>
    <w:p w14:paraId="13DA2B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项目位于</w:t>
      </w:r>
      <w:r>
        <w:rPr>
          <w:rFonts w:hint="default" w:ascii="Times New Roman" w:hAnsi="Times New Roman" w:cs="Times New Roman"/>
          <w:bCs/>
          <w:color w:val="auto"/>
          <w:sz w:val="24"/>
          <w:highlight w:val="none"/>
        </w:rPr>
        <w:t>弥勒市新哨镇猴街居委会猴街二组</w:t>
      </w:r>
      <w:r>
        <w:rPr>
          <w:rFonts w:hint="default" w:ascii="Times New Roman" w:hAnsi="Times New Roman" w:cs="Times New Roman"/>
          <w:color w:val="auto"/>
          <w:sz w:val="24"/>
          <w:szCs w:val="24"/>
          <w:highlight w:val="none"/>
        </w:rPr>
        <w:t>，周边分布有工业企业，属于居住、商业、工业混杂区，根据声环境功能区分类，为2类声环境功能区，同时参照《畜禽养殖产地环境评价规范》（HJ 568-2010）“4.4声环境质量评价指标限值”，区域环境噪声执行《声环境质量标准》（GB3096-2008）2类标准。</w:t>
      </w:r>
    </w:p>
    <w:p w14:paraId="4F566FE1">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为了解项目区声环境质量现状，建设单位委托</w:t>
      </w:r>
      <w:r>
        <w:rPr>
          <w:rFonts w:hint="default" w:ascii="Times New Roman" w:hAnsi="Times New Roman" w:cs="Times New Roman"/>
          <w:color w:val="auto"/>
          <w:sz w:val="24"/>
          <w:highlight w:val="none"/>
          <w:lang w:eastAsia="zh-CN"/>
        </w:rPr>
        <w:t>云南鼎祺检测有限公司</w:t>
      </w:r>
      <w:r>
        <w:rPr>
          <w:rFonts w:hint="default" w:ascii="Times New Roman" w:hAnsi="Times New Roman" w:cs="Times New Roman"/>
          <w:bCs/>
          <w:color w:val="auto"/>
          <w:sz w:val="24"/>
          <w:highlight w:val="none"/>
        </w:rPr>
        <w:t>于202</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年</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月</w:t>
      </w:r>
      <w:r>
        <w:rPr>
          <w:rFonts w:hint="default" w:ascii="Times New Roman" w:hAnsi="Times New Roman" w:cs="Times New Roman"/>
          <w:bCs/>
          <w:color w:val="auto"/>
          <w:sz w:val="24"/>
          <w:highlight w:val="none"/>
          <w:lang w:val="en-US" w:eastAsia="zh-CN"/>
        </w:rPr>
        <w:t>14</w:t>
      </w:r>
      <w:r>
        <w:rPr>
          <w:rFonts w:hint="default" w:ascii="Times New Roman" w:hAnsi="Times New Roman" w:cs="Times New Roman"/>
          <w:bCs/>
          <w:color w:val="auto"/>
          <w:sz w:val="24"/>
          <w:highlight w:val="none"/>
        </w:rPr>
        <w:t>日～202</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年</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月</w:t>
      </w:r>
      <w:r>
        <w:rPr>
          <w:rFonts w:hint="default" w:ascii="Times New Roman" w:hAnsi="Times New Roman" w:cs="Times New Roman"/>
          <w:bCs/>
          <w:color w:val="auto"/>
          <w:sz w:val="24"/>
          <w:highlight w:val="none"/>
          <w:lang w:val="en-US" w:eastAsia="zh-CN"/>
        </w:rPr>
        <w:t>15</w:t>
      </w:r>
      <w:r>
        <w:rPr>
          <w:rFonts w:hint="default" w:ascii="Times New Roman" w:hAnsi="Times New Roman" w:cs="Times New Roman"/>
          <w:bCs/>
          <w:color w:val="auto"/>
          <w:sz w:val="24"/>
          <w:highlight w:val="none"/>
        </w:rPr>
        <w:t>日对</w:t>
      </w:r>
      <w:r>
        <w:rPr>
          <w:rFonts w:hint="default" w:ascii="Times New Roman" w:hAnsi="Times New Roman" w:cs="Times New Roman"/>
          <w:color w:val="auto"/>
          <w:sz w:val="24"/>
          <w:highlight w:val="none"/>
        </w:rPr>
        <w:t>项目厂界噪声及周边敏感点声环境质量进行了为期两天的监测。</w:t>
      </w:r>
    </w:p>
    <w:p w14:paraId="09877815">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2、现状监测</w:t>
      </w:r>
    </w:p>
    <w:p w14:paraId="0C7214E6">
      <w:pPr>
        <w:pStyle w:val="48"/>
        <w:spacing w:line="360" w:lineRule="auto"/>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cs="Times New Roman"/>
          <w:b/>
          <w:color w:val="auto"/>
          <w:sz w:val="24"/>
          <w:szCs w:val="24"/>
          <w:highlight w:val="none"/>
        </w:rPr>
        <w:t>（1）</w:t>
      </w:r>
      <w:r>
        <w:rPr>
          <w:rFonts w:hint="default" w:ascii="Times New Roman" w:hAnsi="Times New Roman" w:eastAsia="宋体" w:cs="Times New Roman"/>
          <w:b/>
          <w:color w:val="auto"/>
          <w:sz w:val="24"/>
          <w:szCs w:val="24"/>
          <w:highlight w:val="none"/>
        </w:rPr>
        <w:t>监测方案</w:t>
      </w:r>
    </w:p>
    <w:p w14:paraId="543FFF2B">
      <w:pPr>
        <w:pStyle w:val="48"/>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监测点位：共</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个。N1：项目东侧厂界外1m；N2：项目南侧厂界外1m；N3：项目西侧厂界外1m；N4：项目北侧厂界外1m</w:t>
      </w:r>
      <w:r>
        <w:rPr>
          <w:rFonts w:hint="default" w:ascii="Times New Roman" w:hAnsi="Times New Roman" w:cs="Times New Roman"/>
          <w:color w:val="auto"/>
          <w:sz w:val="24"/>
          <w:szCs w:val="24"/>
        </w:rPr>
        <w:t>，</w:t>
      </w:r>
    </w:p>
    <w:p w14:paraId="0C835791">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监测因子：等效连续A声级L</w:t>
      </w:r>
      <w:r>
        <w:rPr>
          <w:rFonts w:hint="default" w:ascii="Times New Roman" w:hAnsi="Times New Roman" w:cs="Times New Roman"/>
          <w:color w:val="auto"/>
          <w:sz w:val="24"/>
          <w:highlight w:val="none"/>
          <w:vertAlign w:val="subscript"/>
        </w:rPr>
        <w:t>Aeq</w:t>
      </w:r>
      <w:r>
        <w:rPr>
          <w:rFonts w:hint="default" w:ascii="Times New Roman" w:hAnsi="Times New Roman" w:cs="Times New Roman"/>
          <w:color w:val="auto"/>
          <w:sz w:val="24"/>
          <w:highlight w:val="none"/>
        </w:rPr>
        <w:t>。</w:t>
      </w:r>
    </w:p>
    <w:p w14:paraId="033EF95B">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监测频率：每个监测点连续监测2天，昼间和夜间各一次。</w:t>
      </w:r>
    </w:p>
    <w:p w14:paraId="306292BF">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（2）监测结果</w:t>
      </w:r>
    </w:p>
    <w:p w14:paraId="5586669E">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监测结果见表4.</w:t>
      </w:r>
      <w:r>
        <w:rPr>
          <w:rFonts w:hint="default" w:ascii="Times New Roman" w:hAnsi="Times New Roman" w:cs="Times New Roman"/>
          <w:color w:val="auto"/>
          <w:sz w:val="24"/>
          <w:highlight w:val="none"/>
          <w:lang w:val="en-US" w:eastAsia="zh-CN"/>
        </w:rPr>
        <w:t>3-5</w:t>
      </w:r>
      <w:r>
        <w:rPr>
          <w:rFonts w:hint="default" w:ascii="Times New Roman" w:hAnsi="Times New Roman" w:cs="Times New Roman"/>
          <w:color w:val="auto"/>
          <w:sz w:val="24"/>
          <w:highlight w:val="none"/>
        </w:rPr>
        <w:t>。</w:t>
      </w:r>
    </w:p>
    <w:p w14:paraId="7BEBA1A2">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表4.3-</w:t>
      </w:r>
      <w:r>
        <w:rPr>
          <w:rFonts w:hint="default" w:ascii="Times New Roman" w:hAnsi="Times New Roman" w:cs="Times New Roman"/>
          <w:b/>
          <w:color w:val="auto"/>
          <w:szCs w:val="21"/>
          <w:highlight w:val="none"/>
          <w:lang w:val="en-US" w:eastAsia="zh-CN"/>
        </w:rPr>
        <w:t>5</w:t>
      </w:r>
      <w:r>
        <w:rPr>
          <w:rFonts w:hint="default" w:ascii="Times New Roman" w:hAnsi="Times New Roman" w:cs="Times New Roman"/>
          <w:b/>
          <w:color w:val="auto"/>
          <w:szCs w:val="21"/>
          <w:highlight w:val="none"/>
        </w:rPr>
        <w:t xml:space="preserve">  厂界噪声监测结果表   单位：dB(A)</w:t>
      </w:r>
    </w:p>
    <w:tbl>
      <w:tblPr>
        <w:tblStyle w:val="23"/>
        <w:tblW w:w="858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557"/>
        <w:gridCol w:w="1514"/>
        <w:gridCol w:w="1193"/>
        <w:gridCol w:w="1423"/>
        <w:gridCol w:w="1723"/>
        <w:gridCol w:w="1175"/>
      </w:tblGrid>
      <w:tr w14:paraId="582625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456" w:hRule="atLeast"/>
          <w:tblHeader/>
          <w:jc w:val="center"/>
        </w:trPr>
        <w:tc>
          <w:tcPr>
            <w:tcW w:w="1557" w:type="dxa"/>
            <w:vAlign w:val="center"/>
          </w:tcPr>
          <w:p w14:paraId="5E5EA6E6">
            <w:pPr>
              <w:keepNext w:val="0"/>
              <w:keepLines w:val="0"/>
              <w:widowControl/>
              <w:suppressLineNumbers w:val="0"/>
              <w:adjustRightInd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监测地点</w:t>
            </w:r>
          </w:p>
        </w:tc>
        <w:tc>
          <w:tcPr>
            <w:tcW w:w="1514" w:type="dxa"/>
            <w:vAlign w:val="center"/>
          </w:tcPr>
          <w:p w14:paraId="632AF274">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监测日期</w:t>
            </w:r>
          </w:p>
        </w:tc>
        <w:tc>
          <w:tcPr>
            <w:tcW w:w="1193" w:type="dxa"/>
            <w:vAlign w:val="center"/>
          </w:tcPr>
          <w:p w14:paraId="36F89135">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监测时段</w:t>
            </w:r>
          </w:p>
        </w:tc>
        <w:tc>
          <w:tcPr>
            <w:tcW w:w="1423" w:type="dxa"/>
            <w:vAlign w:val="center"/>
          </w:tcPr>
          <w:p w14:paraId="31953B4C">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等效声级</w:t>
            </w:r>
          </w:p>
        </w:tc>
        <w:tc>
          <w:tcPr>
            <w:tcW w:w="1723" w:type="dxa"/>
            <w:vAlign w:val="center"/>
          </w:tcPr>
          <w:p w14:paraId="6D13431E">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标准值</w:t>
            </w:r>
          </w:p>
        </w:tc>
        <w:tc>
          <w:tcPr>
            <w:tcW w:w="1175" w:type="dxa"/>
            <w:vAlign w:val="center"/>
          </w:tcPr>
          <w:p w14:paraId="7BB8C4EB">
            <w:pPr>
              <w:keepNext w:val="0"/>
              <w:keepLines w:val="0"/>
              <w:suppressLineNumbers w:val="0"/>
              <w:adjustRightInd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评价结果</w:t>
            </w:r>
          </w:p>
        </w:tc>
      </w:tr>
      <w:tr w14:paraId="6AD030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256" w:hRule="atLeast"/>
          <w:jc w:val="center"/>
        </w:trPr>
        <w:tc>
          <w:tcPr>
            <w:tcW w:w="1557" w:type="dxa"/>
            <w:vMerge w:val="restart"/>
            <w:vAlign w:val="center"/>
          </w:tcPr>
          <w:p w14:paraId="6028AE6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18"/>
                <w:szCs w:val="18"/>
              </w:rPr>
              <w:t>项目东侧</w:t>
            </w:r>
            <w:r>
              <w:rPr>
                <w:rFonts w:hint="default" w:ascii="Times New Roman" w:hAnsi="Times New Roman" w:cs="Times New Roman"/>
                <w:color w:val="auto"/>
                <w:sz w:val="18"/>
                <w:szCs w:val="18"/>
                <w:lang w:val="en-US" w:eastAsia="zh-CN"/>
              </w:rPr>
              <w:t>场</w:t>
            </w:r>
            <w:r>
              <w:rPr>
                <w:rFonts w:hint="default" w:ascii="Times New Roman" w:hAnsi="Times New Roman" w:cs="Times New Roman"/>
                <w:color w:val="auto"/>
                <w:sz w:val="18"/>
                <w:szCs w:val="18"/>
              </w:rPr>
              <w:t>界外1m</w:t>
            </w:r>
          </w:p>
        </w:tc>
        <w:tc>
          <w:tcPr>
            <w:tcW w:w="1514" w:type="dxa"/>
            <w:vMerge w:val="restart"/>
            <w:vAlign w:val="center"/>
          </w:tcPr>
          <w:p w14:paraId="62953E98">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rPr>
              <w:t>202</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.0</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w:t>
            </w:r>
            <w:r>
              <w:rPr>
                <w:rFonts w:hint="default" w:ascii="Times New Roman" w:hAnsi="Times New Roman" w:cs="Times New Roman"/>
                <w:bCs/>
                <w:color w:val="auto"/>
                <w:sz w:val="18"/>
                <w:szCs w:val="18"/>
                <w:highlight w:val="none"/>
                <w:lang w:val="en-US" w:eastAsia="zh-CN"/>
              </w:rPr>
              <w:t>14</w:t>
            </w:r>
          </w:p>
        </w:tc>
        <w:tc>
          <w:tcPr>
            <w:tcW w:w="1193" w:type="dxa"/>
            <w:vAlign w:val="center"/>
          </w:tcPr>
          <w:p w14:paraId="03641097">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昼间</w:t>
            </w:r>
          </w:p>
        </w:tc>
        <w:tc>
          <w:tcPr>
            <w:tcW w:w="1423" w:type="dxa"/>
            <w:vAlign w:val="center"/>
          </w:tcPr>
          <w:p w14:paraId="4CBB2CC5">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宋体" w:cs="Times New Roman"/>
                <w:color w:val="auto"/>
                <w:kern w:val="2"/>
                <w:sz w:val="18"/>
                <w:szCs w:val="18"/>
                <w:lang w:val="en-US" w:eastAsia="zh-CN" w:bidi="ar-SA"/>
              </w:rPr>
              <w:t>49</w:t>
            </w:r>
          </w:p>
        </w:tc>
        <w:tc>
          <w:tcPr>
            <w:tcW w:w="1723" w:type="dxa"/>
            <w:vMerge w:val="restart"/>
            <w:tcBorders>
              <w:top w:val="single" w:color="auto" w:sz="4" w:space="0"/>
            </w:tcBorders>
            <w:vAlign w:val="center"/>
          </w:tcPr>
          <w:p w14:paraId="271D1E39">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18"/>
                <w:szCs w:val="18"/>
                <w:highlight w:val="none"/>
              </w:rPr>
              <w:t>昼间≤60dB(A)，夜间≤50dB(A)</w:t>
            </w:r>
          </w:p>
        </w:tc>
        <w:tc>
          <w:tcPr>
            <w:tcW w:w="1175" w:type="dxa"/>
            <w:vAlign w:val="center"/>
          </w:tcPr>
          <w:p w14:paraId="5989ECDE">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达标</w:t>
            </w:r>
          </w:p>
        </w:tc>
      </w:tr>
      <w:tr w14:paraId="2464BA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256" w:hRule="atLeast"/>
          <w:jc w:val="center"/>
        </w:trPr>
        <w:tc>
          <w:tcPr>
            <w:tcW w:w="1557" w:type="dxa"/>
            <w:vMerge w:val="continue"/>
            <w:vAlign w:val="center"/>
          </w:tcPr>
          <w:p w14:paraId="05C77585">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514" w:type="dxa"/>
            <w:vMerge w:val="continue"/>
            <w:vAlign w:val="center"/>
          </w:tcPr>
          <w:p w14:paraId="62923870">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93" w:type="dxa"/>
            <w:vAlign w:val="center"/>
          </w:tcPr>
          <w:p w14:paraId="2428F32A">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夜间</w:t>
            </w:r>
          </w:p>
        </w:tc>
        <w:tc>
          <w:tcPr>
            <w:tcW w:w="1423" w:type="dxa"/>
            <w:vAlign w:val="center"/>
          </w:tcPr>
          <w:p w14:paraId="72A48F45">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宋体" w:cs="Times New Roman"/>
                <w:color w:val="auto"/>
                <w:kern w:val="2"/>
                <w:sz w:val="18"/>
                <w:szCs w:val="18"/>
                <w:lang w:val="en-US" w:eastAsia="zh-CN" w:bidi="ar-SA"/>
              </w:rPr>
              <w:t>43</w:t>
            </w:r>
          </w:p>
        </w:tc>
        <w:tc>
          <w:tcPr>
            <w:tcW w:w="1723" w:type="dxa"/>
            <w:vMerge w:val="continue"/>
            <w:tcBorders>
              <w:top w:val="single" w:color="auto" w:sz="4" w:space="0"/>
            </w:tcBorders>
            <w:vAlign w:val="center"/>
          </w:tcPr>
          <w:p w14:paraId="61F918DA">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175" w:type="dxa"/>
            <w:vAlign w:val="center"/>
          </w:tcPr>
          <w:p w14:paraId="65416C7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达标</w:t>
            </w:r>
          </w:p>
        </w:tc>
      </w:tr>
      <w:tr w14:paraId="06C208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137" w:hRule="atLeast"/>
          <w:jc w:val="center"/>
        </w:trPr>
        <w:tc>
          <w:tcPr>
            <w:tcW w:w="1557" w:type="dxa"/>
            <w:vMerge w:val="continue"/>
            <w:vAlign w:val="center"/>
          </w:tcPr>
          <w:p w14:paraId="1A2038A3">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514" w:type="dxa"/>
            <w:vMerge w:val="restart"/>
            <w:vAlign w:val="center"/>
          </w:tcPr>
          <w:p w14:paraId="46C32744">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202</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.0</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w:t>
            </w:r>
            <w:r>
              <w:rPr>
                <w:rFonts w:hint="default" w:ascii="Times New Roman" w:hAnsi="Times New Roman" w:cs="Times New Roman"/>
                <w:bCs/>
                <w:color w:val="auto"/>
                <w:sz w:val="18"/>
                <w:szCs w:val="18"/>
                <w:highlight w:val="none"/>
                <w:lang w:val="en-US" w:eastAsia="zh-CN"/>
              </w:rPr>
              <w:t>15</w:t>
            </w:r>
          </w:p>
        </w:tc>
        <w:tc>
          <w:tcPr>
            <w:tcW w:w="1193" w:type="dxa"/>
            <w:vAlign w:val="center"/>
          </w:tcPr>
          <w:p w14:paraId="59EA5510">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昼间</w:t>
            </w:r>
          </w:p>
        </w:tc>
        <w:tc>
          <w:tcPr>
            <w:tcW w:w="1423" w:type="dxa"/>
            <w:vAlign w:val="center"/>
          </w:tcPr>
          <w:p w14:paraId="6570D7A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宋体" w:cs="Times New Roman"/>
                <w:color w:val="auto"/>
                <w:kern w:val="2"/>
                <w:sz w:val="18"/>
                <w:szCs w:val="18"/>
                <w:lang w:val="en-US" w:eastAsia="zh-CN" w:bidi="ar-SA"/>
              </w:rPr>
              <w:t>50</w:t>
            </w:r>
          </w:p>
        </w:tc>
        <w:tc>
          <w:tcPr>
            <w:tcW w:w="1723" w:type="dxa"/>
            <w:vMerge w:val="continue"/>
            <w:vAlign w:val="center"/>
          </w:tcPr>
          <w:p w14:paraId="669F03F4">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75" w:type="dxa"/>
            <w:vAlign w:val="center"/>
          </w:tcPr>
          <w:p w14:paraId="55147E5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达标</w:t>
            </w:r>
          </w:p>
        </w:tc>
      </w:tr>
      <w:tr w14:paraId="338469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137" w:hRule="atLeast"/>
          <w:jc w:val="center"/>
        </w:trPr>
        <w:tc>
          <w:tcPr>
            <w:tcW w:w="1557" w:type="dxa"/>
            <w:vMerge w:val="continue"/>
            <w:vAlign w:val="center"/>
          </w:tcPr>
          <w:p w14:paraId="1E6E65AF">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514" w:type="dxa"/>
            <w:vMerge w:val="continue"/>
            <w:vAlign w:val="center"/>
          </w:tcPr>
          <w:p w14:paraId="450F9826">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93" w:type="dxa"/>
            <w:vAlign w:val="center"/>
          </w:tcPr>
          <w:p w14:paraId="05CD7617">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夜间</w:t>
            </w:r>
          </w:p>
        </w:tc>
        <w:tc>
          <w:tcPr>
            <w:tcW w:w="1423" w:type="dxa"/>
            <w:vAlign w:val="center"/>
          </w:tcPr>
          <w:p w14:paraId="025181DF">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宋体" w:cs="Times New Roman"/>
                <w:color w:val="auto"/>
                <w:sz w:val="18"/>
                <w:szCs w:val="18"/>
                <w:lang w:val="en-US" w:eastAsia="zh-CN"/>
              </w:rPr>
              <w:t>41</w:t>
            </w:r>
          </w:p>
        </w:tc>
        <w:tc>
          <w:tcPr>
            <w:tcW w:w="1723" w:type="dxa"/>
            <w:vMerge w:val="continue"/>
            <w:vAlign w:val="center"/>
          </w:tcPr>
          <w:p w14:paraId="7157758C">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75" w:type="dxa"/>
            <w:vAlign w:val="center"/>
          </w:tcPr>
          <w:p w14:paraId="7A0A8AE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达标</w:t>
            </w:r>
          </w:p>
        </w:tc>
      </w:tr>
      <w:tr w14:paraId="48826B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169" w:hRule="atLeast"/>
          <w:jc w:val="center"/>
        </w:trPr>
        <w:tc>
          <w:tcPr>
            <w:tcW w:w="1557" w:type="dxa"/>
            <w:vMerge w:val="restart"/>
            <w:vAlign w:val="center"/>
          </w:tcPr>
          <w:p w14:paraId="547D467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18"/>
                <w:szCs w:val="18"/>
              </w:rPr>
              <w:t>项目南侧</w:t>
            </w:r>
            <w:r>
              <w:rPr>
                <w:rFonts w:hint="default" w:ascii="Times New Roman" w:hAnsi="Times New Roman" w:cs="Times New Roman"/>
                <w:color w:val="auto"/>
                <w:sz w:val="18"/>
                <w:szCs w:val="18"/>
                <w:lang w:val="en-US" w:eastAsia="zh-CN"/>
              </w:rPr>
              <w:t>场</w:t>
            </w:r>
            <w:r>
              <w:rPr>
                <w:rFonts w:hint="default" w:ascii="Times New Roman" w:hAnsi="Times New Roman" w:cs="Times New Roman"/>
                <w:color w:val="auto"/>
                <w:sz w:val="18"/>
                <w:szCs w:val="18"/>
              </w:rPr>
              <w:t>界外1m</w:t>
            </w:r>
          </w:p>
        </w:tc>
        <w:tc>
          <w:tcPr>
            <w:tcW w:w="1514" w:type="dxa"/>
            <w:vMerge w:val="restart"/>
            <w:vAlign w:val="center"/>
          </w:tcPr>
          <w:p w14:paraId="6B28F247">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202</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.0</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w:t>
            </w:r>
            <w:r>
              <w:rPr>
                <w:rFonts w:hint="default" w:ascii="Times New Roman" w:hAnsi="Times New Roman" w:cs="Times New Roman"/>
                <w:bCs/>
                <w:color w:val="auto"/>
                <w:sz w:val="18"/>
                <w:szCs w:val="18"/>
                <w:highlight w:val="none"/>
                <w:lang w:val="en-US" w:eastAsia="zh-CN"/>
              </w:rPr>
              <w:t>14</w:t>
            </w:r>
          </w:p>
        </w:tc>
        <w:tc>
          <w:tcPr>
            <w:tcW w:w="1193" w:type="dxa"/>
            <w:vAlign w:val="center"/>
          </w:tcPr>
          <w:p w14:paraId="1502212A">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昼间</w:t>
            </w:r>
          </w:p>
        </w:tc>
        <w:tc>
          <w:tcPr>
            <w:tcW w:w="1423" w:type="dxa"/>
            <w:vAlign w:val="center"/>
          </w:tcPr>
          <w:p w14:paraId="7DC85BBE">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48</w:t>
            </w:r>
          </w:p>
        </w:tc>
        <w:tc>
          <w:tcPr>
            <w:tcW w:w="1723" w:type="dxa"/>
            <w:vMerge w:val="continue"/>
            <w:vAlign w:val="center"/>
          </w:tcPr>
          <w:p w14:paraId="353BD80F">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75" w:type="dxa"/>
            <w:vAlign w:val="center"/>
          </w:tcPr>
          <w:p w14:paraId="3B0A455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达标</w:t>
            </w:r>
          </w:p>
        </w:tc>
      </w:tr>
      <w:tr w14:paraId="029316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169" w:hRule="atLeast"/>
          <w:jc w:val="center"/>
        </w:trPr>
        <w:tc>
          <w:tcPr>
            <w:tcW w:w="1557" w:type="dxa"/>
            <w:vMerge w:val="continue"/>
            <w:vAlign w:val="center"/>
          </w:tcPr>
          <w:p w14:paraId="44090051">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514" w:type="dxa"/>
            <w:vMerge w:val="continue"/>
            <w:vAlign w:val="center"/>
          </w:tcPr>
          <w:p w14:paraId="13B5BD2B">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93" w:type="dxa"/>
            <w:vAlign w:val="center"/>
          </w:tcPr>
          <w:p w14:paraId="26668799">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夜间</w:t>
            </w:r>
          </w:p>
        </w:tc>
        <w:tc>
          <w:tcPr>
            <w:tcW w:w="1423" w:type="dxa"/>
            <w:vAlign w:val="center"/>
          </w:tcPr>
          <w:p w14:paraId="5116364F">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42</w:t>
            </w:r>
          </w:p>
        </w:tc>
        <w:tc>
          <w:tcPr>
            <w:tcW w:w="1723" w:type="dxa"/>
            <w:vMerge w:val="continue"/>
            <w:vAlign w:val="center"/>
          </w:tcPr>
          <w:p w14:paraId="1021BA17">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75" w:type="dxa"/>
            <w:vAlign w:val="center"/>
          </w:tcPr>
          <w:p w14:paraId="132ADDD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达标</w:t>
            </w:r>
          </w:p>
        </w:tc>
      </w:tr>
      <w:tr w14:paraId="50FD2A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169" w:hRule="atLeast"/>
          <w:jc w:val="center"/>
        </w:trPr>
        <w:tc>
          <w:tcPr>
            <w:tcW w:w="1557" w:type="dxa"/>
            <w:vMerge w:val="continue"/>
            <w:vAlign w:val="center"/>
          </w:tcPr>
          <w:p w14:paraId="271E539B">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514" w:type="dxa"/>
            <w:vMerge w:val="restart"/>
            <w:vAlign w:val="center"/>
          </w:tcPr>
          <w:p w14:paraId="423F7A90">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202</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.0</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w:t>
            </w:r>
            <w:r>
              <w:rPr>
                <w:rFonts w:hint="default" w:ascii="Times New Roman" w:hAnsi="Times New Roman" w:cs="Times New Roman"/>
                <w:bCs/>
                <w:color w:val="auto"/>
                <w:sz w:val="18"/>
                <w:szCs w:val="18"/>
                <w:highlight w:val="none"/>
                <w:lang w:val="en-US" w:eastAsia="zh-CN"/>
              </w:rPr>
              <w:t>15</w:t>
            </w:r>
          </w:p>
        </w:tc>
        <w:tc>
          <w:tcPr>
            <w:tcW w:w="1193" w:type="dxa"/>
            <w:vAlign w:val="center"/>
          </w:tcPr>
          <w:p w14:paraId="465DEDC3">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昼间</w:t>
            </w:r>
          </w:p>
        </w:tc>
        <w:tc>
          <w:tcPr>
            <w:tcW w:w="1423" w:type="dxa"/>
            <w:vAlign w:val="center"/>
          </w:tcPr>
          <w:p w14:paraId="4D58D062">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51</w:t>
            </w:r>
          </w:p>
        </w:tc>
        <w:tc>
          <w:tcPr>
            <w:tcW w:w="1723" w:type="dxa"/>
            <w:vMerge w:val="continue"/>
            <w:vAlign w:val="center"/>
          </w:tcPr>
          <w:p w14:paraId="62F4B69E">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75" w:type="dxa"/>
            <w:vAlign w:val="center"/>
          </w:tcPr>
          <w:p w14:paraId="54B71D5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达标</w:t>
            </w:r>
          </w:p>
        </w:tc>
      </w:tr>
      <w:tr w14:paraId="15B6FA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69" w:hRule="atLeast"/>
          <w:jc w:val="center"/>
        </w:trPr>
        <w:tc>
          <w:tcPr>
            <w:tcW w:w="1557" w:type="dxa"/>
            <w:vMerge w:val="continue"/>
            <w:vAlign w:val="center"/>
          </w:tcPr>
          <w:p w14:paraId="7FCBDFCA">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514" w:type="dxa"/>
            <w:vMerge w:val="continue"/>
            <w:vAlign w:val="center"/>
          </w:tcPr>
          <w:p w14:paraId="12DC46FA">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93" w:type="dxa"/>
            <w:vAlign w:val="center"/>
          </w:tcPr>
          <w:p w14:paraId="0B08CE72">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夜间</w:t>
            </w:r>
          </w:p>
        </w:tc>
        <w:tc>
          <w:tcPr>
            <w:tcW w:w="1423" w:type="dxa"/>
            <w:vAlign w:val="center"/>
          </w:tcPr>
          <w:p w14:paraId="3950F193">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41</w:t>
            </w:r>
          </w:p>
        </w:tc>
        <w:tc>
          <w:tcPr>
            <w:tcW w:w="1723" w:type="dxa"/>
            <w:vMerge w:val="continue"/>
            <w:vAlign w:val="center"/>
          </w:tcPr>
          <w:p w14:paraId="73037397">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75" w:type="dxa"/>
            <w:vAlign w:val="center"/>
          </w:tcPr>
          <w:p w14:paraId="02AE119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达标</w:t>
            </w:r>
          </w:p>
        </w:tc>
      </w:tr>
      <w:tr w14:paraId="32654B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69" w:hRule="atLeast"/>
          <w:jc w:val="center"/>
        </w:trPr>
        <w:tc>
          <w:tcPr>
            <w:tcW w:w="1557" w:type="dxa"/>
            <w:vMerge w:val="restart"/>
            <w:vAlign w:val="center"/>
          </w:tcPr>
          <w:p w14:paraId="395837A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18"/>
                <w:szCs w:val="18"/>
              </w:rPr>
              <w:t>项目西侧</w:t>
            </w:r>
            <w:r>
              <w:rPr>
                <w:rFonts w:hint="default" w:ascii="Times New Roman" w:hAnsi="Times New Roman" w:cs="Times New Roman"/>
                <w:color w:val="auto"/>
                <w:sz w:val="18"/>
                <w:szCs w:val="18"/>
                <w:lang w:val="en-US" w:eastAsia="zh-CN"/>
              </w:rPr>
              <w:t>场</w:t>
            </w:r>
            <w:r>
              <w:rPr>
                <w:rFonts w:hint="default" w:ascii="Times New Roman" w:hAnsi="Times New Roman" w:cs="Times New Roman"/>
                <w:color w:val="auto"/>
                <w:sz w:val="18"/>
                <w:szCs w:val="18"/>
              </w:rPr>
              <w:t>界外1m</w:t>
            </w:r>
          </w:p>
        </w:tc>
        <w:tc>
          <w:tcPr>
            <w:tcW w:w="1514" w:type="dxa"/>
            <w:vMerge w:val="restart"/>
            <w:vAlign w:val="center"/>
          </w:tcPr>
          <w:p w14:paraId="770F0729">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202</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.0</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w:t>
            </w:r>
            <w:r>
              <w:rPr>
                <w:rFonts w:hint="default" w:ascii="Times New Roman" w:hAnsi="Times New Roman" w:cs="Times New Roman"/>
                <w:bCs/>
                <w:color w:val="auto"/>
                <w:sz w:val="18"/>
                <w:szCs w:val="18"/>
                <w:highlight w:val="none"/>
                <w:lang w:val="en-US" w:eastAsia="zh-CN"/>
              </w:rPr>
              <w:t>14</w:t>
            </w:r>
          </w:p>
        </w:tc>
        <w:tc>
          <w:tcPr>
            <w:tcW w:w="1193" w:type="dxa"/>
            <w:vAlign w:val="center"/>
          </w:tcPr>
          <w:p w14:paraId="61FCD13A">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昼间</w:t>
            </w:r>
          </w:p>
        </w:tc>
        <w:tc>
          <w:tcPr>
            <w:tcW w:w="1423" w:type="dxa"/>
            <w:vAlign w:val="center"/>
          </w:tcPr>
          <w:p w14:paraId="648E088A">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50</w:t>
            </w:r>
          </w:p>
        </w:tc>
        <w:tc>
          <w:tcPr>
            <w:tcW w:w="1723" w:type="dxa"/>
            <w:vMerge w:val="continue"/>
            <w:vAlign w:val="center"/>
          </w:tcPr>
          <w:p w14:paraId="6E1C20DD">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75" w:type="dxa"/>
            <w:vAlign w:val="center"/>
          </w:tcPr>
          <w:p w14:paraId="6FF753D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达标</w:t>
            </w:r>
          </w:p>
        </w:tc>
      </w:tr>
      <w:tr w14:paraId="1E624E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69" w:hRule="atLeast"/>
          <w:jc w:val="center"/>
        </w:trPr>
        <w:tc>
          <w:tcPr>
            <w:tcW w:w="1557" w:type="dxa"/>
            <w:vMerge w:val="continue"/>
            <w:vAlign w:val="center"/>
          </w:tcPr>
          <w:p w14:paraId="08721DCB">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514" w:type="dxa"/>
            <w:vMerge w:val="continue"/>
            <w:vAlign w:val="center"/>
          </w:tcPr>
          <w:p w14:paraId="5EBDA0F5">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93" w:type="dxa"/>
            <w:vAlign w:val="center"/>
          </w:tcPr>
          <w:p w14:paraId="30C1E275">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夜间</w:t>
            </w:r>
          </w:p>
        </w:tc>
        <w:tc>
          <w:tcPr>
            <w:tcW w:w="1423" w:type="dxa"/>
            <w:vAlign w:val="center"/>
          </w:tcPr>
          <w:p w14:paraId="65EEDA93">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44</w:t>
            </w:r>
          </w:p>
        </w:tc>
        <w:tc>
          <w:tcPr>
            <w:tcW w:w="1723" w:type="dxa"/>
            <w:vMerge w:val="continue"/>
            <w:vAlign w:val="center"/>
          </w:tcPr>
          <w:p w14:paraId="38B90674">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75" w:type="dxa"/>
            <w:vAlign w:val="center"/>
          </w:tcPr>
          <w:p w14:paraId="6CF3613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达标</w:t>
            </w:r>
          </w:p>
        </w:tc>
      </w:tr>
      <w:tr w14:paraId="586824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69" w:hRule="atLeast"/>
          <w:jc w:val="center"/>
        </w:trPr>
        <w:tc>
          <w:tcPr>
            <w:tcW w:w="1557" w:type="dxa"/>
            <w:vMerge w:val="continue"/>
            <w:vAlign w:val="center"/>
          </w:tcPr>
          <w:p w14:paraId="79A82F5E">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514" w:type="dxa"/>
            <w:vMerge w:val="restart"/>
            <w:vAlign w:val="center"/>
          </w:tcPr>
          <w:p w14:paraId="6BB63305">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202</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.0</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w:t>
            </w:r>
            <w:r>
              <w:rPr>
                <w:rFonts w:hint="default" w:ascii="Times New Roman" w:hAnsi="Times New Roman" w:cs="Times New Roman"/>
                <w:bCs/>
                <w:color w:val="auto"/>
                <w:sz w:val="18"/>
                <w:szCs w:val="18"/>
                <w:highlight w:val="none"/>
                <w:lang w:val="en-US" w:eastAsia="zh-CN"/>
              </w:rPr>
              <w:t>15</w:t>
            </w:r>
          </w:p>
        </w:tc>
        <w:tc>
          <w:tcPr>
            <w:tcW w:w="1193" w:type="dxa"/>
            <w:vAlign w:val="center"/>
          </w:tcPr>
          <w:p w14:paraId="73CC7533">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昼间</w:t>
            </w:r>
          </w:p>
        </w:tc>
        <w:tc>
          <w:tcPr>
            <w:tcW w:w="1423" w:type="dxa"/>
            <w:vAlign w:val="center"/>
          </w:tcPr>
          <w:p w14:paraId="46798961">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49</w:t>
            </w:r>
          </w:p>
        </w:tc>
        <w:tc>
          <w:tcPr>
            <w:tcW w:w="1723" w:type="dxa"/>
            <w:vMerge w:val="continue"/>
            <w:vAlign w:val="center"/>
          </w:tcPr>
          <w:p w14:paraId="1E099312">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75" w:type="dxa"/>
            <w:vAlign w:val="center"/>
          </w:tcPr>
          <w:p w14:paraId="247E10E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达标</w:t>
            </w:r>
          </w:p>
        </w:tc>
      </w:tr>
      <w:tr w14:paraId="54C211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69" w:hRule="atLeast"/>
          <w:jc w:val="center"/>
        </w:trPr>
        <w:tc>
          <w:tcPr>
            <w:tcW w:w="1557" w:type="dxa"/>
            <w:vMerge w:val="continue"/>
            <w:vAlign w:val="center"/>
          </w:tcPr>
          <w:p w14:paraId="47FC6CD0">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514" w:type="dxa"/>
            <w:vMerge w:val="continue"/>
            <w:vAlign w:val="center"/>
          </w:tcPr>
          <w:p w14:paraId="782A6229">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93" w:type="dxa"/>
            <w:vAlign w:val="center"/>
          </w:tcPr>
          <w:p w14:paraId="658B0221">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夜间</w:t>
            </w:r>
          </w:p>
        </w:tc>
        <w:tc>
          <w:tcPr>
            <w:tcW w:w="1423" w:type="dxa"/>
            <w:vAlign w:val="center"/>
          </w:tcPr>
          <w:p w14:paraId="64E247AB">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40</w:t>
            </w:r>
          </w:p>
        </w:tc>
        <w:tc>
          <w:tcPr>
            <w:tcW w:w="1723" w:type="dxa"/>
            <w:vMerge w:val="continue"/>
            <w:vAlign w:val="center"/>
          </w:tcPr>
          <w:p w14:paraId="38E8653B">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75" w:type="dxa"/>
            <w:vAlign w:val="center"/>
          </w:tcPr>
          <w:p w14:paraId="6153CA2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达标</w:t>
            </w:r>
          </w:p>
        </w:tc>
      </w:tr>
      <w:tr w14:paraId="4B4268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69" w:hRule="atLeast"/>
          <w:jc w:val="center"/>
        </w:trPr>
        <w:tc>
          <w:tcPr>
            <w:tcW w:w="1557" w:type="dxa"/>
            <w:vMerge w:val="restart"/>
            <w:vAlign w:val="center"/>
          </w:tcPr>
          <w:p w14:paraId="28F9795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18"/>
                <w:szCs w:val="18"/>
              </w:rPr>
              <w:t>项目北侧</w:t>
            </w:r>
            <w:r>
              <w:rPr>
                <w:rFonts w:hint="default" w:ascii="Times New Roman" w:hAnsi="Times New Roman" w:cs="Times New Roman"/>
                <w:color w:val="auto"/>
                <w:sz w:val="18"/>
                <w:szCs w:val="18"/>
                <w:lang w:val="en-US" w:eastAsia="zh-CN"/>
              </w:rPr>
              <w:t>场</w:t>
            </w:r>
            <w:r>
              <w:rPr>
                <w:rFonts w:hint="default" w:ascii="Times New Roman" w:hAnsi="Times New Roman" w:cs="Times New Roman"/>
                <w:color w:val="auto"/>
                <w:sz w:val="18"/>
                <w:szCs w:val="18"/>
              </w:rPr>
              <w:t>界外1m</w:t>
            </w:r>
          </w:p>
        </w:tc>
        <w:tc>
          <w:tcPr>
            <w:tcW w:w="1514" w:type="dxa"/>
            <w:vMerge w:val="restart"/>
            <w:vAlign w:val="center"/>
          </w:tcPr>
          <w:p w14:paraId="54789CD0">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202</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.0</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w:t>
            </w:r>
            <w:r>
              <w:rPr>
                <w:rFonts w:hint="default" w:ascii="Times New Roman" w:hAnsi="Times New Roman" w:cs="Times New Roman"/>
                <w:bCs/>
                <w:color w:val="auto"/>
                <w:sz w:val="18"/>
                <w:szCs w:val="18"/>
                <w:highlight w:val="none"/>
                <w:lang w:val="en-US" w:eastAsia="zh-CN"/>
              </w:rPr>
              <w:t>14</w:t>
            </w:r>
          </w:p>
        </w:tc>
        <w:tc>
          <w:tcPr>
            <w:tcW w:w="1193" w:type="dxa"/>
            <w:vAlign w:val="center"/>
          </w:tcPr>
          <w:p w14:paraId="3C4857A1">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昼间</w:t>
            </w:r>
          </w:p>
        </w:tc>
        <w:tc>
          <w:tcPr>
            <w:tcW w:w="1423" w:type="dxa"/>
            <w:vAlign w:val="center"/>
          </w:tcPr>
          <w:p w14:paraId="5DC3E9AC">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49</w:t>
            </w:r>
          </w:p>
        </w:tc>
        <w:tc>
          <w:tcPr>
            <w:tcW w:w="1723" w:type="dxa"/>
            <w:vMerge w:val="continue"/>
            <w:vAlign w:val="center"/>
          </w:tcPr>
          <w:p w14:paraId="6DCC39D6">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75" w:type="dxa"/>
            <w:vAlign w:val="center"/>
          </w:tcPr>
          <w:p w14:paraId="300C4A7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达标</w:t>
            </w:r>
          </w:p>
        </w:tc>
      </w:tr>
      <w:tr w14:paraId="672FDA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69" w:hRule="atLeast"/>
          <w:jc w:val="center"/>
        </w:trPr>
        <w:tc>
          <w:tcPr>
            <w:tcW w:w="1557" w:type="dxa"/>
            <w:vMerge w:val="continue"/>
            <w:vAlign w:val="center"/>
          </w:tcPr>
          <w:p w14:paraId="2E5679E1">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514" w:type="dxa"/>
            <w:vMerge w:val="continue"/>
            <w:vAlign w:val="center"/>
          </w:tcPr>
          <w:p w14:paraId="7CA3BC4F">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93" w:type="dxa"/>
            <w:vAlign w:val="center"/>
          </w:tcPr>
          <w:p w14:paraId="408E3869">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夜间</w:t>
            </w:r>
          </w:p>
        </w:tc>
        <w:tc>
          <w:tcPr>
            <w:tcW w:w="1423" w:type="dxa"/>
            <w:vAlign w:val="center"/>
          </w:tcPr>
          <w:p w14:paraId="3B3F60AD">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40</w:t>
            </w:r>
          </w:p>
        </w:tc>
        <w:tc>
          <w:tcPr>
            <w:tcW w:w="1723" w:type="dxa"/>
            <w:vMerge w:val="continue"/>
            <w:vAlign w:val="center"/>
          </w:tcPr>
          <w:p w14:paraId="352A9A24">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75" w:type="dxa"/>
            <w:vAlign w:val="center"/>
          </w:tcPr>
          <w:p w14:paraId="5ECF705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达标</w:t>
            </w:r>
          </w:p>
        </w:tc>
      </w:tr>
      <w:tr w14:paraId="1B118C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69" w:hRule="atLeast"/>
          <w:jc w:val="center"/>
        </w:trPr>
        <w:tc>
          <w:tcPr>
            <w:tcW w:w="1557" w:type="dxa"/>
            <w:vMerge w:val="continue"/>
            <w:vAlign w:val="center"/>
          </w:tcPr>
          <w:p w14:paraId="7F3C0591">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514" w:type="dxa"/>
            <w:vMerge w:val="restart"/>
            <w:vAlign w:val="center"/>
          </w:tcPr>
          <w:p w14:paraId="6CD33607">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202</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.0</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w:t>
            </w:r>
            <w:r>
              <w:rPr>
                <w:rFonts w:hint="default" w:ascii="Times New Roman" w:hAnsi="Times New Roman" w:cs="Times New Roman"/>
                <w:bCs/>
                <w:color w:val="auto"/>
                <w:sz w:val="18"/>
                <w:szCs w:val="18"/>
                <w:highlight w:val="none"/>
                <w:lang w:val="en-US" w:eastAsia="zh-CN"/>
              </w:rPr>
              <w:t>15</w:t>
            </w:r>
          </w:p>
        </w:tc>
        <w:tc>
          <w:tcPr>
            <w:tcW w:w="1193" w:type="dxa"/>
            <w:vAlign w:val="center"/>
          </w:tcPr>
          <w:p w14:paraId="6BD3238F">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昼间</w:t>
            </w:r>
          </w:p>
        </w:tc>
        <w:tc>
          <w:tcPr>
            <w:tcW w:w="1423" w:type="dxa"/>
            <w:vAlign w:val="center"/>
          </w:tcPr>
          <w:p w14:paraId="40F03887">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50</w:t>
            </w:r>
          </w:p>
        </w:tc>
        <w:tc>
          <w:tcPr>
            <w:tcW w:w="1723" w:type="dxa"/>
            <w:vMerge w:val="continue"/>
            <w:vAlign w:val="center"/>
          </w:tcPr>
          <w:p w14:paraId="4BAD8C10">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75" w:type="dxa"/>
            <w:vAlign w:val="center"/>
          </w:tcPr>
          <w:p w14:paraId="6465C22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达标</w:t>
            </w:r>
          </w:p>
        </w:tc>
      </w:tr>
      <w:tr w14:paraId="5CAA4C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69" w:hRule="atLeast"/>
          <w:jc w:val="center"/>
        </w:trPr>
        <w:tc>
          <w:tcPr>
            <w:tcW w:w="1557" w:type="dxa"/>
            <w:vMerge w:val="continue"/>
            <w:vAlign w:val="center"/>
          </w:tcPr>
          <w:p w14:paraId="0A3C2714">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514" w:type="dxa"/>
            <w:vMerge w:val="continue"/>
            <w:vAlign w:val="center"/>
          </w:tcPr>
          <w:p w14:paraId="5B3DD62C">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93" w:type="dxa"/>
            <w:vAlign w:val="center"/>
          </w:tcPr>
          <w:p w14:paraId="7C3C91B4">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夜间</w:t>
            </w:r>
          </w:p>
        </w:tc>
        <w:tc>
          <w:tcPr>
            <w:tcW w:w="1423" w:type="dxa"/>
            <w:vAlign w:val="center"/>
          </w:tcPr>
          <w:p w14:paraId="093AC868">
            <w:pPr>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42</w:t>
            </w:r>
          </w:p>
        </w:tc>
        <w:tc>
          <w:tcPr>
            <w:tcW w:w="1723" w:type="dxa"/>
            <w:vMerge w:val="continue"/>
            <w:vAlign w:val="center"/>
          </w:tcPr>
          <w:p w14:paraId="1BF3A419">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175" w:type="dxa"/>
            <w:vAlign w:val="center"/>
          </w:tcPr>
          <w:p w14:paraId="0A347E0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达标</w:t>
            </w:r>
          </w:p>
        </w:tc>
      </w:tr>
    </w:tbl>
    <w:p w14:paraId="184A1EF4">
      <w:pPr>
        <w:adjustRightInd w:val="0"/>
        <w:snapToGrid w:val="0"/>
        <w:spacing w:before="156" w:beforeLines="50"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3、声环境质量现状评价</w:t>
      </w:r>
    </w:p>
    <w:p w14:paraId="2DBFB2EE">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根据上表监测结果可知，项目</w:t>
      </w:r>
      <w:r>
        <w:rPr>
          <w:rFonts w:hint="default" w:ascii="Times New Roman" w:hAnsi="Times New Roman" w:cs="Times New Roman"/>
          <w:color w:val="auto"/>
          <w:kern w:val="0"/>
          <w:sz w:val="24"/>
          <w:highlight w:val="none"/>
          <w:lang w:val="en-US" w:eastAsia="zh-CN"/>
        </w:rPr>
        <w:t>区</w:t>
      </w:r>
      <w:r>
        <w:rPr>
          <w:rFonts w:hint="default" w:ascii="Times New Roman" w:hAnsi="Times New Roman" w:cs="Times New Roman"/>
          <w:color w:val="auto"/>
          <w:kern w:val="0"/>
          <w:sz w:val="24"/>
          <w:highlight w:val="none"/>
        </w:rPr>
        <w:t>声环境质量昼间、夜间均达到《声环境质量标准》（GB3096-2008）2类标准要求。</w:t>
      </w:r>
    </w:p>
    <w:p w14:paraId="52D90CE5">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238" w:name="_Toc32641"/>
      <w:r>
        <w:rPr>
          <w:rStyle w:val="35"/>
          <w:rFonts w:hint="default" w:ascii="Times New Roman" w:hAnsi="Times New Roman" w:eastAsia="宋体" w:cs="Times New Roman"/>
          <w:color w:val="auto"/>
          <w:sz w:val="24"/>
          <w:szCs w:val="24"/>
          <w:highlight w:val="none"/>
        </w:rPr>
        <w:t>4.3.5生态环境质量现状</w:t>
      </w:r>
      <w:bookmarkEnd w:id="238"/>
    </w:p>
    <w:p w14:paraId="69047200">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为掌握评价区生态环境质量状况，调查组进行了生态现状调查，其中植被调查</w:t>
      </w:r>
      <w:r>
        <w:rPr>
          <w:rFonts w:hint="default" w:ascii="Times New Roman" w:hAnsi="Times New Roman" w:cs="Times New Roman"/>
          <w:color w:val="auto"/>
          <w:sz w:val="24"/>
          <w:highlight w:val="none"/>
          <w:lang w:eastAsia="zh-CN"/>
        </w:rPr>
        <w:t>以</w:t>
      </w:r>
      <w:r>
        <w:rPr>
          <w:rFonts w:hint="default" w:ascii="Times New Roman" w:hAnsi="Times New Roman" w:cs="Times New Roman"/>
          <w:color w:val="auto"/>
          <w:sz w:val="24"/>
          <w:highlight w:val="none"/>
        </w:rPr>
        <w:t>收集现有资料为主，并结合遥感技术及现场调查进行校核，陆生动物采取实地调查和访问调查相结合的方式进行。经现场踏勘和各方面资料汇总，本项目生态环境影响评价区不涉及自然保护区、风景名胜区、重要湿地等生态环境敏感区域。</w:t>
      </w:r>
    </w:p>
    <w:p w14:paraId="5B5569BB">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4.3.5.1植被现状调查及评价</w:t>
      </w:r>
    </w:p>
    <w:p w14:paraId="2DBD1975">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zh-CN"/>
        </w:rPr>
        <w:t>一、自然植被</w:t>
      </w:r>
    </w:p>
    <w:p w14:paraId="6CE93CE8">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评价区的自然植被包括</w:t>
      </w:r>
      <w:r>
        <w:rPr>
          <w:rFonts w:hint="default" w:ascii="Times New Roman" w:hAnsi="Times New Roman" w:eastAsia="宋体" w:cs="Times New Roman"/>
          <w:bCs/>
          <w:color w:val="auto"/>
          <w:sz w:val="24"/>
          <w:highlight w:val="none"/>
          <w:lang w:val="en-US" w:eastAsia="zh-CN"/>
        </w:rPr>
        <w:t>干热河谷硬叶常绿栎</w:t>
      </w:r>
      <w:r>
        <w:rPr>
          <w:rFonts w:hint="default" w:ascii="Times New Roman" w:hAnsi="Times New Roman" w:eastAsia="宋体" w:cs="Times New Roman"/>
          <w:bCs/>
          <w:color w:val="auto"/>
          <w:sz w:val="24"/>
          <w:highlight w:val="none"/>
        </w:rPr>
        <w:t>林、</w:t>
      </w:r>
      <w:r>
        <w:rPr>
          <w:rFonts w:hint="default" w:ascii="Times New Roman" w:hAnsi="Times New Roman" w:eastAsia="宋体" w:cs="Times New Roman"/>
          <w:bCs/>
          <w:color w:val="auto"/>
          <w:sz w:val="24"/>
          <w:highlight w:val="none"/>
          <w:lang w:val="en-US" w:eastAsia="zh-CN"/>
        </w:rPr>
        <w:t>干热性</w:t>
      </w:r>
      <w:r>
        <w:rPr>
          <w:rFonts w:hint="default" w:ascii="Times New Roman" w:hAnsi="Times New Roman" w:eastAsia="宋体" w:cs="Times New Roman"/>
          <w:bCs/>
          <w:color w:val="auto"/>
          <w:sz w:val="24"/>
          <w:highlight w:val="none"/>
        </w:rPr>
        <w:t>稀树灌木草丛</w:t>
      </w:r>
      <w:r>
        <w:rPr>
          <w:rFonts w:hint="default" w:ascii="Times New Roman" w:hAnsi="Times New Roman" w:eastAsia="宋体" w:cs="Times New Roman"/>
          <w:bCs/>
          <w:color w:val="auto"/>
          <w:sz w:val="24"/>
          <w:highlight w:val="none"/>
          <w:lang w:val="en-US" w:eastAsia="zh-CN"/>
        </w:rPr>
        <w:t>、干热灌丛</w:t>
      </w:r>
      <w:r>
        <w:rPr>
          <w:rFonts w:hint="default" w:ascii="Times New Roman" w:hAnsi="Times New Roman" w:eastAsia="宋体" w:cs="Times New Roman"/>
          <w:bCs/>
          <w:color w:val="auto"/>
          <w:sz w:val="24"/>
          <w:highlight w:val="none"/>
        </w:rPr>
        <w:t>4类。</w:t>
      </w:r>
    </w:p>
    <w:p w14:paraId="3BF0D4DC">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①</w:t>
      </w:r>
      <w:r>
        <w:rPr>
          <w:rFonts w:hint="default" w:ascii="Times New Roman" w:hAnsi="Times New Roman" w:eastAsia="宋体" w:cs="Times New Roman"/>
          <w:bCs/>
          <w:color w:val="auto"/>
          <w:sz w:val="24"/>
          <w:highlight w:val="none"/>
          <w:lang w:val="en-US" w:eastAsia="zh-CN"/>
        </w:rPr>
        <w:t>干热河谷硬叶常绿栎</w:t>
      </w:r>
      <w:r>
        <w:rPr>
          <w:rFonts w:hint="default" w:ascii="Times New Roman" w:hAnsi="Times New Roman" w:eastAsia="宋体" w:cs="Times New Roman"/>
          <w:bCs/>
          <w:color w:val="auto"/>
          <w:sz w:val="24"/>
          <w:highlight w:val="none"/>
        </w:rPr>
        <w:t>林</w:t>
      </w:r>
    </w:p>
    <w:p w14:paraId="7BE6AEE7">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属于本植被亚型的群落主要分布于金沙江河谷两侧海拔2600米以下的坡面上</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部分顺河谷下延可分布至1500米或更低。分布地的气候以干热为特征，年平均温度约15</w:t>
      </w:r>
      <w:r>
        <w:rPr>
          <w:rFonts w:hint="default"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rPr>
        <w:t>19℃以上</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最热月均温在20℃以上。年降水量仅700毫米左右，集中于雨季降落。全年的蒸发量大于降水量2倍以上。越近河谷底部，气候越干热。而本类植被一般只分布于干热河谷的中上部，尤其以石灰岩坡面为多见。由于生境中气候与基质均极干燥，因而此类植被耐</w:t>
      </w:r>
      <w:r>
        <w:rPr>
          <w:rFonts w:hint="eastAsia" w:cs="Times New Roman"/>
          <w:bCs/>
          <w:color w:val="auto"/>
          <w:sz w:val="24"/>
          <w:highlight w:val="none"/>
          <w:lang w:eastAsia="zh-CN"/>
        </w:rPr>
        <w:t>干旱</w:t>
      </w:r>
      <w:r>
        <w:rPr>
          <w:rFonts w:hint="default" w:ascii="Times New Roman" w:hAnsi="Times New Roman" w:eastAsia="宋体" w:cs="Times New Roman"/>
          <w:bCs/>
          <w:color w:val="auto"/>
          <w:sz w:val="24"/>
          <w:highlight w:val="none"/>
        </w:rPr>
        <w:t>的特征是很明显的。群落内几乎不见苔藓、地衣等附生植物和其它喜湿的植物种类。群落低矮而</w:t>
      </w:r>
      <w:r>
        <w:rPr>
          <w:rFonts w:hint="eastAsia" w:cs="Times New Roman"/>
          <w:bCs/>
          <w:color w:val="auto"/>
          <w:sz w:val="24"/>
          <w:highlight w:val="none"/>
          <w:lang w:eastAsia="zh-CN"/>
        </w:rPr>
        <w:t>树干</w:t>
      </w:r>
      <w:r>
        <w:rPr>
          <w:rFonts w:hint="default" w:ascii="Times New Roman" w:hAnsi="Times New Roman" w:eastAsia="宋体" w:cs="Times New Roman"/>
          <w:bCs/>
          <w:color w:val="auto"/>
          <w:sz w:val="24"/>
          <w:highlight w:val="none"/>
        </w:rPr>
        <w:t>多弯曲，耐</w:t>
      </w:r>
      <w:r>
        <w:rPr>
          <w:rFonts w:hint="default" w:ascii="Times New Roman" w:hAnsi="Times New Roman" w:eastAsia="宋体" w:cs="Times New Roman"/>
          <w:bCs/>
          <w:color w:val="auto"/>
          <w:sz w:val="24"/>
          <w:highlight w:val="none"/>
          <w:lang w:eastAsia="zh-CN"/>
        </w:rPr>
        <w:t>旱</w:t>
      </w:r>
      <w:r>
        <w:rPr>
          <w:rFonts w:hint="default" w:ascii="Times New Roman" w:hAnsi="Times New Roman" w:eastAsia="宋体" w:cs="Times New Roman"/>
          <w:bCs/>
          <w:color w:val="auto"/>
          <w:sz w:val="24"/>
          <w:highlight w:val="none"/>
        </w:rPr>
        <w:t>喜阳的灌木和草本植物比较常见。从植被的全部种类成分看，一部分为云南松林</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半湿性常绿阔叶林的种类，而另一部分则为干热河谷稀树灌木草丛中习见的种类。几乎不见亚高山植物种类。在远离河谷的石灰岩山地，也偶见有些硬</w:t>
      </w:r>
      <w:r>
        <w:rPr>
          <w:rFonts w:hint="eastAsia" w:cs="Times New Roman"/>
          <w:bCs/>
          <w:color w:val="auto"/>
          <w:sz w:val="24"/>
          <w:highlight w:val="none"/>
          <w:lang w:eastAsia="zh-CN"/>
        </w:rPr>
        <w:t>叶常绿</w:t>
      </w:r>
      <w:r>
        <w:rPr>
          <w:rFonts w:hint="default" w:ascii="Times New Roman" w:hAnsi="Times New Roman" w:eastAsia="宋体" w:cs="Times New Roman"/>
          <w:bCs/>
          <w:color w:val="auto"/>
          <w:sz w:val="24"/>
          <w:highlight w:val="none"/>
        </w:rPr>
        <w:t>林分布，但目前都成为萌生灌丛。本植被亚型之下暂分3个群系。评价区内分布的</w:t>
      </w:r>
      <w:r>
        <w:rPr>
          <w:rFonts w:hint="default" w:ascii="Times New Roman" w:hAnsi="Times New Roman" w:eastAsia="宋体" w:cs="Times New Roman"/>
          <w:bCs/>
          <w:color w:val="auto"/>
          <w:sz w:val="24"/>
          <w:highlight w:val="none"/>
          <w:lang w:val="en-US" w:eastAsia="zh-CN"/>
        </w:rPr>
        <w:t>干热河谷硬叶常绿栎</w:t>
      </w:r>
      <w:r>
        <w:rPr>
          <w:rFonts w:hint="default" w:ascii="Times New Roman" w:hAnsi="Times New Roman" w:eastAsia="宋体" w:cs="Times New Roman"/>
          <w:bCs/>
          <w:color w:val="auto"/>
          <w:sz w:val="24"/>
          <w:highlight w:val="none"/>
        </w:rPr>
        <w:t>林仅有1个群系，即</w:t>
      </w:r>
      <w:r>
        <w:rPr>
          <w:rFonts w:hint="default" w:ascii="Times New Roman" w:hAnsi="Times New Roman" w:eastAsia="宋体" w:cs="Times New Roman"/>
          <w:bCs/>
          <w:color w:val="auto"/>
          <w:sz w:val="24"/>
          <w:highlight w:val="none"/>
          <w:lang w:val="en-US" w:eastAsia="zh-CN"/>
        </w:rPr>
        <w:t>椎连栎</w:t>
      </w:r>
      <w:r>
        <w:rPr>
          <w:rFonts w:hint="default" w:ascii="Times New Roman" w:hAnsi="Times New Roman" w:eastAsia="宋体" w:cs="Times New Roman"/>
          <w:bCs/>
          <w:color w:val="auto"/>
          <w:sz w:val="24"/>
          <w:highlight w:val="none"/>
        </w:rPr>
        <w:t>林。</w:t>
      </w:r>
    </w:p>
    <w:p w14:paraId="0938BABF">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椎连栎</w:t>
      </w:r>
      <w:r>
        <w:rPr>
          <w:rFonts w:hint="default" w:ascii="Times New Roman" w:hAnsi="Times New Roman" w:eastAsia="宋体" w:cs="Times New Roman"/>
          <w:bCs/>
          <w:color w:val="auto"/>
          <w:sz w:val="24"/>
          <w:highlight w:val="none"/>
        </w:rPr>
        <w:t>林</w:t>
      </w:r>
    </w:p>
    <w:p w14:paraId="170CDA15">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群落上层以锥连栎为优势的硬叶常绿标林</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比较普遍地分布于金沙江河谷海拔1600-2300米的坡面。它也是滇中高原北缘干热河谷植被中的一个重要类型。在人为影响下，目前成林的已很少见，该群系下仅1个群落，即</w:t>
      </w:r>
      <w:r>
        <w:rPr>
          <w:rFonts w:hint="default" w:ascii="Times New Roman" w:hAnsi="Times New Roman" w:eastAsia="宋体" w:cs="Times New Roman"/>
          <w:bCs/>
          <w:color w:val="auto"/>
          <w:sz w:val="24"/>
          <w:highlight w:val="none"/>
          <w:lang w:val="en-US" w:eastAsia="zh-CN"/>
        </w:rPr>
        <w:t>椎连栎</w:t>
      </w:r>
      <w:r>
        <w:rPr>
          <w:rFonts w:hint="default" w:ascii="Times New Roman" w:hAnsi="Times New Roman" w:eastAsia="宋体" w:cs="Times New Roman"/>
          <w:bCs/>
          <w:color w:val="auto"/>
          <w:sz w:val="24"/>
          <w:highlight w:val="none"/>
        </w:rPr>
        <w:t>群落，该类型共做3个调查样方（编号</w:t>
      </w:r>
      <w:r>
        <w:rPr>
          <w:rFonts w:hint="default" w:ascii="Times New Roman" w:hAnsi="Times New Roman" w:eastAsia="宋体" w:cs="Times New Roman"/>
          <w:bCs/>
          <w:color w:val="auto"/>
          <w:sz w:val="24"/>
          <w:highlight w:val="none"/>
          <w:lang w:val="en-US" w:eastAsia="zh-CN"/>
        </w:rPr>
        <w:t>06</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08</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09</w:t>
      </w:r>
      <w:r>
        <w:rPr>
          <w:rFonts w:hint="default" w:ascii="Times New Roman" w:hAnsi="Times New Roman" w:eastAsia="宋体" w:cs="Times New Roman"/>
          <w:bCs/>
          <w:color w:val="auto"/>
          <w:sz w:val="24"/>
          <w:highlight w:val="none"/>
        </w:rPr>
        <w:t>）。</w:t>
      </w:r>
    </w:p>
    <w:p w14:paraId="57AA541F">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群落总高</w:t>
      </w:r>
      <w:r>
        <w:rPr>
          <w:rFonts w:hint="default" w:ascii="Times New Roman" w:hAnsi="Times New Roman" w:eastAsia="宋体" w:cs="Times New Roman"/>
          <w:bCs/>
          <w:color w:val="auto"/>
          <w:sz w:val="24"/>
          <w:highlight w:val="none"/>
          <w:lang w:val="en-US" w:eastAsia="zh-CN"/>
        </w:rPr>
        <w:t>4-6</w:t>
      </w:r>
      <w:r>
        <w:rPr>
          <w:rFonts w:hint="default" w:ascii="Times New Roman" w:hAnsi="Times New Roman" w:eastAsia="宋体" w:cs="Times New Roman"/>
          <w:bCs/>
          <w:color w:val="auto"/>
          <w:sz w:val="24"/>
          <w:highlight w:val="none"/>
        </w:rPr>
        <w:t>m，总盖度</w:t>
      </w:r>
      <w:r>
        <w:rPr>
          <w:rFonts w:hint="default" w:ascii="Times New Roman" w:hAnsi="Times New Roman" w:eastAsia="宋体" w:cs="Times New Roman"/>
          <w:bCs/>
          <w:color w:val="auto"/>
          <w:sz w:val="24"/>
          <w:highlight w:val="none"/>
          <w:lang w:val="en-US" w:eastAsia="zh-CN"/>
        </w:rPr>
        <w:t>60</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75</w:t>
      </w:r>
      <w:r>
        <w:rPr>
          <w:rFonts w:hint="default" w:ascii="Times New Roman" w:hAnsi="Times New Roman" w:eastAsia="宋体" w:cs="Times New Roman"/>
          <w:bCs/>
          <w:color w:val="auto"/>
          <w:sz w:val="24"/>
          <w:highlight w:val="none"/>
        </w:rPr>
        <w:t>%，多为</w:t>
      </w:r>
      <w:r>
        <w:rPr>
          <w:rFonts w:hint="default" w:ascii="Times New Roman" w:hAnsi="Times New Roman" w:eastAsia="宋体" w:cs="Times New Roman"/>
          <w:bCs/>
          <w:color w:val="auto"/>
          <w:sz w:val="24"/>
          <w:highlight w:val="none"/>
          <w:lang w:val="en-US" w:eastAsia="zh-CN"/>
        </w:rPr>
        <w:t>椎连栎</w:t>
      </w:r>
      <w:r>
        <w:rPr>
          <w:rFonts w:hint="default" w:ascii="Times New Roman" w:hAnsi="Times New Roman" w:eastAsia="宋体" w:cs="Times New Roman"/>
          <w:bCs/>
          <w:color w:val="auto"/>
          <w:sz w:val="24"/>
          <w:highlight w:val="none"/>
        </w:rPr>
        <w:t>林，群落结构比较简单，分乔木层、灌木层和草本层。</w:t>
      </w:r>
    </w:p>
    <w:p w14:paraId="0989089D">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乔木层高</w:t>
      </w:r>
      <w:r>
        <w:rPr>
          <w:rFonts w:hint="default" w:ascii="Times New Roman" w:hAnsi="Times New Roman" w:eastAsia="宋体" w:cs="Times New Roman"/>
          <w:bCs/>
          <w:color w:val="auto"/>
          <w:sz w:val="24"/>
          <w:highlight w:val="none"/>
          <w:lang w:val="en-US" w:eastAsia="zh-CN"/>
        </w:rPr>
        <w:t>4</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6</w:t>
      </w:r>
      <w:r>
        <w:rPr>
          <w:rFonts w:hint="default" w:ascii="Times New Roman" w:hAnsi="Times New Roman" w:eastAsia="宋体" w:cs="Times New Roman"/>
          <w:bCs/>
          <w:color w:val="auto"/>
          <w:sz w:val="24"/>
          <w:highlight w:val="none"/>
        </w:rPr>
        <w:t>m，胸径</w:t>
      </w:r>
      <w:r>
        <w:rPr>
          <w:rFonts w:hint="default" w:ascii="Times New Roman" w:hAnsi="Times New Roman" w:eastAsia="宋体" w:cs="Times New Roman"/>
          <w:bCs/>
          <w:color w:val="auto"/>
          <w:sz w:val="24"/>
          <w:highlight w:val="none"/>
          <w:lang w:val="en-US" w:eastAsia="zh-CN"/>
        </w:rPr>
        <w:t>8</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15</w:t>
      </w:r>
      <w:r>
        <w:rPr>
          <w:rFonts w:hint="default" w:ascii="Times New Roman" w:hAnsi="Times New Roman" w:eastAsia="宋体" w:cs="Times New Roman"/>
          <w:bCs/>
          <w:color w:val="auto"/>
          <w:sz w:val="24"/>
          <w:highlight w:val="none"/>
        </w:rPr>
        <w:t>cm，层盖度5</w:t>
      </w:r>
      <w:r>
        <w:rPr>
          <w:rFonts w:hint="default" w:ascii="Times New Roman" w:hAnsi="Times New Roman" w:eastAsia="宋体" w:cs="Times New Roman"/>
          <w:bCs/>
          <w:color w:val="auto"/>
          <w:sz w:val="24"/>
          <w:highlight w:val="none"/>
          <w:lang w:val="en-US" w:eastAsia="zh-CN"/>
        </w:rPr>
        <w:t>0</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60</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常见</w:t>
      </w:r>
      <w:r>
        <w:rPr>
          <w:rFonts w:hint="default" w:ascii="Times New Roman" w:hAnsi="Times New Roman" w:eastAsia="宋体" w:cs="Times New Roman"/>
          <w:bCs/>
          <w:color w:val="auto"/>
          <w:sz w:val="24"/>
          <w:highlight w:val="none"/>
        </w:rPr>
        <w:t>锥连栎Quercus franchetii</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云南松</w:t>
      </w:r>
      <w:r>
        <w:rPr>
          <w:rFonts w:hint="default" w:ascii="Times New Roman" w:hAnsi="Times New Roman" w:eastAsia="宋体" w:cs="Times New Roman"/>
          <w:bCs/>
          <w:color w:val="auto"/>
          <w:sz w:val="24"/>
          <w:highlight w:val="none"/>
          <w:lang w:val="zh-CN"/>
        </w:rPr>
        <w:t>Pinus yunnanensis</w:t>
      </w:r>
      <w:r>
        <w:rPr>
          <w:rFonts w:hint="default" w:ascii="Times New Roman" w:hAnsi="Times New Roman" w:eastAsia="宋体" w:cs="Times New Roman"/>
          <w:bCs/>
          <w:color w:val="auto"/>
          <w:sz w:val="24"/>
          <w:highlight w:val="none"/>
        </w:rPr>
        <w:t>等。</w:t>
      </w:r>
    </w:p>
    <w:p w14:paraId="3A94947A">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灌木层高1.</w:t>
      </w:r>
      <w:r>
        <w:rPr>
          <w:rFonts w:hint="default" w:ascii="Times New Roman" w:hAnsi="Times New Roman" w:eastAsia="宋体" w:cs="Times New Roman"/>
          <w:bCs/>
          <w:color w:val="auto"/>
          <w:sz w:val="24"/>
          <w:highlight w:val="none"/>
          <w:lang w:val="en-US" w:eastAsia="zh-CN"/>
        </w:rPr>
        <w:t>1</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2.5</w:t>
      </w:r>
      <w:r>
        <w:rPr>
          <w:rFonts w:hint="default" w:ascii="Times New Roman" w:hAnsi="Times New Roman" w:eastAsia="宋体" w:cs="Times New Roman"/>
          <w:bCs/>
          <w:color w:val="auto"/>
          <w:sz w:val="24"/>
          <w:highlight w:val="none"/>
        </w:rPr>
        <w:t>m，层盖度</w:t>
      </w:r>
      <w:r>
        <w:rPr>
          <w:rFonts w:hint="default" w:ascii="Times New Roman" w:hAnsi="Times New Roman" w:eastAsia="宋体" w:cs="Times New Roman"/>
          <w:bCs/>
          <w:color w:val="auto"/>
          <w:sz w:val="24"/>
          <w:highlight w:val="none"/>
          <w:lang w:val="en-US" w:eastAsia="zh-CN"/>
        </w:rPr>
        <w:t>1</w:t>
      </w:r>
      <w:r>
        <w:rPr>
          <w:rFonts w:hint="default" w:ascii="Times New Roman" w:hAnsi="Times New Roman" w:eastAsia="宋体" w:cs="Times New Roman"/>
          <w:bCs/>
          <w:color w:val="auto"/>
          <w:sz w:val="24"/>
          <w:highlight w:val="none"/>
        </w:rPr>
        <w:t>0%-</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0%，常见植物包括锥连栎Quercus franchetii</w:t>
      </w:r>
      <w:r>
        <w:rPr>
          <w:rFonts w:hint="default" w:ascii="Times New Roman" w:hAnsi="Times New Roman" w:eastAsia="宋体" w:cs="Times New Roman"/>
          <w:bCs/>
          <w:color w:val="auto"/>
          <w:sz w:val="24"/>
          <w:highlight w:val="none"/>
          <w:lang w:val="pt-BR" w:eastAsia="zh-CN"/>
        </w:rPr>
        <w:t>、</w:t>
      </w:r>
      <w:r>
        <w:rPr>
          <w:rFonts w:hint="default" w:ascii="Times New Roman" w:hAnsi="Times New Roman" w:eastAsia="宋体" w:cs="Times New Roman"/>
          <w:bCs/>
          <w:color w:val="auto"/>
          <w:sz w:val="24"/>
          <w:highlight w:val="none"/>
          <w:lang w:val="pt-BR"/>
        </w:rPr>
        <w:t>野坝子</w:t>
      </w:r>
      <w:r>
        <w:rPr>
          <w:rFonts w:hint="default" w:ascii="Times New Roman" w:hAnsi="Times New Roman" w:eastAsia="宋体" w:cs="Times New Roman"/>
          <w:bCs/>
          <w:color w:val="auto"/>
          <w:sz w:val="24"/>
          <w:highlight w:val="none"/>
          <w:lang w:val="zh-CN"/>
        </w:rPr>
        <w:t>Elsholtzia rugulosa</w:t>
      </w:r>
      <w:r>
        <w:rPr>
          <w:rFonts w:hint="default" w:ascii="Times New Roman" w:hAnsi="Times New Roman" w:eastAsia="宋体" w:cs="Times New Roman"/>
          <w:bCs/>
          <w:color w:val="auto"/>
          <w:sz w:val="24"/>
          <w:highlight w:val="none"/>
          <w:lang w:val="pt-BR" w:eastAsia="zh-CN"/>
        </w:rPr>
        <w:t>、</w:t>
      </w:r>
      <w:r>
        <w:rPr>
          <w:rFonts w:hint="default" w:ascii="Times New Roman" w:hAnsi="Times New Roman" w:eastAsia="宋体" w:cs="Times New Roman"/>
          <w:bCs/>
          <w:color w:val="auto"/>
          <w:sz w:val="24"/>
          <w:highlight w:val="none"/>
          <w:lang w:val="pt-BR"/>
        </w:rPr>
        <w:t>云南松</w:t>
      </w:r>
      <w:r>
        <w:rPr>
          <w:rFonts w:hint="default" w:ascii="Times New Roman" w:hAnsi="Times New Roman" w:eastAsia="宋体" w:cs="Times New Roman"/>
          <w:bCs/>
          <w:color w:val="auto"/>
          <w:sz w:val="24"/>
          <w:highlight w:val="none"/>
          <w:lang w:val="zh-CN"/>
        </w:rPr>
        <w:t>Pinus yunnanensis</w:t>
      </w:r>
      <w:r>
        <w:rPr>
          <w:rFonts w:hint="default" w:ascii="Times New Roman" w:hAnsi="Times New Roman" w:eastAsia="宋体" w:cs="Times New Roman"/>
          <w:bCs/>
          <w:color w:val="auto"/>
          <w:sz w:val="24"/>
          <w:highlight w:val="none"/>
          <w:lang w:val="pt-BR" w:eastAsia="zh-CN"/>
        </w:rPr>
        <w:t>、</w:t>
      </w:r>
      <w:r>
        <w:rPr>
          <w:rFonts w:hint="default" w:ascii="Times New Roman" w:hAnsi="Times New Roman" w:eastAsia="宋体" w:cs="Times New Roman"/>
          <w:bCs/>
          <w:color w:val="auto"/>
          <w:sz w:val="24"/>
          <w:highlight w:val="none"/>
          <w:lang w:val="pt-BR"/>
        </w:rPr>
        <w:t>车桑子</w:t>
      </w:r>
      <w:r>
        <w:rPr>
          <w:rFonts w:hint="default" w:ascii="Times New Roman" w:hAnsi="Times New Roman" w:eastAsia="宋体" w:cs="Times New Roman"/>
          <w:bCs/>
          <w:color w:val="auto"/>
          <w:sz w:val="24"/>
          <w:highlight w:val="none"/>
          <w:lang w:val="zh-CN"/>
        </w:rPr>
        <w:t>Dodonaea viscosa</w:t>
      </w:r>
      <w:r>
        <w:rPr>
          <w:rFonts w:hint="default" w:ascii="Times New Roman" w:hAnsi="Times New Roman" w:eastAsia="宋体" w:cs="Times New Roman"/>
          <w:bCs/>
          <w:color w:val="auto"/>
          <w:sz w:val="24"/>
          <w:highlight w:val="none"/>
          <w:lang w:val="pt-BR" w:eastAsia="zh-CN"/>
        </w:rPr>
        <w:t>、</w:t>
      </w:r>
      <w:r>
        <w:rPr>
          <w:rFonts w:hint="default" w:ascii="Times New Roman" w:hAnsi="Times New Roman" w:eastAsia="宋体" w:cs="Times New Roman"/>
          <w:bCs/>
          <w:color w:val="auto"/>
          <w:sz w:val="24"/>
          <w:highlight w:val="none"/>
          <w:lang w:val="pt-BR"/>
        </w:rPr>
        <w:t>密蒙花</w:t>
      </w:r>
      <w:r>
        <w:rPr>
          <w:rFonts w:hint="default" w:ascii="Times New Roman" w:hAnsi="Times New Roman" w:eastAsia="宋体" w:cs="Times New Roman"/>
          <w:bCs/>
          <w:color w:val="auto"/>
          <w:sz w:val="24"/>
          <w:highlight w:val="none"/>
        </w:rPr>
        <w:t>Buddleja officinalis</w:t>
      </w:r>
      <w:r>
        <w:rPr>
          <w:rFonts w:hint="default" w:ascii="Times New Roman" w:hAnsi="Times New Roman" w:eastAsia="宋体" w:cs="Times New Roman"/>
          <w:bCs/>
          <w:color w:val="auto"/>
          <w:sz w:val="24"/>
          <w:highlight w:val="none"/>
          <w:lang w:val="pt-BR" w:eastAsia="zh-CN"/>
        </w:rPr>
        <w:t>、</w:t>
      </w:r>
      <w:r>
        <w:rPr>
          <w:rFonts w:hint="default" w:ascii="Times New Roman" w:hAnsi="Times New Roman" w:eastAsia="宋体" w:cs="Times New Roman"/>
          <w:bCs/>
          <w:color w:val="auto"/>
          <w:sz w:val="24"/>
          <w:highlight w:val="none"/>
          <w:lang w:val="pt-BR"/>
        </w:rPr>
        <w:t>卵叶悬钩子</w:t>
      </w:r>
      <w:r>
        <w:rPr>
          <w:rFonts w:hint="default" w:ascii="Times New Roman" w:hAnsi="Times New Roman" w:eastAsia="宋体" w:cs="Times New Roman"/>
          <w:bCs/>
          <w:color w:val="auto"/>
          <w:sz w:val="24"/>
          <w:highlight w:val="none"/>
          <w:lang w:val="zh-CN"/>
        </w:rPr>
        <w:t>Rubus pectinellus</w:t>
      </w:r>
      <w:r>
        <w:rPr>
          <w:rFonts w:hint="default" w:ascii="Times New Roman" w:hAnsi="Times New Roman" w:eastAsia="宋体" w:cs="Times New Roman"/>
          <w:bCs/>
          <w:color w:val="auto"/>
          <w:sz w:val="24"/>
          <w:highlight w:val="none"/>
          <w:lang w:val="pt-BR" w:eastAsia="zh-CN"/>
        </w:rPr>
        <w:t>、</w:t>
      </w:r>
      <w:r>
        <w:rPr>
          <w:rFonts w:hint="default" w:ascii="Times New Roman" w:hAnsi="Times New Roman" w:eastAsia="宋体" w:cs="Times New Roman"/>
          <w:bCs/>
          <w:color w:val="auto"/>
          <w:sz w:val="24"/>
          <w:highlight w:val="none"/>
          <w:lang w:val="pt-BR"/>
        </w:rPr>
        <w:t>大红袍</w:t>
      </w:r>
      <w:r>
        <w:rPr>
          <w:rFonts w:hint="default" w:ascii="Times New Roman" w:hAnsi="Times New Roman" w:eastAsia="宋体" w:cs="Times New Roman"/>
          <w:bCs/>
          <w:color w:val="auto"/>
          <w:sz w:val="24"/>
          <w:highlight w:val="none"/>
          <w:lang w:val="zh-CN"/>
        </w:rPr>
        <w:t>Camplotropis</w:t>
      </w:r>
      <w:r>
        <w:rPr>
          <w:rFonts w:hint="default" w:ascii="Times New Roman" w:hAnsi="Times New Roman" w:eastAsia="宋体" w:cs="Times New Roman"/>
          <w:bCs/>
          <w:color w:val="auto"/>
          <w:sz w:val="24"/>
          <w:highlight w:val="none"/>
        </w:rPr>
        <w:t xml:space="preserve"> </w:t>
      </w:r>
      <w:r>
        <w:rPr>
          <w:rFonts w:hint="default" w:ascii="Times New Roman" w:hAnsi="Times New Roman" w:eastAsia="宋体" w:cs="Times New Roman"/>
          <w:bCs/>
          <w:color w:val="auto"/>
          <w:sz w:val="24"/>
          <w:highlight w:val="none"/>
          <w:lang w:val="zh-CN"/>
        </w:rPr>
        <w:t>hirtella</w:t>
      </w:r>
      <w:r>
        <w:rPr>
          <w:rFonts w:hint="default" w:ascii="Times New Roman" w:hAnsi="Times New Roman" w:eastAsia="宋体" w:cs="Times New Roman"/>
          <w:bCs/>
          <w:color w:val="auto"/>
          <w:sz w:val="24"/>
          <w:highlight w:val="none"/>
          <w:lang w:val="pt-BR" w:eastAsia="zh-CN"/>
        </w:rPr>
        <w:t>、</w:t>
      </w:r>
      <w:r>
        <w:rPr>
          <w:rFonts w:hint="default" w:ascii="Times New Roman" w:hAnsi="Times New Roman" w:eastAsia="宋体" w:cs="Times New Roman"/>
          <w:bCs/>
          <w:color w:val="auto"/>
          <w:sz w:val="24"/>
          <w:highlight w:val="none"/>
          <w:lang w:val="pt-BR"/>
        </w:rPr>
        <w:t>清香木</w:t>
      </w:r>
      <w:r>
        <w:rPr>
          <w:rFonts w:hint="default" w:ascii="Times New Roman" w:hAnsi="Times New Roman" w:eastAsia="宋体" w:cs="Times New Roman"/>
          <w:bCs/>
          <w:color w:val="auto"/>
          <w:sz w:val="24"/>
          <w:highlight w:val="none"/>
          <w:lang w:val="zh-CN"/>
        </w:rPr>
        <w:t>Pistacia weinmannifolia</w:t>
      </w:r>
      <w:r>
        <w:rPr>
          <w:rFonts w:hint="default" w:ascii="Times New Roman" w:hAnsi="Times New Roman" w:eastAsia="宋体" w:cs="Times New Roman"/>
          <w:bCs/>
          <w:color w:val="auto"/>
          <w:sz w:val="24"/>
          <w:highlight w:val="none"/>
          <w:lang w:val="pt-BR" w:eastAsia="zh-CN"/>
        </w:rPr>
        <w:t>、</w:t>
      </w:r>
      <w:r>
        <w:rPr>
          <w:rFonts w:hint="default" w:ascii="Times New Roman" w:hAnsi="Times New Roman" w:eastAsia="宋体" w:cs="Times New Roman"/>
          <w:bCs/>
          <w:color w:val="auto"/>
          <w:sz w:val="24"/>
          <w:highlight w:val="none"/>
          <w:lang w:val="pt-BR"/>
        </w:rPr>
        <w:t>米饭花</w:t>
      </w:r>
      <w:r>
        <w:rPr>
          <w:rFonts w:hint="default" w:ascii="Times New Roman" w:hAnsi="Times New Roman" w:eastAsia="宋体" w:cs="Times New Roman"/>
          <w:bCs/>
          <w:color w:val="auto"/>
          <w:sz w:val="24"/>
          <w:highlight w:val="none"/>
          <w:lang w:val="zh-CN"/>
        </w:rPr>
        <w:t>Lyonia ovalifolia</w:t>
      </w:r>
      <w:r>
        <w:rPr>
          <w:rFonts w:hint="default" w:ascii="Times New Roman" w:hAnsi="Times New Roman" w:eastAsia="宋体" w:cs="Times New Roman"/>
          <w:bCs/>
          <w:color w:val="auto"/>
          <w:sz w:val="24"/>
          <w:highlight w:val="none"/>
          <w:lang w:val="pt-BR" w:eastAsia="zh-CN"/>
        </w:rPr>
        <w:t>、</w:t>
      </w:r>
      <w:r>
        <w:rPr>
          <w:rFonts w:hint="default" w:ascii="Times New Roman" w:hAnsi="Times New Roman" w:eastAsia="宋体" w:cs="Times New Roman"/>
          <w:bCs/>
          <w:color w:val="auto"/>
          <w:sz w:val="24"/>
          <w:highlight w:val="none"/>
          <w:lang w:val="pt-BR"/>
        </w:rPr>
        <w:t>厚皮香</w:t>
      </w:r>
      <w:r>
        <w:rPr>
          <w:rFonts w:hint="default" w:ascii="Times New Roman" w:hAnsi="Times New Roman" w:eastAsia="宋体" w:cs="Times New Roman"/>
          <w:bCs/>
          <w:color w:val="auto"/>
          <w:sz w:val="24"/>
          <w:highlight w:val="none"/>
        </w:rPr>
        <w:t>Ternstroemia gymnanthera</w:t>
      </w:r>
      <w:r>
        <w:rPr>
          <w:rFonts w:hint="default" w:ascii="Times New Roman" w:hAnsi="Times New Roman" w:eastAsia="宋体" w:cs="Times New Roman"/>
          <w:bCs/>
          <w:color w:val="auto"/>
          <w:sz w:val="24"/>
          <w:highlight w:val="none"/>
          <w:lang w:val="pt-BR" w:eastAsia="zh-CN"/>
        </w:rPr>
        <w:t>、</w:t>
      </w:r>
      <w:r>
        <w:rPr>
          <w:rFonts w:hint="default" w:ascii="Times New Roman" w:hAnsi="Times New Roman" w:eastAsia="宋体" w:cs="Times New Roman"/>
          <w:bCs/>
          <w:color w:val="auto"/>
          <w:sz w:val="24"/>
          <w:highlight w:val="none"/>
          <w:lang w:val="pt-BR"/>
        </w:rPr>
        <w:t>高山栲</w:t>
      </w:r>
      <w:r>
        <w:rPr>
          <w:rFonts w:hint="default" w:ascii="Times New Roman" w:hAnsi="Times New Roman" w:eastAsia="宋体" w:cs="Times New Roman"/>
          <w:bCs/>
          <w:color w:val="auto"/>
          <w:sz w:val="24"/>
          <w:highlight w:val="none"/>
          <w:lang w:val="zh-CN"/>
        </w:rPr>
        <w:t>Castanopsis delavayi</w:t>
      </w:r>
      <w:r>
        <w:rPr>
          <w:rFonts w:hint="default" w:ascii="Times New Roman" w:hAnsi="Times New Roman" w:eastAsia="宋体" w:cs="Times New Roman"/>
          <w:bCs/>
          <w:color w:val="auto"/>
          <w:sz w:val="24"/>
          <w:highlight w:val="none"/>
          <w:lang w:val="pt-BR" w:eastAsia="zh-CN"/>
        </w:rPr>
        <w:t>、</w:t>
      </w:r>
      <w:r>
        <w:rPr>
          <w:rFonts w:hint="default" w:ascii="Times New Roman" w:hAnsi="Times New Roman" w:eastAsia="宋体" w:cs="Times New Roman"/>
          <w:bCs/>
          <w:color w:val="auto"/>
          <w:sz w:val="24"/>
          <w:highlight w:val="none"/>
          <w:lang w:val="pt-BR"/>
        </w:rPr>
        <w:t>野漆树</w:t>
      </w:r>
      <w:r>
        <w:rPr>
          <w:rFonts w:hint="default" w:ascii="Times New Roman" w:hAnsi="Times New Roman" w:eastAsia="宋体" w:cs="Times New Roman"/>
          <w:bCs/>
          <w:color w:val="auto"/>
          <w:sz w:val="24"/>
          <w:highlight w:val="none"/>
          <w:lang w:val="zh-CN"/>
        </w:rPr>
        <w:t>Toxicodendron succedaneum</w:t>
      </w:r>
      <w:r>
        <w:rPr>
          <w:rFonts w:hint="default" w:ascii="Times New Roman" w:hAnsi="Times New Roman" w:eastAsia="宋体" w:cs="Times New Roman"/>
          <w:bCs/>
          <w:color w:val="auto"/>
          <w:sz w:val="24"/>
          <w:highlight w:val="none"/>
          <w:lang w:val="en-US" w:eastAsia="zh-CN"/>
        </w:rPr>
        <w:t>与</w:t>
      </w:r>
      <w:r>
        <w:rPr>
          <w:rFonts w:hint="default" w:ascii="Times New Roman" w:hAnsi="Times New Roman" w:eastAsia="宋体" w:cs="Times New Roman"/>
          <w:bCs/>
          <w:color w:val="auto"/>
          <w:sz w:val="24"/>
          <w:highlight w:val="none"/>
          <w:lang w:val="pt-BR"/>
        </w:rPr>
        <w:t>盐肤木</w:t>
      </w:r>
      <w:r>
        <w:rPr>
          <w:rFonts w:hint="default" w:ascii="Times New Roman" w:hAnsi="Times New Roman" w:eastAsia="宋体" w:cs="Times New Roman"/>
          <w:bCs/>
          <w:color w:val="auto"/>
          <w:sz w:val="24"/>
          <w:highlight w:val="none"/>
          <w:lang w:val="zh-CN"/>
        </w:rPr>
        <w:t>Rhus chinensis</w:t>
      </w:r>
      <w:r>
        <w:rPr>
          <w:rFonts w:hint="default" w:ascii="Times New Roman" w:hAnsi="Times New Roman" w:eastAsia="宋体" w:cs="Times New Roman"/>
          <w:bCs/>
          <w:color w:val="auto"/>
          <w:sz w:val="24"/>
          <w:highlight w:val="none"/>
        </w:rPr>
        <w:t>等，数量十分稀少。</w:t>
      </w:r>
    </w:p>
    <w:p w14:paraId="2F32F954">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草本层高不超过1.0m，盖度</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0%-</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0%，较为常见的植物包括紫茎泽兰</w:t>
      </w:r>
      <w:r>
        <w:rPr>
          <w:rFonts w:hint="default" w:ascii="Times New Roman" w:hAnsi="Times New Roman" w:eastAsia="宋体" w:cs="Times New Roman"/>
          <w:bCs/>
          <w:color w:val="auto"/>
          <w:sz w:val="24"/>
          <w:highlight w:val="none"/>
          <w:lang w:val="zh-CN"/>
        </w:rPr>
        <w:t>Ageratina adenophora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芸香草</w:t>
      </w:r>
      <w:r>
        <w:rPr>
          <w:rFonts w:hint="default" w:ascii="Times New Roman" w:hAnsi="Times New Roman" w:eastAsia="宋体" w:cs="Times New Roman"/>
          <w:bCs/>
          <w:color w:val="auto"/>
          <w:sz w:val="24"/>
          <w:highlight w:val="none"/>
          <w:lang w:val="zh-CN"/>
        </w:rPr>
        <w:t>Cymbopogon distans</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蕨菜</w:t>
      </w:r>
      <w:r>
        <w:rPr>
          <w:rFonts w:hint="default" w:ascii="Times New Roman" w:hAnsi="Times New Roman" w:eastAsia="宋体" w:cs="Times New Roman"/>
          <w:bCs/>
          <w:color w:val="auto"/>
          <w:sz w:val="24"/>
          <w:highlight w:val="none"/>
          <w:lang w:val="zh-CN"/>
        </w:rPr>
        <w:t>Callipteris esculenta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四方蒿</w:t>
      </w:r>
      <w:r>
        <w:rPr>
          <w:rFonts w:hint="default" w:ascii="Times New Roman" w:hAnsi="Times New Roman" w:eastAsia="宋体" w:cs="Times New Roman"/>
          <w:bCs/>
          <w:color w:val="auto"/>
          <w:sz w:val="24"/>
          <w:highlight w:val="none"/>
          <w:lang w:val="zh-CN"/>
        </w:rPr>
        <w:t>EIsholtia blanda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黄花蒿</w:t>
      </w:r>
      <w:r>
        <w:rPr>
          <w:rFonts w:hint="default" w:ascii="Times New Roman" w:hAnsi="Times New Roman" w:eastAsia="宋体" w:cs="Times New Roman"/>
          <w:bCs/>
          <w:color w:val="auto"/>
          <w:sz w:val="24"/>
          <w:highlight w:val="none"/>
          <w:lang w:val="zh-CN"/>
        </w:rPr>
        <w:t>Artemisia annua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皱叶狗尾草</w:t>
      </w:r>
      <w:r>
        <w:rPr>
          <w:rFonts w:hint="default" w:ascii="Times New Roman" w:hAnsi="Times New Roman" w:eastAsia="宋体" w:cs="Times New Roman"/>
          <w:bCs/>
          <w:color w:val="auto"/>
          <w:sz w:val="24"/>
          <w:highlight w:val="none"/>
          <w:lang w:val="zh-CN"/>
        </w:rPr>
        <w:t>Setaria plicata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心叶兔耳风</w:t>
      </w:r>
      <w:r>
        <w:rPr>
          <w:rFonts w:hint="default" w:ascii="Times New Roman" w:hAnsi="Times New Roman" w:eastAsia="宋体" w:cs="Times New Roman"/>
          <w:bCs/>
          <w:color w:val="auto"/>
          <w:sz w:val="24"/>
          <w:highlight w:val="none"/>
          <w:lang w:val="zh-CN"/>
        </w:rPr>
        <w:t>Ainsliaea bonatii</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猪殃殃</w:t>
      </w:r>
      <w:r>
        <w:rPr>
          <w:rFonts w:hint="default" w:ascii="Times New Roman" w:hAnsi="Times New Roman" w:eastAsia="宋体" w:cs="Times New Roman"/>
          <w:bCs/>
          <w:color w:val="auto"/>
          <w:sz w:val="24"/>
          <w:highlight w:val="none"/>
          <w:lang w:val="zh-CN"/>
        </w:rPr>
        <w:t>Galium vaillantii</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黄毛草莓</w:t>
      </w:r>
      <w:r>
        <w:rPr>
          <w:rFonts w:hint="default" w:ascii="Times New Roman" w:hAnsi="Times New Roman" w:eastAsia="宋体" w:cs="Times New Roman"/>
          <w:bCs/>
          <w:color w:val="auto"/>
          <w:sz w:val="24"/>
          <w:highlight w:val="none"/>
          <w:lang w:val="zh-CN"/>
        </w:rPr>
        <w:t>Fragaria nilgerrensis</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西南委陵菜 Potentilla fulgens</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五叶草</w:t>
      </w:r>
      <w:r>
        <w:rPr>
          <w:rFonts w:hint="default" w:ascii="Times New Roman" w:hAnsi="Times New Roman" w:eastAsia="宋体" w:cs="Times New Roman"/>
          <w:bCs/>
          <w:color w:val="auto"/>
          <w:sz w:val="24"/>
          <w:highlight w:val="none"/>
          <w:lang w:val="zh-CN"/>
        </w:rPr>
        <w:t>Geranium nepalense</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 xml:space="preserve">滇黄芩 </w:t>
      </w:r>
      <w:r>
        <w:rPr>
          <w:rFonts w:hint="default" w:ascii="Times New Roman" w:hAnsi="Times New Roman" w:eastAsia="宋体" w:cs="Times New Roman"/>
          <w:bCs/>
          <w:color w:val="auto"/>
          <w:sz w:val="24"/>
          <w:highlight w:val="none"/>
          <w:lang w:val="zh-CN"/>
        </w:rPr>
        <w:t>Scutellaria amoena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刺芒野古草Arundinella setosa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旱茅</w:t>
      </w:r>
      <w:r>
        <w:rPr>
          <w:rFonts w:hint="default" w:ascii="Times New Roman" w:hAnsi="Times New Roman" w:eastAsia="宋体" w:cs="Times New Roman"/>
          <w:bCs/>
          <w:color w:val="auto"/>
          <w:sz w:val="24"/>
          <w:highlight w:val="none"/>
          <w:lang w:val="zh-CN"/>
        </w:rPr>
        <w:t>Schizachyrium delavayi</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云南香青Anaphalis yunnanensis</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求米草Oplismenus undulatifolius</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矛叶荩草</w:t>
      </w:r>
      <w:r>
        <w:rPr>
          <w:rFonts w:hint="default" w:ascii="Times New Roman" w:hAnsi="Times New Roman" w:eastAsia="宋体" w:cs="Times New Roman"/>
          <w:bCs/>
          <w:color w:val="auto"/>
          <w:sz w:val="24"/>
          <w:highlight w:val="none"/>
          <w:lang w:val="zh-CN"/>
        </w:rPr>
        <w:t>Arthraxon prionodes</w:t>
      </w:r>
      <w:r>
        <w:rPr>
          <w:rFonts w:hint="default" w:ascii="Times New Roman" w:hAnsi="Times New Roman" w:eastAsia="宋体" w:cs="Times New Roman"/>
          <w:bCs/>
          <w:color w:val="auto"/>
          <w:sz w:val="24"/>
          <w:highlight w:val="none"/>
          <w:lang w:val="en-US" w:eastAsia="zh-CN"/>
        </w:rPr>
        <w:t>与</w:t>
      </w:r>
      <w:r>
        <w:rPr>
          <w:rFonts w:hint="default" w:ascii="Times New Roman" w:hAnsi="Times New Roman" w:eastAsia="宋体" w:cs="Times New Roman"/>
          <w:bCs/>
          <w:color w:val="auto"/>
          <w:sz w:val="24"/>
          <w:highlight w:val="none"/>
        </w:rPr>
        <w:t>沿阶草</w:t>
      </w:r>
      <w:r>
        <w:rPr>
          <w:rFonts w:hint="default" w:ascii="Times New Roman" w:hAnsi="Times New Roman" w:eastAsia="宋体" w:cs="Times New Roman"/>
          <w:bCs/>
          <w:color w:val="auto"/>
          <w:sz w:val="24"/>
          <w:highlight w:val="none"/>
          <w:lang w:val="zh-CN"/>
        </w:rPr>
        <w:t>Ophiopogon bodinieri</w:t>
      </w:r>
      <w:r>
        <w:rPr>
          <w:rFonts w:hint="default" w:ascii="Times New Roman" w:hAnsi="Times New Roman" w:eastAsia="宋体" w:cs="Times New Roman"/>
          <w:bCs/>
          <w:color w:val="auto"/>
          <w:sz w:val="24"/>
          <w:highlight w:val="none"/>
        </w:rPr>
        <w:t xml:space="preserve">等。 </w:t>
      </w:r>
    </w:p>
    <w:p w14:paraId="5EA31B65">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②</w:t>
      </w:r>
      <w:r>
        <w:rPr>
          <w:rFonts w:hint="default" w:ascii="Times New Roman" w:hAnsi="Times New Roman" w:eastAsia="宋体" w:cs="Times New Roman"/>
          <w:bCs/>
          <w:color w:val="auto"/>
          <w:sz w:val="24"/>
          <w:highlight w:val="none"/>
          <w:lang w:val="en-US" w:eastAsia="zh-CN"/>
        </w:rPr>
        <w:t>干热性</w:t>
      </w:r>
      <w:r>
        <w:rPr>
          <w:rFonts w:hint="default" w:ascii="Times New Roman" w:hAnsi="Times New Roman" w:eastAsia="宋体" w:cs="Times New Roman"/>
          <w:bCs/>
          <w:color w:val="auto"/>
          <w:sz w:val="24"/>
          <w:highlight w:val="none"/>
        </w:rPr>
        <w:t>稀树灌木草丛</w:t>
      </w:r>
    </w:p>
    <w:p w14:paraId="043170DB">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含锥连栎、坡柳的稀树灌木草丛是干热河谷稀疏灌木草丛的北部类型。分布区海拔900~1600m;年均温17~21℃;年降水量600~1100mm;蒸发量一般大于降水量数倍，最高可达6~7倍，年平均相对湿度在30%~50%;具有南亚热带气候特征，气候以干热为特点。土壤为红壤或红褐。</w:t>
      </w:r>
    </w:p>
    <w:p w14:paraId="2E6027DA">
      <w:pPr>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含锥连栎、坡柳的中草草丛</w:t>
      </w:r>
    </w:p>
    <w:p w14:paraId="4943F0F0">
      <w:pPr>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含锥连栎、坡柳的稀树灌木草丛常以草丛或灌丛为主要层次，灌木有时稀少或不成层次，夹生于草丛之中。稀树分散生长，树木之间距离很大，多数呈现为果园状外貌，其高度一般都在10m以下(个别可到15m)，树干粗壮而弯曲。树皮粗厚，树冠呈球形或伞形等特点。以锥连标(Quercus fanchetii)、坡柳(Dodonaea viscosa)和黄茅(Heteropogon contortus)为共建种，构成锥连栎、坡柳、黄茅群落类型。次级类型为锥连栎、坡柳、黄茅群落(Ouereus francheli,Dodonaea viscosa,Heteropogon contortiusComm,)。群落高度5~8m，分为3层。乔木层的主要种类为锥连标、毛叶黄杞(Engelhardia spicatavar.colebrookeana)、余甘子(Phyllanthusemblica)、清香木(Pistacia weinmannifolia)、铁橡(Quercus cocciferoides)、榄仁(Terminalia fanchetii)、三白树(Fraxinus trifoliolala)、岩柿(Diospyros dumetorum)、刺叶高山栎(Quercus spinosa)等，盖度仅20%左右;灌木层高1.5m，种类稀少，常见种类有坡柳、云南山蚂蟥(Desmodiumyunnanense)、绒毛野丁香(Leptodermis potaninii vartomentosa)等，层盖度5%~10%;草本层以黄茅为优势种，其次为龙须草(Eulaliopsisbinata)、芸香草(Gymbopogon distans)、旱茅(Schizachyrium delavayi)等，层盖度60%~80%(个别90%以上)。</w:t>
      </w:r>
    </w:p>
    <w:p w14:paraId="133687BD">
      <w:pPr>
        <w:snapToGrid w:val="0"/>
        <w:spacing w:line="360" w:lineRule="auto"/>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val="en-US" w:eastAsia="zh-CN"/>
        </w:rPr>
        <w:t>③干热灌丛</w:t>
      </w:r>
    </w:p>
    <w:p w14:paraId="05924965">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本类灌丛分布于云南全省亚热带各地的干热河谷的特殊生境下。气候</w:t>
      </w:r>
      <w:r>
        <w:rPr>
          <w:rFonts w:hint="eastAsia" w:cs="Times New Roman"/>
          <w:bCs/>
          <w:color w:val="auto"/>
          <w:sz w:val="24"/>
          <w:highlight w:val="none"/>
          <w:lang w:eastAsia="zh-CN"/>
        </w:rPr>
        <w:t>干燥</w:t>
      </w:r>
      <w:r>
        <w:rPr>
          <w:rFonts w:hint="default" w:ascii="Times New Roman" w:hAnsi="Times New Roman" w:eastAsia="宋体" w:cs="Times New Roman"/>
          <w:bCs/>
          <w:color w:val="auto"/>
          <w:sz w:val="24"/>
          <w:highlight w:val="none"/>
        </w:rPr>
        <w:t>炎热是植被发育的主要控制因子。加上有些河谷地段</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基质为石灰岩、页岩等</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土壤少而石块多</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地表冲刷严重</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更使生境趋于</w:t>
      </w:r>
      <w:r>
        <w:rPr>
          <w:rFonts w:hint="default" w:ascii="Times New Roman" w:hAnsi="Times New Roman" w:eastAsia="宋体" w:cs="Times New Roman"/>
          <w:bCs/>
          <w:color w:val="auto"/>
          <w:sz w:val="24"/>
          <w:highlight w:val="none"/>
          <w:lang w:eastAsia="zh-CN"/>
        </w:rPr>
        <w:t>旱</w:t>
      </w:r>
      <w:r>
        <w:rPr>
          <w:rFonts w:hint="default" w:ascii="Times New Roman" w:hAnsi="Times New Roman" w:eastAsia="宋体" w:cs="Times New Roman"/>
          <w:bCs/>
          <w:color w:val="auto"/>
          <w:sz w:val="24"/>
          <w:highlight w:val="none"/>
        </w:rPr>
        <w:t>化。由于生境干热</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本类</w:t>
      </w:r>
      <w:r>
        <w:rPr>
          <w:rFonts w:hint="eastAsia" w:cs="Times New Roman"/>
          <w:bCs/>
          <w:color w:val="auto"/>
          <w:sz w:val="24"/>
          <w:highlight w:val="none"/>
          <w:lang w:eastAsia="zh-CN"/>
        </w:rPr>
        <w:t>灌丛</w:t>
      </w:r>
      <w:r>
        <w:rPr>
          <w:rFonts w:hint="default" w:ascii="Times New Roman" w:hAnsi="Times New Roman" w:eastAsia="宋体" w:cs="Times New Roman"/>
          <w:bCs/>
          <w:color w:val="auto"/>
          <w:sz w:val="24"/>
          <w:highlight w:val="none"/>
        </w:rPr>
        <w:t>一般都具有以下生态特点</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(1)</w:t>
      </w:r>
      <w:r>
        <w:rPr>
          <w:rFonts w:hint="default" w:ascii="Times New Roman" w:hAnsi="Times New Roman" w:eastAsia="宋体" w:cs="Times New Roman"/>
          <w:bCs/>
          <w:color w:val="auto"/>
          <w:sz w:val="24"/>
          <w:highlight w:val="none"/>
          <w:lang w:val="en-US" w:eastAsia="zh-CN"/>
        </w:rPr>
        <w:t>灌木</w:t>
      </w:r>
      <w:r>
        <w:rPr>
          <w:rFonts w:hint="default" w:ascii="Times New Roman" w:hAnsi="Times New Roman" w:eastAsia="宋体" w:cs="Times New Roman"/>
          <w:bCs/>
          <w:color w:val="auto"/>
          <w:sz w:val="24"/>
          <w:highlight w:val="none"/>
        </w:rPr>
        <w:t>(或小乔木)的枝干多弯曲</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丛生。(2)茎叶多毛茸</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叶厚</w:t>
      </w:r>
      <w:r>
        <w:rPr>
          <w:rFonts w:hint="default" w:ascii="Times New Roman" w:hAnsi="Times New Roman" w:eastAsia="宋体" w:cs="Times New Roman"/>
          <w:bCs/>
          <w:color w:val="auto"/>
          <w:sz w:val="24"/>
          <w:highlight w:val="none"/>
          <w:lang w:eastAsia="zh-CN"/>
        </w:rPr>
        <w:t>、</w:t>
      </w:r>
      <w:r>
        <w:rPr>
          <w:rFonts w:hint="eastAsia" w:cs="Times New Roman"/>
          <w:bCs/>
          <w:color w:val="auto"/>
          <w:sz w:val="24"/>
          <w:highlight w:val="none"/>
          <w:lang w:eastAsia="zh-CN"/>
        </w:rPr>
        <w:t>旱季</w:t>
      </w:r>
      <w:r>
        <w:rPr>
          <w:rFonts w:hint="default" w:ascii="Times New Roman" w:hAnsi="Times New Roman" w:eastAsia="宋体" w:cs="Times New Roman"/>
          <w:bCs/>
          <w:color w:val="auto"/>
          <w:sz w:val="24"/>
          <w:highlight w:val="none"/>
        </w:rPr>
        <w:t>落叶的种类常多于常绿耐</w:t>
      </w:r>
      <w:r>
        <w:rPr>
          <w:rFonts w:hint="default" w:ascii="Times New Roman" w:hAnsi="Times New Roman" w:eastAsia="宋体" w:cs="Times New Roman"/>
          <w:bCs/>
          <w:color w:val="auto"/>
          <w:sz w:val="24"/>
          <w:highlight w:val="none"/>
          <w:lang w:eastAsia="zh-CN"/>
        </w:rPr>
        <w:t>旱</w:t>
      </w:r>
      <w:r>
        <w:rPr>
          <w:rFonts w:hint="default" w:ascii="Times New Roman" w:hAnsi="Times New Roman" w:eastAsia="宋体" w:cs="Times New Roman"/>
          <w:bCs/>
          <w:color w:val="auto"/>
          <w:sz w:val="24"/>
          <w:highlight w:val="none"/>
        </w:rPr>
        <w:t>的种类。(3)具刺的种类虽然不如上述石灰岩灌丛多，但有的类型以肉质多刺为其主要生态特征。(4)根系粗壮发达</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植株萌生力强</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砍烧之后一般都能萌生成丛。评价区内分布的</w:t>
      </w:r>
      <w:r>
        <w:rPr>
          <w:rFonts w:hint="default" w:ascii="Times New Roman" w:hAnsi="Times New Roman" w:eastAsia="宋体" w:cs="Times New Roman"/>
          <w:bCs/>
          <w:color w:val="auto"/>
          <w:sz w:val="24"/>
          <w:highlight w:val="none"/>
          <w:lang w:val="en-US" w:eastAsia="zh-CN"/>
        </w:rPr>
        <w:t>干热灌丛</w:t>
      </w:r>
      <w:r>
        <w:rPr>
          <w:rFonts w:hint="default" w:ascii="Times New Roman" w:hAnsi="Times New Roman" w:eastAsia="宋体" w:cs="Times New Roman"/>
          <w:bCs/>
          <w:color w:val="auto"/>
          <w:sz w:val="24"/>
          <w:highlight w:val="none"/>
        </w:rPr>
        <w:t>仅有1个群系，即</w:t>
      </w:r>
      <w:r>
        <w:rPr>
          <w:rFonts w:hint="default" w:ascii="Times New Roman" w:hAnsi="Times New Roman" w:eastAsia="宋体" w:cs="Times New Roman"/>
          <w:bCs/>
          <w:color w:val="auto"/>
          <w:sz w:val="24"/>
          <w:highlight w:val="none"/>
          <w:lang w:val="en-US" w:eastAsia="zh-CN"/>
        </w:rPr>
        <w:t>小叶栒子、华西小石积灌丛</w:t>
      </w:r>
      <w:r>
        <w:rPr>
          <w:rFonts w:hint="default" w:ascii="Times New Roman" w:hAnsi="Times New Roman" w:eastAsia="宋体" w:cs="Times New Roman"/>
          <w:bCs/>
          <w:color w:val="auto"/>
          <w:sz w:val="24"/>
          <w:highlight w:val="none"/>
        </w:rPr>
        <w:t>。</w:t>
      </w:r>
    </w:p>
    <w:p w14:paraId="08E26174">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小叶栒子、华西小石积灌丛</w:t>
      </w:r>
    </w:p>
    <w:p w14:paraId="551FA3A9">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此类型在评价区成片分布，面积</w:t>
      </w:r>
      <w:r>
        <w:rPr>
          <w:rFonts w:hint="default" w:ascii="Times New Roman" w:hAnsi="Times New Roman" w:eastAsia="宋体" w:cs="Times New Roman"/>
          <w:bCs/>
          <w:color w:val="auto"/>
          <w:sz w:val="24"/>
          <w:highlight w:val="none"/>
          <w:lang w:val="en-US" w:eastAsia="zh-CN"/>
        </w:rPr>
        <w:t>较大</w:t>
      </w:r>
      <w:r>
        <w:rPr>
          <w:rFonts w:hint="default" w:ascii="Times New Roman" w:hAnsi="Times New Roman" w:eastAsia="宋体" w:cs="Times New Roman"/>
          <w:bCs/>
          <w:color w:val="auto"/>
          <w:sz w:val="24"/>
          <w:highlight w:val="none"/>
        </w:rPr>
        <w:t>。该类型共做3个调查样方（编号</w:t>
      </w:r>
      <w:r>
        <w:rPr>
          <w:rFonts w:hint="default" w:ascii="Times New Roman" w:hAnsi="Times New Roman" w:eastAsia="宋体" w:cs="Times New Roman"/>
          <w:bCs/>
          <w:color w:val="auto"/>
          <w:sz w:val="24"/>
          <w:highlight w:val="none"/>
          <w:lang w:val="en-US" w:eastAsia="zh-CN"/>
        </w:rPr>
        <w:t>01</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02</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05</w:t>
      </w:r>
      <w:r>
        <w:rPr>
          <w:rFonts w:hint="default" w:ascii="Times New Roman" w:hAnsi="Times New Roman" w:eastAsia="宋体" w:cs="Times New Roman"/>
          <w:bCs/>
          <w:color w:val="auto"/>
          <w:sz w:val="24"/>
          <w:highlight w:val="none"/>
        </w:rPr>
        <w:t>）。</w:t>
      </w:r>
    </w:p>
    <w:p w14:paraId="3B0E2C1B">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群落总高1-</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m，总盖度约</w:t>
      </w:r>
      <w:r>
        <w:rPr>
          <w:rFonts w:hint="default" w:ascii="Times New Roman" w:hAnsi="Times New Roman" w:eastAsia="宋体" w:cs="Times New Roman"/>
          <w:bCs/>
          <w:color w:val="auto"/>
          <w:sz w:val="24"/>
          <w:highlight w:val="none"/>
          <w:lang w:val="en-US" w:eastAsia="zh-CN"/>
        </w:rPr>
        <w:t>70</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75</w:t>
      </w:r>
      <w:r>
        <w:rPr>
          <w:rFonts w:hint="default" w:ascii="Times New Roman" w:hAnsi="Times New Roman" w:eastAsia="宋体" w:cs="Times New Roman"/>
          <w:bCs/>
          <w:color w:val="auto"/>
          <w:sz w:val="24"/>
          <w:highlight w:val="none"/>
        </w:rPr>
        <w:t>%，结构简单，分灌木层和草本层。</w:t>
      </w:r>
    </w:p>
    <w:p w14:paraId="4F0935BD">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灌木层高1-</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m，层盖度</w:t>
      </w:r>
      <w:r>
        <w:rPr>
          <w:rFonts w:hint="default" w:ascii="Times New Roman" w:hAnsi="Times New Roman" w:eastAsia="宋体" w:cs="Times New Roman"/>
          <w:bCs/>
          <w:color w:val="auto"/>
          <w:sz w:val="24"/>
          <w:highlight w:val="none"/>
          <w:lang w:val="en-US" w:eastAsia="zh-CN"/>
        </w:rPr>
        <w:t>65</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7</w:t>
      </w:r>
      <w:r>
        <w:rPr>
          <w:rFonts w:hint="default" w:ascii="Times New Roman" w:hAnsi="Times New Roman" w:eastAsia="宋体" w:cs="Times New Roman"/>
          <w:bCs/>
          <w:color w:val="auto"/>
          <w:sz w:val="24"/>
          <w:highlight w:val="none"/>
        </w:rPr>
        <w:t>0%，灌木层树种包括小叶栒子Cotoneaster microphyllus</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华西小石积</w:t>
      </w:r>
      <w:r>
        <w:rPr>
          <w:rFonts w:hint="default" w:ascii="Times New Roman" w:hAnsi="Times New Roman" w:eastAsia="宋体" w:cs="Times New Roman"/>
          <w:bCs/>
          <w:color w:val="auto"/>
          <w:sz w:val="24"/>
          <w:highlight w:val="none"/>
          <w:lang w:val="zh-CN"/>
        </w:rPr>
        <w:t>Osteomeles schwerinae</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野坝子</w:t>
      </w:r>
      <w:r>
        <w:rPr>
          <w:rFonts w:hint="default" w:ascii="Times New Roman" w:hAnsi="Times New Roman" w:eastAsia="宋体" w:cs="Times New Roman"/>
          <w:bCs/>
          <w:color w:val="auto"/>
          <w:sz w:val="24"/>
          <w:highlight w:val="none"/>
          <w:lang w:val="zh-CN"/>
        </w:rPr>
        <w:t>Elsholtzia rugulosa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车桑子</w:t>
      </w:r>
      <w:r>
        <w:rPr>
          <w:rFonts w:hint="default" w:ascii="Times New Roman" w:hAnsi="Times New Roman" w:eastAsia="宋体" w:cs="Times New Roman"/>
          <w:bCs/>
          <w:color w:val="auto"/>
          <w:sz w:val="24"/>
          <w:highlight w:val="none"/>
          <w:lang w:val="zh-CN"/>
        </w:rPr>
        <w:t>Dodonaea viscosa</w:t>
      </w:r>
      <w:r>
        <w:rPr>
          <w:rFonts w:hint="default" w:ascii="Times New Roman" w:hAnsi="Times New Roman" w:eastAsia="宋体" w:cs="Times New Roman"/>
          <w:bCs/>
          <w:color w:val="auto"/>
          <w:sz w:val="24"/>
          <w:highlight w:val="none"/>
          <w:lang w:val="pt-BR" w:eastAsia="zh-CN"/>
        </w:rPr>
        <w:t>、</w:t>
      </w:r>
      <w:r>
        <w:rPr>
          <w:rFonts w:hint="default" w:ascii="Times New Roman" w:hAnsi="Times New Roman" w:eastAsia="宋体" w:cs="Times New Roman"/>
          <w:bCs/>
          <w:color w:val="auto"/>
          <w:sz w:val="24"/>
          <w:highlight w:val="none"/>
          <w:lang w:val="pt-BR"/>
        </w:rPr>
        <w:t>清香木</w:t>
      </w:r>
      <w:r>
        <w:rPr>
          <w:rFonts w:hint="default" w:ascii="Times New Roman" w:hAnsi="Times New Roman" w:eastAsia="宋体" w:cs="Times New Roman"/>
          <w:bCs/>
          <w:color w:val="auto"/>
          <w:sz w:val="24"/>
          <w:highlight w:val="none"/>
          <w:lang w:val="zh-CN"/>
        </w:rPr>
        <w:t>Pistacia weinmannifolia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毛叶黄杞</w:t>
      </w:r>
      <w:r>
        <w:rPr>
          <w:rFonts w:hint="default" w:ascii="Times New Roman" w:hAnsi="Times New Roman" w:eastAsia="宋体" w:cs="Times New Roman"/>
          <w:bCs/>
          <w:color w:val="auto"/>
          <w:sz w:val="24"/>
          <w:highlight w:val="none"/>
          <w:lang w:val="zh-CN"/>
        </w:rPr>
        <w:t>Engelhardtia colebrookiana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臭荚蒾</w:t>
      </w:r>
      <w:r>
        <w:rPr>
          <w:rFonts w:hint="default" w:ascii="Times New Roman" w:hAnsi="Times New Roman" w:eastAsia="宋体" w:cs="Times New Roman"/>
          <w:bCs/>
          <w:color w:val="auto"/>
          <w:sz w:val="24"/>
          <w:highlight w:val="none"/>
          <w:lang w:val="zh-CN"/>
        </w:rPr>
        <w:t>Viburnum foetidum</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 xml:space="preserve">沙针 </w:t>
      </w:r>
      <w:r>
        <w:rPr>
          <w:rFonts w:hint="default" w:ascii="Times New Roman" w:hAnsi="Times New Roman" w:eastAsia="宋体" w:cs="Times New Roman"/>
          <w:bCs/>
          <w:color w:val="auto"/>
          <w:sz w:val="24"/>
          <w:highlight w:val="none"/>
          <w:lang w:val="zh-CN"/>
        </w:rPr>
        <w:t>Osyris wightiana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 xml:space="preserve">南烛 </w:t>
      </w:r>
      <w:r>
        <w:rPr>
          <w:rFonts w:hint="default" w:ascii="Times New Roman" w:hAnsi="Times New Roman" w:eastAsia="宋体" w:cs="Times New Roman"/>
          <w:bCs/>
          <w:color w:val="auto"/>
          <w:sz w:val="24"/>
          <w:highlight w:val="none"/>
          <w:lang w:val="zh-CN"/>
        </w:rPr>
        <w:t>Vacinium bracteatum</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小铁仔</w:t>
      </w:r>
      <w:r>
        <w:rPr>
          <w:rFonts w:hint="default" w:ascii="Times New Roman" w:hAnsi="Times New Roman" w:eastAsia="宋体" w:cs="Times New Roman"/>
          <w:bCs/>
          <w:color w:val="auto"/>
          <w:sz w:val="24"/>
          <w:highlight w:val="none"/>
          <w:lang w:val="zh-CN"/>
        </w:rPr>
        <w:t>Myrsine africana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余甘子</w:t>
      </w:r>
      <w:r>
        <w:rPr>
          <w:rFonts w:hint="default" w:ascii="Times New Roman" w:hAnsi="Times New Roman" w:eastAsia="宋体" w:cs="Times New Roman"/>
          <w:bCs/>
          <w:color w:val="auto"/>
          <w:sz w:val="24"/>
          <w:highlight w:val="none"/>
          <w:lang w:val="zh-CN"/>
        </w:rPr>
        <w:t>Phyllanthus emblica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毛叶柿</w:t>
      </w:r>
      <w:r>
        <w:rPr>
          <w:rFonts w:hint="default" w:ascii="Times New Roman" w:hAnsi="Times New Roman" w:eastAsia="宋体" w:cs="Times New Roman"/>
          <w:bCs/>
          <w:color w:val="auto"/>
          <w:sz w:val="24"/>
          <w:highlight w:val="none"/>
          <w:lang w:val="zh-CN"/>
        </w:rPr>
        <w:t>Diospyros mollifolia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滇油杉</w:t>
      </w:r>
      <w:r>
        <w:rPr>
          <w:rFonts w:hint="default" w:ascii="Times New Roman" w:hAnsi="Times New Roman" w:eastAsia="宋体" w:cs="Times New Roman"/>
          <w:bCs/>
          <w:color w:val="auto"/>
          <w:sz w:val="24"/>
          <w:highlight w:val="none"/>
          <w:lang w:val="zh-CN"/>
        </w:rPr>
        <w:t>Keteleeria evelyniana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美丽胡枝子</w:t>
      </w:r>
      <w:r>
        <w:rPr>
          <w:rFonts w:hint="default" w:ascii="Times New Roman" w:hAnsi="Times New Roman" w:eastAsia="宋体" w:cs="Times New Roman"/>
          <w:bCs/>
          <w:color w:val="auto"/>
          <w:sz w:val="24"/>
          <w:highlight w:val="none"/>
          <w:lang w:val="zh-CN"/>
        </w:rPr>
        <w:t>Lespedeza formosa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 xml:space="preserve">卵叶悬钩子 </w:t>
      </w:r>
      <w:r>
        <w:rPr>
          <w:rFonts w:hint="default" w:ascii="Times New Roman" w:hAnsi="Times New Roman" w:eastAsia="宋体" w:cs="Times New Roman"/>
          <w:bCs/>
          <w:color w:val="auto"/>
          <w:sz w:val="24"/>
          <w:highlight w:val="none"/>
          <w:lang w:val="zh-CN"/>
        </w:rPr>
        <w:t>Rubus pectinellus</w:t>
      </w:r>
      <w:r>
        <w:rPr>
          <w:rFonts w:hint="default" w:ascii="Times New Roman" w:hAnsi="Times New Roman" w:eastAsia="宋体" w:cs="Times New Roman"/>
          <w:bCs/>
          <w:color w:val="auto"/>
          <w:sz w:val="24"/>
          <w:highlight w:val="none"/>
          <w:lang w:val="en-US" w:eastAsia="zh-CN"/>
        </w:rPr>
        <w:t>、金花小檗Berberis wilsonae</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云南松</w:t>
      </w:r>
      <w:r>
        <w:rPr>
          <w:rFonts w:hint="default" w:ascii="Times New Roman" w:hAnsi="Times New Roman" w:eastAsia="宋体" w:cs="Times New Roman"/>
          <w:bCs/>
          <w:color w:val="auto"/>
          <w:sz w:val="24"/>
          <w:highlight w:val="none"/>
          <w:lang w:val="zh-CN"/>
        </w:rPr>
        <w:t>Pinus yunnanensis</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滇石栎</w:t>
      </w:r>
      <w:r>
        <w:rPr>
          <w:rFonts w:hint="default" w:ascii="Times New Roman" w:hAnsi="Times New Roman" w:eastAsia="宋体" w:cs="Times New Roman"/>
          <w:bCs/>
          <w:color w:val="auto"/>
          <w:sz w:val="24"/>
          <w:highlight w:val="none"/>
          <w:lang w:val="zh-CN"/>
        </w:rPr>
        <w:t>Lithocarpus dealbatus</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石楠</w:t>
      </w:r>
      <w:r>
        <w:rPr>
          <w:rFonts w:hint="default" w:ascii="Times New Roman" w:hAnsi="Times New Roman" w:eastAsia="宋体" w:cs="Times New Roman"/>
          <w:bCs/>
          <w:color w:val="auto"/>
          <w:sz w:val="24"/>
          <w:highlight w:val="none"/>
          <w:lang w:val="zh-CN"/>
        </w:rPr>
        <w:t>Photinia sp.</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少脉雀梅藤</w:t>
      </w:r>
      <w:r>
        <w:rPr>
          <w:rFonts w:hint="default" w:ascii="Times New Roman" w:hAnsi="Times New Roman" w:eastAsia="宋体" w:cs="Times New Roman"/>
          <w:bCs/>
          <w:color w:val="auto"/>
          <w:sz w:val="24"/>
          <w:highlight w:val="none"/>
          <w:lang w:val="zh-CN"/>
        </w:rPr>
        <w:t>Sageretia paucicostata</w:t>
      </w:r>
      <w:r>
        <w:rPr>
          <w:rFonts w:hint="default" w:ascii="Times New Roman" w:hAnsi="Times New Roman" w:eastAsia="宋体" w:cs="Times New Roman"/>
          <w:bCs/>
          <w:color w:val="auto"/>
          <w:sz w:val="24"/>
          <w:highlight w:val="none"/>
          <w:lang w:val="en-US" w:eastAsia="zh-CN"/>
        </w:rPr>
        <w:t>与</w:t>
      </w:r>
      <w:r>
        <w:rPr>
          <w:rFonts w:hint="default" w:ascii="Times New Roman" w:hAnsi="Times New Roman" w:eastAsia="宋体" w:cs="Times New Roman"/>
          <w:bCs/>
          <w:color w:val="auto"/>
          <w:sz w:val="24"/>
          <w:highlight w:val="none"/>
        </w:rPr>
        <w:t>厚皮香Ternstroemia gymnanthera等。</w:t>
      </w:r>
    </w:p>
    <w:p w14:paraId="07739358">
      <w:pPr>
        <w:snapToGrid w:val="0"/>
        <w:spacing w:line="360" w:lineRule="auto"/>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rPr>
        <w:t>草本层高度0.8-1.2m，层高度为60%-70%，主要以黄茅</w:t>
      </w:r>
      <w:r>
        <w:rPr>
          <w:rFonts w:hint="default" w:ascii="Times New Roman" w:hAnsi="Times New Roman" w:eastAsia="宋体" w:cs="Times New Roman"/>
          <w:bCs/>
          <w:color w:val="auto"/>
          <w:sz w:val="24"/>
          <w:highlight w:val="none"/>
          <w:lang w:val="zh-CN"/>
        </w:rPr>
        <w:t>Heteropogon contortus</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黄背草</w:t>
      </w:r>
      <w:r>
        <w:rPr>
          <w:rFonts w:hint="default" w:ascii="Times New Roman" w:hAnsi="Times New Roman" w:eastAsia="宋体" w:cs="Times New Roman"/>
          <w:bCs/>
          <w:color w:val="auto"/>
          <w:sz w:val="24"/>
          <w:highlight w:val="none"/>
          <w:lang w:val="zh-CN"/>
        </w:rPr>
        <w:t>Themeda triandra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细柄草</w:t>
      </w:r>
      <w:r>
        <w:rPr>
          <w:rFonts w:hint="default" w:ascii="Times New Roman" w:hAnsi="Times New Roman" w:eastAsia="宋体" w:cs="Times New Roman"/>
          <w:bCs/>
          <w:color w:val="auto"/>
          <w:sz w:val="24"/>
          <w:highlight w:val="none"/>
          <w:lang w:val="zh-CN"/>
        </w:rPr>
        <w:t>Capillipedium parviflorum</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滇须芒草</w:t>
      </w:r>
      <w:r>
        <w:rPr>
          <w:rFonts w:hint="default" w:ascii="Times New Roman" w:hAnsi="Times New Roman" w:eastAsia="宋体" w:cs="Times New Roman"/>
          <w:bCs/>
          <w:color w:val="auto"/>
          <w:sz w:val="24"/>
          <w:highlight w:val="none"/>
          <w:lang w:val="zh-CN"/>
        </w:rPr>
        <w:t>Andropogon yunnanensis</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荩草</w:t>
      </w:r>
      <w:r>
        <w:rPr>
          <w:rFonts w:hint="default" w:ascii="Times New Roman" w:hAnsi="Times New Roman" w:eastAsia="宋体" w:cs="Times New Roman"/>
          <w:bCs/>
          <w:color w:val="auto"/>
          <w:sz w:val="24"/>
          <w:highlight w:val="none"/>
          <w:lang w:val="zh-CN"/>
        </w:rPr>
        <w:t>Arthraxon hispidus</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白花鬼针草</w:t>
      </w:r>
      <w:r>
        <w:rPr>
          <w:rFonts w:hint="default" w:ascii="Times New Roman" w:hAnsi="Times New Roman" w:eastAsia="宋体" w:cs="Times New Roman"/>
          <w:bCs/>
          <w:color w:val="auto"/>
          <w:sz w:val="24"/>
          <w:highlight w:val="none"/>
          <w:lang w:val="zh-CN"/>
        </w:rPr>
        <w:t>Bidens pilosa var. radiata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大叶繁缕</w:t>
      </w:r>
      <w:r>
        <w:rPr>
          <w:rFonts w:hint="default" w:ascii="Times New Roman" w:hAnsi="Times New Roman" w:eastAsia="宋体" w:cs="Times New Roman"/>
          <w:bCs/>
          <w:color w:val="auto"/>
          <w:sz w:val="24"/>
          <w:highlight w:val="none"/>
          <w:lang w:val="zh-CN"/>
        </w:rPr>
        <w:t>Stellaria delavayi</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羊耳菊Inula cappa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四棱风</w:t>
      </w:r>
      <w:r>
        <w:rPr>
          <w:rFonts w:hint="default" w:ascii="Times New Roman" w:hAnsi="Times New Roman" w:eastAsia="宋体" w:cs="Times New Roman"/>
          <w:bCs/>
          <w:color w:val="auto"/>
          <w:sz w:val="24"/>
          <w:highlight w:val="none"/>
          <w:lang w:val="zh-CN"/>
        </w:rPr>
        <w:t>Laggera alata</w:t>
      </w:r>
      <w:r>
        <w:rPr>
          <w:rFonts w:hint="default" w:ascii="Times New Roman" w:hAnsi="Times New Roman" w:eastAsia="宋体" w:cs="Times New Roman"/>
          <w:bCs/>
          <w:color w:val="auto"/>
          <w:sz w:val="24"/>
          <w:highlight w:val="none"/>
          <w:lang w:val="en-US" w:eastAsia="zh-CN"/>
        </w:rPr>
        <w:t>与</w:t>
      </w:r>
      <w:r>
        <w:rPr>
          <w:rFonts w:hint="default" w:ascii="Times New Roman" w:hAnsi="Times New Roman" w:eastAsia="宋体" w:cs="Times New Roman"/>
          <w:bCs/>
          <w:color w:val="auto"/>
          <w:sz w:val="24"/>
          <w:highlight w:val="none"/>
        </w:rPr>
        <w:t>黄花香茶菜</w:t>
      </w:r>
      <w:r>
        <w:rPr>
          <w:rFonts w:hint="default" w:ascii="Times New Roman" w:hAnsi="Times New Roman" w:eastAsia="宋体" w:cs="Times New Roman"/>
          <w:bCs/>
          <w:color w:val="auto"/>
          <w:sz w:val="24"/>
          <w:highlight w:val="none"/>
          <w:lang w:val="zh-CN"/>
        </w:rPr>
        <w:t>Rabdosia sculponeata</w:t>
      </w:r>
      <w:r>
        <w:rPr>
          <w:rFonts w:hint="default" w:ascii="Times New Roman" w:hAnsi="Times New Roman" w:eastAsia="宋体" w:cs="Times New Roman"/>
          <w:bCs/>
          <w:color w:val="auto"/>
          <w:sz w:val="24"/>
          <w:highlight w:val="none"/>
        </w:rPr>
        <w:t>等</w:t>
      </w:r>
      <w:r>
        <w:rPr>
          <w:rFonts w:hint="default" w:ascii="Times New Roman" w:hAnsi="Times New Roman" w:eastAsia="宋体" w:cs="Times New Roman"/>
          <w:bCs/>
          <w:color w:val="auto"/>
          <w:sz w:val="24"/>
          <w:highlight w:val="none"/>
          <w:lang w:eastAsia="zh-CN"/>
        </w:rPr>
        <w:t>。</w:t>
      </w:r>
    </w:p>
    <w:p w14:paraId="6D6C94E0">
      <w:pPr>
        <w:snapToGrid w:val="0"/>
        <w:spacing w:line="360" w:lineRule="auto"/>
        <w:ind w:firstLine="480" w:firstLineChars="200"/>
        <w:rPr>
          <w:rFonts w:hint="default" w:ascii="Times New Roman" w:hAnsi="Times New Roman" w:eastAsia="宋体" w:cs="Times New Roman"/>
          <w:bCs/>
          <w:color w:val="auto"/>
          <w:sz w:val="24"/>
          <w:highlight w:val="none"/>
          <w:lang w:val="zh-CN"/>
        </w:rPr>
      </w:pPr>
      <w:r>
        <w:rPr>
          <w:rFonts w:hint="default" w:ascii="Times New Roman" w:hAnsi="Times New Roman" w:eastAsia="宋体" w:cs="Times New Roman"/>
          <w:bCs/>
          <w:color w:val="auto"/>
          <w:sz w:val="24"/>
          <w:highlight w:val="none"/>
          <w:lang w:val="en-US" w:eastAsia="zh-CN"/>
        </w:rPr>
        <w:t>二、</w:t>
      </w:r>
      <w:r>
        <w:rPr>
          <w:rFonts w:hint="default" w:ascii="Times New Roman" w:hAnsi="Times New Roman" w:eastAsia="宋体" w:cs="Times New Roman"/>
          <w:bCs/>
          <w:color w:val="auto"/>
          <w:sz w:val="24"/>
          <w:highlight w:val="none"/>
          <w:lang w:val="zh-CN"/>
        </w:rPr>
        <w:t xml:space="preserve">人工植被 </w:t>
      </w:r>
    </w:p>
    <w:p w14:paraId="1B7F6C8A">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评价区人工植被包括人工林、</w:t>
      </w:r>
      <w:r>
        <w:rPr>
          <w:rFonts w:hint="default" w:ascii="Times New Roman" w:hAnsi="Times New Roman" w:eastAsia="宋体" w:cs="Times New Roman"/>
          <w:bCs/>
          <w:color w:val="auto"/>
          <w:sz w:val="24"/>
          <w:highlight w:val="none"/>
          <w:lang w:val="en-US" w:eastAsia="zh-CN"/>
        </w:rPr>
        <w:t>园地植被</w:t>
      </w:r>
      <w:r>
        <w:rPr>
          <w:rFonts w:hint="default" w:ascii="Times New Roman" w:hAnsi="Times New Roman" w:eastAsia="宋体" w:cs="Times New Roman"/>
          <w:bCs/>
          <w:color w:val="auto"/>
          <w:sz w:val="24"/>
          <w:highlight w:val="none"/>
        </w:rPr>
        <w:t>和耕地植被。</w:t>
      </w:r>
    </w:p>
    <w:p w14:paraId="5F23725C">
      <w:pPr>
        <w:snapToGrid w:val="0"/>
        <w:spacing w:line="360" w:lineRule="auto"/>
        <w:ind w:firstLine="480" w:firstLineChars="200"/>
        <w:rPr>
          <w:rFonts w:hint="default" w:ascii="Times New Roman" w:hAnsi="Times New Roman" w:eastAsia="宋体" w:cs="Times New Roman"/>
          <w:bCs/>
          <w:color w:val="auto"/>
          <w:sz w:val="24"/>
          <w:highlight w:val="none"/>
        </w:rPr>
      </w:pPr>
      <w:bookmarkStart w:id="239" w:name="_Toc17873"/>
      <w:r>
        <w:rPr>
          <w:rFonts w:hint="default" w:ascii="Times New Roman" w:hAnsi="Times New Roman" w:eastAsia="宋体" w:cs="Times New Roman"/>
          <w:bCs/>
          <w:color w:val="auto"/>
          <w:sz w:val="24"/>
          <w:highlight w:val="none"/>
        </w:rPr>
        <w:t>（1）人工林</w:t>
      </w:r>
      <w:bookmarkEnd w:id="239"/>
    </w:p>
    <w:p w14:paraId="715F47D6">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均为单优种人工纯林，以</w:t>
      </w:r>
      <w:r>
        <w:rPr>
          <w:rFonts w:hint="default" w:ascii="Times New Roman" w:hAnsi="Times New Roman" w:eastAsia="宋体" w:cs="Times New Roman"/>
          <w:bCs/>
          <w:color w:val="auto"/>
          <w:sz w:val="24"/>
          <w:highlight w:val="none"/>
          <w:lang w:val="en-US" w:eastAsia="zh-CN"/>
        </w:rPr>
        <w:t>桉树</w:t>
      </w:r>
      <w:r>
        <w:rPr>
          <w:rFonts w:hint="default" w:ascii="Times New Roman" w:hAnsi="Times New Roman" w:eastAsia="宋体" w:cs="Times New Roman"/>
          <w:bCs/>
          <w:color w:val="auto"/>
          <w:sz w:val="24"/>
          <w:highlight w:val="none"/>
        </w:rPr>
        <w:t>为主，分布</w:t>
      </w:r>
      <w:r>
        <w:rPr>
          <w:rFonts w:hint="default" w:ascii="Times New Roman" w:hAnsi="Times New Roman" w:eastAsia="宋体" w:cs="Times New Roman"/>
          <w:bCs/>
          <w:color w:val="auto"/>
          <w:sz w:val="24"/>
          <w:highlight w:val="none"/>
          <w:lang w:val="en-US" w:eastAsia="zh-CN"/>
        </w:rPr>
        <w:t>场地</w:t>
      </w:r>
      <w:r>
        <w:rPr>
          <w:rFonts w:hint="default" w:ascii="Times New Roman" w:hAnsi="Times New Roman" w:eastAsia="宋体" w:cs="Times New Roman"/>
          <w:bCs/>
          <w:color w:val="auto"/>
          <w:sz w:val="24"/>
          <w:highlight w:val="none"/>
        </w:rPr>
        <w:t>周边，山坡的接壤处底部也常呈条带状，人工林种植密集，受人为干扰较严重，林下灌木和草本植物很少。</w:t>
      </w:r>
    </w:p>
    <w:p w14:paraId="429EF1F1">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（2）园地植被</w:t>
      </w:r>
    </w:p>
    <w:p w14:paraId="303BB4E2">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评价区的</w:t>
      </w:r>
      <w:r>
        <w:rPr>
          <w:rFonts w:hint="default" w:ascii="Times New Roman" w:hAnsi="Times New Roman" w:eastAsia="宋体" w:cs="Times New Roman"/>
          <w:bCs/>
          <w:color w:val="auto"/>
          <w:sz w:val="24"/>
          <w:highlight w:val="none"/>
          <w:lang w:val="en-US" w:eastAsia="zh-CN"/>
        </w:rPr>
        <w:t>园地</w:t>
      </w:r>
      <w:r>
        <w:rPr>
          <w:rFonts w:hint="default" w:ascii="Times New Roman" w:hAnsi="Times New Roman" w:eastAsia="宋体" w:cs="Times New Roman"/>
          <w:bCs/>
          <w:color w:val="auto"/>
          <w:sz w:val="24"/>
          <w:highlight w:val="none"/>
        </w:rPr>
        <w:t>主要</w:t>
      </w:r>
      <w:r>
        <w:rPr>
          <w:rFonts w:hint="default" w:ascii="Times New Roman" w:hAnsi="Times New Roman" w:eastAsia="宋体" w:cs="Times New Roman"/>
          <w:bCs/>
          <w:color w:val="auto"/>
          <w:sz w:val="24"/>
          <w:highlight w:val="none"/>
          <w:lang w:val="en-US" w:eastAsia="zh-CN"/>
        </w:rPr>
        <w:t>种植葡萄、桃树</w:t>
      </w:r>
      <w:r>
        <w:rPr>
          <w:rFonts w:hint="default" w:ascii="Times New Roman" w:hAnsi="Times New Roman" w:eastAsia="宋体" w:cs="Times New Roman"/>
          <w:bCs/>
          <w:color w:val="auto"/>
          <w:sz w:val="24"/>
          <w:highlight w:val="none"/>
        </w:rPr>
        <w:t>等。</w:t>
      </w:r>
    </w:p>
    <w:p w14:paraId="680F6A8D">
      <w:pPr>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bookmarkStart w:id="240" w:name="_Toc26287"/>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）耕地</w:t>
      </w:r>
      <w:bookmarkEnd w:id="240"/>
      <w:r>
        <w:rPr>
          <w:rFonts w:hint="default" w:ascii="Times New Roman" w:hAnsi="Times New Roman" w:eastAsia="宋体" w:cs="Times New Roman"/>
          <w:bCs/>
          <w:color w:val="auto"/>
          <w:sz w:val="24"/>
          <w:highlight w:val="none"/>
          <w:lang w:val="en-US" w:eastAsia="zh-CN"/>
        </w:rPr>
        <w:t>植被</w:t>
      </w:r>
    </w:p>
    <w:p w14:paraId="66CE7337">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评价区的耕地植被主要是旱地；耕地分布于评价区的村庄边和公路边等交通较为方便的平缓区，部分区域分布有坡耕地，主要种植玉米等作物。</w:t>
      </w:r>
    </w:p>
    <w:p w14:paraId="224A6AD0">
      <w:pPr>
        <w:spacing w:line="360" w:lineRule="auto"/>
        <w:ind w:left="-13" w:right="8" w:firstLine="480"/>
        <w:rPr>
          <w:b w:val="0"/>
          <w:bCs/>
          <w:color w:val="auto"/>
          <w:sz w:val="24"/>
        </w:rPr>
      </w:pPr>
      <w:r>
        <w:rPr>
          <w:rFonts w:hint="eastAsia"/>
          <w:b w:val="0"/>
          <w:bCs/>
          <w:color w:val="auto"/>
          <w:sz w:val="24"/>
          <w:lang w:val="en-US" w:eastAsia="zh-CN"/>
        </w:rPr>
        <w:t>三</w:t>
      </w:r>
      <w:r>
        <w:rPr>
          <w:b w:val="0"/>
          <w:bCs/>
          <w:color w:val="auto"/>
          <w:sz w:val="24"/>
        </w:rPr>
        <w:t>、重要物种</w:t>
      </w:r>
    </w:p>
    <w:p w14:paraId="79F46710">
      <w:pPr>
        <w:pStyle w:val="14"/>
        <w:spacing w:line="360" w:lineRule="auto"/>
        <w:ind w:firstLine="482"/>
        <w:rPr>
          <w:rFonts w:ascii="Times New Roman" w:hAnsi="Times New Roman"/>
          <w:color w:val="auto"/>
          <w:sz w:val="24"/>
        </w:rPr>
      </w:pPr>
      <w:r>
        <w:rPr>
          <w:rFonts w:ascii="Times New Roman" w:hAnsi="Times New Roman"/>
          <w:color w:val="auto"/>
          <w:sz w:val="24"/>
        </w:rPr>
        <w:t>（1）保护植物</w:t>
      </w:r>
    </w:p>
    <w:p w14:paraId="25FA7848">
      <w:pPr>
        <w:pStyle w:val="14"/>
        <w:spacing w:line="360" w:lineRule="auto"/>
        <w:ind w:firstLine="482"/>
        <w:rPr>
          <w:rFonts w:ascii="Times New Roman" w:hAnsi="Times New Roman"/>
          <w:color w:val="auto"/>
          <w:kern w:val="0"/>
          <w:sz w:val="24"/>
        </w:rPr>
      </w:pPr>
      <w:r>
        <w:rPr>
          <w:rFonts w:ascii="Times New Roman" w:hAnsi="Times New Roman"/>
          <w:color w:val="auto"/>
          <w:sz w:val="24"/>
        </w:rPr>
        <w:t>经对照《国家重点保护野生植物名录》（国家林业和草原局 农业农村部，2021年）、《云南省第一批省级重点保护野生植物名录》（云南省环境保护委员会，1989年）、《中国生物多样性红色名录—高等植物卷（2020年）》（生态环境部 中国科学院，2023年），</w:t>
      </w:r>
      <w:r>
        <w:rPr>
          <w:rFonts w:ascii="Times New Roman" w:hAnsi="Times New Roman"/>
          <w:color w:val="auto"/>
          <w:kern w:val="0"/>
          <w:sz w:val="24"/>
        </w:rPr>
        <w:t>评价区未发现国家和云南省发布的保护植物。</w:t>
      </w:r>
    </w:p>
    <w:p w14:paraId="7E95EE63">
      <w:pPr>
        <w:pStyle w:val="76"/>
        <w:widowControl w:val="0"/>
        <w:adjustRightInd w:val="0"/>
        <w:ind w:firstLine="482"/>
        <w:jc w:val="both"/>
        <w:rPr>
          <w:rFonts w:ascii="Times New Roman" w:hAnsi="Times New Roman" w:cs="Times New Roman"/>
          <w:color w:val="auto"/>
          <w:sz w:val="24"/>
          <w:szCs w:val="24"/>
        </w:rPr>
      </w:pPr>
      <w:r>
        <w:rPr>
          <w:rFonts w:ascii="Times New Roman" w:hAnsi="Times New Roman" w:cs="Times New Roman"/>
          <w:color w:val="auto"/>
          <w:sz w:val="24"/>
          <w:szCs w:val="24"/>
        </w:rPr>
        <w:t>（2）古树名木</w:t>
      </w:r>
    </w:p>
    <w:p w14:paraId="19D00EFB">
      <w:pPr>
        <w:pStyle w:val="14"/>
        <w:spacing w:line="360" w:lineRule="auto"/>
        <w:ind w:firstLine="482"/>
        <w:rPr>
          <w:rFonts w:ascii="Times New Roman" w:hAnsi="Times New Roman"/>
          <w:color w:val="auto"/>
          <w:kern w:val="0"/>
          <w:sz w:val="24"/>
        </w:rPr>
      </w:pPr>
      <w:r>
        <w:rPr>
          <w:rFonts w:ascii="Times New Roman" w:hAnsi="Times New Roman"/>
          <w:color w:val="auto"/>
          <w:kern w:val="0"/>
          <w:sz w:val="24"/>
        </w:rPr>
        <w:t>按照全国绿化委员会、国家林业局文件（全绿字[2001]15 号）对古树名木的界定，古树指树龄在100年以上的树木；名木指在历史上或社会上有重大影响的中外历代名人、领袖人物所植或者具有极其重要的历史、文化价值、纪念意义的树木。根据现场调查，评价区未发现名木古树。</w:t>
      </w:r>
    </w:p>
    <w:p w14:paraId="173FC27B">
      <w:pPr>
        <w:pStyle w:val="14"/>
        <w:spacing w:line="360" w:lineRule="auto"/>
        <w:ind w:firstLine="482"/>
        <w:rPr>
          <w:rFonts w:ascii="Times New Roman" w:hAnsi="Times New Roman"/>
          <w:color w:val="auto"/>
          <w:kern w:val="0"/>
          <w:sz w:val="24"/>
        </w:rPr>
      </w:pPr>
      <w:r>
        <w:rPr>
          <w:rFonts w:ascii="Times New Roman" w:hAnsi="Times New Roman"/>
          <w:color w:val="auto"/>
          <w:kern w:val="0"/>
          <w:sz w:val="24"/>
        </w:rPr>
        <w:t>（3）评价区极小种群植物</w:t>
      </w:r>
    </w:p>
    <w:p w14:paraId="79E0EA14">
      <w:pPr>
        <w:pStyle w:val="14"/>
        <w:spacing w:line="360" w:lineRule="auto"/>
        <w:ind w:firstLine="482"/>
        <w:rPr>
          <w:rFonts w:ascii="Times New Roman" w:hAnsi="Times New Roman"/>
          <w:color w:val="auto"/>
          <w:kern w:val="0"/>
          <w:sz w:val="24"/>
        </w:rPr>
      </w:pPr>
      <w:r>
        <w:rPr>
          <w:rFonts w:ascii="Times New Roman" w:hAnsi="Times New Roman"/>
          <w:color w:val="auto"/>
          <w:kern w:val="0"/>
          <w:sz w:val="24"/>
        </w:rPr>
        <w:t>经对照《全国极小种群野生植物拯救保护工程规划》（2011-2015年）、《云南省极小种群野生植物保护名录》（云南省林业和草原局 ，2021版），评价区未发现国家和云南省发布的极小种群野生植物。</w:t>
      </w:r>
    </w:p>
    <w:p w14:paraId="3FBBDA90">
      <w:pPr>
        <w:spacing w:line="360" w:lineRule="auto"/>
        <w:ind w:firstLine="480" w:firstLineChars="200"/>
        <w:rPr>
          <w:color w:val="auto"/>
          <w:kern w:val="0"/>
          <w:sz w:val="24"/>
        </w:rPr>
      </w:pPr>
      <w:r>
        <w:rPr>
          <w:color w:val="auto"/>
          <w:kern w:val="0"/>
          <w:sz w:val="24"/>
        </w:rPr>
        <w:t>（4）外来入侵植物</w:t>
      </w:r>
    </w:p>
    <w:p w14:paraId="39B4AE83">
      <w:pPr>
        <w:pStyle w:val="14"/>
        <w:spacing w:line="360" w:lineRule="auto"/>
        <w:ind w:firstLine="482"/>
        <w:rPr>
          <w:color w:val="auto"/>
          <w:sz w:val="24"/>
        </w:rPr>
      </w:pPr>
      <w:r>
        <w:rPr>
          <w:rFonts w:ascii="Times New Roman" w:hAnsi="Times New Roman"/>
          <w:color w:val="auto"/>
          <w:kern w:val="0"/>
          <w:sz w:val="24"/>
        </w:rPr>
        <w:t>按照《云南省外来入侵物种名录（2019版）》（云南省生态环境厅等，2019年）发布的名录统计，评价区记录外来入侵植物3种，包含2种恶性入侵物种（I）：紫茎泽兰</w:t>
      </w:r>
      <w:r>
        <w:rPr>
          <w:rFonts w:ascii="Times New Roman" w:hAnsi="Times New Roman"/>
          <w:i/>
          <w:color w:val="auto"/>
          <w:kern w:val="0"/>
          <w:sz w:val="24"/>
        </w:rPr>
        <w:t>Eupatorium Adenophorum</w:t>
      </w:r>
      <w:r>
        <w:rPr>
          <w:rFonts w:ascii="Times New Roman" w:hAnsi="Times New Roman"/>
          <w:color w:val="auto"/>
          <w:kern w:val="0"/>
          <w:sz w:val="24"/>
        </w:rPr>
        <w:t>、鬼针草</w:t>
      </w:r>
      <w:r>
        <w:rPr>
          <w:rFonts w:ascii="Times New Roman" w:hAnsi="Times New Roman"/>
          <w:i/>
          <w:color w:val="auto"/>
          <w:kern w:val="0"/>
          <w:sz w:val="24"/>
        </w:rPr>
        <w:t>Bidens bipinnata</w:t>
      </w:r>
      <w:r>
        <w:rPr>
          <w:rFonts w:ascii="Times New Roman" w:hAnsi="Times New Roman"/>
          <w:color w:val="auto"/>
          <w:kern w:val="0"/>
          <w:sz w:val="24"/>
        </w:rPr>
        <w:t>，1种严重入侵物种（II）：马缨丹</w:t>
      </w:r>
      <w:r>
        <w:rPr>
          <w:rFonts w:ascii="Times New Roman" w:hAnsi="Times New Roman"/>
          <w:i/>
          <w:color w:val="auto"/>
          <w:kern w:val="0"/>
          <w:sz w:val="24"/>
        </w:rPr>
        <w:t>Lantana camara</w:t>
      </w:r>
      <w:r>
        <w:rPr>
          <w:rFonts w:ascii="Times New Roman" w:hAnsi="Times New Roman"/>
          <w:color w:val="auto"/>
          <w:kern w:val="0"/>
          <w:sz w:val="24"/>
        </w:rPr>
        <w:t>。</w:t>
      </w:r>
    </w:p>
    <w:p w14:paraId="7C4417C9">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4.3.5.2动物现状调查及评价</w:t>
      </w:r>
    </w:p>
    <w:p w14:paraId="29A212B8">
      <w:pPr>
        <w:pStyle w:val="72"/>
        <w:adjustRightInd w:val="0"/>
        <w:snapToGrid w:val="0"/>
        <w:spacing w:line="360" w:lineRule="auto"/>
        <w:ind w:firstLine="480" w:firstLineChars="200"/>
        <w:jc w:val="both"/>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lang w:val="en-US" w:eastAsia="zh-CN"/>
        </w:rPr>
        <w:t>1、</w:t>
      </w:r>
      <w:r>
        <w:rPr>
          <w:rFonts w:hint="default" w:ascii="Times New Roman" w:hAnsi="Times New Roman" w:cs="Times New Roman"/>
          <w:b w:val="0"/>
          <w:color w:val="auto"/>
          <w:sz w:val="24"/>
          <w:szCs w:val="24"/>
          <w:lang w:val="zh-CN"/>
        </w:rPr>
        <w:t>两栖类</w:t>
      </w:r>
    </w:p>
    <w:p w14:paraId="0AAF029D">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评价区的两栖动物区系以东洋界成分为主。</w:t>
      </w:r>
      <w:r>
        <w:rPr>
          <w:rFonts w:hint="default" w:ascii="Times New Roman" w:hAnsi="Times New Roman" w:cs="Times New Roman"/>
          <w:color w:val="auto"/>
          <w:sz w:val="24"/>
        </w:rPr>
        <w:t>资料分析表明，评价区分布的9种两栖动物全部为东洋界种类，其中东洋界广布种类及西南区种类占优势，均有3种，西南-华中区种类有2种，未发现有古北界成分分布。从总体属性看，本区两栖动物属东洋界西南区的西南山地亚区性质。</w:t>
      </w:r>
      <w:r>
        <w:rPr>
          <w:rFonts w:hint="default" w:ascii="Times New Roman" w:hAnsi="Times New Roman" w:cs="Times New Roman"/>
          <w:color w:val="auto"/>
          <w:kern w:val="0"/>
          <w:sz w:val="24"/>
        </w:rPr>
        <w:t>常见华西蟾蜍</w:t>
      </w:r>
      <w:r>
        <w:rPr>
          <w:rFonts w:hint="default" w:ascii="Times New Roman" w:hAnsi="Times New Roman" w:cs="Times New Roman"/>
          <w:i/>
          <w:color w:val="auto"/>
          <w:kern w:val="0"/>
          <w:sz w:val="24"/>
        </w:rPr>
        <w:t>Bufo andrewsi</w:t>
      </w:r>
      <w:r>
        <w:rPr>
          <w:rFonts w:hint="default" w:ascii="Times New Roman" w:hAnsi="Times New Roman" w:cs="Times New Roman"/>
          <w:color w:val="auto"/>
          <w:kern w:val="0"/>
          <w:sz w:val="24"/>
        </w:rPr>
        <w:t>、滇蛙</w:t>
      </w:r>
      <w:r>
        <w:rPr>
          <w:rFonts w:hint="default" w:ascii="Times New Roman" w:hAnsi="Times New Roman" w:cs="Times New Roman"/>
          <w:i/>
          <w:color w:val="auto"/>
          <w:kern w:val="0"/>
          <w:sz w:val="24"/>
        </w:rPr>
        <w:t>Rana pleuraden</w:t>
      </w:r>
      <w:r>
        <w:rPr>
          <w:rFonts w:hint="default" w:ascii="Times New Roman" w:hAnsi="Times New Roman" w:cs="Times New Roman"/>
          <w:color w:val="auto"/>
          <w:kern w:val="0"/>
          <w:sz w:val="24"/>
        </w:rPr>
        <w:t>等，集中分布在项目区周边旱地及草丛。</w:t>
      </w:r>
    </w:p>
    <w:p w14:paraId="200C6702">
      <w:pPr>
        <w:pStyle w:val="73"/>
        <w:autoSpaceDE w:val="0"/>
        <w:autoSpaceDN w:val="0"/>
        <w:adjustRightInd w:val="0"/>
        <w:snapToGrid w:val="0"/>
        <w:spacing w:line="360" w:lineRule="auto"/>
        <w:ind w:firstLine="480"/>
        <w:rPr>
          <w:rFonts w:hint="default" w:ascii="Times New Roman" w:hAnsi="Times New Roman" w:cs="Times New Roman"/>
          <w:color w:val="auto"/>
          <w:lang w:val="zh-CN"/>
        </w:rPr>
      </w:pPr>
      <w:r>
        <w:rPr>
          <w:rFonts w:hint="default" w:ascii="Times New Roman" w:hAnsi="Times New Roman" w:cs="Times New Roman"/>
          <w:color w:val="auto"/>
          <w:lang w:val="en-US" w:eastAsia="zh-CN"/>
        </w:rPr>
        <w:t>2、</w:t>
      </w:r>
      <w:r>
        <w:rPr>
          <w:rFonts w:hint="default" w:ascii="Times New Roman" w:hAnsi="Times New Roman" w:cs="Times New Roman"/>
          <w:color w:val="auto"/>
          <w:lang w:val="zh-CN"/>
        </w:rPr>
        <w:t>爬行类</w:t>
      </w:r>
    </w:p>
    <w:p w14:paraId="42FCE1D3">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评价区的</w:t>
      </w:r>
      <w:r>
        <w:rPr>
          <w:rFonts w:hint="default" w:ascii="Times New Roman" w:hAnsi="Times New Roman" w:cs="Times New Roman"/>
          <w:color w:val="auto"/>
          <w:sz w:val="24"/>
        </w:rPr>
        <w:t>爬行动物</w:t>
      </w:r>
      <w:r>
        <w:rPr>
          <w:rFonts w:hint="default" w:ascii="Times New Roman" w:hAnsi="Times New Roman" w:cs="Times New Roman"/>
          <w:color w:val="auto"/>
          <w:kern w:val="0"/>
          <w:sz w:val="24"/>
        </w:rPr>
        <w:t>区系以东洋界成分为主。</w:t>
      </w:r>
      <w:r>
        <w:rPr>
          <w:rFonts w:hint="default" w:ascii="Times New Roman" w:hAnsi="Times New Roman" w:cs="Times New Roman"/>
          <w:color w:val="auto"/>
          <w:sz w:val="24"/>
        </w:rPr>
        <w:t>资料分析表明，评价区分布的8种爬行动物全部为东洋界种类，其中东洋界广布种类有4种，西南区种类有3种，华南区种类有1种，未发现有古北界成分分布。常见的有</w:t>
      </w:r>
      <w:r>
        <w:rPr>
          <w:rFonts w:hint="default" w:ascii="Times New Roman" w:hAnsi="Times New Roman" w:cs="Times New Roman" w:eastAsiaTheme="minorEastAsia"/>
          <w:color w:val="auto"/>
          <w:sz w:val="24"/>
        </w:rPr>
        <w:t>昆明攀蜥</w:t>
      </w:r>
      <w:r>
        <w:rPr>
          <w:rFonts w:hint="default" w:ascii="Times New Roman" w:hAnsi="Times New Roman" w:cs="Times New Roman" w:eastAsiaTheme="minorEastAsia"/>
          <w:i/>
          <w:iCs/>
          <w:color w:val="auto"/>
          <w:sz w:val="24"/>
        </w:rPr>
        <w:t>Trimeresurus stejnegeri</w:t>
      </w:r>
      <w:r>
        <w:rPr>
          <w:rFonts w:hint="default" w:ascii="Times New Roman" w:hAnsi="Times New Roman" w:cs="Times New Roman"/>
          <w:color w:val="auto"/>
          <w:sz w:val="24"/>
        </w:rPr>
        <w:t>、竹叶青</w:t>
      </w:r>
      <w:r>
        <w:rPr>
          <w:rFonts w:hint="default" w:ascii="Times New Roman" w:hAnsi="Times New Roman" w:cs="Times New Roman" w:eastAsiaTheme="minorEastAsia"/>
          <w:i/>
          <w:iCs/>
          <w:color w:val="auto"/>
          <w:sz w:val="24"/>
        </w:rPr>
        <w:t>Trimeresurus stejnegeri</w:t>
      </w:r>
      <w:r>
        <w:rPr>
          <w:rFonts w:hint="default" w:ascii="Times New Roman" w:hAnsi="Times New Roman" w:cs="Times New Roman"/>
          <w:color w:val="auto"/>
          <w:sz w:val="24"/>
        </w:rPr>
        <w:t>等。</w:t>
      </w:r>
    </w:p>
    <w:p w14:paraId="70785EDF">
      <w:pPr>
        <w:pStyle w:val="73"/>
        <w:autoSpaceDE w:val="0"/>
        <w:autoSpaceDN w:val="0"/>
        <w:adjustRightInd w:val="0"/>
        <w:snapToGrid w:val="0"/>
        <w:spacing w:line="360" w:lineRule="auto"/>
        <w:ind w:firstLine="480"/>
        <w:rPr>
          <w:rFonts w:hint="default" w:ascii="Times New Roman" w:hAnsi="Times New Roman" w:cs="Times New Roman"/>
          <w:color w:val="auto"/>
          <w:lang w:val="zh-CN"/>
        </w:rPr>
      </w:pPr>
      <w:r>
        <w:rPr>
          <w:rFonts w:hint="default" w:ascii="Times New Roman" w:hAnsi="Times New Roman" w:cs="Times New Roman"/>
          <w:color w:val="auto"/>
          <w:lang w:val="en-US" w:eastAsia="zh-CN"/>
        </w:rPr>
        <w:t>3、</w:t>
      </w:r>
      <w:r>
        <w:rPr>
          <w:rFonts w:hint="default" w:ascii="Times New Roman" w:hAnsi="Times New Roman" w:cs="Times New Roman"/>
          <w:color w:val="auto"/>
          <w:lang w:val="zh-CN"/>
        </w:rPr>
        <w:t>鸟类</w:t>
      </w:r>
    </w:p>
    <w:p w14:paraId="7AD00D57">
      <w:pPr>
        <w:adjustRightInd w:val="0"/>
        <w:snapToGrid w:val="0"/>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项目评价区主要位于项目周边半湿润常绿阔叶林、旱地、草丛，评价区鸟类以东洋界种类和广布种类型为主。资料分析和现场调查表明，在评价区分布的54种鸟类中，东洋界鸟类占优势，共计29种，占全部鸟类的53.70%；广布种鸟类共计21种，占全部鸟类的38.89%；古北界鸟类共计4种，占全部鸟类的7.41%；在全部鸟类中包含43种繁殖鸟（留鸟），1种旅鸟、4种</w:t>
      </w:r>
      <w:r>
        <w:rPr>
          <w:rFonts w:hint="eastAsia" w:ascii="Times New Roman" w:hAnsi="Times New Roman" w:cs="Times New Roman"/>
          <w:color w:val="auto"/>
          <w:sz w:val="24"/>
          <w:lang w:eastAsia="zh-CN"/>
        </w:rPr>
        <w:t>夏候鸟</w:t>
      </w:r>
      <w:r>
        <w:rPr>
          <w:rFonts w:hint="default" w:ascii="Times New Roman" w:hAnsi="Times New Roman" w:cs="Times New Roman"/>
          <w:color w:val="auto"/>
          <w:sz w:val="24"/>
        </w:rPr>
        <w:t>、6种冬候鸟，以繁殖鸟为主。</w:t>
      </w:r>
    </w:p>
    <w:p w14:paraId="2C54EF41">
      <w:pPr>
        <w:adjustRightInd w:val="0"/>
        <w:snapToGrid w:val="0"/>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哺乳类</w:t>
      </w:r>
    </w:p>
    <w:p w14:paraId="536C7DC1">
      <w:pPr>
        <w:adjustRightInd w:val="0"/>
        <w:snapToGrid w:val="0"/>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评价区的哺乳动物区系以东洋界成分为主。资料分析表明，评价区分布的7种哺乳动物中，东洋界种类占优势，有4种，占全部哺乳动物种数的57.14%；古北界种类有2种</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占全部哺乳动物种数的28.57%；广布种种类有1种，占全部哺乳动物种数的14.29%。常见的有小家鼠</w:t>
      </w:r>
      <w:r>
        <w:rPr>
          <w:rFonts w:hint="default" w:ascii="Times New Roman" w:hAnsi="Times New Roman" w:cs="Times New Roman"/>
          <w:i/>
          <w:color w:val="auto"/>
          <w:sz w:val="24"/>
          <w:shd w:val="clear" w:color="auto" w:fill="FFFFFF"/>
        </w:rPr>
        <w:t>Mus musculus</w:t>
      </w:r>
      <w:r>
        <w:rPr>
          <w:rFonts w:hint="default" w:ascii="Times New Roman" w:hAnsi="Times New Roman" w:cs="Times New Roman"/>
          <w:color w:val="auto"/>
          <w:sz w:val="24"/>
        </w:rPr>
        <w:t>，为小型动物。</w:t>
      </w:r>
    </w:p>
    <w:p w14:paraId="72818877">
      <w:pPr>
        <w:adjustRightInd w:val="0"/>
        <w:snapToGrid w:val="0"/>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从分析动物的区系特征角度来看，如果仅从动物地理区划的分界范围界定，则本工作名录资料的区系分析结果与当地在中国动物地理区划中的位置相符合，即当地动物区系属于东洋界西南区的范畴。</w:t>
      </w:r>
      <w:r>
        <w:rPr>
          <w:rFonts w:hint="eastAsia" w:ascii="Times New Roman" w:hAnsi="Times New Roman" w:cs="Times New Roman"/>
          <w:color w:val="auto"/>
          <w:sz w:val="24"/>
          <w:lang w:eastAsia="zh-CN"/>
        </w:rPr>
        <w:t>从</w:t>
      </w:r>
      <w:r>
        <w:rPr>
          <w:rFonts w:hint="default" w:ascii="Times New Roman" w:hAnsi="Times New Roman" w:cs="Times New Roman"/>
          <w:color w:val="auto"/>
          <w:sz w:val="24"/>
        </w:rPr>
        <w:t>上述4</w:t>
      </w:r>
      <w:r>
        <w:rPr>
          <w:rFonts w:hint="eastAsia" w:cs="Times New Roman"/>
          <w:color w:val="auto"/>
          <w:sz w:val="24"/>
          <w:lang w:eastAsia="zh-CN"/>
        </w:rPr>
        <w:t>纲</w:t>
      </w:r>
      <w:r>
        <w:rPr>
          <w:rFonts w:hint="default" w:ascii="Times New Roman" w:hAnsi="Times New Roman" w:cs="Times New Roman"/>
          <w:color w:val="auto"/>
          <w:sz w:val="24"/>
        </w:rPr>
        <w:t>动物的分界区系成分统计，东洋界优势十分明显。</w:t>
      </w:r>
    </w:p>
    <w:p w14:paraId="1C2122E5">
      <w:pPr>
        <w:pStyle w:val="14"/>
        <w:adjustRightInd w:val="0"/>
        <w:snapToGrid w:val="0"/>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lang w:val="en-US" w:eastAsia="zh-CN"/>
        </w:rPr>
        <w:t>5、</w:t>
      </w:r>
      <w:r>
        <w:rPr>
          <w:rFonts w:hint="default" w:ascii="Times New Roman" w:hAnsi="Times New Roman" w:cs="Times New Roman"/>
          <w:b w:val="0"/>
          <w:bCs w:val="0"/>
          <w:color w:val="auto"/>
          <w:sz w:val="24"/>
        </w:rPr>
        <w:t>珍稀濒危保护动物</w:t>
      </w:r>
    </w:p>
    <w:p w14:paraId="52A4D5B3">
      <w:pPr>
        <w:pStyle w:val="14"/>
        <w:adjustRightInd w:val="0"/>
        <w:snapToGrid w:val="0"/>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评价区内调查未发现国家级和云南省级重点保护和《中国生物多样性红色名录（2020）》中珍稀濒危的两栖动物、爬行动物和哺乳动物分布；</w:t>
      </w:r>
      <w:r>
        <w:rPr>
          <w:rFonts w:hint="default" w:ascii="Times New Roman" w:hAnsi="Times New Roman" w:cs="Times New Roman"/>
          <w:color w:val="auto"/>
          <w:sz w:val="24"/>
          <w:lang w:val="zh-CN"/>
        </w:rPr>
        <w:t>根据查阅相关资料及民间走访</w:t>
      </w:r>
      <w:r>
        <w:rPr>
          <w:rFonts w:hint="default" w:ascii="Times New Roman" w:hAnsi="Times New Roman" w:cs="Times New Roman"/>
          <w:color w:val="auto"/>
          <w:sz w:val="24"/>
        </w:rPr>
        <w:t>，</w:t>
      </w:r>
      <w:r>
        <w:rPr>
          <w:rFonts w:hint="default" w:ascii="Times New Roman" w:hAnsi="Times New Roman" w:cs="Times New Roman"/>
          <w:color w:val="auto"/>
          <w:kern w:val="0"/>
          <w:sz w:val="24"/>
          <w:lang w:val="zh-CN"/>
        </w:rPr>
        <w:t>在评价区有</w:t>
      </w:r>
      <w:r>
        <w:rPr>
          <w:rFonts w:hint="default" w:ascii="Times New Roman" w:hAnsi="Times New Roman" w:cs="Times New Roman"/>
          <w:color w:val="auto"/>
          <w:kern w:val="0"/>
          <w:sz w:val="24"/>
        </w:rPr>
        <w:t>5</w:t>
      </w:r>
      <w:r>
        <w:rPr>
          <w:rFonts w:hint="default" w:ascii="Times New Roman" w:hAnsi="Times New Roman" w:cs="Times New Roman"/>
          <w:color w:val="auto"/>
          <w:kern w:val="0"/>
          <w:sz w:val="24"/>
          <w:lang w:val="zh-CN"/>
        </w:rPr>
        <w:t>种国家</w:t>
      </w:r>
      <w:r>
        <w:rPr>
          <w:rFonts w:hint="default" w:ascii="Times New Roman" w:hAnsi="Times New Roman" w:cs="Times New Roman"/>
          <w:color w:val="auto"/>
          <w:kern w:val="0"/>
          <w:sz w:val="24"/>
        </w:rPr>
        <w:t>Ⅱ</w:t>
      </w:r>
      <w:r>
        <w:rPr>
          <w:rFonts w:hint="default" w:ascii="Times New Roman" w:hAnsi="Times New Roman" w:cs="Times New Roman"/>
          <w:color w:val="auto"/>
          <w:kern w:val="0"/>
          <w:sz w:val="24"/>
          <w:lang w:val="zh-CN"/>
        </w:rPr>
        <w:t>级保护动物</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zh-CN"/>
        </w:rPr>
        <w:t>均为鸟类</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zh-CN"/>
        </w:rPr>
        <w:t>分别为雀鹰</w:t>
      </w:r>
      <w:r>
        <w:rPr>
          <w:rFonts w:hint="default" w:ascii="Times New Roman" w:hAnsi="Times New Roman" w:cs="Times New Roman"/>
          <w:i/>
          <w:color w:val="auto"/>
          <w:kern w:val="0"/>
          <w:sz w:val="24"/>
        </w:rPr>
        <w:t>Accipiter nisus</w:t>
      </w:r>
      <w:r>
        <w:rPr>
          <w:rFonts w:hint="default" w:ascii="Times New Roman" w:hAnsi="Times New Roman" w:cs="Times New Roman"/>
          <w:color w:val="auto"/>
          <w:kern w:val="0"/>
          <w:sz w:val="24"/>
          <w:lang w:val="zh-CN"/>
        </w:rPr>
        <w:t>、</w:t>
      </w:r>
      <w:r>
        <w:rPr>
          <w:rFonts w:hint="default" w:ascii="Times New Roman" w:hAnsi="Times New Roman" w:cs="Times New Roman"/>
          <w:color w:val="auto"/>
          <w:sz w:val="24"/>
        </w:rPr>
        <w:t>松雀鹰</w:t>
      </w:r>
      <w:r>
        <w:rPr>
          <w:rFonts w:hint="default" w:ascii="Times New Roman" w:hAnsi="Times New Roman" w:cs="Times New Roman"/>
          <w:i/>
          <w:color w:val="auto"/>
          <w:sz w:val="24"/>
          <w:shd w:val="clear" w:color="auto" w:fill="FFFFFF"/>
        </w:rPr>
        <w:t>Accipiter virgatus、</w:t>
      </w:r>
      <w:r>
        <w:rPr>
          <w:rFonts w:hint="default" w:ascii="Times New Roman" w:hAnsi="Times New Roman" w:cs="Times New Roman"/>
          <w:color w:val="auto"/>
          <w:sz w:val="24"/>
        </w:rPr>
        <w:t>普通鵟</w:t>
      </w:r>
      <w:r>
        <w:rPr>
          <w:rFonts w:hint="default" w:ascii="Times New Roman" w:hAnsi="Times New Roman" w:cs="Times New Roman"/>
          <w:i/>
          <w:color w:val="auto"/>
          <w:sz w:val="24"/>
          <w:shd w:val="clear" w:color="auto" w:fill="FFFFFF"/>
        </w:rPr>
        <w:t>Buteo buteo、</w:t>
      </w:r>
      <w:r>
        <w:rPr>
          <w:rFonts w:hint="default" w:ascii="Times New Roman" w:hAnsi="Times New Roman" w:cs="Times New Roman"/>
          <w:color w:val="auto"/>
          <w:sz w:val="24"/>
        </w:rPr>
        <w:t>黑翅鸢</w:t>
      </w:r>
      <w:r>
        <w:rPr>
          <w:rStyle w:val="27"/>
          <w:rFonts w:hint="default" w:ascii="Times New Roman" w:hAnsi="Times New Roman" w:cs="Times New Roman"/>
          <w:iCs w:val="0"/>
          <w:color w:val="auto"/>
          <w:sz w:val="24"/>
          <w:shd w:val="clear" w:color="auto" w:fill="FFFFFF"/>
        </w:rPr>
        <w:t>Elanus caeruleus、</w:t>
      </w:r>
      <w:r>
        <w:rPr>
          <w:rFonts w:hint="default" w:ascii="Times New Roman" w:hAnsi="Times New Roman" w:cs="Times New Roman"/>
          <w:color w:val="auto"/>
          <w:kern w:val="0"/>
          <w:sz w:val="24"/>
          <w:lang w:val="zh-CN"/>
        </w:rPr>
        <w:t>红隼</w:t>
      </w:r>
      <w:r>
        <w:rPr>
          <w:rFonts w:hint="default" w:ascii="Times New Roman" w:hAnsi="Times New Roman" w:cs="Times New Roman"/>
          <w:i/>
          <w:color w:val="auto"/>
          <w:kern w:val="0"/>
          <w:sz w:val="24"/>
        </w:rPr>
        <w:t>Falco tinnunculus</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zh-CN"/>
        </w:rPr>
        <w:t>均栖息在评价区周围附近植被较丰富的区域中，由于人类活动的干扰，动物基本不会进入项目区内，现场调查时未发现，同时调查未发现该地区特有种类分布。</w:t>
      </w:r>
    </w:p>
    <w:p w14:paraId="6E94BC11">
      <w:pPr>
        <w:spacing w:line="360" w:lineRule="auto"/>
        <w:ind w:firstLine="482" w:firstLineChars="200"/>
        <w:rPr>
          <w:rFonts w:hint="default" w:ascii="Times New Roman" w:hAnsi="Times New Roman" w:cs="Times New Roman"/>
          <w:b/>
          <w:i/>
          <w:color w:val="auto"/>
          <w:sz w:val="24"/>
          <w:shd w:val="clear" w:color="auto" w:fill="FFFFFF"/>
        </w:rPr>
      </w:pPr>
      <w:r>
        <w:rPr>
          <w:rFonts w:hint="default" w:ascii="Times New Roman" w:hAnsi="Times New Roman" w:cs="Times New Roman"/>
          <w:b/>
          <w:color w:val="auto"/>
          <w:sz w:val="24"/>
        </w:rPr>
        <w:t>（1）雀鹰</w:t>
      </w:r>
      <w:r>
        <w:rPr>
          <w:rFonts w:hint="default" w:ascii="Times New Roman" w:hAnsi="Times New Roman" w:cs="Times New Roman"/>
          <w:b/>
          <w:i/>
          <w:color w:val="auto"/>
          <w:sz w:val="24"/>
          <w:shd w:val="clear" w:color="auto" w:fill="FFFFFF"/>
        </w:rPr>
        <w:t>Accipiter nisus</w:t>
      </w:r>
    </w:p>
    <w:p w14:paraId="5E3ACE97">
      <w:pPr>
        <w:spacing w:line="360" w:lineRule="auto"/>
        <w:ind w:firstLine="480" w:firstLineChars="200"/>
        <w:rPr>
          <w:rFonts w:hint="default" w:ascii="Times New Roman" w:hAnsi="Times New Roman" w:cs="Times New Roman"/>
          <w:b/>
          <w:color w:val="auto"/>
          <w:sz w:val="24"/>
        </w:rPr>
      </w:pPr>
      <w:r>
        <w:rPr>
          <w:rFonts w:hint="default" w:ascii="Times New Roman" w:hAnsi="Times New Roman" w:cs="Times New Roman"/>
          <w:color w:val="auto"/>
          <w:sz w:val="24"/>
          <w:shd w:val="clear" w:color="auto" w:fill="FFFFFF"/>
        </w:rPr>
        <w:t>俗名：</w:t>
      </w:r>
      <w:r>
        <w:rPr>
          <w:rFonts w:hint="default" w:ascii="Times New Roman" w:hAnsi="Times New Roman" w:cs="Times New Roman"/>
          <w:color w:val="auto"/>
          <w:sz w:val="24"/>
        </w:rPr>
        <w:t>黄鹰、鹞鹰、牙鹰</w:t>
      </w:r>
    </w:p>
    <w:p w14:paraId="474C603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形态特征：中等体型而翼短的鹰。上体大多暗褐色；后颈、肩羽和翅上覆羽灰褐色，基部具白斑，常显露其外呈黑白斑杂状；飞羽和尾羽灰褐，具暗褐色带斑，次级飞羽端缘淡棕白；眼先灰白色；羽须黑色；颊和耳羽黑褐色而杂白色纵纹；颏、喉白色，具纤细的黑褐色羽干纹；尾下覆羽白色；下体余部淡棕白色而满布棕褐色波形横斑。雌雄相似，雌鸟体形稍大。</w:t>
      </w:r>
    </w:p>
    <w:p w14:paraId="5AB1CB3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活习性：栖息于山地、农田、林缘和居民区，常见单个栖息于树木顶端或电杆顶部等突出物上，或长时间飞翔于空中。飞翔时鼓动双翅数次后，再长距离滑翔。视力敏锐，发现地面猎物，迅即落地捕捉后飞起，到隐蔽地点取食。以小鸟和鼠为食，有时也取食昆虫等。</w:t>
      </w:r>
    </w:p>
    <w:p w14:paraId="55F876E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分布：分布于欧亚大陆及非洲北部，包括整个欧洲、北回归线以北的非洲地区、阿拉伯半岛以及喜马拉雅山－横断山脉－岷山－秦岭－淮河以北的亚洲地区。非洲中南部地区，包括阿拉伯半岛的南部、撒哈拉沙漠（北回归线）以南的整个非洲大陆。印度次大陆及中国的西南地区，包括印度、孟加拉、不丹、锡金、尼泊尔、巴基斯担、斯里兰卡、马尔代夫以及中国西藏的东南部地区等。中南半岛和中国的东南沿海地区，包括缅甸、越南、老挝、柬埔寨、泰国以及中国的东南沿海地区、香港、海南岛。</w:t>
      </w:r>
    </w:p>
    <w:p w14:paraId="04AB2A3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濒危等级：属国家级重点保护动物，并被列入CTES附录</w:t>
      </w:r>
      <w:r>
        <w:rPr>
          <w:rFonts w:hint="eastAsia" w:cs="Times New Roman"/>
          <w:color w:val="auto"/>
          <w:sz w:val="24"/>
          <w:lang w:eastAsia="zh-CN"/>
        </w:rPr>
        <w:t>Ⅱ</w:t>
      </w:r>
      <w:r>
        <w:rPr>
          <w:rFonts w:hint="default" w:ascii="Times New Roman" w:hAnsi="Times New Roman" w:cs="Times New Roman"/>
          <w:color w:val="auto"/>
          <w:sz w:val="24"/>
        </w:rPr>
        <w:t>。</w:t>
      </w:r>
    </w:p>
    <w:p w14:paraId="54B7ECA7">
      <w:pPr>
        <w:spacing w:line="360" w:lineRule="auto"/>
        <w:ind w:firstLine="472" w:firstLineChars="196"/>
        <w:rPr>
          <w:rFonts w:hint="default" w:ascii="Times New Roman" w:hAnsi="Times New Roman" w:cs="Times New Roman"/>
          <w:b/>
          <w:color w:val="auto"/>
          <w:sz w:val="24"/>
        </w:rPr>
      </w:pPr>
      <w:r>
        <w:rPr>
          <w:rFonts w:hint="default" w:ascii="Times New Roman" w:hAnsi="Times New Roman" w:cs="Times New Roman"/>
          <w:b/>
          <w:color w:val="auto"/>
          <w:sz w:val="24"/>
        </w:rPr>
        <w:t>（2）松雀鹰</w:t>
      </w:r>
      <w:r>
        <w:rPr>
          <w:rFonts w:hint="default" w:ascii="Times New Roman" w:hAnsi="Times New Roman" w:cs="Times New Roman"/>
          <w:b/>
          <w:i/>
          <w:color w:val="auto"/>
          <w:sz w:val="24"/>
          <w:shd w:val="clear" w:color="auto" w:fill="FFFFFF"/>
        </w:rPr>
        <w:t>Accipiter virgatus</w:t>
      </w:r>
    </w:p>
    <w:p w14:paraId="74869A5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俗名：鹞鹰</w:t>
      </w:r>
    </w:p>
    <w:p w14:paraId="1AED6BA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形态特征：中等体型（33cm）的深色鹰。与雀鹰相似，但喉部具显著的中央喉纹，有黑色髭纹；第6枚初级飞羽外(无缺刻。两性基本相似，但雌性成鸟体形稍大，上体多褐色，下体棕褐色的斑纹更浓著。</w:t>
      </w:r>
    </w:p>
    <w:p w14:paraId="0B3B71B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生活习性：栖息于山地林区，多见单个盘旋于空中或停歇在突出的枝头或枯树枝上。飞翔于高空时，两翅鼓动数次后即直线滑翔一段距离，有时作圈状翱翔。以捕食小型动物如小鸟、昆虫等为食。</w:t>
      </w:r>
    </w:p>
    <w:p w14:paraId="77FD179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分布：分布于印度、东南亚、菲律宾，大巽他群岛和中国。</w:t>
      </w:r>
    </w:p>
    <w:p w14:paraId="06ED3C5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濒危状况：属国家级重点保护动物，并被列入CTES附录</w:t>
      </w:r>
      <w:r>
        <w:rPr>
          <w:rFonts w:hint="eastAsia" w:ascii="Times New Roman" w:hAnsi="Times New Roman" w:cs="Times New Roman"/>
          <w:color w:val="auto"/>
          <w:sz w:val="24"/>
          <w:lang w:eastAsia="zh-CN"/>
        </w:rPr>
        <w:t>Ⅱ</w:t>
      </w:r>
      <w:r>
        <w:rPr>
          <w:rFonts w:hint="default" w:ascii="Times New Roman" w:hAnsi="Times New Roman" w:cs="Times New Roman"/>
          <w:color w:val="auto"/>
          <w:sz w:val="24"/>
        </w:rPr>
        <w:t>。</w:t>
      </w:r>
    </w:p>
    <w:p w14:paraId="06596F7B">
      <w:pPr>
        <w:spacing w:line="360" w:lineRule="auto"/>
        <w:ind w:firstLine="472" w:firstLineChars="196"/>
        <w:rPr>
          <w:rFonts w:hint="default" w:ascii="Times New Roman" w:hAnsi="Times New Roman" w:cs="Times New Roman"/>
          <w:b/>
          <w:i/>
          <w:color w:val="auto"/>
          <w:sz w:val="24"/>
          <w:shd w:val="clear" w:color="auto" w:fill="FFFFFF"/>
        </w:rPr>
      </w:pPr>
      <w:r>
        <w:rPr>
          <w:rFonts w:hint="default" w:ascii="Times New Roman" w:hAnsi="Times New Roman" w:cs="Times New Roman"/>
          <w:b/>
          <w:color w:val="auto"/>
          <w:sz w:val="24"/>
        </w:rPr>
        <w:t>（3）普通鵟</w:t>
      </w:r>
      <w:r>
        <w:rPr>
          <w:rFonts w:hint="default" w:ascii="Times New Roman" w:hAnsi="Times New Roman" w:cs="Times New Roman"/>
          <w:b/>
          <w:i/>
          <w:color w:val="auto"/>
          <w:sz w:val="24"/>
          <w:shd w:val="clear" w:color="auto" w:fill="FFFFFF"/>
        </w:rPr>
        <w:t>Buteo buteo</w:t>
      </w:r>
    </w:p>
    <w:p w14:paraId="20FA9BC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俗名：饿老鹰</w:t>
      </w:r>
    </w:p>
    <w:p w14:paraId="0994B8F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形态特征：全长480～530mm。羽色变化较大，有黑色型、棕色型及中间型。上体暗褐色；头顶、颈及颈侧具红棕色羽缘；下体暗褐色或淡褐色，具深棕色横斑；尾羽通常灰褐色，具4～5条不显著的黑褐色横斑；跗?和趾为黄色。全身体色大致为暗褐色或灰褐色。飞行时腹面淡色；初级飞羽末端黑色、翼角黑色；喉暗褐色，胸及腹部淡褐色；腹部有黑褐色纵斑；尾羽褐色呈扇形，并有数条黑褐色横纹。</w:t>
      </w:r>
    </w:p>
    <w:p w14:paraId="2983FD1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生活习性：栖息于海拔3700m以下的各类生境中，多停息在高大乔木突出部位，也常见单独在稀疏林中和农田等多种生境的上空翱翔。食物以鼠类为主，也捕食野兔、小型鸟类、蜥蜴、蛙类和昆虫等。</w:t>
      </w:r>
    </w:p>
    <w:p w14:paraId="25CE211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分布：欧亚大陆及非洲北部，在我国分布于四川、云南、贵州、西藏等地。</w:t>
      </w:r>
    </w:p>
    <w:p w14:paraId="72C4789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濒危等级：属国家级重点保护动物，并被列入CTES附录</w:t>
      </w:r>
      <w:r>
        <w:rPr>
          <w:rFonts w:hint="eastAsia" w:ascii="Times New Roman" w:hAnsi="Times New Roman" w:cs="Times New Roman"/>
          <w:color w:val="auto"/>
          <w:sz w:val="24"/>
          <w:lang w:eastAsia="zh-CN"/>
        </w:rPr>
        <w:t>Ⅱ</w:t>
      </w:r>
      <w:r>
        <w:rPr>
          <w:rFonts w:hint="default" w:ascii="Times New Roman" w:hAnsi="Times New Roman" w:cs="Times New Roman"/>
          <w:color w:val="auto"/>
          <w:sz w:val="24"/>
        </w:rPr>
        <w:t>。</w:t>
      </w:r>
    </w:p>
    <w:p w14:paraId="619A1903">
      <w:pPr>
        <w:spacing w:line="360" w:lineRule="auto"/>
        <w:ind w:firstLine="482" w:firstLineChars="200"/>
        <w:rPr>
          <w:rStyle w:val="27"/>
          <w:rFonts w:hint="default" w:ascii="Times New Roman" w:hAnsi="Times New Roman" w:cs="Times New Roman"/>
          <w:b/>
          <w:iCs w:val="0"/>
          <w:color w:val="auto"/>
          <w:sz w:val="24"/>
          <w:shd w:val="clear" w:color="auto" w:fill="FFFFFF"/>
        </w:rPr>
      </w:pPr>
      <w:r>
        <w:rPr>
          <w:rFonts w:hint="default" w:ascii="Times New Roman" w:hAnsi="Times New Roman" w:cs="Times New Roman"/>
          <w:b/>
          <w:color w:val="auto"/>
          <w:sz w:val="24"/>
        </w:rPr>
        <w:t>（4）黑翅鸢</w:t>
      </w:r>
      <w:r>
        <w:rPr>
          <w:rStyle w:val="27"/>
          <w:rFonts w:hint="default" w:ascii="Times New Roman" w:hAnsi="Times New Roman" w:cs="Times New Roman"/>
          <w:b/>
          <w:iCs w:val="0"/>
          <w:color w:val="auto"/>
          <w:sz w:val="24"/>
          <w:shd w:val="clear" w:color="auto" w:fill="FFFFFF"/>
        </w:rPr>
        <w:t>Elanus caeruleus</w:t>
      </w:r>
    </w:p>
    <w:p w14:paraId="4321694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俗名：灰鹞子</w:t>
      </w:r>
    </w:p>
    <w:p w14:paraId="0E3D837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形态特征：全长约320mm。通体以灰色为主；头顶、后颈、背部、尾上覆羽和中央1对尾羽的表面概呈银灰色；翼小覆羽和中覆羽呈亮黑色，初级飞羽端部渲染灰褐色；眼先羽须和细狭的眉纹呈黑色；前额、头部两侧和整个腹面的羽毛均为白色。虹膜红色，嘴基部蜡膜黄色，嘴黑色，脚黄色。两性相似。</w:t>
      </w:r>
    </w:p>
    <w:p w14:paraId="16827B2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生活习性：栖息于开阔田坝区至低山丘陵的稀树草地和林缘地带。食物主要是昆虫及小型鼠类、蛙类，有时也捕食小鸟。</w:t>
      </w:r>
    </w:p>
    <w:p w14:paraId="2395BEF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分布：世界分布于摩洛哥、阿尔及利亚、埃及、好望角、马达加斯加、阿富汗、印度、斯里兰卡、越南、缅甸、印度尼西亚、菲律宾等地，也见于葡萄牙、匈牙利、德国等欧洲南部国家。中国见于云南、广西、浙江、福建、江苏、海南、台湾、江西、山东、河北、天津等省份。</w:t>
      </w:r>
    </w:p>
    <w:p w14:paraId="3DC6AEE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濒危等级：属国家级重点保护动物，并被列入CTES附录</w:t>
      </w:r>
      <w:r>
        <w:rPr>
          <w:rFonts w:hint="eastAsia" w:ascii="Times New Roman" w:hAnsi="Times New Roman" w:cs="Times New Roman"/>
          <w:color w:val="auto"/>
          <w:sz w:val="24"/>
          <w:lang w:eastAsia="zh-CN"/>
        </w:rPr>
        <w:t>Ⅱ</w:t>
      </w:r>
      <w:r>
        <w:rPr>
          <w:rFonts w:hint="default" w:ascii="Times New Roman" w:hAnsi="Times New Roman" w:cs="Times New Roman"/>
          <w:color w:val="auto"/>
          <w:sz w:val="24"/>
        </w:rPr>
        <w:t>。</w:t>
      </w:r>
    </w:p>
    <w:p w14:paraId="0C780E51">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（5）红隼</w:t>
      </w:r>
      <w:r>
        <w:rPr>
          <w:rFonts w:hint="default" w:ascii="Times New Roman" w:hAnsi="Times New Roman" w:cs="Times New Roman"/>
          <w:b/>
          <w:i/>
          <w:color w:val="auto"/>
          <w:sz w:val="24"/>
          <w:shd w:val="clear" w:color="auto" w:fill="FFFFFF"/>
        </w:rPr>
        <w:t>Falco tinnunculus</w:t>
      </w:r>
    </w:p>
    <w:p w14:paraId="093985C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俗名：茶隼</w:t>
      </w:r>
    </w:p>
    <w:p w14:paraId="68A538A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形态特征：体长35cm左右。雄鸟头顶至后颈灰色，并具黑色条纹；背羽砖红色，布有黑色粗斑；尾羽青灰色，具宽阔的黑色次端斑及棕白色端缘，外侧尾羽较中央尾羽短甚，呈凸尾型。雌鸟上体砖红色，头顶满布黑色纵纹，背具黑色横斑，爪黑色。雌雄鸟胸和腹均淡棕黄色，具黑色纵纹和点斑。</w:t>
      </w:r>
    </w:p>
    <w:p w14:paraId="05C6BB0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活习性：栖息于林缘、灌丛、田野等开阔地及居民区，常单独活动或成对活动。飞行速度快，有时见在空中振翅定点停留，主要捕食地面上的食物，如昆虫、两栖类、小型爬行类、小型鸟类和小型兽类等，有时也取食少量植物性食物。</w:t>
      </w:r>
    </w:p>
    <w:p w14:paraId="509D0ED1">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分布：欧洲，非洲，亚洲东北部，也门，印度，日本，菲律宾等地。在我国几乎</w:t>
      </w:r>
      <w:r>
        <w:rPr>
          <w:rFonts w:hint="eastAsia" w:ascii="Times New Roman" w:hAnsi="Times New Roman" w:cs="Times New Roman"/>
          <w:color w:val="auto"/>
          <w:sz w:val="24"/>
          <w:lang w:eastAsia="zh-CN"/>
        </w:rPr>
        <w:t>遍布全国</w:t>
      </w:r>
      <w:r>
        <w:rPr>
          <w:rFonts w:hint="default" w:ascii="Times New Roman" w:hAnsi="Times New Roman" w:cs="Times New Roman"/>
          <w:color w:val="auto"/>
          <w:sz w:val="24"/>
        </w:rPr>
        <w:t>各地，它是最常见的隼科动物。</w:t>
      </w:r>
    </w:p>
    <w:p w14:paraId="5CE9E702">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濒危等级：属国家级重点保护动物，并被列入CTES附录</w:t>
      </w:r>
      <w:r>
        <w:rPr>
          <w:rFonts w:hint="eastAsia" w:ascii="Times New Roman" w:hAnsi="Times New Roman" w:cs="Times New Roman"/>
          <w:color w:val="auto"/>
          <w:sz w:val="24"/>
          <w:lang w:eastAsia="zh-CN"/>
        </w:rPr>
        <w:t>Ⅱ</w:t>
      </w:r>
      <w:r>
        <w:rPr>
          <w:rFonts w:hint="default" w:ascii="Times New Roman" w:hAnsi="Times New Roman" w:cs="Times New Roman"/>
          <w:color w:val="auto"/>
          <w:sz w:val="24"/>
        </w:rPr>
        <w:t>。</w:t>
      </w:r>
    </w:p>
    <w:p w14:paraId="4B554446">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4.3.5.3土地利用现状</w:t>
      </w:r>
    </w:p>
    <w:p w14:paraId="548A4B59">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本项目占地面积为</w:t>
      </w:r>
      <w:r>
        <w:rPr>
          <w:rFonts w:hint="default" w:ascii="Times New Roman" w:hAnsi="Times New Roman" w:cs="Times New Roman"/>
          <w:bCs/>
          <w:color w:val="auto"/>
          <w:sz w:val="24"/>
          <w:highlight w:val="none"/>
          <w:lang w:val="en-US" w:eastAsia="zh-CN"/>
        </w:rPr>
        <w:t>58665.09</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，202</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月已取得设施农用地备案证。项目评价范围内土地利用现状见表4.3-</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所示。</w:t>
      </w:r>
    </w:p>
    <w:p w14:paraId="4CADF28E">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 xml:space="preserve">                  表4.3-</w:t>
      </w:r>
      <w:r>
        <w:rPr>
          <w:rFonts w:hint="default" w:ascii="Times New Roman" w:hAnsi="Times New Roman" w:cs="Times New Roman"/>
          <w:b/>
          <w:color w:val="auto"/>
          <w:szCs w:val="21"/>
          <w:highlight w:val="none"/>
          <w:lang w:val="en-US" w:eastAsia="zh-CN"/>
        </w:rPr>
        <w:t>6</w:t>
      </w:r>
      <w:r>
        <w:rPr>
          <w:rFonts w:hint="default" w:ascii="Times New Roman" w:hAnsi="Times New Roman" w:cs="Times New Roman"/>
          <w:b/>
          <w:color w:val="auto"/>
          <w:szCs w:val="21"/>
          <w:highlight w:val="none"/>
        </w:rPr>
        <w:t xml:space="preserve">   评价区土地利用现状统计表             单位：hm</w:t>
      </w:r>
      <w:r>
        <w:rPr>
          <w:rFonts w:hint="default" w:ascii="Times New Roman" w:hAnsi="Times New Roman" w:cs="Times New Roman"/>
          <w:b/>
          <w:color w:val="auto"/>
          <w:szCs w:val="21"/>
          <w:highlight w:val="none"/>
          <w:vertAlign w:val="superscript"/>
        </w:rPr>
        <w:t>2</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550"/>
        <w:gridCol w:w="813"/>
        <w:gridCol w:w="1392"/>
        <w:gridCol w:w="1003"/>
        <w:gridCol w:w="1156"/>
        <w:gridCol w:w="1033"/>
        <w:gridCol w:w="1271"/>
      </w:tblGrid>
      <w:tr w14:paraId="5AF7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127" w:type="dxa"/>
            <w:gridSpan w:val="2"/>
            <w:vAlign w:val="center"/>
          </w:tcPr>
          <w:p w14:paraId="54985D6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一级类</w:t>
            </w:r>
          </w:p>
        </w:tc>
        <w:tc>
          <w:tcPr>
            <w:tcW w:w="2205" w:type="dxa"/>
            <w:gridSpan w:val="2"/>
            <w:vAlign w:val="center"/>
          </w:tcPr>
          <w:p w14:paraId="4207A01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二级类</w:t>
            </w:r>
          </w:p>
        </w:tc>
        <w:tc>
          <w:tcPr>
            <w:tcW w:w="1003" w:type="dxa"/>
            <w:vMerge w:val="restart"/>
            <w:vAlign w:val="center"/>
          </w:tcPr>
          <w:p w14:paraId="69370DB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评价区面积</w:t>
            </w:r>
          </w:p>
        </w:tc>
        <w:tc>
          <w:tcPr>
            <w:tcW w:w="1156" w:type="dxa"/>
            <w:vMerge w:val="restart"/>
            <w:vAlign w:val="center"/>
          </w:tcPr>
          <w:p w14:paraId="1037486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比例</w:t>
            </w:r>
          </w:p>
          <w:p w14:paraId="7786564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w:t>
            </w:r>
          </w:p>
        </w:tc>
        <w:tc>
          <w:tcPr>
            <w:tcW w:w="2304" w:type="dxa"/>
            <w:gridSpan w:val="2"/>
            <w:vMerge w:val="restart"/>
            <w:vAlign w:val="center"/>
          </w:tcPr>
          <w:p w14:paraId="212E8EC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项目占用情况</w:t>
            </w:r>
          </w:p>
        </w:tc>
      </w:tr>
      <w:tr w14:paraId="60D5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77" w:type="dxa"/>
            <w:vMerge w:val="restart"/>
            <w:vAlign w:val="center"/>
          </w:tcPr>
          <w:p w14:paraId="00DE23B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编码</w:t>
            </w:r>
          </w:p>
        </w:tc>
        <w:tc>
          <w:tcPr>
            <w:tcW w:w="1550" w:type="dxa"/>
            <w:vMerge w:val="restart"/>
            <w:vAlign w:val="center"/>
          </w:tcPr>
          <w:p w14:paraId="7F7EBD6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名称</w:t>
            </w:r>
          </w:p>
        </w:tc>
        <w:tc>
          <w:tcPr>
            <w:tcW w:w="813" w:type="dxa"/>
            <w:vMerge w:val="restart"/>
            <w:vAlign w:val="center"/>
          </w:tcPr>
          <w:p w14:paraId="090F31F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编码</w:t>
            </w:r>
          </w:p>
        </w:tc>
        <w:tc>
          <w:tcPr>
            <w:tcW w:w="1392" w:type="dxa"/>
            <w:vMerge w:val="restart"/>
            <w:vAlign w:val="center"/>
          </w:tcPr>
          <w:p w14:paraId="5816FDC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名称</w:t>
            </w:r>
          </w:p>
        </w:tc>
        <w:tc>
          <w:tcPr>
            <w:tcW w:w="1003" w:type="dxa"/>
            <w:vMerge w:val="continue"/>
            <w:vAlign w:val="center"/>
          </w:tcPr>
          <w:p w14:paraId="557CA04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p>
        </w:tc>
        <w:tc>
          <w:tcPr>
            <w:tcW w:w="1156" w:type="dxa"/>
            <w:vMerge w:val="continue"/>
            <w:vAlign w:val="center"/>
          </w:tcPr>
          <w:p w14:paraId="7BCC96E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p>
        </w:tc>
        <w:tc>
          <w:tcPr>
            <w:tcW w:w="2304" w:type="dxa"/>
            <w:gridSpan w:val="2"/>
            <w:vMerge w:val="continue"/>
            <w:vAlign w:val="center"/>
          </w:tcPr>
          <w:p w14:paraId="60445BE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rPr>
            </w:pPr>
          </w:p>
        </w:tc>
      </w:tr>
      <w:tr w14:paraId="58BA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77" w:type="dxa"/>
            <w:vMerge w:val="continue"/>
            <w:vAlign w:val="center"/>
          </w:tcPr>
          <w:p w14:paraId="506E4E5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550" w:type="dxa"/>
            <w:vMerge w:val="continue"/>
            <w:vAlign w:val="center"/>
          </w:tcPr>
          <w:p w14:paraId="0EF8B03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813" w:type="dxa"/>
            <w:vMerge w:val="continue"/>
            <w:vAlign w:val="center"/>
          </w:tcPr>
          <w:p w14:paraId="02CDD9C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392" w:type="dxa"/>
            <w:vMerge w:val="continue"/>
            <w:vAlign w:val="center"/>
          </w:tcPr>
          <w:p w14:paraId="440941B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003" w:type="dxa"/>
            <w:vMerge w:val="continue"/>
            <w:vAlign w:val="center"/>
          </w:tcPr>
          <w:p w14:paraId="4DC6B4D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156" w:type="dxa"/>
            <w:vMerge w:val="continue"/>
            <w:vAlign w:val="center"/>
          </w:tcPr>
          <w:p w14:paraId="1E1D469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033" w:type="dxa"/>
            <w:vAlign w:val="center"/>
          </w:tcPr>
          <w:p w14:paraId="0BD8B69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占用面积</w:t>
            </w:r>
          </w:p>
        </w:tc>
        <w:tc>
          <w:tcPr>
            <w:tcW w:w="1271" w:type="dxa"/>
            <w:vAlign w:val="center"/>
          </w:tcPr>
          <w:p w14:paraId="1DD991B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占同类型比例%</w:t>
            </w:r>
          </w:p>
        </w:tc>
      </w:tr>
      <w:tr w14:paraId="7DA4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77" w:type="dxa"/>
            <w:vAlign w:val="center"/>
          </w:tcPr>
          <w:p w14:paraId="7F3B3E7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01</w:t>
            </w:r>
          </w:p>
        </w:tc>
        <w:tc>
          <w:tcPr>
            <w:tcW w:w="1550" w:type="dxa"/>
            <w:vAlign w:val="bottom"/>
          </w:tcPr>
          <w:p w14:paraId="08F7A1A1">
            <w:pPr>
              <w:keepNext w:val="0"/>
              <w:keepLines w:val="0"/>
              <w:widowControl/>
              <w:suppressLineNumbers w:val="0"/>
              <w:jc w:val="left"/>
              <w:textAlignment w:val="bottom"/>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耕地</w:t>
            </w:r>
          </w:p>
        </w:tc>
        <w:tc>
          <w:tcPr>
            <w:tcW w:w="813" w:type="dxa"/>
            <w:vAlign w:val="center"/>
          </w:tcPr>
          <w:p w14:paraId="08CB95E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0103</w:t>
            </w:r>
          </w:p>
        </w:tc>
        <w:tc>
          <w:tcPr>
            <w:tcW w:w="1392" w:type="dxa"/>
            <w:vAlign w:val="bottom"/>
          </w:tcPr>
          <w:p w14:paraId="5696AEF7">
            <w:pPr>
              <w:keepNext w:val="0"/>
              <w:keepLines w:val="0"/>
              <w:widowControl/>
              <w:suppressLineNumbers w:val="0"/>
              <w:jc w:val="lef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旱地</w:t>
            </w:r>
          </w:p>
        </w:tc>
        <w:tc>
          <w:tcPr>
            <w:tcW w:w="1003" w:type="dxa"/>
            <w:vAlign w:val="bottom"/>
          </w:tcPr>
          <w:p w14:paraId="14716BC0">
            <w:pPr>
              <w:keepNext w:val="0"/>
              <w:keepLines w:val="0"/>
              <w:widowControl/>
              <w:suppressLineNumbers w:val="0"/>
              <w:jc w:val="righ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6.29</w:t>
            </w:r>
          </w:p>
        </w:tc>
        <w:tc>
          <w:tcPr>
            <w:tcW w:w="1156" w:type="dxa"/>
            <w:vAlign w:val="bottom"/>
          </w:tcPr>
          <w:p w14:paraId="3563776E">
            <w:pPr>
              <w:keepNext w:val="0"/>
              <w:keepLines w:val="0"/>
              <w:widowControl/>
              <w:suppressLineNumbers w:val="0"/>
              <w:jc w:val="righ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9.78</w:t>
            </w:r>
          </w:p>
        </w:tc>
        <w:tc>
          <w:tcPr>
            <w:tcW w:w="1033" w:type="dxa"/>
            <w:vAlign w:val="center"/>
          </w:tcPr>
          <w:p w14:paraId="2AFE15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1" w:type="dxa"/>
            <w:vAlign w:val="center"/>
          </w:tcPr>
          <w:p w14:paraId="6DCD72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r>
      <w:tr w14:paraId="7E9D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77" w:type="dxa"/>
            <w:vAlign w:val="center"/>
          </w:tcPr>
          <w:p w14:paraId="326EC2B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02</w:t>
            </w:r>
          </w:p>
        </w:tc>
        <w:tc>
          <w:tcPr>
            <w:tcW w:w="1550" w:type="dxa"/>
            <w:vAlign w:val="bottom"/>
          </w:tcPr>
          <w:p w14:paraId="308A6134">
            <w:pPr>
              <w:keepNext w:val="0"/>
              <w:keepLines w:val="0"/>
              <w:widowControl/>
              <w:suppressLineNumbers w:val="0"/>
              <w:jc w:val="left"/>
              <w:textAlignment w:val="bottom"/>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i w:val="0"/>
                <w:iCs w:val="0"/>
                <w:color w:val="auto"/>
                <w:kern w:val="0"/>
                <w:sz w:val="18"/>
                <w:szCs w:val="18"/>
                <w:u w:val="none"/>
                <w:lang w:val="en-US" w:eastAsia="zh-CN" w:bidi="ar"/>
              </w:rPr>
              <w:t>其他土地</w:t>
            </w:r>
          </w:p>
        </w:tc>
        <w:tc>
          <w:tcPr>
            <w:tcW w:w="813" w:type="dxa"/>
            <w:vAlign w:val="center"/>
          </w:tcPr>
          <w:p w14:paraId="7C8CE53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1202</w:t>
            </w:r>
          </w:p>
        </w:tc>
        <w:tc>
          <w:tcPr>
            <w:tcW w:w="1392" w:type="dxa"/>
            <w:vAlign w:val="bottom"/>
          </w:tcPr>
          <w:p w14:paraId="34E4E412">
            <w:pPr>
              <w:keepNext w:val="0"/>
              <w:keepLines w:val="0"/>
              <w:widowControl/>
              <w:suppressLineNumbers w:val="0"/>
              <w:jc w:val="lef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设施农用地</w:t>
            </w:r>
          </w:p>
        </w:tc>
        <w:tc>
          <w:tcPr>
            <w:tcW w:w="1003" w:type="dxa"/>
            <w:vAlign w:val="bottom"/>
          </w:tcPr>
          <w:p w14:paraId="4335F353">
            <w:pPr>
              <w:keepNext w:val="0"/>
              <w:keepLines w:val="0"/>
              <w:widowControl/>
              <w:suppressLineNumbers w:val="0"/>
              <w:jc w:val="righ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31.94</w:t>
            </w:r>
          </w:p>
        </w:tc>
        <w:tc>
          <w:tcPr>
            <w:tcW w:w="1156" w:type="dxa"/>
            <w:vAlign w:val="bottom"/>
          </w:tcPr>
          <w:p w14:paraId="3DACCB11">
            <w:pPr>
              <w:keepNext w:val="0"/>
              <w:keepLines w:val="0"/>
              <w:widowControl/>
              <w:suppressLineNumbers w:val="0"/>
              <w:jc w:val="righ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49.65</w:t>
            </w:r>
          </w:p>
        </w:tc>
        <w:tc>
          <w:tcPr>
            <w:tcW w:w="1033" w:type="dxa"/>
            <w:vAlign w:val="center"/>
          </w:tcPr>
          <w:p w14:paraId="056584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5.866</w:t>
            </w:r>
          </w:p>
        </w:tc>
        <w:tc>
          <w:tcPr>
            <w:tcW w:w="1271" w:type="dxa"/>
            <w:vAlign w:val="center"/>
          </w:tcPr>
          <w:p w14:paraId="263C57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18.36</w:t>
            </w:r>
          </w:p>
        </w:tc>
      </w:tr>
      <w:tr w14:paraId="7B61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77" w:type="dxa"/>
            <w:vAlign w:val="center"/>
          </w:tcPr>
          <w:p w14:paraId="3522060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w:t>
            </w:r>
          </w:p>
        </w:tc>
        <w:tc>
          <w:tcPr>
            <w:tcW w:w="1550" w:type="dxa"/>
            <w:vAlign w:val="bottom"/>
          </w:tcPr>
          <w:p w14:paraId="4C7E0B36">
            <w:pPr>
              <w:keepNext w:val="0"/>
              <w:keepLines w:val="0"/>
              <w:widowControl/>
              <w:suppressLineNumbers w:val="0"/>
              <w:jc w:val="left"/>
              <w:textAlignment w:val="bottom"/>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i w:val="0"/>
                <w:iCs w:val="0"/>
                <w:color w:val="auto"/>
                <w:kern w:val="0"/>
                <w:sz w:val="18"/>
                <w:szCs w:val="18"/>
                <w:u w:val="none"/>
                <w:lang w:val="en-US" w:eastAsia="zh-CN" w:bidi="ar"/>
              </w:rPr>
              <w:t>交通运输用地</w:t>
            </w:r>
          </w:p>
        </w:tc>
        <w:tc>
          <w:tcPr>
            <w:tcW w:w="813" w:type="dxa"/>
            <w:vAlign w:val="center"/>
          </w:tcPr>
          <w:p w14:paraId="21235EE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1006</w:t>
            </w:r>
          </w:p>
        </w:tc>
        <w:tc>
          <w:tcPr>
            <w:tcW w:w="1392" w:type="dxa"/>
            <w:vAlign w:val="bottom"/>
          </w:tcPr>
          <w:p w14:paraId="1E98EE24">
            <w:pPr>
              <w:keepNext w:val="0"/>
              <w:keepLines w:val="0"/>
              <w:widowControl/>
              <w:suppressLineNumbers w:val="0"/>
              <w:jc w:val="lef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农村道路</w:t>
            </w:r>
          </w:p>
        </w:tc>
        <w:tc>
          <w:tcPr>
            <w:tcW w:w="1003" w:type="dxa"/>
            <w:vAlign w:val="bottom"/>
          </w:tcPr>
          <w:p w14:paraId="7D5B21E9">
            <w:pPr>
              <w:keepNext w:val="0"/>
              <w:keepLines w:val="0"/>
              <w:widowControl/>
              <w:suppressLineNumbers w:val="0"/>
              <w:jc w:val="righ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1.38</w:t>
            </w:r>
          </w:p>
        </w:tc>
        <w:tc>
          <w:tcPr>
            <w:tcW w:w="1156" w:type="dxa"/>
            <w:vAlign w:val="bottom"/>
          </w:tcPr>
          <w:p w14:paraId="138F7A5D">
            <w:pPr>
              <w:keepNext w:val="0"/>
              <w:keepLines w:val="0"/>
              <w:widowControl/>
              <w:suppressLineNumbers w:val="0"/>
              <w:jc w:val="righ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2.15</w:t>
            </w:r>
          </w:p>
        </w:tc>
        <w:tc>
          <w:tcPr>
            <w:tcW w:w="1033" w:type="dxa"/>
            <w:vAlign w:val="center"/>
          </w:tcPr>
          <w:p w14:paraId="6D774A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1" w:type="dxa"/>
            <w:vAlign w:val="center"/>
          </w:tcPr>
          <w:p w14:paraId="0FAC8C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r>
      <w:tr w14:paraId="3F1D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77" w:type="dxa"/>
            <w:vAlign w:val="center"/>
          </w:tcPr>
          <w:p w14:paraId="41BE77E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04</w:t>
            </w:r>
          </w:p>
        </w:tc>
        <w:tc>
          <w:tcPr>
            <w:tcW w:w="1550" w:type="dxa"/>
            <w:vAlign w:val="bottom"/>
          </w:tcPr>
          <w:p w14:paraId="3A10AB86">
            <w:pPr>
              <w:keepNext w:val="0"/>
              <w:keepLines w:val="0"/>
              <w:widowControl/>
              <w:suppressLineNumbers w:val="0"/>
              <w:jc w:val="lef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园地</w:t>
            </w:r>
          </w:p>
        </w:tc>
        <w:tc>
          <w:tcPr>
            <w:tcW w:w="813" w:type="dxa"/>
            <w:vAlign w:val="center"/>
          </w:tcPr>
          <w:p w14:paraId="2EC5265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0201</w:t>
            </w:r>
          </w:p>
        </w:tc>
        <w:tc>
          <w:tcPr>
            <w:tcW w:w="1392" w:type="dxa"/>
            <w:vAlign w:val="bottom"/>
          </w:tcPr>
          <w:p w14:paraId="5EC6941F">
            <w:pPr>
              <w:keepNext w:val="0"/>
              <w:keepLines w:val="0"/>
              <w:widowControl/>
              <w:suppressLineNumbers w:val="0"/>
              <w:jc w:val="lef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果园</w:t>
            </w:r>
          </w:p>
        </w:tc>
        <w:tc>
          <w:tcPr>
            <w:tcW w:w="1003" w:type="dxa"/>
            <w:vAlign w:val="bottom"/>
          </w:tcPr>
          <w:p w14:paraId="4195D1ED">
            <w:pPr>
              <w:keepNext w:val="0"/>
              <w:keepLines w:val="0"/>
              <w:widowControl/>
              <w:suppressLineNumbers w:val="0"/>
              <w:jc w:val="righ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6.12</w:t>
            </w:r>
          </w:p>
        </w:tc>
        <w:tc>
          <w:tcPr>
            <w:tcW w:w="1156" w:type="dxa"/>
            <w:vAlign w:val="bottom"/>
          </w:tcPr>
          <w:p w14:paraId="79B0C01C">
            <w:pPr>
              <w:keepNext w:val="0"/>
              <w:keepLines w:val="0"/>
              <w:widowControl/>
              <w:suppressLineNumbers w:val="0"/>
              <w:jc w:val="righ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9.51</w:t>
            </w:r>
          </w:p>
        </w:tc>
        <w:tc>
          <w:tcPr>
            <w:tcW w:w="1033" w:type="dxa"/>
            <w:vAlign w:val="center"/>
          </w:tcPr>
          <w:p w14:paraId="527D80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1" w:type="dxa"/>
            <w:vAlign w:val="center"/>
          </w:tcPr>
          <w:p w14:paraId="3F70C7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r>
      <w:tr w14:paraId="0B02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77" w:type="dxa"/>
            <w:vAlign w:val="center"/>
          </w:tcPr>
          <w:p w14:paraId="6B568B9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0</w:t>
            </w:r>
            <w:r>
              <w:rPr>
                <w:rFonts w:hint="default" w:ascii="Times New Roman" w:hAnsi="Times New Roman" w:eastAsia="宋体" w:cs="Times New Roman"/>
                <w:color w:val="auto"/>
                <w:sz w:val="18"/>
                <w:szCs w:val="18"/>
                <w:highlight w:val="none"/>
                <w:lang w:val="en-US" w:eastAsia="zh-CN"/>
              </w:rPr>
              <w:t>5</w:t>
            </w:r>
          </w:p>
        </w:tc>
        <w:tc>
          <w:tcPr>
            <w:tcW w:w="1550" w:type="dxa"/>
            <w:vAlign w:val="bottom"/>
          </w:tcPr>
          <w:p w14:paraId="1D254CF7">
            <w:pPr>
              <w:keepNext w:val="0"/>
              <w:keepLines w:val="0"/>
              <w:widowControl/>
              <w:suppressLineNumbers w:val="0"/>
              <w:jc w:val="lef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林地</w:t>
            </w:r>
          </w:p>
        </w:tc>
        <w:tc>
          <w:tcPr>
            <w:tcW w:w="813" w:type="dxa"/>
            <w:vAlign w:val="center"/>
          </w:tcPr>
          <w:p w14:paraId="3096798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0301</w:t>
            </w:r>
          </w:p>
        </w:tc>
        <w:tc>
          <w:tcPr>
            <w:tcW w:w="1392" w:type="dxa"/>
            <w:vAlign w:val="bottom"/>
          </w:tcPr>
          <w:p w14:paraId="5421992A">
            <w:pPr>
              <w:keepNext w:val="0"/>
              <w:keepLines w:val="0"/>
              <w:widowControl/>
              <w:suppressLineNumbers w:val="0"/>
              <w:jc w:val="lef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乔木林地</w:t>
            </w:r>
          </w:p>
        </w:tc>
        <w:tc>
          <w:tcPr>
            <w:tcW w:w="1003" w:type="dxa"/>
            <w:vAlign w:val="bottom"/>
          </w:tcPr>
          <w:p w14:paraId="795CC3E0">
            <w:pPr>
              <w:keepNext w:val="0"/>
              <w:keepLines w:val="0"/>
              <w:widowControl/>
              <w:suppressLineNumbers w:val="0"/>
              <w:jc w:val="righ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6.88</w:t>
            </w:r>
          </w:p>
        </w:tc>
        <w:tc>
          <w:tcPr>
            <w:tcW w:w="1156" w:type="dxa"/>
            <w:vAlign w:val="bottom"/>
          </w:tcPr>
          <w:p w14:paraId="703ACFE4">
            <w:pPr>
              <w:keepNext w:val="0"/>
              <w:keepLines w:val="0"/>
              <w:widowControl/>
              <w:suppressLineNumbers w:val="0"/>
              <w:jc w:val="righ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10.69</w:t>
            </w:r>
          </w:p>
        </w:tc>
        <w:tc>
          <w:tcPr>
            <w:tcW w:w="1033" w:type="dxa"/>
            <w:vAlign w:val="center"/>
          </w:tcPr>
          <w:p w14:paraId="402760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0</w:t>
            </w:r>
          </w:p>
        </w:tc>
        <w:tc>
          <w:tcPr>
            <w:tcW w:w="1271" w:type="dxa"/>
            <w:vAlign w:val="center"/>
          </w:tcPr>
          <w:p w14:paraId="340F7C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0</w:t>
            </w:r>
          </w:p>
        </w:tc>
      </w:tr>
      <w:tr w14:paraId="0DAC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77" w:type="dxa"/>
            <w:vAlign w:val="center"/>
          </w:tcPr>
          <w:p w14:paraId="3E9A1C1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w:t>
            </w:r>
          </w:p>
        </w:tc>
        <w:tc>
          <w:tcPr>
            <w:tcW w:w="1550" w:type="dxa"/>
            <w:vAlign w:val="bottom"/>
          </w:tcPr>
          <w:p w14:paraId="4882911D">
            <w:pPr>
              <w:keepNext w:val="0"/>
              <w:keepLines w:val="0"/>
              <w:widowControl/>
              <w:suppressLineNumbers w:val="0"/>
              <w:jc w:val="left"/>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林地</w:t>
            </w:r>
          </w:p>
        </w:tc>
        <w:tc>
          <w:tcPr>
            <w:tcW w:w="813" w:type="dxa"/>
            <w:vAlign w:val="center"/>
          </w:tcPr>
          <w:p w14:paraId="1AC125F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0305</w:t>
            </w:r>
          </w:p>
        </w:tc>
        <w:tc>
          <w:tcPr>
            <w:tcW w:w="1392" w:type="dxa"/>
            <w:vAlign w:val="bottom"/>
          </w:tcPr>
          <w:p w14:paraId="19DCB7F4">
            <w:pPr>
              <w:keepNext w:val="0"/>
              <w:keepLines w:val="0"/>
              <w:widowControl/>
              <w:suppressLineNumbers w:val="0"/>
              <w:jc w:val="left"/>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灌木林地</w:t>
            </w:r>
          </w:p>
        </w:tc>
        <w:tc>
          <w:tcPr>
            <w:tcW w:w="1003" w:type="dxa"/>
            <w:vAlign w:val="bottom"/>
          </w:tcPr>
          <w:p w14:paraId="563DDD79">
            <w:pPr>
              <w:keepNext w:val="0"/>
              <w:keepLines w:val="0"/>
              <w:widowControl/>
              <w:suppressLineNumbers w:val="0"/>
              <w:jc w:val="right"/>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1.84</w:t>
            </w:r>
          </w:p>
        </w:tc>
        <w:tc>
          <w:tcPr>
            <w:tcW w:w="1156" w:type="dxa"/>
            <w:vAlign w:val="bottom"/>
          </w:tcPr>
          <w:p w14:paraId="31F4B379">
            <w:pPr>
              <w:keepNext w:val="0"/>
              <w:keepLines w:val="0"/>
              <w:widowControl/>
              <w:suppressLineNumbers w:val="0"/>
              <w:jc w:val="righ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2.86</w:t>
            </w:r>
          </w:p>
        </w:tc>
        <w:tc>
          <w:tcPr>
            <w:tcW w:w="1033" w:type="dxa"/>
            <w:vAlign w:val="center"/>
          </w:tcPr>
          <w:p w14:paraId="2CC7FA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0</w:t>
            </w:r>
          </w:p>
        </w:tc>
        <w:tc>
          <w:tcPr>
            <w:tcW w:w="1271" w:type="dxa"/>
            <w:vAlign w:val="center"/>
          </w:tcPr>
          <w:p w14:paraId="35D90A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0</w:t>
            </w:r>
          </w:p>
        </w:tc>
      </w:tr>
      <w:tr w14:paraId="2F50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77" w:type="dxa"/>
            <w:vAlign w:val="center"/>
          </w:tcPr>
          <w:p w14:paraId="0E9D741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07</w:t>
            </w:r>
          </w:p>
        </w:tc>
        <w:tc>
          <w:tcPr>
            <w:tcW w:w="1550" w:type="dxa"/>
            <w:vAlign w:val="bottom"/>
          </w:tcPr>
          <w:p w14:paraId="17E0DE4A">
            <w:pPr>
              <w:keepNext w:val="0"/>
              <w:keepLines w:val="0"/>
              <w:widowControl/>
              <w:suppressLineNumbers w:val="0"/>
              <w:jc w:val="left"/>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草地</w:t>
            </w:r>
          </w:p>
        </w:tc>
        <w:tc>
          <w:tcPr>
            <w:tcW w:w="813" w:type="dxa"/>
            <w:vAlign w:val="center"/>
          </w:tcPr>
          <w:p w14:paraId="0CDA0AE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0404</w:t>
            </w:r>
          </w:p>
        </w:tc>
        <w:tc>
          <w:tcPr>
            <w:tcW w:w="1392" w:type="dxa"/>
            <w:vAlign w:val="bottom"/>
          </w:tcPr>
          <w:p w14:paraId="05183D3E">
            <w:pPr>
              <w:keepNext w:val="0"/>
              <w:keepLines w:val="0"/>
              <w:widowControl/>
              <w:suppressLineNumbers w:val="0"/>
              <w:jc w:val="left"/>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其他草地</w:t>
            </w:r>
          </w:p>
        </w:tc>
        <w:tc>
          <w:tcPr>
            <w:tcW w:w="1003" w:type="dxa"/>
            <w:vAlign w:val="bottom"/>
          </w:tcPr>
          <w:p w14:paraId="6D5DC2F5">
            <w:pPr>
              <w:keepNext w:val="0"/>
              <w:keepLines w:val="0"/>
              <w:widowControl/>
              <w:suppressLineNumbers w:val="0"/>
              <w:jc w:val="right"/>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9.88</w:t>
            </w:r>
          </w:p>
        </w:tc>
        <w:tc>
          <w:tcPr>
            <w:tcW w:w="1156" w:type="dxa"/>
            <w:vAlign w:val="bottom"/>
          </w:tcPr>
          <w:p w14:paraId="78B4C5A6">
            <w:pPr>
              <w:keepNext w:val="0"/>
              <w:keepLines w:val="0"/>
              <w:widowControl/>
              <w:suppressLineNumbers w:val="0"/>
              <w:jc w:val="right"/>
              <w:textAlignment w:val="bottom"/>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15.36</w:t>
            </w:r>
          </w:p>
        </w:tc>
        <w:tc>
          <w:tcPr>
            <w:tcW w:w="1033" w:type="dxa"/>
            <w:vAlign w:val="center"/>
          </w:tcPr>
          <w:p w14:paraId="781EE7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0</w:t>
            </w:r>
          </w:p>
        </w:tc>
        <w:tc>
          <w:tcPr>
            <w:tcW w:w="1271" w:type="dxa"/>
            <w:vAlign w:val="center"/>
          </w:tcPr>
          <w:p w14:paraId="38462F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0</w:t>
            </w:r>
          </w:p>
        </w:tc>
      </w:tr>
      <w:tr w14:paraId="6137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332" w:type="dxa"/>
            <w:gridSpan w:val="4"/>
            <w:vAlign w:val="center"/>
          </w:tcPr>
          <w:p w14:paraId="1C3EBF5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合计</w:t>
            </w:r>
          </w:p>
        </w:tc>
        <w:tc>
          <w:tcPr>
            <w:tcW w:w="1003" w:type="dxa"/>
            <w:vAlign w:val="center"/>
          </w:tcPr>
          <w:p w14:paraId="01029D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64.33</w:t>
            </w:r>
          </w:p>
        </w:tc>
        <w:tc>
          <w:tcPr>
            <w:tcW w:w="1156" w:type="dxa"/>
            <w:vAlign w:val="center"/>
          </w:tcPr>
          <w:p w14:paraId="6B091E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100</w:t>
            </w:r>
          </w:p>
        </w:tc>
        <w:tc>
          <w:tcPr>
            <w:tcW w:w="1033" w:type="dxa"/>
            <w:vAlign w:val="center"/>
          </w:tcPr>
          <w:p w14:paraId="1D5258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5.866</w:t>
            </w:r>
          </w:p>
        </w:tc>
        <w:tc>
          <w:tcPr>
            <w:tcW w:w="1271" w:type="dxa"/>
            <w:vAlign w:val="center"/>
          </w:tcPr>
          <w:p w14:paraId="0BE3D0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18.36</w:t>
            </w:r>
          </w:p>
        </w:tc>
      </w:tr>
    </w:tbl>
    <w:p w14:paraId="7380F318">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根据项目设施农用地备案表，项目占地不涉及永久基本农田</w:t>
      </w:r>
      <w:r>
        <w:rPr>
          <w:rFonts w:hint="default" w:ascii="Times New Roman" w:hAnsi="Times New Roman" w:cs="Times New Roman"/>
          <w:color w:val="auto"/>
          <w:sz w:val="24"/>
          <w:highlight w:val="none"/>
          <w:lang w:eastAsia="zh-CN"/>
        </w:rPr>
        <w:t>、不涉及生态红线</w:t>
      </w:r>
      <w:r>
        <w:rPr>
          <w:rFonts w:hint="default" w:ascii="Times New Roman" w:hAnsi="Times New Roman" w:cs="Times New Roman"/>
          <w:color w:val="auto"/>
          <w:sz w:val="24"/>
          <w:highlight w:val="none"/>
        </w:rPr>
        <w:t>；不涉及国家级、省级公益林。</w:t>
      </w:r>
    </w:p>
    <w:p w14:paraId="36E0CB73">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4.3.5.4主要生态环境问题</w:t>
      </w:r>
    </w:p>
    <w:p w14:paraId="03E3F82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评价区自然植被由于长期受到人类活动的干扰，原生植被目前已遭破坏，均为次生植被，由于近年来封山育林、退耕还林，森林植被有所恢复，主要分布在人类活动少的地方。而平缓地带受人类长期耕种、放牧、砂石开采等影响，原生植被基本消失，区内水土流失以中度水力侵蚀为主。</w:t>
      </w:r>
    </w:p>
    <w:p w14:paraId="2D41565F">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241" w:name="_Toc8801"/>
      <w:r>
        <w:rPr>
          <w:rStyle w:val="35"/>
          <w:rFonts w:hint="default" w:ascii="Times New Roman" w:hAnsi="Times New Roman" w:eastAsia="宋体" w:cs="Times New Roman"/>
          <w:color w:val="auto"/>
          <w:sz w:val="24"/>
          <w:szCs w:val="24"/>
          <w:highlight w:val="none"/>
        </w:rPr>
        <w:t>4.3.6土壤环境质量现状</w:t>
      </w:r>
      <w:bookmarkEnd w:id="241"/>
    </w:p>
    <w:p w14:paraId="3FC0D2E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为了解项目周边土壤环境现状，建设单位委托</w:t>
      </w:r>
      <w:r>
        <w:rPr>
          <w:rFonts w:hint="default" w:ascii="Times New Roman" w:hAnsi="Times New Roman" w:cs="Times New Roman"/>
          <w:color w:val="auto"/>
          <w:sz w:val="24"/>
          <w:highlight w:val="none"/>
          <w:lang w:eastAsia="zh-CN"/>
        </w:rPr>
        <w:t>云南鼎祺检测有限公司</w:t>
      </w:r>
      <w:r>
        <w:rPr>
          <w:rFonts w:hint="default" w:ascii="Times New Roman" w:hAnsi="Times New Roman" w:cs="Times New Roman"/>
          <w:bCs/>
          <w:color w:val="auto"/>
          <w:sz w:val="24"/>
          <w:highlight w:val="none"/>
        </w:rPr>
        <w:t>于2025年5月7日</w:t>
      </w:r>
      <w:r>
        <w:rPr>
          <w:rFonts w:hint="default" w:ascii="Times New Roman" w:hAnsi="Times New Roman" w:cs="Times New Roman"/>
          <w:color w:val="auto"/>
          <w:sz w:val="24"/>
          <w:highlight w:val="none"/>
        </w:rPr>
        <w:t>对项目评价区土壤环</w:t>
      </w:r>
      <w:r>
        <w:rPr>
          <w:rFonts w:hint="eastAsia" w:ascii="Times New Roman" w:hAnsi="Times New Roman" w:cs="Times New Roman"/>
          <w:color w:val="auto"/>
          <w:sz w:val="24"/>
          <w:highlight w:val="none"/>
          <w:lang w:eastAsia="zh-CN"/>
        </w:rPr>
        <w:t>境进</w:t>
      </w:r>
      <w:r>
        <w:rPr>
          <w:rFonts w:hint="default" w:ascii="Times New Roman" w:hAnsi="Times New Roman" w:cs="Times New Roman"/>
          <w:color w:val="auto"/>
          <w:sz w:val="24"/>
          <w:highlight w:val="none"/>
        </w:rPr>
        <w:t>行取样监测，具体情况如下：</w:t>
      </w:r>
    </w:p>
    <w:p w14:paraId="27E113EE">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1、监测方案</w:t>
      </w:r>
    </w:p>
    <w:p w14:paraId="6EDC5A31">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（1）监测点：共</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个，分别为T1项目区</w:t>
      </w:r>
      <w:r>
        <w:rPr>
          <w:rFonts w:hint="default" w:ascii="Times New Roman" w:hAnsi="Times New Roman" w:eastAsia="宋体" w:cs="Times New Roman"/>
          <w:color w:val="auto"/>
          <w:sz w:val="24"/>
          <w:highlight w:val="none"/>
          <w:lang w:eastAsia="zh-CN"/>
        </w:rPr>
        <w:t>西北侧（</w:t>
      </w:r>
      <w:r>
        <w:rPr>
          <w:rFonts w:hint="default" w:ascii="Times New Roman" w:hAnsi="Times New Roman" w:eastAsia="宋体" w:cs="Times New Roman"/>
          <w:color w:val="auto"/>
          <w:sz w:val="24"/>
          <w:highlight w:val="none"/>
          <w:lang w:val="en-US" w:eastAsia="zh-CN"/>
        </w:rPr>
        <w:t>E</w:t>
      </w:r>
      <w:r>
        <w:rPr>
          <w:rFonts w:hint="default" w:ascii="Times New Roman" w:hAnsi="Times New Roman" w:eastAsia="宋体" w:cs="Times New Roman"/>
          <w:color w:val="auto"/>
          <w:sz w:val="24"/>
          <w:highlight w:val="none"/>
        </w:rPr>
        <w:t>10</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.4</w:t>
      </w:r>
      <w:r>
        <w:rPr>
          <w:rFonts w:hint="default" w:ascii="Times New Roman" w:hAnsi="Times New Roman" w:eastAsia="宋体" w:cs="Times New Roman"/>
          <w:color w:val="auto"/>
          <w:sz w:val="24"/>
          <w:highlight w:val="none"/>
          <w:lang w:val="en-US" w:eastAsia="zh-CN"/>
        </w:rPr>
        <w:t>91865</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N</w:t>
      </w: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283966）</w:t>
      </w:r>
      <w:r>
        <w:rPr>
          <w:rFonts w:hint="default" w:ascii="Times New Roman" w:hAnsi="Times New Roman" w:eastAsia="宋体" w:cs="Times New Roman"/>
          <w:color w:val="auto"/>
          <w:sz w:val="24"/>
          <w:highlight w:val="none"/>
        </w:rPr>
        <w:t>、T2项目区</w:t>
      </w:r>
      <w:r>
        <w:rPr>
          <w:rFonts w:hint="default" w:ascii="Times New Roman" w:hAnsi="Times New Roman" w:eastAsia="宋体" w:cs="Times New Roman"/>
          <w:color w:val="auto"/>
          <w:sz w:val="24"/>
          <w:highlight w:val="none"/>
          <w:lang w:val="en-US" w:eastAsia="zh-CN"/>
        </w:rPr>
        <w:t>东侧（E</w:t>
      </w:r>
      <w:r>
        <w:rPr>
          <w:rFonts w:hint="default" w:ascii="Times New Roman" w:hAnsi="Times New Roman" w:eastAsia="宋体" w:cs="Times New Roman"/>
          <w:color w:val="auto"/>
          <w:sz w:val="24"/>
          <w:highlight w:val="none"/>
        </w:rPr>
        <w:t>10</w:t>
      </w:r>
      <w:r>
        <w:rPr>
          <w:rFonts w:hint="default" w:ascii="Times New Roman" w:hAnsi="Times New Roman" w:eastAsia="宋体" w:cs="Times New Roman"/>
          <w:color w:val="auto"/>
          <w:sz w:val="24"/>
          <w:highlight w:val="none"/>
          <w:lang w:val="en-US" w:eastAsia="zh-CN"/>
        </w:rPr>
        <w:t>3.493925；N24.283037）</w:t>
      </w:r>
      <w:r>
        <w:rPr>
          <w:rFonts w:hint="default" w:ascii="Times New Roman" w:hAnsi="Times New Roman" w:eastAsia="宋体" w:cs="Times New Roman"/>
          <w:color w:val="auto"/>
          <w:sz w:val="24"/>
          <w:highlight w:val="none"/>
        </w:rPr>
        <w:t>、T3项目区</w:t>
      </w:r>
      <w:r>
        <w:rPr>
          <w:rFonts w:hint="default" w:ascii="Times New Roman" w:hAnsi="Times New Roman" w:eastAsia="宋体" w:cs="Times New Roman"/>
          <w:color w:val="auto"/>
          <w:sz w:val="24"/>
          <w:highlight w:val="none"/>
          <w:lang w:val="en-US" w:eastAsia="zh-CN"/>
        </w:rPr>
        <w:t>中部（E</w:t>
      </w:r>
      <w:r>
        <w:rPr>
          <w:rFonts w:hint="default" w:ascii="Times New Roman" w:hAnsi="Times New Roman" w:eastAsia="宋体" w:cs="Times New Roman"/>
          <w:color w:val="auto"/>
          <w:sz w:val="24"/>
          <w:highlight w:val="none"/>
        </w:rPr>
        <w:t>10</w:t>
      </w:r>
      <w:r>
        <w:rPr>
          <w:rFonts w:hint="default" w:ascii="Times New Roman" w:hAnsi="Times New Roman" w:eastAsia="宋体" w:cs="Times New Roman"/>
          <w:color w:val="auto"/>
          <w:sz w:val="24"/>
          <w:highlight w:val="none"/>
          <w:lang w:val="en-US" w:eastAsia="zh-CN"/>
        </w:rPr>
        <w:t>3.492788</w:t>
      </w:r>
      <w:r>
        <w:rPr>
          <w:rFonts w:hint="default" w:ascii="Times New Roman" w:hAnsi="Times New Roman" w:eastAsia="宋体" w:cs="Times New Roman"/>
          <w:color w:val="auto"/>
          <w:sz w:val="24"/>
          <w:highlight w:val="none"/>
        </w:rPr>
        <w:t xml:space="preserve"> </w:t>
      </w:r>
      <w:r>
        <w:rPr>
          <w:rFonts w:hint="default" w:ascii="Times New Roman" w:hAnsi="Times New Roman" w:eastAsia="宋体" w:cs="Times New Roman"/>
          <w:color w:val="auto"/>
          <w:sz w:val="24"/>
          <w:highlight w:val="none"/>
          <w:lang w:val="en-US" w:eastAsia="zh-CN"/>
        </w:rPr>
        <w:t>N24.283144）</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个点均取表层样（0~0.2m）。</w:t>
      </w:r>
    </w:p>
    <w:p w14:paraId="38FF00C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（2）监测因子：pH值、镉、汞、砷、铅、铬、铜、镍、锌、含盐量</w:t>
      </w:r>
      <w:r>
        <w:rPr>
          <w:rFonts w:hint="default" w:ascii="Times New Roman" w:hAnsi="Times New Roman" w:cs="Times New Roman"/>
          <w:color w:val="auto"/>
          <w:sz w:val="24"/>
          <w:highlight w:val="none"/>
        </w:rPr>
        <w:t>。T1点同时记录土壤理化性质：阳离子交换量、氧化还原电位、饱和导水率、土壤容重、孔隙度，同时记录颜色、结构、质地、砂砾含量、其他异物。</w:t>
      </w:r>
    </w:p>
    <w:p w14:paraId="3D4B2936">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（3）监测频次：检测 1 天，每个点采样一次。</w:t>
      </w:r>
    </w:p>
    <w:p w14:paraId="4E50751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（4）执行标准：《土壤环境质量 农用地土壤污染风险管控标准（试行）》</w:t>
      </w:r>
    </w:p>
    <w:p w14:paraId="4CBAA1B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（GB15618-2018），含盐量执行《环境影响评价技术导则 土壤环境（试行）》（HJ964-2018）附录 D 中表 D.1 土壤盐化分级标准。</w:t>
      </w:r>
    </w:p>
    <w:p w14:paraId="01D048B2">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2、监测结果</w:t>
      </w:r>
    </w:p>
    <w:p w14:paraId="5FFE343C">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（1）土壤理化性质调查</w:t>
      </w:r>
    </w:p>
    <w:p w14:paraId="4D8D0DB0">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根据现场调查及实验数据分析，项目区土壤理化特性调查情况见表4.3</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-1。</w:t>
      </w:r>
    </w:p>
    <w:p w14:paraId="27BD7470">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表4.3</w:t>
      </w:r>
      <w:r>
        <w:rPr>
          <w:rFonts w:hint="default" w:ascii="Times New Roman" w:hAnsi="Times New Roman" w:cs="Times New Roman"/>
          <w:b/>
          <w:color w:val="auto"/>
          <w:szCs w:val="21"/>
          <w:highlight w:val="none"/>
          <w:lang w:val="en-US" w:eastAsia="zh-CN"/>
        </w:rPr>
        <w:t>.6</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val="en-US" w:eastAsia="zh-CN"/>
        </w:rPr>
        <w:t>1</w:t>
      </w:r>
      <w:r>
        <w:rPr>
          <w:rFonts w:hint="default" w:ascii="Times New Roman" w:hAnsi="Times New Roman" w:cs="Times New Roman"/>
          <w:b/>
          <w:color w:val="auto"/>
          <w:szCs w:val="21"/>
          <w:highlight w:val="none"/>
        </w:rPr>
        <w:t xml:space="preserve">   土壤理化性质一览表</w:t>
      </w:r>
    </w:p>
    <w:tbl>
      <w:tblPr>
        <w:tblStyle w:val="23"/>
        <w:tblW w:w="9112"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3016"/>
        <w:gridCol w:w="4771"/>
      </w:tblGrid>
      <w:tr w14:paraId="3D18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1" w:type="dxa"/>
            <w:gridSpan w:val="2"/>
            <w:vAlign w:val="center"/>
          </w:tcPr>
          <w:p w14:paraId="6C624CC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采样日期</w:t>
            </w:r>
          </w:p>
        </w:tc>
        <w:tc>
          <w:tcPr>
            <w:tcW w:w="4771" w:type="dxa"/>
            <w:vAlign w:val="center"/>
          </w:tcPr>
          <w:p w14:paraId="3C226B2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2025年05月07日</w:t>
            </w:r>
          </w:p>
        </w:tc>
      </w:tr>
      <w:tr w14:paraId="1A32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1" w:type="dxa"/>
            <w:gridSpan w:val="2"/>
            <w:vAlign w:val="center"/>
          </w:tcPr>
          <w:p w14:paraId="5FDEAAEE">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采样点位（经纬度）</w:t>
            </w:r>
          </w:p>
        </w:tc>
        <w:tc>
          <w:tcPr>
            <w:tcW w:w="4771" w:type="dxa"/>
            <w:vAlign w:val="center"/>
          </w:tcPr>
          <w:p w14:paraId="599A859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T1项目区</w:t>
            </w:r>
            <w:r>
              <w:rPr>
                <w:rFonts w:hint="default" w:ascii="Times New Roman" w:hAnsi="Times New Roman" w:cs="Times New Roman"/>
                <w:color w:val="auto"/>
                <w:sz w:val="18"/>
                <w:szCs w:val="18"/>
                <w:lang w:eastAsia="zh-CN"/>
              </w:rPr>
              <w:t>西北侧（</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rPr>
              <w:t>.4</w:t>
            </w:r>
            <w:r>
              <w:rPr>
                <w:rFonts w:hint="default" w:ascii="Times New Roman" w:hAnsi="Times New Roman" w:cs="Times New Roman"/>
                <w:color w:val="auto"/>
                <w:sz w:val="18"/>
                <w:szCs w:val="18"/>
                <w:lang w:val="en-US" w:eastAsia="zh-CN"/>
              </w:rPr>
              <w:t>91943°E，</w:t>
            </w:r>
            <w:r>
              <w:rPr>
                <w:rFonts w:hint="default" w:ascii="Times New Roman" w:hAnsi="Times New Roman" w:cs="Times New Roman"/>
                <w:color w:val="auto"/>
                <w:sz w:val="18"/>
                <w:szCs w:val="18"/>
              </w:rPr>
              <w:t>2</w:t>
            </w:r>
            <w:r>
              <w:rPr>
                <w:rFonts w:hint="default"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284097°N</w:t>
            </w:r>
            <w:r>
              <w:rPr>
                <w:rFonts w:hint="default" w:ascii="Times New Roman" w:hAnsi="Times New Roman" w:cs="Times New Roman"/>
                <w:color w:val="auto"/>
                <w:sz w:val="18"/>
                <w:szCs w:val="18"/>
                <w:lang w:eastAsia="zh-CN"/>
              </w:rPr>
              <w:t>）</w:t>
            </w:r>
          </w:p>
        </w:tc>
      </w:tr>
      <w:tr w14:paraId="3EB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41" w:type="dxa"/>
            <w:gridSpan w:val="2"/>
            <w:vAlign w:val="center"/>
          </w:tcPr>
          <w:p w14:paraId="54682D8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采样（cm）</w:t>
            </w:r>
          </w:p>
        </w:tc>
        <w:tc>
          <w:tcPr>
            <w:tcW w:w="4771" w:type="dxa"/>
            <w:vAlign w:val="center"/>
          </w:tcPr>
          <w:p w14:paraId="059CFE71">
            <w:pPr>
              <w:spacing w:line="240" w:lineRule="auto"/>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5</w:t>
            </w:r>
          </w:p>
        </w:tc>
      </w:tr>
      <w:tr w14:paraId="3369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5" w:type="dxa"/>
            <w:vMerge w:val="restart"/>
            <w:vAlign w:val="center"/>
          </w:tcPr>
          <w:p w14:paraId="2F9430A2">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kern w:val="2"/>
                <w:sz w:val="18"/>
                <w:szCs w:val="18"/>
                <w:lang w:val="en-US" w:eastAsia="zh-CN" w:bidi="ar"/>
              </w:rPr>
              <w:t>现场记录</w:t>
            </w:r>
          </w:p>
        </w:tc>
        <w:tc>
          <w:tcPr>
            <w:tcW w:w="3016" w:type="dxa"/>
            <w:vAlign w:val="center"/>
          </w:tcPr>
          <w:p w14:paraId="25E2DDCE">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颜色</w:t>
            </w:r>
          </w:p>
        </w:tc>
        <w:tc>
          <w:tcPr>
            <w:tcW w:w="4771" w:type="dxa"/>
            <w:vAlign w:val="center"/>
          </w:tcPr>
          <w:p w14:paraId="6BFD250D">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红棕</w:t>
            </w:r>
          </w:p>
        </w:tc>
      </w:tr>
      <w:tr w14:paraId="2F04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5" w:type="dxa"/>
            <w:vMerge w:val="continue"/>
            <w:vAlign w:val="center"/>
          </w:tcPr>
          <w:p w14:paraId="7508D255">
            <w:pPr>
              <w:widowControl/>
              <w:overflowPunct w:val="0"/>
              <w:adjustRightInd w:val="0"/>
              <w:snapToGrid w:val="0"/>
              <w:spacing w:line="240" w:lineRule="auto"/>
              <w:jc w:val="center"/>
              <w:textAlignment w:val="center"/>
              <w:rPr>
                <w:rFonts w:hint="default" w:ascii="Times New Roman" w:hAnsi="Times New Roman" w:cs="Times New Roman"/>
                <w:bCs/>
                <w:color w:val="auto"/>
                <w:kern w:val="0"/>
                <w:sz w:val="18"/>
                <w:szCs w:val="18"/>
                <w:lang w:bidi="ar"/>
              </w:rPr>
            </w:pPr>
          </w:p>
        </w:tc>
        <w:tc>
          <w:tcPr>
            <w:tcW w:w="3016" w:type="dxa"/>
            <w:vAlign w:val="center"/>
          </w:tcPr>
          <w:p w14:paraId="296F1D10">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结构</w:t>
            </w:r>
          </w:p>
        </w:tc>
        <w:tc>
          <w:tcPr>
            <w:tcW w:w="4771" w:type="dxa"/>
            <w:vAlign w:val="center"/>
          </w:tcPr>
          <w:p w14:paraId="4D3C3A43">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团粒</w:t>
            </w:r>
          </w:p>
        </w:tc>
      </w:tr>
      <w:tr w14:paraId="696D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5" w:type="dxa"/>
            <w:vMerge w:val="continue"/>
            <w:vAlign w:val="center"/>
          </w:tcPr>
          <w:p w14:paraId="04E69C4E">
            <w:pPr>
              <w:widowControl/>
              <w:overflowPunct w:val="0"/>
              <w:adjustRightInd w:val="0"/>
              <w:snapToGrid w:val="0"/>
              <w:spacing w:line="240" w:lineRule="auto"/>
              <w:jc w:val="center"/>
              <w:textAlignment w:val="center"/>
              <w:rPr>
                <w:rFonts w:hint="default" w:ascii="Times New Roman" w:hAnsi="Times New Roman" w:cs="Times New Roman"/>
                <w:bCs/>
                <w:color w:val="auto"/>
                <w:kern w:val="0"/>
                <w:sz w:val="18"/>
                <w:szCs w:val="18"/>
                <w:lang w:bidi="ar"/>
              </w:rPr>
            </w:pPr>
          </w:p>
        </w:tc>
        <w:tc>
          <w:tcPr>
            <w:tcW w:w="3016" w:type="dxa"/>
            <w:vAlign w:val="center"/>
          </w:tcPr>
          <w:p w14:paraId="740D4E93">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质地</w:t>
            </w:r>
          </w:p>
        </w:tc>
        <w:tc>
          <w:tcPr>
            <w:tcW w:w="4771" w:type="dxa"/>
            <w:vAlign w:val="center"/>
          </w:tcPr>
          <w:p w14:paraId="0186AEEF">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壤土</w:t>
            </w:r>
          </w:p>
        </w:tc>
      </w:tr>
      <w:tr w14:paraId="0D6A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5" w:type="dxa"/>
            <w:vMerge w:val="continue"/>
            <w:vAlign w:val="center"/>
          </w:tcPr>
          <w:p w14:paraId="25EFF5A5">
            <w:pPr>
              <w:widowControl/>
              <w:overflowPunct w:val="0"/>
              <w:adjustRightInd w:val="0"/>
              <w:snapToGrid w:val="0"/>
              <w:spacing w:line="240" w:lineRule="auto"/>
              <w:jc w:val="center"/>
              <w:textAlignment w:val="center"/>
              <w:rPr>
                <w:rFonts w:hint="default" w:ascii="Times New Roman" w:hAnsi="Times New Roman" w:cs="Times New Roman"/>
                <w:bCs/>
                <w:color w:val="auto"/>
                <w:kern w:val="0"/>
                <w:sz w:val="18"/>
                <w:szCs w:val="18"/>
                <w:lang w:bidi="ar"/>
              </w:rPr>
            </w:pPr>
          </w:p>
        </w:tc>
        <w:tc>
          <w:tcPr>
            <w:tcW w:w="3016" w:type="dxa"/>
            <w:vAlign w:val="center"/>
          </w:tcPr>
          <w:p w14:paraId="25AE989C">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砂砾含量</w:t>
            </w:r>
          </w:p>
        </w:tc>
        <w:tc>
          <w:tcPr>
            <w:tcW w:w="4771" w:type="dxa"/>
            <w:vAlign w:val="center"/>
          </w:tcPr>
          <w:p w14:paraId="7FDB4029">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1%~3%</w:t>
            </w:r>
          </w:p>
        </w:tc>
      </w:tr>
      <w:tr w14:paraId="26BA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5" w:type="dxa"/>
            <w:vMerge w:val="continue"/>
            <w:vAlign w:val="center"/>
          </w:tcPr>
          <w:p w14:paraId="48E3F6B9">
            <w:pPr>
              <w:widowControl/>
              <w:overflowPunct w:val="0"/>
              <w:adjustRightInd w:val="0"/>
              <w:snapToGrid w:val="0"/>
              <w:spacing w:line="240" w:lineRule="auto"/>
              <w:jc w:val="center"/>
              <w:textAlignment w:val="center"/>
              <w:rPr>
                <w:rFonts w:hint="default" w:ascii="Times New Roman" w:hAnsi="Times New Roman" w:cs="Times New Roman"/>
                <w:bCs/>
                <w:color w:val="auto"/>
                <w:kern w:val="0"/>
                <w:sz w:val="18"/>
                <w:szCs w:val="18"/>
                <w:lang w:bidi="ar"/>
              </w:rPr>
            </w:pPr>
          </w:p>
        </w:tc>
        <w:tc>
          <w:tcPr>
            <w:tcW w:w="3016" w:type="dxa"/>
            <w:vAlign w:val="center"/>
          </w:tcPr>
          <w:p w14:paraId="0FA56FCC">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其它异物</w:t>
            </w:r>
          </w:p>
        </w:tc>
        <w:tc>
          <w:tcPr>
            <w:tcW w:w="4771" w:type="dxa"/>
            <w:vAlign w:val="center"/>
          </w:tcPr>
          <w:p w14:paraId="13ACF4E3">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无</w:t>
            </w:r>
          </w:p>
        </w:tc>
      </w:tr>
      <w:tr w14:paraId="593C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5" w:type="dxa"/>
            <w:vMerge w:val="continue"/>
            <w:vAlign w:val="center"/>
          </w:tcPr>
          <w:p w14:paraId="2C63975D">
            <w:pPr>
              <w:widowControl/>
              <w:overflowPunct w:val="0"/>
              <w:adjustRightInd w:val="0"/>
              <w:snapToGrid w:val="0"/>
              <w:spacing w:line="240" w:lineRule="auto"/>
              <w:jc w:val="center"/>
              <w:textAlignment w:val="center"/>
              <w:rPr>
                <w:rFonts w:hint="default" w:ascii="Times New Roman" w:hAnsi="Times New Roman" w:cs="Times New Roman"/>
                <w:bCs/>
                <w:color w:val="auto"/>
                <w:kern w:val="0"/>
                <w:sz w:val="18"/>
                <w:szCs w:val="18"/>
                <w:lang w:bidi="ar"/>
              </w:rPr>
            </w:pPr>
          </w:p>
        </w:tc>
        <w:tc>
          <w:tcPr>
            <w:tcW w:w="3016" w:type="dxa"/>
            <w:vAlign w:val="center"/>
          </w:tcPr>
          <w:p w14:paraId="46BE9D52">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氧化还原电位</w:t>
            </w:r>
            <w:r>
              <w:rPr>
                <w:rFonts w:hint="default" w:ascii="Times New Roman" w:hAnsi="Times New Roman" w:eastAsia="宋体" w:cs="Times New Roman"/>
                <w:color w:val="auto"/>
                <w:kern w:val="0"/>
                <w:sz w:val="18"/>
                <w:szCs w:val="18"/>
                <w:lang w:val="en-US" w:eastAsia="zh-CN" w:bidi="ar"/>
              </w:rPr>
              <w:t>（mV）</w:t>
            </w:r>
          </w:p>
        </w:tc>
        <w:tc>
          <w:tcPr>
            <w:tcW w:w="4771" w:type="dxa"/>
            <w:vAlign w:val="center"/>
          </w:tcPr>
          <w:p w14:paraId="4C96F05E">
            <w:pPr>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678</w:t>
            </w:r>
          </w:p>
        </w:tc>
      </w:tr>
      <w:tr w14:paraId="41A8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5" w:type="dxa"/>
            <w:vMerge w:val="restart"/>
            <w:vAlign w:val="center"/>
          </w:tcPr>
          <w:p w14:paraId="022C2BBF">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kern w:val="0"/>
                <w:sz w:val="18"/>
                <w:szCs w:val="18"/>
                <w:lang w:bidi="ar"/>
              </w:rPr>
            </w:pPr>
            <w:r>
              <w:rPr>
                <w:rFonts w:hint="default" w:ascii="Times New Roman" w:hAnsi="Times New Roman" w:eastAsia="宋体" w:cs="Times New Roman"/>
                <w:color w:val="auto"/>
                <w:kern w:val="2"/>
                <w:sz w:val="18"/>
                <w:szCs w:val="18"/>
                <w:lang w:val="en-US" w:eastAsia="zh-CN" w:bidi="ar"/>
              </w:rPr>
              <w:t>实验室测定</w:t>
            </w:r>
          </w:p>
        </w:tc>
        <w:tc>
          <w:tcPr>
            <w:tcW w:w="3016" w:type="dxa"/>
            <w:vAlign w:val="center"/>
          </w:tcPr>
          <w:p w14:paraId="028C4D3E">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pH值（无量纲）</w:t>
            </w:r>
          </w:p>
        </w:tc>
        <w:tc>
          <w:tcPr>
            <w:tcW w:w="4771" w:type="dxa"/>
            <w:vAlign w:val="center"/>
          </w:tcPr>
          <w:p w14:paraId="587F680A">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4.0</w:t>
            </w:r>
          </w:p>
        </w:tc>
      </w:tr>
      <w:tr w14:paraId="4D0C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5" w:type="dxa"/>
            <w:vMerge w:val="continue"/>
            <w:vAlign w:val="center"/>
          </w:tcPr>
          <w:p w14:paraId="50CE341C">
            <w:pPr>
              <w:widowControl/>
              <w:overflowPunct w:val="0"/>
              <w:adjustRightInd w:val="0"/>
              <w:snapToGrid w:val="0"/>
              <w:spacing w:line="240" w:lineRule="auto"/>
              <w:jc w:val="center"/>
              <w:textAlignment w:val="center"/>
              <w:rPr>
                <w:rFonts w:hint="default" w:ascii="Times New Roman" w:hAnsi="Times New Roman" w:cs="Times New Roman"/>
                <w:bCs/>
                <w:color w:val="auto"/>
                <w:kern w:val="0"/>
                <w:sz w:val="18"/>
                <w:szCs w:val="18"/>
                <w:lang w:bidi="ar"/>
              </w:rPr>
            </w:pPr>
          </w:p>
        </w:tc>
        <w:tc>
          <w:tcPr>
            <w:tcW w:w="3016" w:type="dxa"/>
            <w:vAlign w:val="center"/>
          </w:tcPr>
          <w:p w14:paraId="3596ADE4">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阳离子交换量（</w:t>
            </w:r>
            <w:r>
              <w:rPr>
                <w:rFonts w:hint="default" w:ascii="Times New Roman" w:hAnsi="Times New Roman" w:eastAsia="宋体" w:cs="Times New Roman"/>
                <w:color w:val="auto"/>
                <w:kern w:val="0"/>
                <w:sz w:val="18"/>
                <w:szCs w:val="18"/>
                <w:lang w:val="en-US" w:eastAsia="zh-CN" w:bidi="ar"/>
              </w:rPr>
              <w:t>（cmol+/kg）</w:t>
            </w:r>
            <w:r>
              <w:rPr>
                <w:rFonts w:hint="default" w:ascii="Times New Roman" w:hAnsi="Times New Roman" w:eastAsia="宋体" w:cs="Times New Roman"/>
                <w:color w:val="auto"/>
                <w:kern w:val="2"/>
                <w:sz w:val="18"/>
                <w:szCs w:val="18"/>
                <w:lang w:val="en-US" w:eastAsia="zh-CN" w:bidi="ar"/>
              </w:rPr>
              <w:t>）</w:t>
            </w:r>
          </w:p>
        </w:tc>
        <w:tc>
          <w:tcPr>
            <w:tcW w:w="4771" w:type="dxa"/>
            <w:vAlign w:val="center"/>
          </w:tcPr>
          <w:p w14:paraId="1F1ABC98">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7.4</w:t>
            </w:r>
          </w:p>
        </w:tc>
      </w:tr>
      <w:tr w14:paraId="1B2D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5" w:type="dxa"/>
            <w:vMerge w:val="continue"/>
            <w:vAlign w:val="center"/>
          </w:tcPr>
          <w:p w14:paraId="544D9D26">
            <w:pPr>
              <w:widowControl/>
              <w:overflowPunct w:val="0"/>
              <w:adjustRightInd w:val="0"/>
              <w:snapToGrid w:val="0"/>
              <w:spacing w:line="240" w:lineRule="auto"/>
              <w:jc w:val="center"/>
              <w:textAlignment w:val="center"/>
              <w:rPr>
                <w:rFonts w:hint="default" w:ascii="Times New Roman" w:hAnsi="Times New Roman" w:cs="Times New Roman"/>
                <w:bCs/>
                <w:color w:val="auto"/>
                <w:kern w:val="0"/>
                <w:sz w:val="18"/>
                <w:szCs w:val="18"/>
                <w:lang w:bidi="ar"/>
              </w:rPr>
            </w:pPr>
          </w:p>
        </w:tc>
        <w:tc>
          <w:tcPr>
            <w:tcW w:w="3016" w:type="dxa"/>
            <w:vAlign w:val="center"/>
          </w:tcPr>
          <w:p w14:paraId="75F2D021">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bCs/>
                <w:color w:val="auto"/>
                <w:kern w:val="0"/>
                <w:sz w:val="18"/>
                <w:szCs w:val="18"/>
                <w:lang w:bidi="ar"/>
              </w:rPr>
              <w:t>土壤渗滤率</w:t>
            </w:r>
            <w:r>
              <w:rPr>
                <w:rFonts w:hint="default" w:ascii="Times New Roman" w:hAnsi="Times New Roman" w:eastAsia="宋体" w:cs="Times New Roman"/>
                <w:color w:val="auto"/>
                <w:kern w:val="0"/>
                <w:sz w:val="18"/>
                <w:szCs w:val="18"/>
                <w:lang w:val="en-US" w:eastAsia="zh-CN" w:bidi="ar"/>
              </w:rPr>
              <w:t>（</w:t>
            </w:r>
            <w:r>
              <w:rPr>
                <w:rFonts w:hint="default" w:ascii="Times New Roman" w:hAnsi="Times New Roman" w:cs="Times New Roman"/>
                <w:bCs/>
                <w:color w:val="auto"/>
                <w:kern w:val="0"/>
                <w:sz w:val="18"/>
                <w:szCs w:val="18"/>
                <w:lang w:bidi="ar"/>
              </w:rPr>
              <w:t>（mm/min）</w:t>
            </w:r>
            <w:r>
              <w:rPr>
                <w:rFonts w:hint="default" w:ascii="Times New Roman" w:hAnsi="Times New Roman" w:eastAsia="宋体" w:cs="Times New Roman"/>
                <w:color w:val="auto"/>
                <w:kern w:val="0"/>
                <w:sz w:val="18"/>
                <w:szCs w:val="18"/>
                <w:lang w:val="en-US" w:eastAsia="zh-CN" w:bidi="ar"/>
              </w:rPr>
              <w:t>）</w:t>
            </w:r>
          </w:p>
        </w:tc>
        <w:tc>
          <w:tcPr>
            <w:tcW w:w="4771" w:type="dxa"/>
            <w:vAlign w:val="center"/>
          </w:tcPr>
          <w:p w14:paraId="3236597C">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0.42</w:t>
            </w:r>
          </w:p>
        </w:tc>
      </w:tr>
      <w:tr w14:paraId="2C6D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5" w:type="dxa"/>
            <w:vMerge w:val="continue"/>
            <w:vAlign w:val="center"/>
          </w:tcPr>
          <w:p w14:paraId="47AD70DC">
            <w:pPr>
              <w:widowControl/>
              <w:overflowPunct w:val="0"/>
              <w:adjustRightInd w:val="0"/>
              <w:snapToGrid w:val="0"/>
              <w:spacing w:line="240" w:lineRule="auto"/>
              <w:jc w:val="center"/>
              <w:textAlignment w:val="center"/>
              <w:rPr>
                <w:rFonts w:hint="default" w:ascii="Times New Roman" w:hAnsi="Times New Roman" w:cs="Times New Roman"/>
                <w:bCs/>
                <w:color w:val="auto"/>
                <w:kern w:val="0"/>
                <w:sz w:val="18"/>
                <w:szCs w:val="18"/>
                <w:lang w:bidi="ar"/>
              </w:rPr>
            </w:pPr>
          </w:p>
        </w:tc>
        <w:tc>
          <w:tcPr>
            <w:tcW w:w="3016" w:type="dxa"/>
            <w:vAlign w:val="center"/>
          </w:tcPr>
          <w:p w14:paraId="264A4D28">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
              </w:rPr>
              <w:t>土壤容重</w:t>
            </w:r>
            <w:r>
              <w:rPr>
                <w:rFonts w:hint="default" w:ascii="Times New Roman" w:hAnsi="Times New Roman" w:eastAsia="宋体" w:cs="Times New Roman"/>
                <w:color w:val="auto"/>
                <w:kern w:val="0"/>
                <w:sz w:val="18"/>
                <w:szCs w:val="18"/>
                <w:lang w:val="en-US" w:eastAsia="zh-CN" w:bidi="ar"/>
              </w:rPr>
              <w:t>（g/cm）</w:t>
            </w:r>
          </w:p>
        </w:tc>
        <w:tc>
          <w:tcPr>
            <w:tcW w:w="4771" w:type="dxa"/>
            <w:vAlign w:val="center"/>
          </w:tcPr>
          <w:p w14:paraId="13BCC9FD">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1.49</w:t>
            </w:r>
          </w:p>
        </w:tc>
      </w:tr>
      <w:tr w14:paraId="1ADA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5" w:type="dxa"/>
            <w:vMerge w:val="continue"/>
            <w:vAlign w:val="center"/>
          </w:tcPr>
          <w:p w14:paraId="67B6B65C">
            <w:pPr>
              <w:widowControl/>
              <w:overflowPunct w:val="0"/>
              <w:adjustRightInd w:val="0"/>
              <w:snapToGrid w:val="0"/>
              <w:spacing w:line="240" w:lineRule="auto"/>
              <w:jc w:val="center"/>
              <w:textAlignment w:val="center"/>
              <w:rPr>
                <w:rFonts w:hint="default" w:ascii="Times New Roman" w:hAnsi="Times New Roman" w:cs="Times New Roman"/>
                <w:bCs/>
                <w:color w:val="auto"/>
                <w:kern w:val="0"/>
                <w:sz w:val="18"/>
                <w:szCs w:val="18"/>
                <w:lang w:bidi="ar"/>
              </w:rPr>
            </w:pPr>
          </w:p>
        </w:tc>
        <w:tc>
          <w:tcPr>
            <w:tcW w:w="3016" w:type="dxa"/>
            <w:vAlign w:val="center"/>
          </w:tcPr>
          <w:p w14:paraId="5F5318A2">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18"/>
                <w:szCs w:val="18"/>
                <w:lang w:val="en-US" w:eastAsia="zh-CN" w:bidi="ar"/>
              </w:rPr>
            </w:pPr>
            <w:r>
              <w:rPr>
                <w:rFonts w:hint="default" w:ascii="Times New Roman" w:hAnsi="Times New Roman" w:eastAsia="宋体" w:cs="Times New Roman"/>
                <w:bCs/>
                <w:color w:val="auto"/>
                <w:sz w:val="18"/>
                <w:szCs w:val="18"/>
                <w:highlight w:val="none"/>
                <w:lang w:val="en-US" w:eastAsia="zh-CN" w:bidi="ar"/>
              </w:rPr>
              <w:t>全盐量（g/kg）</w:t>
            </w:r>
          </w:p>
        </w:tc>
        <w:tc>
          <w:tcPr>
            <w:tcW w:w="4771" w:type="dxa"/>
            <w:vAlign w:val="center"/>
          </w:tcPr>
          <w:p w14:paraId="60FEE79B">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0.648</w:t>
            </w:r>
          </w:p>
        </w:tc>
      </w:tr>
      <w:tr w14:paraId="331D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5" w:type="dxa"/>
            <w:vMerge w:val="continue"/>
            <w:vAlign w:val="center"/>
          </w:tcPr>
          <w:p w14:paraId="13D3D1EB">
            <w:pPr>
              <w:widowControl/>
              <w:overflowPunct w:val="0"/>
              <w:adjustRightInd w:val="0"/>
              <w:snapToGrid w:val="0"/>
              <w:spacing w:line="240" w:lineRule="auto"/>
              <w:jc w:val="center"/>
              <w:textAlignment w:val="center"/>
              <w:rPr>
                <w:rFonts w:hint="default" w:ascii="Times New Roman" w:hAnsi="Times New Roman" w:cs="Times New Roman"/>
                <w:bCs/>
                <w:color w:val="auto"/>
                <w:kern w:val="0"/>
                <w:sz w:val="18"/>
                <w:szCs w:val="18"/>
                <w:lang w:bidi="ar"/>
              </w:rPr>
            </w:pPr>
          </w:p>
        </w:tc>
        <w:tc>
          <w:tcPr>
            <w:tcW w:w="3016" w:type="dxa"/>
            <w:vAlign w:val="center"/>
          </w:tcPr>
          <w:p w14:paraId="612C7179">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bCs/>
                <w:color w:val="auto"/>
                <w:kern w:val="0"/>
                <w:sz w:val="18"/>
                <w:szCs w:val="18"/>
                <w:lang w:bidi="ar"/>
              </w:rPr>
              <w:t>土壤孔隙度</w:t>
            </w:r>
            <w:r>
              <w:rPr>
                <w:rFonts w:hint="default" w:ascii="Times New Roman" w:hAnsi="Times New Roman" w:eastAsia="宋体" w:cs="Times New Roman"/>
                <w:color w:val="auto"/>
                <w:kern w:val="0"/>
                <w:sz w:val="18"/>
                <w:szCs w:val="18"/>
                <w:lang w:val="en-US" w:eastAsia="zh-CN" w:bidi="ar"/>
              </w:rPr>
              <w:t>（%）</w:t>
            </w:r>
          </w:p>
        </w:tc>
        <w:tc>
          <w:tcPr>
            <w:tcW w:w="4771" w:type="dxa"/>
            <w:vAlign w:val="center"/>
          </w:tcPr>
          <w:p w14:paraId="0A467E20">
            <w:pPr>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53.0</w:t>
            </w:r>
          </w:p>
        </w:tc>
      </w:tr>
    </w:tbl>
    <w:p w14:paraId="1F3E6C65">
      <w:pPr>
        <w:snapToGrid w:val="0"/>
        <w:jc w:val="both"/>
        <w:rPr>
          <w:rFonts w:hint="default" w:ascii="Times New Roman" w:hAnsi="Times New Roman" w:cs="Times New Roman"/>
          <w:b/>
          <w:color w:val="auto"/>
          <w:szCs w:val="21"/>
          <w:highlight w:val="none"/>
        </w:rPr>
      </w:pPr>
    </w:p>
    <w:p w14:paraId="53D605E3">
      <w:pPr>
        <w:bidi w:val="0"/>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根据上表，项目区土壤无酸化或碱化，未盐化。</w:t>
      </w:r>
    </w:p>
    <w:p w14:paraId="4F70CECC">
      <w:pPr>
        <w:snapToGrid w:val="0"/>
        <w:jc w:val="center"/>
        <w:rPr>
          <w:rFonts w:hint="default" w:ascii="Times New Roman" w:hAnsi="Times New Roman" w:cs="Times New Roman"/>
          <w:b/>
          <w:color w:val="auto"/>
          <w:szCs w:val="21"/>
          <w:highlight w:val="none"/>
        </w:rPr>
      </w:pPr>
    </w:p>
    <w:p w14:paraId="335D4043">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（2）其他检测项目结果</w:t>
      </w:r>
    </w:p>
    <w:p w14:paraId="568F6C9A">
      <w:pPr>
        <w:snapToGrid w:val="0"/>
        <w:spacing w:line="360" w:lineRule="auto"/>
        <w:ind w:firstLine="480" w:firstLineChars="200"/>
        <w:rPr>
          <w:rFonts w:hint="default" w:ascii="Times New Roman" w:hAnsi="Times New Roman" w:cs="Times New Roman"/>
          <w:b/>
          <w:color w:val="auto"/>
          <w:sz w:val="24"/>
          <w:highlight w:val="none"/>
        </w:rPr>
      </w:pPr>
      <w:r>
        <w:rPr>
          <w:rFonts w:hint="default" w:ascii="Times New Roman" w:hAnsi="Times New Roman" w:cs="Times New Roman"/>
          <w:color w:val="auto"/>
          <w:sz w:val="24"/>
          <w:highlight w:val="none"/>
        </w:rPr>
        <w:t>项目区土壤检测结果见表4.3</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p>
    <w:p w14:paraId="08C2BDF4">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 xml:space="preserve">                        表4.3</w:t>
      </w:r>
      <w:r>
        <w:rPr>
          <w:rFonts w:hint="default" w:ascii="Times New Roman" w:hAnsi="Times New Roman" w:cs="Times New Roman"/>
          <w:b/>
          <w:bCs/>
          <w:color w:val="auto"/>
          <w:szCs w:val="21"/>
          <w:highlight w:val="none"/>
          <w:lang w:val="en-US" w:eastAsia="zh-CN"/>
        </w:rPr>
        <w:t>.6</w:t>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highlight w:val="none"/>
          <w:lang w:val="en-US" w:eastAsia="zh-CN"/>
        </w:rPr>
        <w:t>2</w:t>
      </w:r>
      <w:r>
        <w:rPr>
          <w:rFonts w:hint="default" w:ascii="Times New Roman" w:hAnsi="Times New Roman" w:cs="Times New Roman"/>
          <w:b/>
          <w:bCs/>
          <w:color w:val="auto"/>
          <w:szCs w:val="21"/>
          <w:highlight w:val="none"/>
        </w:rPr>
        <w:t xml:space="preserve">   土壤监测结果表               单位：mg/kg</w:t>
      </w:r>
    </w:p>
    <w:tbl>
      <w:tblPr>
        <w:tblStyle w:val="23"/>
        <w:tblW w:w="8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629"/>
        <w:gridCol w:w="2090"/>
        <w:gridCol w:w="1676"/>
        <w:gridCol w:w="1407"/>
        <w:gridCol w:w="609"/>
      </w:tblGrid>
      <w:tr w14:paraId="75E6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Align w:val="center"/>
          </w:tcPr>
          <w:p w14:paraId="542A5937">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检</w:t>
            </w:r>
            <w:r>
              <w:rPr>
                <w:rFonts w:hint="default" w:ascii="Times New Roman" w:hAnsi="Times New Roman" w:cs="Times New Roman"/>
                <w:b/>
                <w:color w:val="auto"/>
                <w:sz w:val="18"/>
                <w:szCs w:val="18"/>
                <w:highlight w:val="none"/>
              </w:rPr>
              <w:t>测点</w:t>
            </w:r>
          </w:p>
        </w:tc>
        <w:tc>
          <w:tcPr>
            <w:tcW w:w="1629" w:type="dxa"/>
            <w:vAlign w:val="center"/>
          </w:tcPr>
          <w:p w14:paraId="7313037C">
            <w:pPr>
              <w:adjustRightInd w:val="0"/>
              <w:snapToGrid w:val="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color w:val="auto"/>
                <w:sz w:val="18"/>
                <w:szCs w:val="18"/>
              </w:rPr>
              <w:t>T1项目区</w:t>
            </w:r>
            <w:r>
              <w:rPr>
                <w:rFonts w:hint="default" w:ascii="Times New Roman" w:hAnsi="Times New Roman" w:cs="Times New Roman"/>
                <w:color w:val="auto"/>
                <w:sz w:val="18"/>
                <w:szCs w:val="18"/>
                <w:lang w:eastAsia="zh-CN"/>
              </w:rPr>
              <w:t>西北侧（</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rPr>
              <w:t>.4</w:t>
            </w:r>
            <w:r>
              <w:rPr>
                <w:rFonts w:hint="default" w:ascii="Times New Roman" w:hAnsi="Times New Roman" w:cs="Times New Roman"/>
                <w:color w:val="auto"/>
                <w:sz w:val="18"/>
                <w:szCs w:val="18"/>
                <w:lang w:val="en-US" w:eastAsia="zh-CN"/>
              </w:rPr>
              <w:t>91943°E，</w:t>
            </w:r>
            <w:r>
              <w:rPr>
                <w:rFonts w:hint="default" w:ascii="Times New Roman" w:hAnsi="Times New Roman" w:cs="Times New Roman"/>
                <w:color w:val="auto"/>
                <w:sz w:val="18"/>
                <w:szCs w:val="18"/>
              </w:rPr>
              <w:t>2</w:t>
            </w:r>
            <w:r>
              <w:rPr>
                <w:rFonts w:hint="default"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284097°N</w:t>
            </w:r>
            <w:r>
              <w:rPr>
                <w:rFonts w:hint="default" w:ascii="Times New Roman" w:hAnsi="Times New Roman" w:cs="Times New Roman"/>
                <w:color w:val="auto"/>
                <w:sz w:val="18"/>
                <w:szCs w:val="18"/>
                <w:lang w:eastAsia="zh-CN"/>
              </w:rPr>
              <w:t>）</w:t>
            </w:r>
          </w:p>
        </w:tc>
        <w:tc>
          <w:tcPr>
            <w:tcW w:w="2090" w:type="dxa"/>
            <w:vAlign w:val="center"/>
          </w:tcPr>
          <w:p w14:paraId="67609C90">
            <w:pPr>
              <w:adjustRightInd w:val="0"/>
              <w:snapToGrid w:val="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color w:val="auto"/>
                <w:sz w:val="18"/>
                <w:szCs w:val="18"/>
              </w:rPr>
              <w:t>T2项目区</w:t>
            </w:r>
            <w:r>
              <w:rPr>
                <w:rFonts w:hint="default" w:ascii="Times New Roman" w:hAnsi="Times New Roman" w:cs="Times New Roman"/>
                <w:color w:val="auto"/>
                <w:sz w:val="18"/>
                <w:szCs w:val="18"/>
                <w:lang w:eastAsia="zh-CN"/>
              </w:rPr>
              <w:t>东</w:t>
            </w:r>
            <w:r>
              <w:rPr>
                <w:rFonts w:hint="default" w:ascii="Times New Roman" w:hAnsi="Times New Roman" w:cs="Times New Roman"/>
                <w:color w:val="auto"/>
                <w:sz w:val="18"/>
                <w:szCs w:val="18"/>
                <w:lang w:val="en-US" w:eastAsia="zh-CN"/>
              </w:rPr>
              <w:t>侧（</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lang w:val="en-US" w:eastAsia="zh-CN"/>
              </w:rPr>
              <w:t>3.494121°E，24.282809°N）</w:t>
            </w:r>
          </w:p>
        </w:tc>
        <w:tc>
          <w:tcPr>
            <w:tcW w:w="1676" w:type="dxa"/>
            <w:vAlign w:val="center"/>
          </w:tcPr>
          <w:p w14:paraId="254EB4AF">
            <w:pPr>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color w:val="auto"/>
                <w:sz w:val="18"/>
                <w:szCs w:val="18"/>
              </w:rPr>
              <w:t>T3项目区</w:t>
            </w:r>
            <w:r>
              <w:rPr>
                <w:rFonts w:hint="default" w:ascii="Times New Roman" w:hAnsi="Times New Roman" w:cs="Times New Roman"/>
                <w:color w:val="auto"/>
                <w:sz w:val="18"/>
                <w:szCs w:val="18"/>
                <w:lang w:val="en-US" w:eastAsia="zh-CN"/>
              </w:rPr>
              <w:t>中部（103.492837°E，24.282992°N）</w:t>
            </w:r>
          </w:p>
        </w:tc>
        <w:tc>
          <w:tcPr>
            <w:tcW w:w="1407" w:type="dxa"/>
            <w:vMerge w:val="restart"/>
            <w:vAlign w:val="center"/>
          </w:tcPr>
          <w:p w14:paraId="37C949BE">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sz w:val="18"/>
                <w:szCs w:val="18"/>
                <w:highlight w:val="none"/>
              </w:rPr>
              <w:t>参考标准限值要求</w:t>
            </w:r>
          </w:p>
        </w:tc>
        <w:tc>
          <w:tcPr>
            <w:tcW w:w="609" w:type="dxa"/>
            <w:vMerge w:val="restart"/>
            <w:vAlign w:val="center"/>
          </w:tcPr>
          <w:p w14:paraId="571C957F">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达标情况</w:t>
            </w:r>
          </w:p>
        </w:tc>
      </w:tr>
      <w:tr w14:paraId="7233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restart"/>
            <w:tcBorders>
              <w:tl2br w:val="single" w:color="auto" w:sz="4" w:space="0"/>
            </w:tcBorders>
            <w:vAlign w:val="center"/>
          </w:tcPr>
          <w:p w14:paraId="55C733B6">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采样时间</w:t>
            </w:r>
          </w:p>
          <w:p w14:paraId="252CB0B7">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 xml:space="preserve">     </w:t>
            </w:r>
          </w:p>
          <w:p w14:paraId="0EA10F17">
            <w:pPr>
              <w:keepNext w:val="0"/>
              <w:keepLines w:val="0"/>
              <w:widowControl/>
              <w:suppressLineNumbers w:val="0"/>
              <w:snapToGrid w:val="0"/>
              <w:spacing w:before="0" w:beforeAutospacing="0" w:after="0" w:afterAutospacing="0"/>
              <w:ind w:left="0" w:right="0"/>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指标</w:t>
            </w:r>
          </w:p>
        </w:tc>
        <w:tc>
          <w:tcPr>
            <w:tcW w:w="5395" w:type="dxa"/>
            <w:gridSpan w:val="3"/>
            <w:vAlign w:val="center"/>
          </w:tcPr>
          <w:p w14:paraId="79798D7F">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color w:val="auto"/>
                <w:sz w:val="18"/>
                <w:szCs w:val="18"/>
              </w:rPr>
              <w:t>2025年05月07日</w:t>
            </w:r>
          </w:p>
        </w:tc>
        <w:tc>
          <w:tcPr>
            <w:tcW w:w="1407" w:type="dxa"/>
            <w:vMerge w:val="continue"/>
            <w:vAlign w:val="center"/>
          </w:tcPr>
          <w:p w14:paraId="582358E8">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609" w:type="dxa"/>
            <w:vMerge w:val="continue"/>
            <w:vAlign w:val="center"/>
          </w:tcPr>
          <w:p w14:paraId="0FC85C6B">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3119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Merge w:val="continue"/>
            <w:tcBorders>
              <w:tl2br w:val="single" w:color="auto" w:sz="4" w:space="0"/>
            </w:tcBorders>
            <w:vAlign w:val="center"/>
          </w:tcPr>
          <w:p w14:paraId="18AFDBD7">
            <w:pPr>
              <w:keepNext w:val="0"/>
              <w:keepLines w:val="0"/>
              <w:suppressLineNumbers w:val="0"/>
              <w:spacing w:before="0" w:beforeAutospacing="0" w:after="0" w:afterAutospacing="0" w:line="0" w:lineRule="atLeast"/>
              <w:ind w:left="0" w:right="0"/>
              <w:jc w:val="center"/>
              <w:rPr>
                <w:rFonts w:hint="default" w:ascii="Times New Roman" w:hAnsi="Times New Roman" w:cs="Times New Roman"/>
                <w:b/>
                <w:color w:val="auto"/>
                <w:sz w:val="18"/>
                <w:szCs w:val="18"/>
                <w:highlight w:val="none"/>
              </w:rPr>
            </w:pPr>
          </w:p>
        </w:tc>
        <w:tc>
          <w:tcPr>
            <w:tcW w:w="1629" w:type="dxa"/>
            <w:vAlign w:val="center"/>
          </w:tcPr>
          <w:p w14:paraId="7D8568BC">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0~0.2m</w:t>
            </w:r>
          </w:p>
        </w:tc>
        <w:tc>
          <w:tcPr>
            <w:tcW w:w="2090" w:type="dxa"/>
            <w:vAlign w:val="center"/>
          </w:tcPr>
          <w:p w14:paraId="64BFEED5">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color w:val="auto"/>
                <w:kern w:val="0"/>
                <w:sz w:val="18"/>
                <w:szCs w:val="18"/>
                <w:highlight w:val="none"/>
              </w:rPr>
              <w:t>0~0.2m</w:t>
            </w:r>
          </w:p>
        </w:tc>
        <w:tc>
          <w:tcPr>
            <w:tcW w:w="1676" w:type="dxa"/>
            <w:vAlign w:val="center"/>
          </w:tcPr>
          <w:p w14:paraId="75C727BA">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0~0.2m</w:t>
            </w:r>
          </w:p>
        </w:tc>
        <w:tc>
          <w:tcPr>
            <w:tcW w:w="1407" w:type="dxa"/>
            <w:vMerge w:val="continue"/>
            <w:vAlign w:val="center"/>
          </w:tcPr>
          <w:p w14:paraId="040AB0C9">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p>
        </w:tc>
        <w:tc>
          <w:tcPr>
            <w:tcW w:w="609" w:type="dxa"/>
            <w:vMerge w:val="continue"/>
            <w:vAlign w:val="center"/>
          </w:tcPr>
          <w:p w14:paraId="6EA2D0CC">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p>
        </w:tc>
      </w:tr>
      <w:tr w14:paraId="1298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Align w:val="center"/>
          </w:tcPr>
          <w:p w14:paraId="0C778999">
            <w:pPr>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bCs/>
                <w:color w:val="auto"/>
                <w:kern w:val="0"/>
                <w:sz w:val="18"/>
                <w:szCs w:val="18"/>
                <w:lang w:bidi="ar"/>
              </w:rPr>
              <w:t>pH值（无量纲）</w:t>
            </w:r>
          </w:p>
        </w:tc>
        <w:tc>
          <w:tcPr>
            <w:tcW w:w="1629" w:type="dxa"/>
            <w:vAlign w:val="center"/>
          </w:tcPr>
          <w:p w14:paraId="6EC3055D">
            <w:pPr>
              <w:jc w:val="center"/>
              <w:rPr>
                <w:rFonts w:hint="default" w:ascii="Times New Roman" w:hAnsi="Times New Roman" w:cs="Times New Roman"/>
                <w:color w:val="auto"/>
                <w:kern w:val="0"/>
                <w:sz w:val="18"/>
                <w:szCs w:val="18"/>
                <w:highlight w:val="none"/>
                <w:lang w:val="en-US"/>
              </w:rPr>
            </w:pPr>
            <w:r>
              <w:rPr>
                <w:rFonts w:hint="default" w:ascii="Times New Roman" w:hAnsi="Times New Roman" w:cs="Times New Roman"/>
                <w:color w:val="auto"/>
                <w:sz w:val="18"/>
                <w:szCs w:val="18"/>
                <w:lang w:val="en-US" w:eastAsia="zh-CN"/>
              </w:rPr>
              <w:t>6.63</w:t>
            </w:r>
          </w:p>
        </w:tc>
        <w:tc>
          <w:tcPr>
            <w:tcW w:w="2090" w:type="dxa"/>
            <w:vAlign w:val="center"/>
          </w:tcPr>
          <w:p w14:paraId="0954AF24">
            <w:pPr>
              <w:jc w:val="center"/>
              <w:rPr>
                <w:rFonts w:hint="default" w:ascii="Times New Roman" w:hAnsi="Times New Roman" w:cs="Times New Roman"/>
                <w:color w:val="auto"/>
                <w:kern w:val="0"/>
                <w:sz w:val="18"/>
                <w:szCs w:val="18"/>
                <w:highlight w:val="none"/>
                <w:lang w:val="en-US"/>
              </w:rPr>
            </w:pPr>
            <w:r>
              <w:rPr>
                <w:rFonts w:hint="default" w:ascii="Times New Roman" w:hAnsi="Times New Roman" w:cs="Times New Roman"/>
                <w:color w:val="auto"/>
                <w:sz w:val="18"/>
                <w:szCs w:val="18"/>
                <w:lang w:val="en-US" w:eastAsia="zh-CN"/>
              </w:rPr>
              <w:t>7.01</w:t>
            </w:r>
          </w:p>
        </w:tc>
        <w:tc>
          <w:tcPr>
            <w:tcW w:w="1676" w:type="dxa"/>
            <w:vAlign w:val="center"/>
          </w:tcPr>
          <w:p w14:paraId="0F3D5AE5">
            <w:pPr>
              <w:jc w:val="center"/>
              <w:rPr>
                <w:rFonts w:hint="default" w:ascii="Times New Roman" w:hAnsi="Times New Roman" w:cs="Times New Roman"/>
                <w:color w:val="auto"/>
                <w:kern w:val="0"/>
                <w:sz w:val="18"/>
                <w:szCs w:val="18"/>
                <w:highlight w:val="none"/>
                <w:lang w:val="en-US"/>
              </w:rPr>
            </w:pPr>
            <w:r>
              <w:rPr>
                <w:rFonts w:hint="default" w:ascii="Times New Roman" w:hAnsi="Times New Roman" w:cs="Times New Roman"/>
                <w:color w:val="auto"/>
                <w:sz w:val="18"/>
                <w:szCs w:val="18"/>
                <w:lang w:val="en-US" w:eastAsia="zh-CN"/>
              </w:rPr>
              <w:t>6.87</w:t>
            </w:r>
          </w:p>
        </w:tc>
        <w:tc>
          <w:tcPr>
            <w:tcW w:w="1407" w:type="dxa"/>
            <w:vAlign w:val="center"/>
          </w:tcPr>
          <w:p w14:paraId="2D69C056">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6.5＜pH≤7.5</w:t>
            </w:r>
          </w:p>
        </w:tc>
        <w:tc>
          <w:tcPr>
            <w:tcW w:w="609" w:type="dxa"/>
            <w:vAlign w:val="center"/>
          </w:tcPr>
          <w:p w14:paraId="2F9B7526">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达标</w:t>
            </w:r>
          </w:p>
        </w:tc>
      </w:tr>
      <w:tr w14:paraId="77BF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Align w:val="center"/>
          </w:tcPr>
          <w:p w14:paraId="46CE2DDB">
            <w:pPr>
              <w:widowControl/>
              <w:overflowPunct w:val="0"/>
              <w:adjustRightInd w:val="0"/>
              <w:snapToGrid w:val="0"/>
              <w:spacing w:line="252" w:lineRule="exact"/>
              <w:jc w:val="center"/>
              <w:textAlignment w:val="center"/>
              <w:rPr>
                <w:rFonts w:hint="default" w:ascii="Times New Roman" w:hAnsi="Times New Roman" w:cs="Times New Roman"/>
                <w:color w:val="auto"/>
                <w:kern w:val="0"/>
                <w:sz w:val="18"/>
                <w:szCs w:val="18"/>
                <w:highlight w:val="none"/>
              </w:rPr>
            </w:pPr>
            <w:r>
              <w:rPr>
                <w:rFonts w:hint="default" w:ascii="Times New Roman" w:hAnsi="Times New Roman" w:cs="Times New Roman"/>
                <w:bCs/>
                <w:color w:val="auto"/>
                <w:kern w:val="0"/>
                <w:sz w:val="18"/>
                <w:szCs w:val="18"/>
                <w:lang w:bidi="ar"/>
              </w:rPr>
              <w:t>镉</w:t>
            </w:r>
            <w:r>
              <w:rPr>
                <w:rFonts w:hint="default" w:ascii="Times New Roman" w:hAnsi="Times New Roman" w:cs="Times New Roman"/>
                <w:color w:val="auto"/>
                <w:sz w:val="18"/>
                <w:szCs w:val="18"/>
              </w:rPr>
              <w:t>（mg/kg）</w:t>
            </w:r>
          </w:p>
        </w:tc>
        <w:tc>
          <w:tcPr>
            <w:tcW w:w="1629" w:type="dxa"/>
            <w:vAlign w:val="center"/>
          </w:tcPr>
          <w:p w14:paraId="5C8BA807">
            <w:pPr>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lang w:val="en-US" w:eastAsia="zh-CN"/>
              </w:rPr>
              <w:t>未检出</w:t>
            </w:r>
          </w:p>
        </w:tc>
        <w:tc>
          <w:tcPr>
            <w:tcW w:w="2090" w:type="dxa"/>
            <w:vAlign w:val="center"/>
          </w:tcPr>
          <w:p w14:paraId="3F158C44">
            <w:pPr>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lang w:val="en-US" w:eastAsia="zh-CN"/>
              </w:rPr>
              <w:t>未检出</w:t>
            </w:r>
          </w:p>
        </w:tc>
        <w:tc>
          <w:tcPr>
            <w:tcW w:w="1676" w:type="dxa"/>
            <w:vAlign w:val="center"/>
          </w:tcPr>
          <w:p w14:paraId="27A61FAD">
            <w:pPr>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lang w:val="en-US" w:eastAsia="zh-CN"/>
              </w:rPr>
              <w:t>0.04</w:t>
            </w:r>
          </w:p>
        </w:tc>
        <w:tc>
          <w:tcPr>
            <w:tcW w:w="1407" w:type="dxa"/>
            <w:vAlign w:val="center"/>
          </w:tcPr>
          <w:p w14:paraId="4F1D2B75">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≤0.3</w:t>
            </w:r>
          </w:p>
        </w:tc>
        <w:tc>
          <w:tcPr>
            <w:tcW w:w="609" w:type="dxa"/>
            <w:vAlign w:val="center"/>
          </w:tcPr>
          <w:p w14:paraId="21D9707D">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达标</w:t>
            </w:r>
          </w:p>
        </w:tc>
      </w:tr>
      <w:tr w14:paraId="1A07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Align w:val="center"/>
          </w:tcPr>
          <w:p w14:paraId="46055844">
            <w:pPr>
              <w:widowControl/>
              <w:overflowPunct w:val="0"/>
              <w:adjustRightInd w:val="0"/>
              <w:snapToGrid w:val="0"/>
              <w:spacing w:line="252" w:lineRule="exact"/>
              <w:jc w:val="center"/>
              <w:textAlignment w:val="center"/>
              <w:rPr>
                <w:rFonts w:hint="default" w:ascii="Times New Roman" w:hAnsi="Times New Roman" w:cs="Times New Roman"/>
                <w:color w:val="auto"/>
                <w:kern w:val="0"/>
                <w:sz w:val="18"/>
                <w:szCs w:val="18"/>
                <w:highlight w:val="none"/>
              </w:rPr>
            </w:pPr>
            <w:r>
              <w:rPr>
                <w:rFonts w:hint="default" w:ascii="Times New Roman" w:hAnsi="Times New Roman" w:cs="Times New Roman"/>
                <w:bCs/>
                <w:color w:val="auto"/>
                <w:kern w:val="0"/>
                <w:sz w:val="18"/>
                <w:szCs w:val="18"/>
                <w:lang w:bidi="ar"/>
              </w:rPr>
              <w:t>总汞</w:t>
            </w:r>
            <w:r>
              <w:rPr>
                <w:rFonts w:hint="default" w:ascii="Times New Roman" w:hAnsi="Times New Roman" w:cs="Times New Roman"/>
                <w:color w:val="auto"/>
                <w:sz w:val="18"/>
                <w:szCs w:val="18"/>
              </w:rPr>
              <w:t>（mg/kg）</w:t>
            </w:r>
          </w:p>
        </w:tc>
        <w:tc>
          <w:tcPr>
            <w:tcW w:w="1629" w:type="dxa"/>
            <w:vAlign w:val="center"/>
          </w:tcPr>
          <w:p w14:paraId="0A298B71">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0.125</w:t>
            </w:r>
          </w:p>
        </w:tc>
        <w:tc>
          <w:tcPr>
            <w:tcW w:w="2090" w:type="dxa"/>
            <w:vAlign w:val="center"/>
          </w:tcPr>
          <w:p w14:paraId="23A5E9B6">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0.111</w:t>
            </w:r>
          </w:p>
        </w:tc>
        <w:tc>
          <w:tcPr>
            <w:tcW w:w="1676" w:type="dxa"/>
            <w:vAlign w:val="center"/>
          </w:tcPr>
          <w:p w14:paraId="5DF35668">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0.164</w:t>
            </w:r>
          </w:p>
        </w:tc>
        <w:tc>
          <w:tcPr>
            <w:tcW w:w="1407" w:type="dxa"/>
            <w:vAlign w:val="center"/>
          </w:tcPr>
          <w:p w14:paraId="4C6A62E2">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≤2.4</w:t>
            </w:r>
          </w:p>
        </w:tc>
        <w:tc>
          <w:tcPr>
            <w:tcW w:w="609" w:type="dxa"/>
            <w:vAlign w:val="center"/>
          </w:tcPr>
          <w:p w14:paraId="0620CF30">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达标</w:t>
            </w:r>
          </w:p>
        </w:tc>
      </w:tr>
      <w:tr w14:paraId="6CEB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Align w:val="center"/>
          </w:tcPr>
          <w:p w14:paraId="72A70399">
            <w:pPr>
              <w:widowControl/>
              <w:overflowPunct w:val="0"/>
              <w:adjustRightInd w:val="0"/>
              <w:snapToGrid w:val="0"/>
              <w:spacing w:line="252" w:lineRule="exact"/>
              <w:jc w:val="center"/>
              <w:textAlignment w:val="center"/>
              <w:rPr>
                <w:rFonts w:hint="default" w:ascii="Times New Roman" w:hAnsi="Times New Roman" w:cs="Times New Roman"/>
                <w:color w:val="auto"/>
                <w:kern w:val="0"/>
                <w:sz w:val="18"/>
                <w:szCs w:val="18"/>
                <w:highlight w:val="none"/>
              </w:rPr>
            </w:pPr>
            <w:r>
              <w:rPr>
                <w:rFonts w:hint="default" w:ascii="Times New Roman" w:hAnsi="Times New Roman" w:cs="Times New Roman"/>
                <w:bCs/>
                <w:color w:val="auto"/>
                <w:kern w:val="0"/>
                <w:sz w:val="18"/>
                <w:szCs w:val="18"/>
                <w:lang w:bidi="ar"/>
              </w:rPr>
              <w:t>总砷</w:t>
            </w:r>
            <w:r>
              <w:rPr>
                <w:rFonts w:hint="default" w:ascii="Times New Roman" w:hAnsi="Times New Roman" w:cs="Times New Roman"/>
                <w:color w:val="auto"/>
                <w:sz w:val="18"/>
                <w:szCs w:val="18"/>
              </w:rPr>
              <w:t>（mg/kg）</w:t>
            </w:r>
          </w:p>
        </w:tc>
        <w:tc>
          <w:tcPr>
            <w:tcW w:w="1629" w:type="dxa"/>
            <w:vAlign w:val="center"/>
          </w:tcPr>
          <w:p w14:paraId="1C65004A">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26.1</w:t>
            </w:r>
          </w:p>
        </w:tc>
        <w:tc>
          <w:tcPr>
            <w:tcW w:w="2090" w:type="dxa"/>
            <w:vAlign w:val="center"/>
          </w:tcPr>
          <w:p w14:paraId="558C385D">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18.4</w:t>
            </w:r>
          </w:p>
        </w:tc>
        <w:tc>
          <w:tcPr>
            <w:tcW w:w="1676" w:type="dxa"/>
            <w:vAlign w:val="center"/>
          </w:tcPr>
          <w:p w14:paraId="34B748D2">
            <w:pPr>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lang w:val="en-US" w:eastAsia="zh-CN"/>
              </w:rPr>
              <w:t>25.4</w:t>
            </w:r>
          </w:p>
        </w:tc>
        <w:tc>
          <w:tcPr>
            <w:tcW w:w="1407" w:type="dxa"/>
            <w:vAlign w:val="center"/>
          </w:tcPr>
          <w:p w14:paraId="36EB706F">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≤30</w:t>
            </w:r>
          </w:p>
        </w:tc>
        <w:tc>
          <w:tcPr>
            <w:tcW w:w="609" w:type="dxa"/>
            <w:vAlign w:val="center"/>
          </w:tcPr>
          <w:p w14:paraId="40ED7E93">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达标</w:t>
            </w:r>
          </w:p>
        </w:tc>
      </w:tr>
      <w:tr w14:paraId="06F5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Align w:val="center"/>
          </w:tcPr>
          <w:p w14:paraId="3720AD74">
            <w:pPr>
              <w:widowControl/>
              <w:overflowPunct w:val="0"/>
              <w:adjustRightInd w:val="0"/>
              <w:snapToGrid w:val="0"/>
              <w:spacing w:line="252" w:lineRule="exact"/>
              <w:jc w:val="center"/>
              <w:textAlignment w:val="center"/>
              <w:rPr>
                <w:rFonts w:hint="default" w:ascii="Times New Roman" w:hAnsi="Times New Roman" w:cs="Times New Roman"/>
                <w:color w:val="auto"/>
                <w:kern w:val="0"/>
                <w:sz w:val="18"/>
                <w:szCs w:val="18"/>
                <w:highlight w:val="none"/>
              </w:rPr>
            </w:pPr>
            <w:r>
              <w:rPr>
                <w:rFonts w:hint="default" w:ascii="Times New Roman" w:hAnsi="Times New Roman" w:cs="Times New Roman"/>
                <w:bCs/>
                <w:color w:val="auto"/>
                <w:kern w:val="0"/>
                <w:sz w:val="18"/>
                <w:szCs w:val="18"/>
                <w:lang w:bidi="ar"/>
              </w:rPr>
              <w:t>铅</w:t>
            </w:r>
            <w:r>
              <w:rPr>
                <w:rFonts w:hint="default" w:ascii="Times New Roman" w:hAnsi="Times New Roman" w:cs="Times New Roman"/>
                <w:color w:val="auto"/>
                <w:sz w:val="18"/>
                <w:szCs w:val="18"/>
              </w:rPr>
              <w:t>（mg/kg）</w:t>
            </w:r>
          </w:p>
        </w:tc>
        <w:tc>
          <w:tcPr>
            <w:tcW w:w="1629" w:type="dxa"/>
            <w:vAlign w:val="center"/>
          </w:tcPr>
          <w:p w14:paraId="78810821">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1</w:t>
            </w:r>
          </w:p>
        </w:tc>
        <w:tc>
          <w:tcPr>
            <w:tcW w:w="2090" w:type="dxa"/>
            <w:vAlign w:val="center"/>
          </w:tcPr>
          <w:p w14:paraId="59170758">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6</w:t>
            </w:r>
          </w:p>
        </w:tc>
        <w:tc>
          <w:tcPr>
            <w:tcW w:w="1676" w:type="dxa"/>
            <w:vAlign w:val="center"/>
          </w:tcPr>
          <w:p w14:paraId="52BB4439">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17</w:t>
            </w:r>
          </w:p>
        </w:tc>
        <w:tc>
          <w:tcPr>
            <w:tcW w:w="1407" w:type="dxa"/>
            <w:vAlign w:val="center"/>
          </w:tcPr>
          <w:p w14:paraId="207B5EE8">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≤120</w:t>
            </w:r>
          </w:p>
        </w:tc>
        <w:tc>
          <w:tcPr>
            <w:tcW w:w="609" w:type="dxa"/>
            <w:vAlign w:val="center"/>
          </w:tcPr>
          <w:p w14:paraId="550E0180">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达标</w:t>
            </w:r>
          </w:p>
        </w:tc>
      </w:tr>
      <w:tr w14:paraId="67C8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Align w:val="center"/>
          </w:tcPr>
          <w:p w14:paraId="7ECA1117">
            <w:pPr>
              <w:widowControl/>
              <w:overflowPunct w:val="0"/>
              <w:adjustRightInd w:val="0"/>
              <w:snapToGrid w:val="0"/>
              <w:spacing w:line="252" w:lineRule="exact"/>
              <w:jc w:val="center"/>
              <w:textAlignment w:val="center"/>
              <w:rPr>
                <w:rFonts w:hint="default" w:ascii="Times New Roman" w:hAnsi="Times New Roman" w:cs="Times New Roman"/>
                <w:color w:val="auto"/>
                <w:kern w:val="0"/>
                <w:sz w:val="18"/>
                <w:szCs w:val="18"/>
                <w:highlight w:val="none"/>
              </w:rPr>
            </w:pPr>
            <w:r>
              <w:rPr>
                <w:rFonts w:hint="default" w:ascii="Times New Roman" w:hAnsi="Times New Roman" w:cs="Times New Roman"/>
                <w:bCs/>
                <w:color w:val="auto"/>
                <w:kern w:val="0"/>
                <w:sz w:val="18"/>
                <w:szCs w:val="18"/>
                <w:lang w:bidi="ar"/>
              </w:rPr>
              <w:t>铬</w:t>
            </w:r>
            <w:r>
              <w:rPr>
                <w:rFonts w:hint="default" w:ascii="Times New Roman" w:hAnsi="Times New Roman" w:cs="Times New Roman"/>
                <w:color w:val="auto"/>
                <w:sz w:val="18"/>
                <w:szCs w:val="18"/>
              </w:rPr>
              <w:t>（mg/kg）</w:t>
            </w:r>
          </w:p>
        </w:tc>
        <w:tc>
          <w:tcPr>
            <w:tcW w:w="1629" w:type="dxa"/>
            <w:vAlign w:val="center"/>
          </w:tcPr>
          <w:p w14:paraId="0FD3D529">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139</w:t>
            </w:r>
          </w:p>
        </w:tc>
        <w:tc>
          <w:tcPr>
            <w:tcW w:w="2090" w:type="dxa"/>
            <w:vAlign w:val="center"/>
          </w:tcPr>
          <w:p w14:paraId="4CEA6232">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30</w:t>
            </w:r>
          </w:p>
        </w:tc>
        <w:tc>
          <w:tcPr>
            <w:tcW w:w="1676" w:type="dxa"/>
            <w:vAlign w:val="center"/>
          </w:tcPr>
          <w:p w14:paraId="4AEFC12C">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18</w:t>
            </w:r>
          </w:p>
        </w:tc>
        <w:tc>
          <w:tcPr>
            <w:tcW w:w="1407" w:type="dxa"/>
            <w:vAlign w:val="center"/>
          </w:tcPr>
          <w:p w14:paraId="4DE38B50">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≤200</w:t>
            </w:r>
          </w:p>
        </w:tc>
        <w:tc>
          <w:tcPr>
            <w:tcW w:w="609" w:type="dxa"/>
            <w:vAlign w:val="center"/>
          </w:tcPr>
          <w:p w14:paraId="3F9BA163">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达标</w:t>
            </w:r>
          </w:p>
        </w:tc>
      </w:tr>
      <w:tr w14:paraId="63BC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Align w:val="center"/>
          </w:tcPr>
          <w:p w14:paraId="55F87501">
            <w:pPr>
              <w:widowControl/>
              <w:overflowPunct w:val="0"/>
              <w:adjustRightInd w:val="0"/>
              <w:snapToGrid w:val="0"/>
              <w:spacing w:line="252" w:lineRule="exact"/>
              <w:jc w:val="center"/>
              <w:textAlignment w:val="center"/>
              <w:rPr>
                <w:rFonts w:hint="default" w:ascii="Times New Roman" w:hAnsi="Times New Roman" w:cs="Times New Roman"/>
                <w:color w:val="auto"/>
                <w:kern w:val="0"/>
                <w:sz w:val="18"/>
                <w:szCs w:val="18"/>
                <w:highlight w:val="none"/>
              </w:rPr>
            </w:pPr>
            <w:r>
              <w:rPr>
                <w:rFonts w:hint="default" w:ascii="Times New Roman" w:hAnsi="Times New Roman" w:cs="Times New Roman"/>
                <w:bCs/>
                <w:color w:val="auto"/>
                <w:kern w:val="0"/>
                <w:sz w:val="18"/>
                <w:szCs w:val="18"/>
                <w:lang w:bidi="ar"/>
              </w:rPr>
              <w:t>铜</w:t>
            </w:r>
            <w:r>
              <w:rPr>
                <w:rFonts w:hint="default" w:ascii="Times New Roman" w:hAnsi="Times New Roman" w:cs="Times New Roman"/>
                <w:color w:val="auto"/>
                <w:sz w:val="18"/>
                <w:szCs w:val="18"/>
              </w:rPr>
              <w:t>（mg/kg）</w:t>
            </w:r>
          </w:p>
        </w:tc>
        <w:tc>
          <w:tcPr>
            <w:tcW w:w="1629" w:type="dxa"/>
            <w:vAlign w:val="center"/>
          </w:tcPr>
          <w:p w14:paraId="5A68579D">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71</w:t>
            </w:r>
          </w:p>
        </w:tc>
        <w:tc>
          <w:tcPr>
            <w:tcW w:w="2090" w:type="dxa"/>
            <w:vAlign w:val="center"/>
          </w:tcPr>
          <w:p w14:paraId="16E345F6">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30</w:t>
            </w:r>
          </w:p>
        </w:tc>
        <w:tc>
          <w:tcPr>
            <w:tcW w:w="1676" w:type="dxa"/>
            <w:vAlign w:val="center"/>
          </w:tcPr>
          <w:p w14:paraId="110E025B">
            <w:pPr>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lang w:val="en-US" w:eastAsia="zh-CN"/>
              </w:rPr>
              <w:t>95</w:t>
            </w:r>
          </w:p>
        </w:tc>
        <w:tc>
          <w:tcPr>
            <w:tcW w:w="1407" w:type="dxa"/>
            <w:vAlign w:val="center"/>
          </w:tcPr>
          <w:p w14:paraId="572A1D63">
            <w:pPr>
              <w:keepNext w:val="0"/>
              <w:keepLines w:val="0"/>
              <w:suppressLineNumbers w:val="0"/>
              <w:snapToGrid w:val="0"/>
              <w:spacing w:before="0" w:beforeAutospacing="0" w:after="0" w:afterAutospacing="0" w:line="0" w:lineRule="atLeas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≤100</w:t>
            </w:r>
          </w:p>
        </w:tc>
        <w:tc>
          <w:tcPr>
            <w:tcW w:w="609" w:type="dxa"/>
            <w:vAlign w:val="center"/>
          </w:tcPr>
          <w:p w14:paraId="66FF2ABB">
            <w:pPr>
              <w:keepNext w:val="0"/>
              <w:keepLines w:val="0"/>
              <w:suppressLineNumbers w:val="0"/>
              <w:snapToGrid w:val="0"/>
              <w:spacing w:before="0" w:beforeAutospacing="0" w:after="0" w:afterAutospacing="0" w:line="0" w:lineRule="atLeast"/>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达标</w:t>
            </w:r>
          </w:p>
        </w:tc>
      </w:tr>
      <w:tr w14:paraId="4E45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Align w:val="center"/>
          </w:tcPr>
          <w:p w14:paraId="0B9AFA25">
            <w:pPr>
              <w:widowControl/>
              <w:overflowPunct w:val="0"/>
              <w:adjustRightInd w:val="0"/>
              <w:snapToGrid w:val="0"/>
              <w:spacing w:line="252" w:lineRule="exact"/>
              <w:jc w:val="center"/>
              <w:textAlignment w:val="center"/>
              <w:rPr>
                <w:rFonts w:hint="default" w:ascii="Times New Roman" w:hAnsi="Times New Roman" w:cs="Times New Roman"/>
                <w:color w:val="auto"/>
                <w:kern w:val="0"/>
                <w:sz w:val="18"/>
                <w:szCs w:val="18"/>
                <w:highlight w:val="none"/>
              </w:rPr>
            </w:pPr>
            <w:r>
              <w:rPr>
                <w:rFonts w:hint="default" w:ascii="Times New Roman" w:hAnsi="Times New Roman" w:cs="Times New Roman"/>
                <w:bCs/>
                <w:color w:val="auto"/>
                <w:kern w:val="0"/>
                <w:sz w:val="18"/>
                <w:szCs w:val="18"/>
                <w:lang w:bidi="ar"/>
              </w:rPr>
              <w:t>镍</w:t>
            </w:r>
            <w:r>
              <w:rPr>
                <w:rFonts w:hint="default" w:ascii="Times New Roman" w:hAnsi="Times New Roman" w:cs="Times New Roman"/>
                <w:color w:val="auto"/>
                <w:sz w:val="18"/>
                <w:szCs w:val="18"/>
              </w:rPr>
              <w:t>（mg/kg）</w:t>
            </w:r>
          </w:p>
        </w:tc>
        <w:tc>
          <w:tcPr>
            <w:tcW w:w="1629" w:type="dxa"/>
            <w:vAlign w:val="center"/>
          </w:tcPr>
          <w:p w14:paraId="6EF4E74D">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14</w:t>
            </w:r>
          </w:p>
        </w:tc>
        <w:tc>
          <w:tcPr>
            <w:tcW w:w="2090" w:type="dxa"/>
            <w:vAlign w:val="center"/>
          </w:tcPr>
          <w:p w14:paraId="5B30E092">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21</w:t>
            </w:r>
          </w:p>
        </w:tc>
        <w:tc>
          <w:tcPr>
            <w:tcW w:w="1676" w:type="dxa"/>
            <w:vAlign w:val="center"/>
          </w:tcPr>
          <w:p w14:paraId="4BD97F38">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70</w:t>
            </w:r>
          </w:p>
        </w:tc>
        <w:tc>
          <w:tcPr>
            <w:tcW w:w="1407" w:type="dxa"/>
            <w:vAlign w:val="center"/>
          </w:tcPr>
          <w:p w14:paraId="0A2547E6">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≤100</w:t>
            </w:r>
          </w:p>
        </w:tc>
        <w:tc>
          <w:tcPr>
            <w:tcW w:w="609" w:type="dxa"/>
            <w:vAlign w:val="center"/>
          </w:tcPr>
          <w:p w14:paraId="7F9F53A0">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达标</w:t>
            </w:r>
          </w:p>
        </w:tc>
      </w:tr>
      <w:tr w14:paraId="1625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dxa"/>
            <w:vAlign w:val="center"/>
          </w:tcPr>
          <w:p w14:paraId="50620D48">
            <w:pPr>
              <w:widowControl/>
              <w:overflowPunct w:val="0"/>
              <w:adjustRightInd w:val="0"/>
              <w:snapToGrid w:val="0"/>
              <w:spacing w:line="252" w:lineRule="exact"/>
              <w:jc w:val="center"/>
              <w:textAlignment w:val="center"/>
              <w:rPr>
                <w:rFonts w:hint="default" w:ascii="Times New Roman" w:hAnsi="Times New Roman" w:cs="Times New Roman"/>
                <w:color w:val="auto"/>
                <w:kern w:val="0"/>
                <w:sz w:val="18"/>
                <w:szCs w:val="18"/>
                <w:highlight w:val="none"/>
              </w:rPr>
            </w:pPr>
            <w:r>
              <w:rPr>
                <w:rFonts w:hint="default" w:ascii="Times New Roman" w:hAnsi="Times New Roman" w:cs="Times New Roman"/>
                <w:bCs/>
                <w:color w:val="auto"/>
                <w:kern w:val="0"/>
                <w:sz w:val="18"/>
                <w:szCs w:val="18"/>
                <w:lang w:bidi="ar"/>
              </w:rPr>
              <w:t>锌</w:t>
            </w:r>
            <w:r>
              <w:rPr>
                <w:rFonts w:hint="default" w:ascii="Times New Roman" w:hAnsi="Times New Roman" w:cs="Times New Roman"/>
                <w:color w:val="auto"/>
                <w:sz w:val="18"/>
                <w:szCs w:val="18"/>
              </w:rPr>
              <w:t>（mg/kg）</w:t>
            </w:r>
          </w:p>
        </w:tc>
        <w:tc>
          <w:tcPr>
            <w:tcW w:w="1629" w:type="dxa"/>
            <w:vAlign w:val="center"/>
          </w:tcPr>
          <w:p w14:paraId="35D76298">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116</w:t>
            </w:r>
          </w:p>
        </w:tc>
        <w:tc>
          <w:tcPr>
            <w:tcW w:w="2090" w:type="dxa"/>
            <w:vAlign w:val="center"/>
          </w:tcPr>
          <w:p w14:paraId="3AD5ADFD">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51</w:t>
            </w:r>
          </w:p>
        </w:tc>
        <w:tc>
          <w:tcPr>
            <w:tcW w:w="1676" w:type="dxa"/>
            <w:vAlign w:val="center"/>
          </w:tcPr>
          <w:p w14:paraId="0F6ED160">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lang w:val="en-US" w:eastAsia="zh-CN"/>
              </w:rPr>
              <w:t>131</w:t>
            </w:r>
          </w:p>
        </w:tc>
        <w:tc>
          <w:tcPr>
            <w:tcW w:w="1407" w:type="dxa"/>
            <w:vAlign w:val="center"/>
          </w:tcPr>
          <w:p w14:paraId="2FE292C1">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≤250</w:t>
            </w:r>
          </w:p>
        </w:tc>
        <w:tc>
          <w:tcPr>
            <w:tcW w:w="609" w:type="dxa"/>
            <w:vAlign w:val="center"/>
          </w:tcPr>
          <w:p w14:paraId="5C04B41F">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达标</w:t>
            </w:r>
          </w:p>
        </w:tc>
      </w:tr>
    </w:tbl>
    <w:p w14:paraId="735A2139">
      <w:pPr>
        <w:snapToGrid w:val="0"/>
        <w:spacing w:before="156" w:beforeLines="50"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根据监测结果，项目区内土壤各指标均小于</w:t>
      </w:r>
      <w:r>
        <w:rPr>
          <w:rFonts w:hint="default" w:ascii="Times New Roman" w:hAnsi="Times New Roman" w:cs="Times New Roman"/>
          <w:bCs/>
          <w:color w:val="auto"/>
          <w:sz w:val="24"/>
          <w:highlight w:val="none"/>
        </w:rPr>
        <w:t>《土壤环境质量 农用地土壤污染风险管控标准（试行）》（GB/T15618-2018）中的风险筛选值。</w:t>
      </w:r>
    </w:p>
    <w:p w14:paraId="25F644B6">
      <w:pPr>
        <w:snapToGrid w:val="0"/>
        <w:spacing w:line="360" w:lineRule="auto"/>
        <w:ind w:firstLine="482" w:firstLineChars="200"/>
        <w:rPr>
          <w:rFonts w:hint="default" w:ascii="Times New Roman" w:hAnsi="Times New Roman" w:cs="Times New Roman"/>
          <w:b/>
          <w:color w:val="auto"/>
          <w:sz w:val="24"/>
          <w:highlight w:val="none"/>
        </w:rPr>
        <w:sectPr>
          <w:pgSz w:w="11907" w:h="16840"/>
          <w:pgMar w:top="1531" w:right="1797" w:bottom="1440"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0260FA7">
      <w:pPr>
        <w:pStyle w:val="2"/>
        <w:keepNext/>
        <w:keepLines/>
        <w:pageBreakBefore/>
        <w:widowControl w:val="0"/>
        <w:kinsoku/>
        <w:wordWrap/>
        <w:overflowPunct/>
        <w:topLinePunct w:val="0"/>
        <w:autoSpaceDE/>
        <w:autoSpaceDN/>
        <w:bidi w:val="0"/>
        <w:adjustRightInd/>
        <w:snapToGrid w:val="0"/>
        <w:spacing w:before="0" w:after="0" w:afterLines="0" w:line="360" w:lineRule="auto"/>
        <w:textAlignment w:val="auto"/>
        <w:rPr>
          <w:rFonts w:hint="default" w:ascii="Times New Roman" w:hAnsi="Times New Roman" w:cs="Times New Roman"/>
          <w:color w:val="auto"/>
          <w:sz w:val="24"/>
          <w:szCs w:val="24"/>
          <w:highlight w:val="none"/>
        </w:rPr>
      </w:pPr>
      <w:bookmarkStart w:id="242" w:name="_Toc18589"/>
      <w:bookmarkStart w:id="243" w:name="_Toc9472"/>
      <w:bookmarkStart w:id="244" w:name="_Toc19031"/>
      <w:bookmarkStart w:id="245" w:name="_Toc20458"/>
      <w:r>
        <w:rPr>
          <w:rFonts w:hint="default" w:ascii="Times New Roman" w:hAnsi="Times New Roman" w:cs="Times New Roman"/>
          <w:color w:val="auto"/>
          <w:sz w:val="24"/>
          <w:szCs w:val="24"/>
          <w:highlight w:val="none"/>
        </w:rPr>
        <w:t>5环境影响预测分析与评价</w:t>
      </w:r>
      <w:bookmarkEnd w:id="242"/>
      <w:bookmarkEnd w:id="243"/>
      <w:bookmarkEnd w:id="244"/>
      <w:bookmarkEnd w:id="245"/>
    </w:p>
    <w:p w14:paraId="27392945">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Style w:val="34"/>
          <w:rFonts w:hint="default" w:ascii="Times New Roman" w:hAnsi="Times New Roman" w:cs="Times New Roman"/>
          <w:b w:val="0"/>
          <w:bCs w:val="0"/>
          <w:color w:val="auto"/>
          <w:sz w:val="24"/>
          <w:highlight w:val="none"/>
        </w:rPr>
      </w:pPr>
      <w:bookmarkStart w:id="246" w:name="_Toc33625922"/>
      <w:bookmarkStart w:id="247" w:name="_Toc9735"/>
      <w:bookmarkStart w:id="248" w:name="_Toc17474"/>
      <w:bookmarkStart w:id="249" w:name="_Toc9253"/>
      <w:r>
        <w:rPr>
          <w:rStyle w:val="34"/>
          <w:rFonts w:hint="default" w:ascii="Times New Roman" w:hAnsi="Times New Roman" w:cs="Times New Roman"/>
          <w:b w:val="0"/>
          <w:bCs w:val="0"/>
          <w:color w:val="auto"/>
          <w:sz w:val="24"/>
          <w:highlight w:val="none"/>
        </w:rPr>
        <w:t>5.1</w:t>
      </w:r>
      <w:bookmarkEnd w:id="246"/>
      <w:r>
        <w:rPr>
          <w:rStyle w:val="34"/>
          <w:rFonts w:hint="default" w:ascii="Times New Roman" w:hAnsi="Times New Roman" w:cs="Times New Roman"/>
          <w:b w:val="0"/>
          <w:bCs w:val="0"/>
          <w:color w:val="auto"/>
          <w:sz w:val="24"/>
          <w:highlight w:val="none"/>
        </w:rPr>
        <w:t>施工期环境影响分析</w:t>
      </w:r>
      <w:bookmarkEnd w:id="247"/>
      <w:bookmarkEnd w:id="248"/>
      <w:bookmarkEnd w:id="249"/>
    </w:p>
    <w:p w14:paraId="416C6B11">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rPr>
      </w:pPr>
      <w:bookmarkStart w:id="250" w:name="_Toc29196"/>
      <w:r>
        <w:rPr>
          <w:rFonts w:hint="default" w:ascii="Times New Roman" w:hAnsi="Times New Roman" w:cs="Times New Roman"/>
          <w:color w:val="auto"/>
          <w:lang w:val="en-US" w:eastAsia="zh-CN"/>
        </w:rPr>
        <w:t>5.1.1</w:t>
      </w:r>
      <w:r>
        <w:rPr>
          <w:rFonts w:hint="default" w:ascii="Times New Roman" w:hAnsi="Times New Roman" w:cs="Times New Roman"/>
          <w:color w:val="auto"/>
        </w:rPr>
        <w:t>施工期大气环境影响分析</w:t>
      </w:r>
      <w:bookmarkEnd w:id="250"/>
    </w:p>
    <w:p w14:paraId="66732AB5">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5.1.1.1</w:t>
      </w:r>
      <w:r>
        <w:rPr>
          <w:rFonts w:hint="default" w:ascii="Times New Roman" w:hAnsi="Times New Roman" w:cs="Times New Roman"/>
          <w:color w:val="auto"/>
        </w:rPr>
        <w:t>施工扬尘的影响分析</w:t>
      </w:r>
    </w:p>
    <w:p w14:paraId="27CC4926">
      <w:pPr>
        <w:pStyle w:val="14"/>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期对环境空气影响的主要污染物为扬尘，在项目的建设施工建设过程中，由于地面开挖、建筑材料搬运及堆放、施工垃圾的清理及堆放、运输车辆的装卸等造成施工期扬尘的污染，在干季风大的情况下，以上建筑过程会导致施工现场空气中粉尘颗粒物浓度升高，影响所在区周围的空气环境质量。</w:t>
      </w:r>
    </w:p>
    <w:p w14:paraId="004423CD">
      <w:pPr>
        <w:pStyle w:val="14"/>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施工期扬尘的产生量与施工方法、土壤湿度、气象条件等有关。施工机械化程度高，尘的产生量少；土壤湿度大亦不利于尘土飞扬；雨季与旱季施工产尘量也大不一样；风速大小对尘也有显著影响。</w:t>
      </w:r>
    </w:p>
    <w:p w14:paraId="5C2CA2AE">
      <w:pPr>
        <w:pStyle w:val="14"/>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根据工程分析可知，项目施工期扬尘产生量为</w:t>
      </w:r>
      <w:r>
        <w:rPr>
          <w:rFonts w:hint="default" w:ascii="Times New Roman" w:hAnsi="Times New Roman" w:cs="Times New Roman"/>
          <w:color w:val="auto"/>
          <w:sz w:val="24"/>
          <w:lang w:val="en-US" w:eastAsia="zh-CN"/>
        </w:rPr>
        <w:t>0.69</w:t>
      </w:r>
      <w:r>
        <w:rPr>
          <w:rFonts w:hint="default" w:ascii="Times New Roman" w:hAnsi="Times New Roman" w:cs="Times New Roman"/>
          <w:color w:val="auto"/>
          <w:sz w:val="24"/>
        </w:rPr>
        <w:t>t。施工过程中通过采取洒水抑尘、减少露天堆放等措施后，扬尘的产生量可削减约70%左右，则项目施工期扬尘排放量为</w:t>
      </w:r>
      <w:r>
        <w:rPr>
          <w:rFonts w:hint="default" w:ascii="Times New Roman" w:hAnsi="Times New Roman" w:cs="Times New Roman"/>
          <w:color w:val="auto"/>
          <w:sz w:val="24"/>
          <w:lang w:val="en-US" w:eastAsia="zh-CN"/>
        </w:rPr>
        <w:t>0.21</w:t>
      </w:r>
      <w:r>
        <w:rPr>
          <w:rFonts w:hint="default" w:ascii="Times New Roman" w:hAnsi="Times New Roman" w:cs="Times New Roman"/>
          <w:color w:val="auto"/>
          <w:sz w:val="24"/>
        </w:rPr>
        <w:t>t。</w:t>
      </w:r>
    </w:p>
    <w:p w14:paraId="26A31353">
      <w:pPr>
        <w:pStyle w:val="14"/>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w:t>项目位于弥勒市新哨镇猴街二组</w:t>
      </w:r>
      <w:r>
        <w:rPr>
          <w:rFonts w:hint="default" w:ascii="Times New Roman" w:hAnsi="Times New Roman" w:cs="Times New Roman"/>
          <w:color w:val="auto"/>
          <w:sz w:val="24"/>
          <w:szCs w:val="24"/>
        </w:rPr>
        <w:t>，距离最近的大气环境保护目标为西南侧约1.</w:t>
      </w:r>
      <w:r>
        <w:rPr>
          <w:rFonts w:hint="default" w:ascii="Times New Roman" w:hAnsi="Times New Roman" w:cs="Times New Roman"/>
          <w:color w:val="auto"/>
          <w:sz w:val="24"/>
          <w:szCs w:val="24"/>
          <w:lang w:val="en-US" w:eastAsia="zh-CN"/>
        </w:rPr>
        <w:t>78</w:t>
      </w:r>
      <w:r>
        <w:rPr>
          <w:rFonts w:hint="default" w:ascii="Times New Roman" w:hAnsi="Times New Roman" w:cs="Times New Roman"/>
          <w:color w:val="auto"/>
          <w:sz w:val="24"/>
          <w:szCs w:val="24"/>
        </w:rPr>
        <w:t>km处的</w:t>
      </w:r>
      <w:r>
        <w:rPr>
          <w:rFonts w:hint="default" w:ascii="Times New Roman" w:hAnsi="Times New Roman" w:cs="Times New Roman"/>
          <w:color w:val="auto"/>
          <w:sz w:val="24"/>
        </w:rPr>
        <w:t>猴街村</w:t>
      </w:r>
      <w:r>
        <w:rPr>
          <w:rFonts w:hint="default" w:ascii="Times New Roman" w:hAnsi="Times New Roman" w:cs="Times New Roman"/>
          <w:color w:val="auto"/>
          <w:sz w:val="24"/>
          <w:szCs w:val="24"/>
        </w:rPr>
        <w:t>，猴街村与本项目相距较远，且位于本项目上风向处，中间有绿化植被阻隔，为进一步减轻扬尘对区域环境空气质量及周边保护目标的不利影响，项目拟采取的措施如下：</w:t>
      </w:r>
    </w:p>
    <w:p w14:paraId="6441C12C">
      <w:pPr>
        <w:pStyle w:val="14"/>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（1）项目施工场地每个施工段至少安排1名员工定期对施工场地洒水以减少扬尘的飞扬。洒水次数根据天气情况而定，当风速大于3级、夏季晴好的天气应每隔2个小时洒水一次。</w:t>
      </w:r>
    </w:p>
    <w:p w14:paraId="296C7B47">
      <w:pPr>
        <w:pStyle w:val="14"/>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（2）合理布设施工作业场地，在砂、石料等堆场，应设于施工场地中部，并设置围挡设施及土工布覆盖，避免易产生扬尘的施工材料露天堆放。</w:t>
      </w:r>
    </w:p>
    <w:p w14:paraId="622880F3">
      <w:pPr>
        <w:pStyle w:val="14"/>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各施工段应设置专职环境保护管理人员，其职责是指导和管理施工现场的工程弃土、建筑垃圾、建筑材料的处置、清运、堆放，场地恢复和硬化；对一些质轻、易飞扬的施工材料，如水泥、石灰等的堆放场地，应采取防止扬尘措施，如设简易堆放棚等，避免风吹损失和二次污染。</w:t>
      </w:r>
    </w:p>
    <w:p w14:paraId="6E58D146">
      <w:pPr>
        <w:pStyle w:val="14"/>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配备必要洒水和场地外设置围栏等防尘和降尘有效措施。在施工场地上设置专人负责弃土、建筑垃圾、建筑材料的处置、清运和堆放，对建筑垃圾及弃土应及时处理、清运，以减少占地，必要时加盖篷布或洒水，改善施工场地的环境。</w:t>
      </w:r>
    </w:p>
    <w:p w14:paraId="32ED7817">
      <w:pPr>
        <w:pStyle w:val="14"/>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（5）加强环境管理，合理安排施工进度，尽量缩短施工工期。</w:t>
      </w:r>
    </w:p>
    <w:p w14:paraId="487D092D">
      <w:pPr>
        <w:pStyle w:val="14"/>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项目施工期通过采取上述措施后，施工期扬尘的产生量可得到削减。同时，施工产生的扬尘污染是短期的，它将随着施工期的结束而消失，在严格采取环评提出的防治措施后，扬尘对周围环境及保护目标影响较小。</w:t>
      </w:r>
    </w:p>
    <w:p w14:paraId="49F8133C">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5.1.1.2 机械废气的影响分析</w:t>
      </w:r>
    </w:p>
    <w:p w14:paraId="60EBFB8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项目施工期间，施工场所的运输车辆和燃油机械产生的尾气为间歇式无组织排放，主要成分为CO、NOx和THC。</w:t>
      </w:r>
    </w:p>
    <w:p w14:paraId="66DB983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于项目区周边较为空旷，加之其排放方式为无组织排放，具有间断性产生、产生点相对分散、易被稀释扩散等特点，施工废气主要影响范围在施工作业场区，不利影响相对局限，并经绿化吸收、自然通风扩散处理后，施工废气对周围环境及保护目标的影响较小。</w:t>
      </w:r>
    </w:p>
    <w:p w14:paraId="131F860C">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lang w:val="en-US"/>
        </w:rPr>
      </w:pPr>
      <w:bookmarkStart w:id="251" w:name="_Toc466470030"/>
      <w:bookmarkEnd w:id="251"/>
      <w:bookmarkStart w:id="252" w:name="_Toc33625923"/>
      <w:bookmarkStart w:id="253" w:name="_Toc810"/>
      <w:r>
        <w:rPr>
          <w:rStyle w:val="35"/>
          <w:rFonts w:hint="default" w:ascii="Times New Roman" w:hAnsi="Times New Roman" w:eastAsia="宋体" w:cs="Times New Roman"/>
          <w:color w:val="auto"/>
          <w:sz w:val="24"/>
          <w:szCs w:val="24"/>
          <w:highlight w:val="none"/>
          <w:lang w:val="en-US"/>
        </w:rPr>
        <w:t>5.</w:t>
      </w:r>
      <w:r>
        <w:rPr>
          <w:rStyle w:val="35"/>
          <w:rFonts w:hint="default" w:ascii="Times New Roman" w:hAnsi="Times New Roman" w:eastAsia="宋体" w:cs="Times New Roman"/>
          <w:color w:val="auto"/>
          <w:sz w:val="24"/>
          <w:szCs w:val="24"/>
          <w:highlight w:val="none"/>
          <w:lang w:val="en-US" w:eastAsia="zh-CN"/>
        </w:rPr>
        <w:t>1.</w:t>
      </w:r>
      <w:r>
        <w:rPr>
          <w:rStyle w:val="35"/>
          <w:rFonts w:hint="default" w:ascii="Times New Roman" w:hAnsi="Times New Roman" w:eastAsia="宋体" w:cs="Times New Roman"/>
          <w:color w:val="auto"/>
          <w:sz w:val="24"/>
          <w:szCs w:val="24"/>
          <w:highlight w:val="none"/>
          <w:lang w:val="en-US"/>
        </w:rPr>
        <w:t>2 施工期水环境影响分析</w:t>
      </w:r>
      <w:bookmarkEnd w:id="252"/>
      <w:bookmarkEnd w:id="253"/>
    </w:p>
    <w:p w14:paraId="1F4D0B5B">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根据本项目的工程分析可知，施工过程中产生的废水主要</w:t>
      </w:r>
      <w:r>
        <w:rPr>
          <w:rFonts w:hint="eastAsia" w:ascii="Times New Roman" w:hAnsi="Times New Roman" w:cs="Times New Roman"/>
          <w:color w:val="auto"/>
          <w:sz w:val="24"/>
          <w:lang w:eastAsia="zh-CN"/>
        </w:rPr>
        <w:t>来自</w:t>
      </w:r>
      <w:r>
        <w:rPr>
          <w:rFonts w:hint="default" w:ascii="Times New Roman" w:hAnsi="Times New Roman" w:cs="Times New Roman"/>
          <w:color w:val="auto"/>
          <w:sz w:val="24"/>
        </w:rPr>
        <w:t>施工人员</w:t>
      </w:r>
      <w:r>
        <w:rPr>
          <w:rFonts w:hint="eastAsia" w:ascii="Times New Roman" w:hAnsi="Times New Roman" w:cs="Times New Roman"/>
          <w:color w:val="auto"/>
          <w:sz w:val="24"/>
          <w:lang w:eastAsia="zh-CN"/>
        </w:rPr>
        <w:t>生活污水</w:t>
      </w:r>
      <w:r>
        <w:rPr>
          <w:rFonts w:hint="default" w:ascii="Times New Roman" w:hAnsi="Times New Roman" w:cs="Times New Roman"/>
          <w:color w:val="auto"/>
          <w:sz w:val="24"/>
        </w:rPr>
        <w:t>及施工废水。</w:t>
      </w:r>
    </w:p>
    <w:p w14:paraId="5A3B1E4C">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5.1.2.1施工生活污水影响分析</w:t>
      </w:r>
      <w:r>
        <w:rPr>
          <w:rFonts w:hint="default" w:ascii="Times New Roman" w:hAnsi="Times New Roman" w:eastAsia="宋体" w:cs="Times New Roman"/>
          <w:color w:val="auto"/>
          <w:lang w:val="en-US" w:eastAsia="zh-CN"/>
        </w:rPr>
        <w:tab/>
      </w:r>
    </w:p>
    <w:p w14:paraId="1BB2794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根据建设单位提供的资料，项目施工人员均为项目区周边居民，不在场地内食宿，施工现场每天施工人数约需要</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人，施工时间为</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个月。</w:t>
      </w:r>
    </w:p>
    <w:p w14:paraId="6D2A79D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因此，经工程分析可知，施工人员生活污水产生量共为0.</w:t>
      </w:r>
      <w:r>
        <w:rPr>
          <w:rFonts w:hint="default" w:ascii="Times New Roman" w:hAnsi="Times New Roman" w:cs="Times New Roman"/>
          <w:color w:val="auto"/>
          <w:sz w:val="24"/>
          <w:lang w:val="en-US" w:eastAsia="zh-CN"/>
        </w:rPr>
        <w:t>18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/d。施工人员生活污水产生量很少，在施工场地内设置临时沉淀池（1座，规模</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），与施工废水一起经临时沉淀池收集处理后，回用于洒水降尘，施工生活污水不外排，对周围地表水环境影响较小。</w:t>
      </w:r>
    </w:p>
    <w:p w14:paraId="0459C0F0">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5.1.2.2 施工废水影响分析</w:t>
      </w:r>
    </w:p>
    <w:p w14:paraId="2DD5D43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根据工程分析可知，施工废水主要产生于设备清洗过程，产生量约为</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/d，施工废水仅含泥沙、悬浮物等，其主要污染因子为SS。项目在施工场地内设置施工废水临时沉淀池（1座，规模</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），将施工废水引入池中进行沉淀处理，降低废水中SS的含量后，可回用于施工场地洒水降尘，施工废水不外排，对周围地表水环境影响较小。</w:t>
      </w:r>
    </w:p>
    <w:p w14:paraId="3287BF4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因此，本项目施工期生活污水及施工废水经沉淀处理后，全部回用于施工场地降尘洒水等，无施工工程废水外排，不会对周围地表水环境产生影响。</w:t>
      </w:r>
    </w:p>
    <w:p w14:paraId="19AE28F4">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5.1.2.3 雨天地表径流</w:t>
      </w:r>
    </w:p>
    <w:p w14:paraId="50447A0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项目施工期间如遭遇到雨季，会产生雨天地表径流，主要为冲刷浮土、建筑砂石、建筑垃圾、土石方等产生的污水，会夹带大量泥沙。</w:t>
      </w:r>
    </w:p>
    <w:p w14:paraId="265D336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根据工程分析可知，</w:t>
      </w:r>
      <w:r>
        <w:rPr>
          <w:rFonts w:hint="default" w:ascii="Times New Roman" w:hAnsi="Times New Roman" w:cs="Times New Roman"/>
          <w:bCs/>
          <w:color w:val="auto"/>
          <w:sz w:val="24"/>
        </w:rPr>
        <w:t>雨天地表径流产生量为</w:t>
      </w:r>
      <w:r>
        <w:rPr>
          <w:rFonts w:hint="default" w:ascii="Times New Roman" w:hAnsi="Times New Roman" w:cs="Times New Roman"/>
          <w:bCs/>
          <w:color w:val="auto"/>
          <w:sz w:val="24"/>
          <w:lang w:val="en-US" w:eastAsia="zh-CN"/>
        </w:rPr>
        <w:t>13.02</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h</w:t>
      </w:r>
      <w:r>
        <w:rPr>
          <w:rFonts w:hint="default" w:ascii="Times New Roman" w:hAnsi="Times New Roman" w:cs="Times New Roman"/>
          <w:bCs/>
          <w:color w:val="auto"/>
          <w:sz w:val="24"/>
        </w:rPr>
        <w:t>。降雨时前15min的地表径流中SS的含量较高，则</w:t>
      </w:r>
      <w:r>
        <w:rPr>
          <w:rFonts w:hint="default" w:ascii="Times New Roman" w:hAnsi="Times New Roman" w:cs="Times New Roman"/>
          <w:color w:val="auto"/>
          <w:sz w:val="24"/>
        </w:rPr>
        <w:t>以</w:t>
      </w:r>
      <w:r>
        <w:rPr>
          <w:rFonts w:hint="default" w:ascii="Times New Roman" w:hAnsi="Times New Roman" w:cs="Times New Roman"/>
          <w:bCs/>
          <w:color w:val="auto"/>
          <w:sz w:val="24"/>
        </w:rPr>
        <w:t>雨水在</w:t>
      </w:r>
      <w:r>
        <w:rPr>
          <w:rFonts w:hint="default" w:ascii="Times New Roman" w:hAnsi="Times New Roman" w:cs="Times New Roman"/>
          <w:color w:val="auto"/>
          <w:sz w:val="24"/>
        </w:rPr>
        <w:t>沉砂池停留时间15min估算沉砂池的容积。因此，项目施工场区内设置截排水沟及临时沉砂池</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座，容积为</w:t>
      </w:r>
      <w:r>
        <w:rPr>
          <w:rFonts w:hint="default" w:ascii="Times New Roman" w:hAnsi="Times New Roman" w:cs="Times New Roman"/>
          <w:bCs/>
          <w:color w:val="auto"/>
          <w:sz w:val="24"/>
          <w:lang w:val="en-US" w:eastAsia="zh-CN"/>
        </w:rPr>
        <w:t>5</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color w:val="auto"/>
          <w:sz w:val="24"/>
        </w:rPr>
        <w:t>，雨天地表径流经截排水沟收集后，排入临时沉砂池沉淀处理后，部分回用于施工期洒水降尘，剩余部分排入周边雨水沟渠内，对环境影响较小。</w:t>
      </w:r>
    </w:p>
    <w:p w14:paraId="259EE127">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lang w:val="en-US"/>
        </w:rPr>
      </w:pPr>
      <w:bookmarkStart w:id="254" w:name="_Toc466470031"/>
      <w:bookmarkEnd w:id="254"/>
      <w:bookmarkStart w:id="255" w:name="_Toc3986"/>
      <w:bookmarkStart w:id="256" w:name="_Toc33625924"/>
      <w:r>
        <w:rPr>
          <w:rStyle w:val="35"/>
          <w:rFonts w:hint="default" w:ascii="Times New Roman" w:hAnsi="Times New Roman" w:eastAsia="宋体" w:cs="Times New Roman"/>
          <w:color w:val="auto"/>
          <w:sz w:val="24"/>
          <w:szCs w:val="24"/>
          <w:highlight w:val="none"/>
          <w:lang w:val="en-US"/>
        </w:rPr>
        <w:t>5.</w:t>
      </w:r>
      <w:r>
        <w:rPr>
          <w:rStyle w:val="35"/>
          <w:rFonts w:hint="default" w:ascii="Times New Roman" w:hAnsi="Times New Roman" w:eastAsia="宋体" w:cs="Times New Roman"/>
          <w:color w:val="auto"/>
          <w:sz w:val="24"/>
          <w:szCs w:val="24"/>
          <w:highlight w:val="none"/>
          <w:lang w:val="en-US" w:eastAsia="zh-CN"/>
        </w:rPr>
        <w:t>1.</w:t>
      </w:r>
      <w:r>
        <w:rPr>
          <w:rStyle w:val="35"/>
          <w:rFonts w:hint="default" w:ascii="Times New Roman" w:hAnsi="Times New Roman" w:eastAsia="宋体" w:cs="Times New Roman"/>
          <w:color w:val="auto"/>
          <w:sz w:val="24"/>
          <w:szCs w:val="24"/>
          <w:highlight w:val="none"/>
          <w:lang w:val="en-US"/>
        </w:rPr>
        <w:t>3 施工期声环境影响分析</w:t>
      </w:r>
      <w:bookmarkEnd w:id="255"/>
      <w:bookmarkEnd w:id="256"/>
    </w:p>
    <w:p w14:paraId="5DFD017D">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5.1.3.1. 噪声源分析</w:t>
      </w:r>
    </w:p>
    <w:p w14:paraId="743EDD3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对声环境的影响主要是施工噪声，噪声主要来源于施工机械和运输车辆。各施工阶段使用不同的施工机械，其数量、地点常发生变化，作业时间也不定，从而导致噪声产生的随机性、无组织性，属不连续产生。运输车辆的噪声更具不规律性。</w:t>
      </w:r>
    </w:p>
    <w:p w14:paraId="791BC5B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于项目施工工程量较小，施工工艺简单，主要为钢结构及砖混结构施工，在各类施工机械中，噪声主要来自推土机、装载机、挖掘机、振捣器、切割机、电焊机、手工钻、卡车等，其声级在80dB以上，主要施工噪声声级见表3-1。</w:t>
      </w:r>
    </w:p>
    <w:p w14:paraId="6BE596A5">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5.1.3.2施工机械噪声预测分析</w:t>
      </w:r>
    </w:p>
    <w:p w14:paraId="5768019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1、施工期单台机械设备噪声预测值</w:t>
      </w:r>
    </w:p>
    <w:p w14:paraId="2CDA070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项目采用点源衰减模式，预测只计算声源至受声点的几何发散衰减，不考虑声屏障、空气吸收等衰减，预测公式如下：</w:t>
      </w:r>
    </w:p>
    <w:p w14:paraId="07C65B0D">
      <w:pPr>
        <w:spacing w:line="360" w:lineRule="auto"/>
        <w:ind w:firstLine="1890" w:firstLineChars="900"/>
        <w:rPr>
          <w:rFonts w:hint="default" w:ascii="Times New Roman" w:hAnsi="Times New Roman" w:cs="Times New Roman"/>
          <w:color w:val="auto"/>
          <w:kern w:val="0"/>
          <w:sz w:val="24"/>
        </w:rPr>
      </w:pPr>
      <w:r>
        <w:rPr>
          <w:rFonts w:hint="default" w:ascii="Times New Roman" w:hAnsi="Times New Roman" w:cs="Times New Roman"/>
          <w:color w:val="auto"/>
        </w:rPr>
        <w:drawing>
          <wp:inline distT="0" distB="0" distL="0" distR="0">
            <wp:extent cx="3078480" cy="327660"/>
            <wp:effectExtent l="0" t="0" r="7620" b="15240"/>
            <wp:docPr id="99" name="图片 6" descr="wps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descr="wps79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078480" cy="327660"/>
                    </a:xfrm>
                    <a:prstGeom prst="rect">
                      <a:avLst/>
                    </a:prstGeom>
                    <a:noFill/>
                    <a:ln>
                      <a:noFill/>
                    </a:ln>
                  </pic:spPr>
                </pic:pic>
              </a:graphicData>
            </a:graphic>
          </wp:inline>
        </w:drawing>
      </w:r>
    </w:p>
    <w:p w14:paraId="3317E2B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r</w:t>
      </w:r>
      <w:r>
        <w:rPr>
          <w:rFonts w:hint="default" w:ascii="Times New Roman" w:hAnsi="Times New Roman" w:cs="Times New Roman"/>
          <w:color w:val="auto"/>
          <w:sz w:val="24"/>
        </w:rPr>
        <w:t>—距声源r处的A声压级，dB(A)；</w:t>
      </w:r>
    </w:p>
    <w:p w14:paraId="1ECA2295">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r0</w:t>
      </w:r>
      <w:r>
        <w:rPr>
          <w:rFonts w:hint="default" w:ascii="Times New Roman" w:hAnsi="Times New Roman" w:cs="Times New Roman"/>
          <w:color w:val="auto"/>
          <w:sz w:val="24"/>
        </w:rPr>
        <w:t>—距声源r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处的A声压级，dB(A)；</w:t>
      </w:r>
    </w:p>
    <w:p w14:paraId="1C224F0E">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r—预测点与声源的距离，m；</w:t>
      </w:r>
    </w:p>
    <w:p w14:paraId="65A0B395">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—监测设备噪声时的距离，m。</w:t>
      </w:r>
    </w:p>
    <w:p w14:paraId="267674D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施工机械设备单台噪声随距离衰减预测值如表5</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-1。</w:t>
      </w:r>
    </w:p>
    <w:p w14:paraId="6CA6663F">
      <w:pPr>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表5</w:t>
      </w: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rPr>
        <w:t>-1   施工机械单台噪声在不同距离处的贡献值</w:t>
      </w:r>
    </w:p>
    <w:tbl>
      <w:tblPr>
        <w:tblStyle w:val="23"/>
        <w:tblW w:w="8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661"/>
        <w:gridCol w:w="716"/>
        <w:gridCol w:w="716"/>
        <w:gridCol w:w="716"/>
        <w:gridCol w:w="726"/>
        <w:gridCol w:w="629"/>
        <w:gridCol w:w="709"/>
        <w:gridCol w:w="709"/>
        <w:gridCol w:w="832"/>
      </w:tblGrid>
      <w:tr w14:paraId="708C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14:paraId="25593095">
            <w:pPr>
              <w:jc w:val="center"/>
              <w:rPr>
                <w:rFonts w:hint="default" w:ascii="Times New Roman" w:hAnsi="Times New Roman" w:cs="Times New Roman"/>
                <w:b/>
                <w:color w:val="auto"/>
              </w:rPr>
            </w:pPr>
            <w:r>
              <w:rPr>
                <w:rFonts w:hint="default" w:ascii="Times New Roman" w:hAnsi="Times New Roman" w:cs="Times New Roman"/>
                <w:b/>
                <w:color w:val="auto"/>
              </w:rPr>
              <w:t>设备名称</w:t>
            </w:r>
          </w:p>
        </w:tc>
        <w:tc>
          <w:tcPr>
            <w:tcW w:w="661" w:type="dxa"/>
            <w:tcBorders>
              <w:top w:val="single" w:color="auto" w:sz="4" w:space="0"/>
              <w:left w:val="single" w:color="auto" w:sz="4" w:space="0"/>
              <w:bottom w:val="single" w:color="auto" w:sz="4" w:space="0"/>
              <w:right w:val="single" w:color="auto" w:sz="4" w:space="0"/>
            </w:tcBorders>
            <w:vAlign w:val="center"/>
          </w:tcPr>
          <w:p w14:paraId="25FD3E83">
            <w:pPr>
              <w:jc w:val="center"/>
              <w:rPr>
                <w:rFonts w:hint="default" w:ascii="Times New Roman" w:hAnsi="Times New Roman" w:cs="Times New Roman"/>
                <w:b/>
                <w:color w:val="auto"/>
              </w:rPr>
            </w:pPr>
            <w:r>
              <w:rPr>
                <w:rFonts w:hint="default" w:ascii="Times New Roman" w:hAnsi="Times New Roman" w:cs="Times New Roman"/>
                <w:b/>
                <w:color w:val="auto"/>
              </w:rPr>
              <w:t>1m</w:t>
            </w:r>
          </w:p>
        </w:tc>
        <w:tc>
          <w:tcPr>
            <w:tcW w:w="716" w:type="dxa"/>
            <w:tcBorders>
              <w:top w:val="single" w:color="auto" w:sz="4" w:space="0"/>
              <w:left w:val="single" w:color="auto" w:sz="4" w:space="0"/>
              <w:bottom w:val="single" w:color="auto" w:sz="4" w:space="0"/>
              <w:right w:val="single" w:color="auto" w:sz="4" w:space="0"/>
            </w:tcBorders>
            <w:vAlign w:val="center"/>
          </w:tcPr>
          <w:p w14:paraId="2C1A94F3">
            <w:pPr>
              <w:jc w:val="center"/>
              <w:rPr>
                <w:rFonts w:hint="default" w:ascii="Times New Roman" w:hAnsi="Times New Roman" w:cs="Times New Roman"/>
                <w:b/>
                <w:color w:val="auto"/>
              </w:rPr>
            </w:pPr>
            <w:r>
              <w:rPr>
                <w:rFonts w:hint="default" w:ascii="Times New Roman" w:hAnsi="Times New Roman" w:cs="Times New Roman"/>
                <w:b/>
                <w:color w:val="auto"/>
              </w:rPr>
              <w:t>10m</w:t>
            </w:r>
          </w:p>
        </w:tc>
        <w:tc>
          <w:tcPr>
            <w:tcW w:w="716" w:type="dxa"/>
            <w:tcBorders>
              <w:top w:val="single" w:color="auto" w:sz="4" w:space="0"/>
              <w:left w:val="single" w:color="auto" w:sz="4" w:space="0"/>
              <w:bottom w:val="single" w:color="auto" w:sz="4" w:space="0"/>
              <w:right w:val="single" w:color="auto" w:sz="4" w:space="0"/>
            </w:tcBorders>
            <w:vAlign w:val="center"/>
          </w:tcPr>
          <w:p w14:paraId="41BF2169">
            <w:pPr>
              <w:jc w:val="center"/>
              <w:rPr>
                <w:rFonts w:hint="default" w:ascii="Times New Roman" w:hAnsi="Times New Roman" w:cs="Times New Roman"/>
                <w:b/>
                <w:color w:val="auto"/>
              </w:rPr>
            </w:pPr>
            <w:r>
              <w:rPr>
                <w:rFonts w:hint="default" w:ascii="Times New Roman" w:hAnsi="Times New Roman" w:cs="Times New Roman"/>
                <w:b/>
                <w:color w:val="auto"/>
              </w:rPr>
              <w:t>20m</w:t>
            </w:r>
          </w:p>
        </w:tc>
        <w:tc>
          <w:tcPr>
            <w:tcW w:w="716" w:type="dxa"/>
            <w:tcBorders>
              <w:top w:val="single" w:color="auto" w:sz="4" w:space="0"/>
              <w:left w:val="single" w:color="auto" w:sz="4" w:space="0"/>
              <w:bottom w:val="single" w:color="auto" w:sz="4" w:space="0"/>
              <w:right w:val="single" w:color="auto" w:sz="4" w:space="0"/>
            </w:tcBorders>
            <w:vAlign w:val="center"/>
          </w:tcPr>
          <w:p w14:paraId="7E6928A5">
            <w:pPr>
              <w:jc w:val="center"/>
              <w:rPr>
                <w:rFonts w:hint="default" w:ascii="Times New Roman" w:hAnsi="Times New Roman" w:cs="Times New Roman"/>
                <w:b/>
                <w:color w:val="auto"/>
              </w:rPr>
            </w:pPr>
            <w:r>
              <w:rPr>
                <w:rFonts w:hint="default" w:ascii="Times New Roman" w:hAnsi="Times New Roman" w:cs="Times New Roman"/>
                <w:b/>
                <w:color w:val="auto"/>
              </w:rPr>
              <w:t>30m</w:t>
            </w:r>
          </w:p>
        </w:tc>
        <w:tc>
          <w:tcPr>
            <w:tcW w:w="726" w:type="dxa"/>
            <w:tcBorders>
              <w:top w:val="single" w:color="auto" w:sz="4" w:space="0"/>
              <w:left w:val="single" w:color="auto" w:sz="4" w:space="0"/>
              <w:bottom w:val="single" w:color="auto" w:sz="4" w:space="0"/>
              <w:right w:val="single" w:color="auto" w:sz="4" w:space="0"/>
            </w:tcBorders>
            <w:vAlign w:val="center"/>
          </w:tcPr>
          <w:p w14:paraId="535A264C">
            <w:pPr>
              <w:jc w:val="center"/>
              <w:rPr>
                <w:rFonts w:hint="default" w:ascii="Times New Roman" w:hAnsi="Times New Roman" w:cs="Times New Roman"/>
                <w:b/>
                <w:color w:val="auto"/>
              </w:rPr>
            </w:pPr>
            <w:r>
              <w:rPr>
                <w:rFonts w:hint="default" w:ascii="Times New Roman" w:hAnsi="Times New Roman" w:cs="Times New Roman"/>
                <w:b/>
                <w:color w:val="auto"/>
              </w:rPr>
              <w:t>40m</w:t>
            </w:r>
          </w:p>
        </w:tc>
        <w:tc>
          <w:tcPr>
            <w:tcW w:w="629" w:type="dxa"/>
            <w:tcBorders>
              <w:top w:val="single" w:color="auto" w:sz="4" w:space="0"/>
              <w:left w:val="single" w:color="auto" w:sz="4" w:space="0"/>
              <w:bottom w:val="single" w:color="auto" w:sz="4" w:space="0"/>
              <w:right w:val="single" w:color="auto" w:sz="4" w:space="0"/>
            </w:tcBorders>
            <w:vAlign w:val="center"/>
          </w:tcPr>
          <w:p w14:paraId="6BE3EC13">
            <w:pPr>
              <w:jc w:val="center"/>
              <w:rPr>
                <w:rFonts w:hint="default" w:ascii="Times New Roman" w:hAnsi="Times New Roman" w:cs="Times New Roman"/>
                <w:b/>
                <w:color w:val="auto"/>
              </w:rPr>
            </w:pPr>
            <w:r>
              <w:rPr>
                <w:rFonts w:hint="default" w:ascii="Times New Roman" w:hAnsi="Times New Roman" w:cs="Times New Roman"/>
                <w:b/>
                <w:color w:val="auto"/>
              </w:rPr>
              <w:t>50m</w:t>
            </w:r>
          </w:p>
        </w:tc>
        <w:tc>
          <w:tcPr>
            <w:tcW w:w="709" w:type="dxa"/>
            <w:tcBorders>
              <w:top w:val="single" w:color="auto" w:sz="4" w:space="0"/>
              <w:left w:val="single" w:color="auto" w:sz="4" w:space="0"/>
              <w:bottom w:val="single" w:color="auto" w:sz="4" w:space="0"/>
              <w:right w:val="single" w:color="auto" w:sz="4" w:space="0"/>
            </w:tcBorders>
            <w:vAlign w:val="center"/>
          </w:tcPr>
          <w:p w14:paraId="2F9BBA74">
            <w:pPr>
              <w:jc w:val="center"/>
              <w:rPr>
                <w:rFonts w:hint="default" w:ascii="Times New Roman" w:hAnsi="Times New Roman" w:cs="Times New Roman"/>
                <w:b/>
                <w:color w:val="auto"/>
              </w:rPr>
            </w:pPr>
            <w:r>
              <w:rPr>
                <w:rFonts w:hint="default" w:ascii="Times New Roman" w:hAnsi="Times New Roman" w:cs="Times New Roman"/>
                <w:b/>
                <w:color w:val="auto"/>
              </w:rPr>
              <w:t>100m</w:t>
            </w:r>
          </w:p>
        </w:tc>
        <w:tc>
          <w:tcPr>
            <w:tcW w:w="709" w:type="dxa"/>
            <w:tcBorders>
              <w:top w:val="single" w:color="auto" w:sz="4" w:space="0"/>
              <w:left w:val="single" w:color="auto" w:sz="4" w:space="0"/>
              <w:bottom w:val="single" w:color="auto" w:sz="4" w:space="0"/>
              <w:right w:val="single" w:color="auto" w:sz="4" w:space="0"/>
            </w:tcBorders>
            <w:vAlign w:val="center"/>
          </w:tcPr>
          <w:p w14:paraId="6AAD7833">
            <w:pPr>
              <w:jc w:val="center"/>
              <w:rPr>
                <w:rFonts w:hint="default" w:ascii="Times New Roman" w:hAnsi="Times New Roman" w:cs="Times New Roman"/>
                <w:b/>
                <w:color w:val="auto"/>
              </w:rPr>
            </w:pPr>
            <w:r>
              <w:rPr>
                <w:rFonts w:hint="default" w:ascii="Times New Roman" w:hAnsi="Times New Roman" w:cs="Times New Roman"/>
                <w:b/>
                <w:color w:val="auto"/>
              </w:rPr>
              <w:t>200m</w:t>
            </w:r>
          </w:p>
        </w:tc>
        <w:tc>
          <w:tcPr>
            <w:tcW w:w="832" w:type="dxa"/>
            <w:tcBorders>
              <w:top w:val="single" w:color="auto" w:sz="4" w:space="0"/>
              <w:left w:val="single" w:color="auto" w:sz="4" w:space="0"/>
              <w:bottom w:val="single" w:color="auto" w:sz="4" w:space="0"/>
              <w:right w:val="single" w:color="auto" w:sz="4" w:space="0"/>
            </w:tcBorders>
            <w:vAlign w:val="center"/>
          </w:tcPr>
          <w:p w14:paraId="65FE076E">
            <w:pPr>
              <w:jc w:val="center"/>
              <w:rPr>
                <w:rFonts w:hint="default" w:ascii="Times New Roman" w:hAnsi="Times New Roman" w:cs="Times New Roman"/>
                <w:b/>
                <w:color w:val="auto"/>
              </w:rPr>
            </w:pPr>
            <w:r>
              <w:rPr>
                <w:rFonts w:hint="default" w:ascii="Times New Roman" w:hAnsi="Times New Roman" w:cs="Times New Roman"/>
                <w:b/>
                <w:color w:val="auto"/>
              </w:rPr>
              <w:t>1260m</w:t>
            </w:r>
          </w:p>
        </w:tc>
      </w:tr>
      <w:tr w14:paraId="6043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14:paraId="1959108E">
            <w:pPr>
              <w:jc w:val="center"/>
              <w:rPr>
                <w:rFonts w:hint="default" w:ascii="Times New Roman" w:hAnsi="Times New Roman" w:cs="Times New Roman"/>
                <w:color w:val="auto"/>
              </w:rPr>
            </w:pPr>
            <w:r>
              <w:rPr>
                <w:rFonts w:hint="default" w:ascii="Times New Roman" w:hAnsi="Times New Roman" w:cs="Times New Roman"/>
                <w:color w:val="auto"/>
              </w:rPr>
              <w:t>推土机</w:t>
            </w:r>
          </w:p>
        </w:tc>
        <w:tc>
          <w:tcPr>
            <w:tcW w:w="661" w:type="dxa"/>
            <w:tcBorders>
              <w:top w:val="single" w:color="auto" w:sz="4" w:space="0"/>
              <w:left w:val="single" w:color="auto" w:sz="4" w:space="0"/>
              <w:bottom w:val="single" w:color="auto" w:sz="4" w:space="0"/>
              <w:right w:val="single" w:color="auto" w:sz="4" w:space="0"/>
            </w:tcBorders>
            <w:vAlign w:val="center"/>
          </w:tcPr>
          <w:p w14:paraId="2B409520">
            <w:pPr>
              <w:jc w:val="center"/>
              <w:rPr>
                <w:rFonts w:hint="default" w:ascii="Times New Roman" w:hAnsi="Times New Roman" w:cs="Times New Roman"/>
                <w:color w:val="auto"/>
              </w:rPr>
            </w:pPr>
            <w:r>
              <w:rPr>
                <w:rFonts w:hint="default" w:ascii="Times New Roman" w:hAnsi="Times New Roman" w:cs="Times New Roman"/>
                <w:color w:val="auto"/>
              </w:rPr>
              <w:t>86</w:t>
            </w:r>
          </w:p>
        </w:tc>
        <w:tc>
          <w:tcPr>
            <w:tcW w:w="716" w:type="dxa"/>
            <w:tcBorders>
              <w:top w:val="single" w:color="auto" w:sz="4" w:space="0"/>
              <w:left w:val="single" w:color="auto" w:sz="4" w:space="0"/>
              <w:bottom w:val="single" w:color="auto" w:sz="4" w:space="0"/>
              <w:right w:val="single" w:color="auto" w:sz="4" w:space="0"/>
            </w:tcBorders>
            <w:vAlign w:val="center"/>
          </w:tcPr>
          <w:p w14:paraId="3BDB2F24">
            <w:pPr>
              <w:jc w:val="center"/>
              <w:rPr>
                <w:rFonts w:hint="default" w:ascii="Times New Roman" w:hAnsi="Times New Roman" w:cs="Times New Roman"/>
                <w:color w:val="auto"/>
              </w:rPr>
            </w:pPr>
            <w:r>
              <w:rPr>
                <w:rFonts w:hint="default" w:ascii="Times New Roman" w:hAnsi="Times New Roman" w:cs="Times New Roman"/>
                <w:color w:val="auto"/>
              </w:rPr>
              <w:t>66</w:t>
            </w:r>
          </w:p>
        </w:tc>
        <w:tc>
          <w:tcPr>
            <w:tcW w:w="716" w:type="dxa"/>
            <w:tcBorders>
              <w:top w:val="single" w:color="auto" w:sz="4" w:space="0"/>
              <w:left w:val="single" w:color="auto" w:sz="4" w:space="0"/>
              <w:bottom w:val="single" w:color="auto" w:sz="4" w:space="0"/>
              <w:right w:val="single" w:color="auto" w:sz="4" w:space="0"/>
            </w:tcBorders>
            <w:vAlign w:val="center"/>
          </w:tcPr>
          <w:p w14:paraId="192CF564">
            <w:pPr>
              <w:jc w:val="center"/>
              <w:rPr>
                <w:rFonts w:hint="default" w:ascii="Times New Roman" w:hAnsi="Times New Roman" w:cs="Times New Roman"/>
                <w:color w:val="auto"/>
              </w:rPr>
            </w:pPr>
            <w:r>
              <w:rPr>
                <w:rFonts w:hint="default" w:ascii="Times New Roman" w:hAnsi="Times New Roman" w:cs="Times New Roman"/>
                <w:color w:val="auto"/>
              </w:rPr>
              <w:t>60</w:t>
            </w:r>
          </w:p>
        </w:tc>
        <w:tc>
          <w:tcPr>
            <w:tcW w:w="716" w:type="dxa"/>
            <w:tcBorders>
              <w:top w:val="single" w:color="auto" w:sz="4" w:space="0"/>
              <w:left w:val="single" w:color="auto" w:sz="4" w:space="0"/>
              <w:bottom w:val="single" w:color="auto" w:sz="4" w:space="0"/>
              <w:right w:val="single" w:color="auto" w:sz="4" w:space="0"/>
            </w:tcBorders>
            <w:vAlign w:val="center"/>
          </w:tcPr>
          <w:p w14:paraId="5DF891C6">
            <w:pPr>
              <w:jc w:val="center"/>
              <w:rPr>
                <w:rFonts w:hint="default" w:ascii="Times New Roman" w:hAnsi="Times New Roman" w:cs="Times New Roman"/>
                <w:color w:val="auto"/>
              </w:rPr>
            </w:pPr>
            <w:r>
              <w:rPr>
                <w:rFonts w:hint="default" w:ascii="Times New Roman" w:hAnsi="Times New Roman" w:cs="Times New Roman"/>
                <w:color w:val="auto"/>
              </w:rPr>
              <w:t>56</w:t>
            </w:r>
          </w:p>
        </w:tc>
        <w:tc>
          <w:tcPr>
            <w:tcW w:w="726" w:type="dxa"/>
            <w:tcBorders>
              <w:top w:val="single" w:color="auto" w:sz="4" w:space="0"/>
              <w:left w:val="single" w:color="auto" w:sz="4" w:space="0"/>
              <w:bottom w:val="single" w:color="auto" w:sz="4" w:space="0"/>
              <w:right w:val="single" w:color="auto" w:sz="4" w:space="0"/>
            </w:tcBorders>
            <w:vAlign w:val="center"/>
          </w:tcPr>
          <w:p w14:paraId="0B10BB82">
            <w:pPr>
              <w:jc w:val="center"/>
              <w:rPr>
                <w:rFonts w:hint="default" w:ascii="Times New Roman" w:hAnsi="Times New Roman" w:cs="Times New Roman"/>
                <w:color w:val="auto"/>
              </w:rPr>
            </w:pPr>
            <w:r>
              <w:rPr>
                <w:rFonts w:hint="default" w:ascii="Times New Roman" w:hAnsi="Times New Roman" w:cs="Times New Roman"/>
                <w:color w:val="auto"/>
              </w:rPr>
              <w:t>54</w:t>
            </w:r>
          </w:p>
        </w:tc>
        <w:tc>
          <w:tcPr>
            <w:tcW w:w="629" w:type="dxa"/>
            <w:tcBorders>
              <w:top w:val="single" w:color="auto" w:sz="4" w:space="0"/>
              <w:left w:val="single" w:color="auto" w:sz="4" w:space="0"/>
              <w:bottom w:val="single" w:color="auto" w:sz="4" w:space="0"/>
              <w:right w:val="single" w:color="auto" w:sz="4" w:space="0"/>
            </w:tcBorders>
            <w:vAlign w:val="center"/>
          </w:tcPr>
          <w:p w14:paraId="052319D8">
            <w:pPr>
              <w:jc w:val="center"/>
              <w:rPr>
                <w:rFonts w:hint="default" w:ascii="Times New Roman" w:hAnsi="Times New Roman" w:cs="Times New Roman"/>
                <w:color w:val="auto"/>
              </w:rPr>
            </w:pPr>
            <w:r>
              <w:rPr>
                <w:rFonts w:hint="default" w:ascii="Times New Roman" w:hAnsi="Times New Roman" w:cs="Times New Roman"/>
                <w:color w:val="auto"/>
              </w:rPr>
              <w:t>52</w:t>
            </w:r>
          </w:p>
        </w:tc>
        <w:tc>
          <w:tcPr>
            <w:tcW w:w="709" w:type="dxa"/>
            <w:tcBorders>
              <w:top w:val="single" w:color="auto" w:sz="4" w:space="0"/>
              <w:left w:val="single" w:color="auto" w:sz="4" w:space="0"/>
              <w:bottom w:val="single" w:color="auto" w:sz="4" w:space="0"/>
              <w:right w:val="single" w:color="auto" w:sz="4" w:space="0"/>
            </w:tcBorders>
            <w:vAlign w:val="center"/>
          </w:tcPr>
          <w:p w14:paraId="5629D69A">
            <w:pPr>
              <w:jc w:val="center"/>
              <w:rPr>
                <w:rFonts w:hint="default" w:ascii="Times New Roman" w:hAnsi="Times New Roman" w:cs="Times New Roman"/>
                <w:color w:val="auto"/>
              </w:rPr>
            </w:pPr>
            <w:r>
              <w:rPr>
                <w:rFonts w:hint="default" w:ascii="Times New Roman" w:hAnsi="Times New Roman" w:cs="Times New Roman"/>
                <w:color w:val="auto"/>
              </w:rPr>
              <w:t>46</w:t>
            </w:r>
          </w:p>
        </w:tc>
        <w:tc>
          <w:tcPr>
            <w:tcW w:w="709" w:type="dxa"/>
            <w:tcBorders>
              <w:top w:val="single" w:color="auto" w:sz="4" w:space="0"/>
              <w:left w:val="single" w:color="auto" w:sz="4" w:space="0"/>
              <w:bottom w:val="single" w:color="auto" w:sz="4" w:space="0"/>
              <w:right w:val="single" w:color="auto" w:sz="4" w:space="0"/>
            </w:tcBorders>
            <w:vAlign w:val="center"/>
          </w:tcPr>
          <w:p w14:paraId="3262CE6F">
            <w:pPr>
              <w:jc w:val="center"/>
              <w:rPr>
                <w:rFonts w:hint="default" w:ascii="Times New Roman" w:hAnsi="Times New Roman" w:cs="Times New Roman"/>
                <w:color w:val="auto"/>
              </w:rPr>
            </w:pPr>
            <w:r>
              <w:rPr>
                <w:rFonts w:hint="default" w:ascii="Times New Roman" w:hAnsi="Times New Roman" w:cs="Times New Roman"/>
                <w:color w:val="auto"/>
              </w:rPr>
              <w:t>40</w:t>
            </w:r>
          </w:p>
        </w:tc>
        <w:tc>
          <w:tcPr>
            <w:tcW w:w="832" w:type="dxa"/>
            <w:tcBorders>
              <w:top w:val="single" w:color="auto" w:sz="4" w:space="0"/>
              <w:left w:val="single" w:color="auto" w:sz="4" w:space="0"/>
              <w:bottom w:val="single" w:color="auto" w:sz="4" w:space="0"/>
              <w:right w:val="single" w:color="auto" w:sz="4" w:space="0"/>
            </w:tcBorders>
            <w:vAlign w:val="center"/>
          </w:tcPr>
          <w:p w14:paraId="42EA1AC6">
            <w:pPr>
              <w:jc w:val="center"/>
              <w:rPr>
                <w:rFonts w:hint="default" w:ascii="Times New Roman" w:hAnsi="Times New Roman" w:cs="Times New Roman"/>
                <w:color w:val="auto"/>
              </w:rPr>
            </w:pPr>
            <w:r>
              <w:rPr>
                <w:rFonts w:hint="default" w:ascii="Times New Roman" w:hAnsi="Times New Roman" w:cs="Times New Roman"/>
                <w:color w:val="auto"/>
              </w:rPr>
              <w:t>24</w:t>
            </w:r>
          </w:p>
        </w:tc>
      </w:tr>
      <w:tr w14:paraId="1050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14:paraId="7FC6998D">
            <w:pPr>
              <w:jc w:val="center"/>
              <w:rPr>
                <w:rFonts w:hint="default" w:ascii="Times New Roman" w:hAnsi="Times New Roman" w:cs="Times New Roman"/>
                <w:color w:val="auto"/>
              </w:rPr>
            </w:pPr>
            <w:r>
              <w:rPr>
                <w:rFonts w:hint="default" w:ascii="Times New Roman" w:hAnsi="Times New Roman" w:cs="Times New Roman"/>
                <w:color w:val="auto"/>
              </w:rPr>
              <w:t>装载机</w:t>
            </w:r>
          </w:p>
        </w:tc>
        <w:tc>
          <w:tcPr>
            <w:tcW w:w="661" w:type="dxa"/>
            <w:tcBorders>
              <w:top w:val="single" w:color="auto" w:sz="4" w:space="0"/>
              <w:left w:val="single" w:color="auto" w:sz="4" w:space="0"/>
              <w:bottom w:val="single" w:color="auto" w:sz="4" w:space="0"/>
              <w:right w:val="single" w:color="auto" w:sz="4" w:space="0"/>
            </w:tcBorders>
            <w:vAlign w:val="center"/>
          </w:tcPr>
          <w:p w14:paraId="2D5EE5F9">
            <w:pPr>
              <w:jc w:val="center"/>
              <w:rPr>
                <w:rFonts w:hint="default" w:ascii="Times New Roman" w:hAnsi="Times New Roman" w:cs="Times New Roman"/>
                <w:color w:val="auto"/>
              </w:rPr>
            </w:pPr>
            <w:r>
              <w:rPr>
                <w:rFonts w:hint="default" w:ascii="Times New Roman" w:hAnsi="Times New Roman" w:cs="Times New Roman"/>
                <w:color w:val="auto"/>
              </w:rPr>
              <w:t>90</w:t>
            </w:r>
          </w:p>
        </w:tc>
        <w:tc>
          <w:tcPr>
            <w:tcW w:w="716" w:type="dxa"/>
            <w:tcBorders>
              <w:top w:val="single" w:color="auto" w:sz="4" w:space="0"/>
              <w:left w:val="single" w:color="auto" w:sz="4" w:space="0"/>
              <w:bottom w:val="single" w:color="auto" w:sz="4" w:space="0"/>
              <w:right w:val="single" w:color="auto" w:sz="4" w:space="0"/>
            </w:tcBorders>
            <w:vAlign w:val="center"/>
          </w:tcPr>
          <w:p w14:paraId="2BC76C6C">
            <w:pPr>
              <w:jc w:val="center"/>
              <w:rPr>
                <w:rFonts w:hint="default" w:ascii="Times New Roman" w:hAnsi="Times New Roman" w:cs="Times New Roman"/>
                <w:color w:val="auto"/>
              </w:rPr>
            </w:pPr>
            <w:r>
              <w:rPr>
                <w:rFonts w:hint="default" w:ascii="Times New Roman" w:hAnsi="Times New Roman" w:cs="Times New Roman"/>
                <w:color w:val="auto"/>
              </w:rPr>
              <w:t>70</w:t>
            </w:r>
          </w:p>
        </w:tc>
        <w:tc>
          <w:tcPr>
            <w:tcW w:w="716" w:type="dxa"/>
            <w:tcBorders>
              <w:top w:val="single" w:color="auto" w:sz="4" w:space="0"/>
              <w:left w:val="single" w:color="auto" w:sz="4" w:space="0"/>
              <w:bottom w:val="single" w:color="auto" w:sz="4" w:space="0"/>
              <w:right w:val="single" w:color="auto" w:sz="4" w:space="0"/>
            </w:tcBorders>
            <w:vAlign w:val="center"/>
          </w:tcPr>
          <w:p w14:paraId="0E1D9B2C">
            <w:pPr>
              <w:jc w:val="center"/>
              <w:rPr>
                <w:rFonts w:hint="default" w:ascii="Times New Roman" w:hAnsi="Times New Roman" w:cs="Times New Roman"/>
                <w:color w:val="auto"/>
              </w:rPr>
            </w:pPr>
            <w:r>
              <w:rPr>
                <w:rFonts w:hint="default" w:ascii="Times New Roman" w:hAnsi="Times New Roman" w:cs="Times New Roman"/>
                <w:color w:val="auto"/>
              </w:rPr>
              <w:t>64</w:t>
            </w:r>
          </w:p>
        </w:tc>
        <w:tc>
          <w:tcPr>
            <w:tcW w:w="716" w:type="dxa"/>
            <w:tcBorders>
              <w:top w:val="single" w:color="auto" w:sz="4" w:space="0"/>
              <w:left w:val="single" w:color="auto" w:sz="4" w:space="0"/>
              <w:bottom w:val="single" w:color="auto" w:sz="4" w:space="0"/>
              <w:right w:val="single" w:color="auto" w:sz="4" w:space="0"/>
            </w:tcBorders>
            <w:vAlign w:val="center"/>
          </w:tcPr>
          <w:p w14:paraId="71D2F5B0">
            <w:pPr>
              <w:jc w:val="center"/>
              <w:rPr>
                <w:rFonts w:hint="default" w:ascii="Times New Roman" w:hAnsi="Times New Roman" w:cs="Times New Roman"/>
                <w:color w:val="auto"/>
              </w:rPr>
            </w:pPr>
            <w:r>
              <w:rPr>
                <w:rFonts w:hint="default" w:ascii="Times New Roman" w:hAnsi="Times New Roman" w:cs="Times New Roman"/>
                <w:color w:val="auto"/>
              </w:rPr>
              <w:t>60</w:t>
            </w:r>
          </w:p>
        </w:tc>
        <w:tc>
          <w:tcPr>
            <w:tcW w:w="726" w:type="dxa"/>
            <w:tcBorders>
              <w:top w:val="single" w:color="auto" w:sz="4" w:space="0"/>
              <w:left w:val="single" w:color="auto" w:sz="4" w:space="0"/>
              <w:bottom w:val="single" w:color="auto" w:sz="4" w:space="0"/>
              <w:right w:val="single" w:color="auto" w:sz="4" w:space="0"/>
            </w:tcBorders>
            <w:vAlign w:val="center"/>
          </w:tcPr>
          <w:p w14:paraId="4DEB17D6">
            <w:pPr>
              <w:jc w:val="center"/>
              <w:rPr>
                <w:rFonts w:hint="default" w:ascii="Times New Roman" w:hAnsi="Times New Roman" w:cs="Times New Roman"/>
                <w:color w:val="auto"/>
              </w:rPr>
            </w:pPr>
            <w:r>
              <w:rPr>
                <w:rFonts w:hint="default" w:ascii="Times New Roman" w:hAnsi="Times New Roman" w:cs="Times New Roman"/>
                <w:color w:val="auto"/>
              </w:rPr>
              <w:t>58</w:t>
            </w:r>
          </w:p>
        </w:tc>
        <w:tc>
          <w:tcPr>
            <w:tcW w:w="629" w:type="dxa"/>
            <w:tcBorders>
              <w:top w:val="single" w:color="auto" w:sz="4" w:space="0"/>
              <w:left w:val="single" w:color="auto" w:sz="4" w:space="0"/>
              <w:bottom w:val="single" w:color="auto" w:sz="4" w:space="0"/>
              <w:right w:val="single" w:color="auto" w:sz="4" w:space="0"/>
            </w:tcBorders>
            <w:vAlign w:val="center"/>
          </w:tcPr>
          <w:p w14:paraId="0F69B216">
            <w:pPr>
              <w:jc w:val="center"/>
              <w:rPr>
                <w:rFonts w:hint="default" w:ascii="Times New Roman" w:hAnsi="Times New Roman" w:cs="Times New Roman"/>
                <w:color w:val="auto"/>
              </w:rPr>
            </w:pPr>
            <w:r>
              <w:rPr>
                <w:rFonts w:hint="default" w:ascii="Times New Roman" w:hAnsi="Times New Roman" w:cs="Times New Roman"/>
                <w:color w:val="auto"/>
              </w:rPr>
              <w:t>56</w:t>
            </w:r>
          </w:p>
        </w:tc>
        <w:tc>
          <w:tcPr>
            <w:tcW w:w="709" w:type="dxa"/>
            <w:tcBorders>
              <w:top w:val="single" w:color="auto" w:sz="4" w:space="0"/>
              <w:left w:val="single" w:color="auto" w:sz="4" w:space="0"/>
              <w:bottom w:val="single" w:color="auto" w:sz="4" w:space="0"/>
              <w:right w:val="single" w:color="auto" w:sz="4" w:space="0"/>
            </w:tcBorders>
            <w:vAlign w:val="center"/>
          </w:tcPr>
          <w:p w14:paraId="51E1450E">
            <w:pPr>
              <w:jc w:val="center"/>
              <w:rPr>
                <w:rFonts w:hint="default" w:ascii="Times New Roman" w:hAnsi="Times New Roman" w:cs="Times New Roman"/>
                <w:color w:val="auto"/>
              </w:rPr>
            </w:pPr>
            <w:r>
              <w:rPr>
                <w:rFonts w:hint="default" w:ascii="Times New Roman" w:hAnsi="Times New Roman" w:cs="Times New Roman"/>
                <w:color w:val="auto"/>
              </w:rPr>
              <w:t>50</w:t>
            </w:r>
          </w:p>
        </w:tc>
        <w:tc>
          <w:tcPr>
            <w:tcW w:w="709" w:type="dxa"/>
            <w:tcBorders>
              <w:top w:val="single" w:color="auto" w:sz="4" w:space="0"/>
              <w:left w:val="single" w:color="auto" w:sz="4" w:space="0"/>
              <w:bottom w:val="single" w:color="auto" w:sz="4" w:space="0"/>
              <w:right w:val="single" w:color="auto" w:sz="4" w:space="0"/>
            </w:tcBorders>
            <w:vAlign w:val="center"/>
          </w:tcPr>
          <w:p w14:paraId="6D59EC8F">
            <w:pPr>
              <w:jc w:val="center"/>
              <w:rPr>
                <w:rFonts w:hint="default" w:ascii="Times New Roman" w:hAnsi="Times New Roman" w:cs="Times New Roman"/>
                <w:color w:val="auto"/>
              </w:rPr>
            </w:pPr>
            <w:r>
              <w:rPr>
                <w:rFonts w:hint="default" w:ascii="Times New Roman" w:hAnsi="Times New Roman" w:cs="Times New Roman"/>
                <w:color w:val="auto"/>
              </w:rPr>
              <w:t>44</w:t>
            </w:r>
          </w:p>
        </w:tc>
        <w:tc>
          <w:tcPr>
            <w:tcW w:w="832" w:type="dxa"/>
            <w:tcBorders>
              <w:top w:val="single" w:color="auto" w:sz="4" w:space="0"/>
              <w:left w:val="single" w:color="auto" w:sz="4" w:space="0"/>
              <w:bottom w:val="single" w:color="auto" w:sz="4" w:space="0"/>
              <w:right w:val="single" w:color="auto" w:sz="4" w:space="0"/>
            </w:tcBorders>
            <w:vAlign w:val="center"/>
          </w:tcPr>
          <w:p w14:paraId="51C3363D">
            <w:pPr>
              <w:jc w:val="center"/>
              <w:rPr>
                <w:rFonts w:hint="default" w:ascii="Times New Roman" w:hAnsi="Times New Roman" w:cs="Times New Roman"/>
                <w:color w:val="auto"/>
              </w:rPr>
            </w:pPr>
            <w:r>
              <w:rPr>
                <w:rFonts w:hint="default" w:ascii="Times New Roman" w:hAnsi="Times New Roman" w:cs="Times New Roman"/>
                <w:color w:val="auto"/>
              </w:rPr>
              <w:t>28</w:t>
            </w:r>
          </w:p>
        </w:tc>
      </w:tr>
      <w:tr w14:paraId="77FF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14:paraId="72DC1C42">
            <w:pPr>
              <w:jc w:val="center"/>
              <w:rPr>
                <w:rFonts w:hint="default" w:ascii="Times New Roman" w:hAnsi="Times New Roman" w:cs="Times New Roman"/>
                <w:color w:val="auto"/>
              </w:rPr>
            </w:pPr>
            <w:r>
              <w:rPr>
                <w:rFonts w:hint="default" w:ascii="Times New Roman" w:hAnsi="Times New Roman" w:cs="Times New Roman"/>
                <w:color w:val="auto"/>
              </w:rPr>
              <w:t>挖掘机</w:t>
            </w:r>
          </w:p>
        </w:tc>
        <w:tc>
          <w:tcPr>
            <w:tcW w:w="661" w:type="dxa"/>
            <w:tcBorders>
              <w:top w:val="single" w:color="auto" w:sz="4" w:space="0"/>
              <w:left w:val="single" w:color="auto" w:sz="4" w:space="0"/>
              <w:bottom w:val="single" w:color="auto" w:sz="4" w:space="0"/>
              <w:right w:val="single" w:color="auto" w:sz="4" w:space="0"/>
            </w:tcBorders>
            <w:vAlign w:val="center"/>
          </w:tcPr>
          <w:p w14:paraId="045631E6">
            <w:pPr>
              <w:jc w:val="center"/>
              <w:rPr>
                <w:rFonts w:hint="default" w:ascii="Times New Roman" w:hAnsi="Times New Roman" w:cs="Times New Roman"/>
                <w:color w:val="auto"/>
              </w:rPr>
            </w:pPr>
            <w:r>
              <w:rPr>
                <w:rFonts w:hint="default" w:ascii="Times New Roman" w:hAnsi="Times New Roman" w:cs="Times New Roman"/>
                <w:color w:val="auto"/>
              </w:rPr>
              <w:t>82</w:t>
            </w:r>
          </w:p>
        </w:tc>
        <w:tc>
          <w:tcPr>
            <w:tcW w:w="716" w:type="dxa"/>
            <w:tcBorders>
              <w:top w:val="single" w:color="auto" w:sz="4" w:space="0"/>
              <w:left w:val="single" w:color="auto" w:sz="4" w:space="0"/>
              <w:bottom w:val="single" w:color="auto" w:sz="4" w:space="0"/>
              <w:right w:val="single" w:color="auto" w:sz="4" w:space="0"/>
            </w:tcBorders>
            <w:vAlign w:val="center"/>
          </w:tcPr>
          <w:p w14:paraId="5E5DAE90">
            <w:pPr>
              <w:jc w:val="center"/>
              <w:rPr>
                <w:rFonts w:hint="default" w:ascii="Times New Roman" w:hAnsi="Times New Roman" w:cs="Times New Roman"/>
                <w:color w:val="auto"/>
              </w:rPr>
            </w:pPr>
            <w:r>
              <w:rPr>
                <w:rFonts w:hint="default" w:ascii="Times New Roman" w:hAnsi="Times New Roman" w:cs="Times New Roman"/>
                <w:color w:val="auto"/>
              </w:rPr>
              <w:t>62</w:t>
            </w:r>
          </w:p>
        </w:tc>
        <w:tc>
          <w:tcPr>
            <w:tcW w:w="716" w:type="dxa"/>
            <w:tcBorders>
              <w:top w:val="single" w:color="auto" w:sz="4" w:space="0"/>
              <w:left w:val="single" w:color="auto" w:sz="4" w:space="0"/>
              <w:bottom w:val="single" w:color="auto" w:sz="4" w:space="0"/>
              <w:right w:val="single" w:color="auto" w:sz="4" w:space="0"/>
            </w:tcBorders>
            <w:vAlign w:val="center"/>
          </w:tcPr>
          <w:p w14:paraId="24982B75">
            <w:pPr>
              <w:jc w:val="center"/>
              <w:rPr>
                <w:rFonts w:hint="default" w:ascii="Times New Roman" w:hAnsi="Times New Roman" w:cs="Times New Roman"/>
                <w:color w:val="auto"/>
              </w:rPr>
            </w:pPr>
            <w:r>
              <w:rPr>
                <w:rFonts w:hint="default" w:ascii="Times New Roman" w:hAnsi="Times New Roman" w:cs="Times New Roman"/>
                <w:color w:val="auto"/>
              </w:rPr>
              <w:t>56</w:t>
            </w:r>
          </w:p>
        </w:tc>
        <w:tc>
          <w:tcPr>
            <w:tcW w:w="716" w:type="dxa"/>
            <w:tcBorders>
              <w:top w:val="single" w:color="auto" w:sz="4" w:space="0"/>
              <w:left w:val="single" w:color="auto" w:sz="4" w:space="0"/>
              <w:bottom w:val="single" w:color="auto" w:sz="4" w:space="0"/>
              <w:right w:val="single" w:color="auto" w:sz="4" w:space="0"/>
            </w:tcBorders>
            <w:vAlign w:val="center"/>
          </w:tcPr>
          <w:p w14:paraId="5B89415F">
            <w:pPr>
              <w:jc w:val="center"/>
              <w:rPr>
                <w:rFonts w:hint="default" w:ascii="Times New Roman" w:hAnsi="Times New Roman" w:cs="Times New Roman"/>
                <w:color w:val="auto"/>
              </w:rPr>
            </w:pPr>
            <w:r>
              <w:rPr>
                <w:rFonts w:hint="default" w:ascii="Times New Roman" w:hAnsi="Times New Roman" w:cs="Times New Roman"/>
                <w:color w:val="auto"/>
              </w:rPr>
              <w:t>52</w:t>
            </w:r>
          </w:p>
        </w:tc>
        <w:tc>
          <w:tcPr>
            <w:tcW w:w="726" w:type="dxa"/>
            <w:tcBorders>
              <w:top w:val="single" w:color="auto" w:sz="4" w:space="0"/>
              <w:left w:val="single" w:color="auto" w:sz="4" w:space="0"/>
              <w:bottom w:val="single" w:color="auto" w:sz="4" w:space="0"/>
              <w:right w:val="single" w:color="auto" w:sz="4" w:space="0"/>
            </w:tcBorders>
            <w:vAlign w:val="center"/>
          </w:tcPr>
          <w:p w14:paraId="06A22E4B">
            <w:pPr>
              <w:jc w:val="center"/>
              <w:rPr>
                <w:rFonts w:hint="default" w:ascii="Times New Roman" w:hAnsi="Times New Roman" w:cs="Times New Roman"/>
                <w:color w:val="auto"/>
              </w:rPr>
            </w:pPr>
            <w:r>
              <w:rPr>
                <w:rFonts w:hint="default" w:ascii="Times New Roman" w:hAnsi="Times New Roman" w:cs="Times New Roman"/>
                <w:color w:val="auto"/>
              </w:rPr>
              <w:t>50</w:t>
            </w:r>
          </w:p>
        </w:tc>
        <w:tc>
          <w:tcPr>
            <w:tcW w:w="629" w:type="dxa"/>
            <w:tcBorders>
              <w:top w:val="single" w:color="auto" w:sz="4" w:space="0"/>
              <w:left w:val="single" w:color="auto" w:sz="4" w:space="0"/>
              <w:bottom w:val="single" w:color="auto" w:sz="4" w:space="0"/>
              <w:right w:val="single" w:color="auto" w:sz="4" w:space="0"/>
            </w:tcBorders>
            <w:vAlign w:val="center"/>
          </w:tcPr>
          <w:p w14:paraId="5227A392">
            <w:pPr>
              <w:jc w:val="center"/>
              <w:rPr>
                <w:rFonts w:hint="default" w:ascii="Times New Roman" w:hAnsi="Times New Roman" w:cs="Times New Roman"/>
                <w:color w:val="auto"/>
              </w:rPr>
            </w:pPr>
            <w:r>
              <w:rPr>
                <w:rFonts w:hint="default" w:ascii="Times New Roman" w:hAnsi="Times New Roman" w:cs="Times New Roman"/>
                <w:color w:val="auto"/>
              </w:rPr>
              <w:t>48</w:t>
            </w:r>
          </w:p>
        </w:tc>
        <w:tc>
          <w:tcPr>
            <w:tcW w:w="709" w:type="dxa"/>
            <w:tcBorders>
              <w:top w:val="single" w:color="auto" w:sz="4" w:space="0"/>
              <w:left w:val="single" w:color="auto" w:sz="4" w:space="0"/>
              <w:bottom w:val="single" w:color="auto" w:sz="4" w:space="0"/>
              <w:right w:val="single" w:color="auto" w:sz="4" w:space="0"/>
            </w:tcBorders>
            <w:vAlign w:val="center"/>
          </w:tcPr>
          <w:p w14:paraId="4914295D">
            <w:pPr>
              <w:jc w:val="center"/>
              <w:rPr>
                <w:rFonts w:hint="default" w:ascii="Times New Roman" w:hAnsi="Times New Roman" w:cs="Times New Roman"/>
                <w:color w:val="auto"/>
              </w:rPr>
            </w:pPr>
            <w:r>
              <w:rPr>
                <w:rFonts w:hint="default" w:ascii="Times New Roman" w:hAnsi="Times New Roman" w:cs="Times New Roman"/>
                <w:color w:val="auto"/>
              </w:rPr>
              <w:t>42</w:t>
            </w:r>
          </w:p>
        </w:tc>
        <w:tc>
          <w:tcPr>
            <w:tcW w:w="709" w:type="dxa"/>
            <w:tcBorders>
              <w:top w:val="single" w:color="auto" w:sz="4" w:space="0"/>
              <w:left w:val="single" w:color="auto" w:sz="4" w:space="0"/>
              <w:bottom w:val="single" w:color="auto" w:sz="4" w:space="0"/>
              <w:right w:val="single" w:color="auto" w:sz="4" w:space="0"/>
            </w:tcBorders>
            <w:vAlign w:val="center"/>
          </w:tcPr>
          <w:p w14:paraId="0188D32A">
            <w:pPr>
              <w:jc w:val="center"/>
              <w:rPr>
                <w:rFonts w:hint="default" w:ascii="Times New Roman" w:hAnsi="Times New Roman" w:cs="Times New Roman"/>
                <w:color w:val="auto"/>
              </w:rPr>
            </w:pPr>
            <w:r>
              <w:rPr>
                <w:rFonts w:hint="default" w:ascii="Times New Roman" w:hAnsi="Times New Roman" w:cs="Times New Roman"/>
                <w:color w:val="auto"/>
              </w:rPr>
              <w:t>36</w:t>
            </w:r>
          </w:p>
        </w:tc>
        <w:tc>
          <w:tcPr>
            <w:tcW w:w="832" w:type="dxa"/>
            <w:tcBorders>
              <w:top w:val="single" w:color="auto" w:sz="4" w:space="0"/>
              <w:left w:val="single" w:color="auto" w:sz="4" w:space="0"/>
              <w:bottom w:val="single" w:color="auto" w:sz="4" w:space="0"/>
              <w:right w:val="single" w:color="auto" w:sz="4" w:space="0"/>
            </w:tcBorders>
            <w:vAlign w:val="center"/>
          </w:tcPr>
          <w:p w14:paraId="5ABD323D">
            <w:pPr>
              <w:jc w:val="center"/>
              <w:rPr>
                <w:rFonts w:hint="default" w:ascii="Times New Roman" w:hAnsi="Times New Roman" w:cs="Times New Roman"/>
                <w:color w:val="auto"/>
              </w:rPr>
            </w:pPr>
            <w:r>
              <w:rPr>
                <w:rFonts w:hint="default" w:ascii="Times New Roman" w:hAnsi="Times New Roman" w:cs="Times New Roman"/>
                <w:color w:val="auto"/>
              </w:rPr>
              <w:t>20</w:t>
            </w:r>
          </w:p>
        </w:tc>
      </w:tr>
      <w:tr w14:paraId="6054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14:paraId="433E1EC5">
            <w:pPr>
              <w:jc w:val="center"/>
              <w:rPr>
                <w:rFonts w:hint="default" w:ascii="Times New Roman" w:hAnsi="Times New Roman" w:cs="Times New Roman"/>
                <w:color w:val="auto"/>
              </w:rPr>
            </w:pPr>
            <w:r>
              <w:rPr>
                <w:rFonts w:hint="default" w:ascii="Times New Roman" w:hAnsi="Times New Roman" w:cs="Times New Roman"/>
                <w:color w:val="auto"/>
              </w:rPr>
              <w:t>振捣器</w:t>
            </w:r>
          </w:p>
        </w:tc>
        <w:tc>
          <w:tcPr>
            <w:tcW w:w="661" w:type="dxa"/>
            <w:tcBorders>
              <w:top w:val="single" w:color="auto" w:sz="4" w:space="0"/>
              <w:left w:val="single" w:color="auto" w:sz="4" w:space="0"/>
              <w:bottom w:val="single" w:color="auto" w:sz="4" w:space="0"/>
              <w:right w:val="single" w:color="auto" w:sz="4" w:space="0"/>
            </w:tcBorders>
            <w:vAlign w:val="center"/>
          </w:tcPr>
          <w:p w14:paraId="5D3ED736">
            <w:pPr>
              <w:jc w:val="center"/>
              <w:rPr>
                <w:rFonts w:hint="default" w:ascii="Times New Roman" w:hAnsi="Times New Roman" w:cs="Times New Roman"/>
                <w:color w:val="auto"/>
              </w:rPr>
            </w:pPr>
            <w:r>
              <w:rPr>
                <w:rFonts w:hint="default" w:ascii="Times New Roman" w:hAnsi="Times New Roman" w:cs="Times New Roman"/>
                <w:color w:val="auto"/>
              </w:rPr>
              <w:t>95</w:t>
            </w:r>
          </w:p>
        </w:tc>
        <w:tc>
          <w:tcPr>
            <w:tcW w:w="716" w:type="dxa"/>
            <w:tcBorders>
              <w:top w:val="single" w:color="auto" w:sz="4" w:space="0"/>
              <w:left w:val="single" w:color="auto" w:sz="4" w:space="0"/>
              <w:bottom w:val="single" w:color="auto" w:sz="4" w:space="0"/>
              <w:right w:val="single" w:color="auto" w:sz="4" w:space="0"/>
            </w:tcBorders>
            <w:vAlign w:val="center"/>
          </w:tcPr>
          <w:p w14:paraId="23C02481">
            <w:pPr>
              <w:jc w:val="center"/>
              <w:rPr>
                <w:rFonts w:hint="default" w:ascii="Times New Roman" w:hAnsi="Times New Roman" w:cs="Times New Roman"/>
                <w:color w:val="auto"/>
              </w:rPr>
            </w:pPr>
            <w:r>
              <w:rPr>
                <w:rFonts w:hint="default" w:ascii="Times New Roman" w:hAnsi="Times New Roman" w:cs="Times New Roman"/>
                <w:color w:val="auto"/>
              </w:rPr>
              <w:t>75</w:t>
            </w:r>
          </w:p>
        </w:tc>
        <w:tc>
          <w:tcPr>
            <w:tcW w:w="716" w:type="dxa"/>
            <w:tcBorders>
              <w:top w:val="single" w:color="auto" w:sz="4" w:space="0"/>
              <w:left w:val="single" w:color="auto" w:sz="4" w:space="0"/>
              <w:bottom w:val="single" w:color="auto" w:sz="4" w:space="0"/>
              <w:right w:val="single" w:color="auto" w:sz="4" w:space="0"/>
            </w:tcBorders>
            <w:vAlign w:val="center"/>
          </w:tcPr>
          <w:p w14:paraId="5BA468A7">
            <w:pPr>
              <w:jc w:val="center"/>
              <w:rPr>
                <w:rFonts w:hint="default" w:ascii="Times New Roman" w:hAnsi="Times New Roman" w:cs="Times New Roman"/>
                <w:color w:val="auto"/>
              </w:rPr>
            </w:pPr>
            <w:r>
              <w:rPr>
                <w:rFonts w:hint="default" w:ascii="Times New Roman" w:hAnsi="Times New Roman" w:cs="Times New Roman"/>
                <w:color w:val="auto"/>
              </w:rPr>
              <w:t>69</w:t>
            </w:r>
          </w:p>
        </w:tc>
        <w:tc>
          <w:tcPr>
            <w:tcW w:w="716" w:type="dxa"/>
            <w:tcBorders>
              <w:top w:val="single" w:color="auto" w:sz="4" w:space="0"/>
              <w:left w:val="single" w:color="auto" w:sz="4" w:space="0"/>
              <w:bottom w:val="single" w:color="auto" w:sz="4" w:space="0"/>
              <w:right w:val="single" w:color="auto" w:sz="4" w:space="0"/>
            </w:tcBorders>
            <w:vAlign w:val="center"/>
          </w:tcPr>
          <w:p w14:paraId="2768370D">
            <w:pPr>
              <w:jc w:val="center"/>
              <w:rPr>
                <w:rFonts w:hint="default" w:ascii="Times New Roman" w:hAnsi="Times New Roman" w:cs="Times New Roman"/>
                <w:color w:val="auto"/>
              </w:rPr>
            </w:pPr>
            <w:r>
              <w:rPr>
                <w:rFonts w:hint="default" w:ascii="Times New Roman" w:hAnsi="Times New Roman" w:cs="Times New Roman"/>
                <w:color w:val="auto"/>
              </w:rPr>
              <w:t>65</w:t>
            </w:r>
          </w:p>
        </w:tc>
        <w:tc>
          <w:tcPr>
            <w:tcW w:w="726" w:type="dxa"/>
            <w:tcBorders>
              <w:top w:val="single" w:color="auto" w:sz="4" w:space="0"/>
              <w:left w:val="single" w:color="auto" w:sz="4" w:space="0"/>
              <w:bottom w:val="single" w:color="auto" w:sz="4" w:space="0"/>
              <w:right w:val="single" w:color="auto" w:sz="4" w:space="0"/>
            </w:tcBorders>
            <w:vAlign w:val="center"/>
          </w:tcPr>
          <w:p w14:paraId="36506449">
            <w:pPr>
              <w:jc w:val="center"/>
              <w:rPr>
                <w:rFonts w:hint="default" w:ascii="Times New Roman" w:hAnsi="Times New Roman" w:cs="Times New Roman"/>
                <w:color w:val="auto"/>
              </w:rPr>
            </w:pPr>
            <w:r>
              <w:rPr>
                <w:rFonts w:hint="default" w:ascii="Times New Roman" w:hAnsi="Times New Roman" w:cs="Times New Roman"/>
                <w:color w:val="auto"/>
              </w:rPr>
              <w:t>63</w:t>
            </w:r>
          </w:p>
        </w:tc>
        <w:tc>
          <w:tcPr>
            <w:tcW w:w="629" w:type="dxa"/>
            <w:tcBorders>
              <w:top w:val="single" w:color="auto" w:sz="4" w:space="0"/>
              <w:left w:val="single" w:color="auto" w:sz="4" w:space="0"/>
              <w:bottom w:val="single" w:color="auto" w:sz="4" w:space="0"/>
              <w:right w:val="single" w:color="auto" w:sz="4" w:space="0"/>
            </w:tcBorders>
            <w:vAlign w:val="center"/>
          </w:tcPr>
          <w:p w14:paraId="03CEFD9B">
            <w:pPr>
              <w:jc w:val="center"/>
              <w:rPr>
                <w:rFonts w:hint="default" w:ascii="Times New Roman" w:hAnsi="Times New Roman" w:cs="Times New Roman"/>
                <w:color w:val="auto"/>
              </w:rPr>
            </w:pPr>
            <w:r>
              <w:rPr>
                <w:rFonts w:hint="default" w:ascii="Times New Roman" w:hAnsi="Times New Roman" w:cs="Times New Roman"/>
                <w:color w:val="auto"/>
              </w:rPr>
              <w:t>61</w:t>
            </w:r>
          </w:p>
        </w:tc>
        <w:tc>
          <w:tcPr>
            <w:tcW w:w="709" w:type="dxa"/>
            <w:tcBorders>
              <w:top w:val="single" w:color="auto" w:sz="4" w:space="0"/>
              <w:left w:val="single" w:color="auto" w:sz="4" w:space="0"/>
              <w:bottom w:val="single" w:color="auto" w:sz="4" w:space="0"/>
              <w:right w:val="single" w:color="auto" w:sz="4" w:space="0"/>
            </w:tcBorders>
            <w:vAlign w:val="center"/>
          </w:tcPr>
          <w:p w14:paraId="398FE8D2">
            <w:pPr>
              <w:jc w:val="center"/>
              <w:rPr>
                <w:rFonts w:hint="default" w:ascii="Times New Roman" w:hAnsi="Times New Roman" w:cs="Times New Roman"/>
                <w:color w:val="auto"/>
              </w:rPr>
            </w:pPr>
            <w:r>
              <w:rPr>
                <w:rFonts w:hint="default" w:ascii="Times New Roman" w:hAnsi="Times New Roman" w:cs="Times New Roman"/>
                <w:color w:val="auto"/>
              </w:rPr>
              <w:t>55</w:t>
            </w:r>
          </w:p>
        </w:tc>
        <w:tc>
          <w:tcPr>
            <w:tcW w:w="709" w:type="dxa"/>
            <w:tcBorders>
              <w:top w:val="single" w:color="auto" w:sz="4" w:space="0"/>
              <w:left w:val="single" w:color="auto" w:sz="4" w:space="0"/>
              <w:bottom w:val="single" w:color="auto" w:sz="4" w:space="0"/>
              <w:right w:val="single" w:color="auto" w:sz="4" w:space="0"/>
            </w:tcBorders>
            <w:vAlign w:val="center"/>
          </w:tcPr>
          <w:p w14:paraId="75E7D4FF">
            <w:pPr>
              <w:jc w:val="center"/>
              <w:rPr>
                <w:rFonts w:hint="default" w:ascii="Times New Roman" w:hAnsi="Times New Roman" w:cs="Times New Roman"/>
                <w:color w:val="auto"/>
              </w:rPr>
            </w:pPr>
            <w:r>
              <w:rPr>
                <w:rFonts w:hint="default" w:ascii="Times New Roman" w:hAnsi="Times New Roman" w:cs="Times New Roman"/>
                <w:color w:val="auto"/>
              </w:rPr>
              <w:t>49</w:t>
            </w:r>
          </w:p>
        </w:tc>
        <w:tc>
          <w:tcPr>
            <w:tcW w:w="832" w:type="dxa"/>
            <w:tcBorders>
              <w:top w:val="single" w:color="auto" w:sz="4" w:space="0"/>
              <w:left w:val="single" w:color="auto" w:sz="4" w:space="0"/>
              <w:bottom w:val="single" w:color="auto" w:sz="4" w:space="0"/>
              <w:right w:val="single" w:color="auto" w:sz="4" w:space="0"/>
            </w:tcBorders>
            <w:vAlign w:val="center"/>
          </w:tcPr>
          <w:p w14:paraId="52F14C99">
            <w:pPr>
              <w:jc w:val="center"/>
              <w:rPr>
                <w:rFonts w:hint="default" w:ascii="Times New Roman" w:hAnsi="Times New Roman" w:cs="Times New Roman"/>
                <w:color w:val="auto"/>
              </w:rPr>
            </w:pPr>
            <w:r>
              <w:rPr>
                <w:rFonts w:hint="default" w:ascii="Times New Roman" w:hAnsi="Times New Roman" w:cs="Times New Roman"/>
                <w:color w:val="auto"/>
              </w:rPr>
              <w:t>33</w:t>
            </w:r>
          </w:p>
        </w:tc>
      </w:tr>
      <w:tr w14:paraId="003CB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14:paraId="22F67849">
            <w:pPr>
              <w:jc w:val="center"/>
              <w:rPr>
                <w:rFonts w:hint="default" w:ascii="Times New Roman" w:hAnsi="Times New Roman" w:cs="Times New Roman"/>
                <w:color w:val="auto"/>
              </w:rPr>
            </w:pPr>
            <w:r>
              <w:rPr>
                <w:rFonts w:hint="default" w:ascii="Times New Roman" w:hAnsi="Times New Roman" w:cs="Times New Roman"/>
                <w:color w:val="auto"/>
              </w:rPr>
              <w:t>切割机</w:t>
            </w:r>
          </w:p>
        </w:tc>
        <w:tc>
          <w:tcPr>
            <w:tcW w:w="661" w:type="dxa"/>
            <w:tcBorders>
              <w:top w:val="single" w:color="auto" w:sz="4" w:space="0"/>
              <w:left w:val="single" w:color="auto" w:sz="4" w:space="0"/>
              <w:bottom w:val="single" w:color="auto" w:sz="4" w:space="0"/>
              <w:right w:val="single" w:color="auto" w:sz="4" w:space="0"/>
            </w:tcBorders>
            <w:vAlign w:val="center"/>
          </w:tcPr>
          <w:p w14:paraId="7AFA89DE">
            <w:pPr>
              <w:jc w:val="center"/>
              <w:rPr>
                <w:rFonts w:hint="default" w:ascii="Times New Roman" w:hAnsi="Times New Roman" w:cs="Times New Roman"/>
                <w:color w:val="auto"/>
              </w:rPr>
            </w:pPr>
            <w:r>
              <w:rPr>
                <w:rFonts w:hint="default" w:ascii="Times New Roman" w:hAnsi="Times New Roman" w:cs="Times New Roman"/>
                <w:color w:val="auto"/>
              </w:rPr>
              <w:t>92</w:t>
            </w:r>
          </w:p>
        </w:tc>
        <w:tc>
          <w:tcPr>
            <w:tcW w:w="716" w:type="dxa"/>
            <w:tcBorders>
              <w:top w:val="single" w:color="auto" w:sz="4" w:space="0"/>
              <w:left w:val="single" w:color="auto" w:sz="4" w:space="0"/>
              <w:bottom w:val="single" w:color="auto" w:sz="4" w:space="0"/>
              <w:right w:val="single" w:color="auto" w:sz="4" w:space="0"/>
            </w:tcBorders>
            <w:vAlign w:val="center"/>
          </w:tcPr>
          <w:p w14:paraId="35DAC3F1">
            <w:pPr>
              <w:jc w:val="center"/>
              <w:rPr>
                <w:rFonts w:hint="default" w:ascii="Times New Roman" w:hAnsi="Times New Roman" w:cs="Times New Roman"/>
                <w:color w:val="auto"/>
              </w:rPr>
            </w:pPr>
            <w:r>
              <w:rPr>
                <w:rFonts w:hint="default" w:ascii="Times New Roman" w:hAnsi="Times New Roman" w:cs="Times New Roman"/>
                <w:color w:val="auto"/>
              </w:rPr>
              <w:t>72</w:t>
            </w:r>
          </w:p>
        </w:tc>
        <w:tc>
          <w:tcPr>
            <w:tcW w:w="716" w:type="dxa"/>
            <w:tcBorders>
              <w:top w:val="single" w:color="auto" w:sz="4" w:space="0"/>
              <w:left w:val="single" w:color="auto" w:sz="4" w:space="0"/>
              <w:bottom w:val="single" w:color="auto" w:sz="4" w:space="0"/>
              <w:right w:val="single" w:color="auto" w:sz="4" w:space="0"/>
            </w:tcBorders>
            <w:vAlign w:val="center"/>
          </w:tcPr>
          <w:p w14:paraId="6C67EF29">
            <w:pPr>
              <w:jc w:val="center"/>
              <w:rPr>
                <w:rFonts w:hint="default" w:ascii="Times New Roman" w:hAnsi="Times New Roman" w:cs="Times New Roman"/>
                <w:color w:val="auto"/>
              </w:rPr>
            </w:pPr>
            <w:r>
              <w:rPr>
                <w:rFonts w:hint="default" w:ascii="Times New Roman" w:hAnsi="Times New Roman" w:cs="Times New Roman"/>
                <w:color w:val="auto"/>
              </w:rPr>
              <w:t>66</w:t>
            </w:r>
          </w:p>
        </w:tc>
        <w:tc>
          <w:tcPr>
            <w:tcW w:w="716" w:type="dxa"/>
            <w:tcBorders>
              <w:top w:val="single" w:color="auto" w:sz="4" w:space="0"/>
              <w:left w:val="single" w:color="auto" w:sz="4" w:space="0"/>
              <w:bottom w:val="single" w:color="auto" w:sz="4" w:space="0"/>
              <w:right w:val="single" w:color="auto" w:sz="4" w:space="0"/>
            </w:tcBorders>
            <w:vAlign w:val="center"/>
          </w:tcPr>
          <w:p w14:paraId="35526835">
            <w:pPr>
              <w:jc w:val="center"/>
              <w:rPr>
                <w:rFonts w:hint="default" w:ascii="Times New Roman" w:hAnsi="Times New Roman" w:cs="Times New Roman"/>
                <w:color w:val="auto"/>
              </w:rPr>
            </w:pPr>
            <w:r>
              <w:rPr>
                <w:rFonts w:hint="default" w:ascii="Times New Roman" w:hAnsi="Times New Roman" w:cs="Times New Roman"/>
                <w:color w:val="auto"/>
              </w:rPr>
              <w:t>62</w:t>
            </w:r>
          </w:p>
        </w:tc>
        <w:tc>
          <w:tcPr>
            <w:tcW w:w="726" w:type="dxa"/>
            <w:tcBorders>
              <w:top w:val="single" w:color="auto" w:sz="4" w:space="0"/>
              <w:left w:val="single" w:color="auto" w:sz="4" w:space="0"/>
              <w:bottom w:val="single" w:color="auto" w:sz="4" w:space="0"/>
              <w:right w:val="single" w:color="auto" w:sz="4" w:space="0"/>
            </w:tcBorders>
            <w:vAlign w:val="center"/>
          </w:tcPr>
          <w:p w14:paraId="5FF14650">
            <w:pPr>
              <w:jc w:val="center"/>
              <w:rPr>
                <w:rFonts w:hint="default" w:ascii="Times New Roman" w:hAnsi="Times New Roman" w:cs="Times New Roman"/>
                <w:color w:val="auto"/>
              </w:rPr>
            </w:pPr>
            <w:r>
              <w:rPr>
                <w:rFonts w:hint="default" w:ascii="Times New Roman" w:hAnsi="Times New Roman" w:cs="Times New Roman"/>
                <w:color w:val="auto"/>
              </w:rPr>
              <w:t>60</w:t>
            </w:r>
          </w:p>
        </w:tc>
        <w:tc>
          <w:tcPr>
            <w:tcW w:w="629" w:type="dxa"/>
            <w:tcBorders>
              <w:top w:val="single" w:color="auto" w:sz="4" w:space="0"/>
              <w:left w:val="single" w:color="auto" w:sz="4" w:space="0"/>
              <w:bottom w:val="single" w:color="auto" w:sz="4" w:space="0"/>
              <w:right w:val="single" w:color="auto" w:sz="4" w:space="0"/>
            </w:tcBorders>
            <w:vAlign w:val="center"/>
          </w:tcPr>
          <w:p w14:paraId="2F44841D">
            <w:pPr>
              <w:jc w:val="center"/>
              <w:rPr>
                <w:rFonts w:hint="default" w:ascii="Times New Roman" w:hAnsi="Times New Roman" w:cs="Times New Roman"/>
                <w:color w:val="auto"/>
              </w:rPr>
            </w:pPr>
            <w:r>
              <w:rPr>
                <w:rFonts w:hint="default" w:ascii="Times New Roman" w:hAnsi="Times New Roman" w:cs="Times New Roman"/>
                <w:color w:val="auto"/>
              </w:rPr>
              <w:t>58</w:t>
            </w:r>
          </w:p>
        </w:tc>
        <w:tc>
          <w:tcPr>
            <w:tcW w:w="709" w:type="dxa"/>
            <w:tcBorders>
              <w:top w:val="single" w:color="auto" w:sz="4" w:space="0"/>
              <w:left w:val="single" w:color="auto" w:sz="4" w:space="0"/>
              <w:bottom w:val="single" w:color="auto" w:sz="4" w:space="0"/>
              <w:right w:val="single" w:color="auto" w:sz="4" w:space="0"/>
            </w:tcBorders>
            <w:vAlign w:val="center"/>
          </w:tcPr>
          <w:p w14:paraId="32999E01">
            <w:pPr>
              <w:jc w:val="center"/>
              <w:rPr>
                <w:rFonts w:hint="default" w:ascii="Times New Roman" w:hAnsi="Times New Roman" w:cs="Times New Roman"/>
                <w:color w:val="auto"/>
              </w:rPr>
            </w:pPr>
            <w:r>
              <w:rPr>
                <w:rFonts w:hint="default" w:ascii="Times New Roman" w:hAnsi="Times New Roman" w:cs="Times New Roman"/>
                <w:color w:val="auto"/>
              </w:rPr>
              <w:t>52</w:t>
            </w:r>
          </w:p>
        </w:tc>
        <w:tc>
          <w:tcPr>
            <w:tcW w:w="709" w:type="dxa"/>
            <w:tcBorders>
              <w:top w:val="single" w:color="auto" w:sz="4" w:space="0"/>
              <w:left w:val="single" w:color="auto" w:sz="4" w:space="0"/>
              <w:bottom w:val="single" w:color="auto" w:sz="4" w:space="0"/>
              <w:right w:val="single" w:color="auto" w:sz="4" w:space="0"/>
            </w:tcBorders>
            <w:vAlign w:val="center"/>
          </w:tcPr>
          <w:p w14:paraId="6EFF8653">
            <w:pPr>
              <w:jc w:val="center"/>
              <w:rPr>
                <w:rFonts w:hint="default" w:ascii="Times New Roman" w:hAnsi="Times New Roman" w:cs="Times New Roman"/>
                <w:color w:val="auto"/>
              </w:rPr>
            </w:pPr>
            <w:r>
              <w:rPr>
                <w:rFonts w:hint="default" w:ascii="Times New Roman" w:hAnsi="Times New Roman" w:cs="Times New Roman"/>
                <w:color w:val="auto"/>
              </w:rPr>
              <w:t>46</w:t>
            </w:r>
          </w:p>
        </w:tc>
        <w:tc>
          <w:tcPr>
            <w:tcW w:w="832" w:type="dxa"/>
            <w:tcBorders>
              <w:top w:val="single" w:color="auto" w:sz="4" w:space="0"/>
              <w:left w:val="single" w:color="auto" w:sz="4" w:space="0"/>
              <w:bottom w:val="single" w:color="auto" w:sz="4" w:space="0"/>
              <w:right w:val="single" w:color="auto" w:sz="4" w:space="0"/>
            </w:tcBorders>
            <w:vAlign w:val="center"/>
          </w:tcPr>
          <w:p w14:paraId="779905B3">
            <w:pPr>
              <w:jc w:val="center"/>
              <w:rPr>
                <w:rFonts w:hint="default" w:ascii="Times New Roman" w:hAnsi="Times New Roman" w:cs="Times New Roman"/>
                <w:color w:val="auto"/>
              </w:rPr>
            </w:pPr>
            <w:r>
              <w:rPr>
                <w:rFonts w:hint="default" w:ascii="Times New Roman" w:hAnsi="Times New Roman" w:cs="Times New Roman"/>
                <w:color w:val="auto"/>
              </w:rPr>
              <w:t>30</w:t>
            </w:r>
          </w:p>
        </w:tc>
      </w:tr>
      <w:tr w14:paraId="6842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14:paraId="359AB147">
            <w:pPr>
              <w:jc w:val="center"/>
              <w:rPr>
                <w:rFonts w:hint="default" w:ascii="Times New Roman" w:hAnsi="Times New Roman" w:cs="Times New Roman"/>
                <w:color w:val="auto"/>
              </w:rPr>
            </w:pPr>
            <w:r>
              <w:rPr>
                <w:rFonts w:hint="default" w:ascii="Times New Roman" w:hAnsi="Times New Roman" w:cs="Times New Roman"/>
                <w:color w:val="auto"/>
              </w:rPr>
              <w:t>电焊机</w:t>
            </w:r>
          </w:p>
        </w:tc>
        <w:tc>
          <w:tcPr>
            <w:tcW w:w="661" w:type="dxa"/>
            <w:tcBorders>
              <w:top w:val="single" w:color="auto" w:sz="4" w:space="0"/>
              <w:left w:val="single" w:color="auto" w:sz="4" w:space="0"/>
              <w:bottom w:val="single" w:color="auto" w:sz="4" w:space="0"/>
              <w:right w:val="single" w:color="auto" w:sz="4" w:space="0"/>
            </w:tcBorders>
            <w:vAlign w:val="center"/>
          </w:tcPr>
          <w:p w14:paraId="232B03DE">
            <w:pPr>
              <w:jc w:val="center"/>
              <w:rPr>
                <w:rFonts w:hint="default" w:ascii="Times New Roman" w:hAnsi="Times New Roman" w:cs="Times New Roman"/>
                <w:color w:val="auto"/>
              </w:rPr>
            </w:pPr>
            <w:r>
              <w:rPr>
                <w:rFonts w:hint="default" w:ascii="Times New Roman" w:hAnsi="Times New Roman" w:cs="Times New Roman"/>
                <w:color w:val="auto"/>
              </w:rPr>
              <w:t>85</w:t>
            </w:r>
          </w:p>
        </w:tc>
        <w:tc>
          <w:tcPr>
            <w:tcW w:w="716" w:type="dxa"/>
            <w:tcBorders>
              <w:top w:val="single" w:color="auto" w:sz="4" w:space="0"/>
              <w:left w:val="single" w:color="auto" w:sz="4" w:space="0"/>
              <w:bottom w:val="single" w:color="auto" w:sz="4" w:space="0"/>
              <w:right w:val="single" w:color="auto" w:sz="4" w:space="0"/>
            </w:tcBorders>
            <w:vAlign w:val="center"/>
          </w:tcPr>
          <w:p w14:paraId="4DC1EBDD">
            <w:pPr>
              <w:jc w:val="center"/>
              <w:rPr>
                <w:rFonts w:hint="default" w:ascii="Times New Roman" w:hAnsi="Times New Roman" w:cs="Times New Roman"/>
                <w:color w:val="auto"/>
              </w:rPr>
            </w:pPr>
            <w:r>
              <w:rPr>
                <w:rFonts w:hint="default" w:ascii="Times New Roman" w:hAnsi="Times New Roman" w:cs="Times New Roman"/>
                <w:color w:val="auto"/>
              </w:rPr>
              <w:t>65</w:t>
            </w:r>
          </w:p>
        </w:tc>
        <w:tc>
          <w:tcPr>
            <w:tcW w:w="716" w:type="dxa"/>
            <w:tcBorders>
              <w:top w:val="single" w:color="auto" w:sz="4" w:space="0"/>
              <w:left w:val="single" w:color="auto" w:sz="4" w:space="0"/>
              <w:bottom w:val="single" w:color="auto" w:sz="4" w:space="0"/>
              <w:right w:val="single" w:color="auto" w:sz="4" w:space="0"/>
            </w:tcBorders>
            <w:vAlign w:val="center"/>
          </w:tcPr>
          <w:p w14:paraId="393BEEC3">
            <w:pPr>
              <w:jc w:val="center"/>
              <w:rPr>
                <w:rFonts w:hint="default" w:ascii="Times New Roman" w:hAnsi="Times New Roman" w:cs="Times New Roman"/>
                <w:color w:val="auto"/>
              </w:rPr>
            </w:pPr>
            <w:r>
              <w:rPr>
                <w:rFonts w:hint="default" w:ascii="Times New Roman" w:hAnsi="Times New Roman" w:cs="Times New Roman"/>
                <w:color w:val="auto"/>
              </w:rPr>
              <w:t>59</w:t>
            </w:r>
          </w:p>
        </w:tc>
        <w:tc>
          <w:tcPr>
            <w:tcW w:w="716" w:type="dxa"/>
            <w:tcBorders>
              <w:top w:val="single" w:color="auto" w:sz="4" w:space="0"/>
              <w:left w:val="single" w:color="auto" w:sz="4" w:space="0"/>
              <w:bottom w:val="single" w:color="auto" w:sz="4" w:space="0"/>
              <w:right w:val="single" w:color="auto" w:sz="4" w:space="0"/>
            </w:tcBorders>
            <w:vAlign w:val="center"/>
          </w:tcPr>
          <w:p w14:paraId="4807695F">
            <w:pPr>
              <w:jc w:val="center"/>
              <w:rPr>
                <w:rFonts w:hint="default" w:ascii="Times New Roman" w:hAnsi="Times New Roman" w:cs="Times New Roman"/>
                <w:color w:val="auto"/>
              </w:rPr>
            </w:pPr>
            <w:r>
              <w:rPr>
                <w:rFonts w:hint="default" w:ascii="Times New Roman" w:hAnsi="Times New Roman" w:cs="Times New Roman"/>
                <w:color w:val="auto"/>
              </w:rPr>
              <w:t>55</w:t>
            </w:r>
          </w:p>
        </w:tc>
        <w:tc>
          <w:tcPr>
            <w:tcW w:w="726" w:type="dxa"/>
            <w:tcBorders>
              <w:top w:val="single" w:color="auto" w:sz="4" w:space="0"/>
              <w:left w:val="single" w:color="auto" w:sz="4" w:space="0"/>
              <w:bottom w:val="single" w:color="auto" w:sz="4" w:space="0"/>
              <w:right w:val="single" w:color="auto" w:sz="4" w:space="0"/>
            </w:tcBorders>
            <w:vAlign w:val="center"/>
          </w:tcPr>
          <w:p w14:paraId="3EE0CA2C">
            <w:pPr>
              <w:jc w:val="center"/>
              <w:rPr>
                <w:rFonts w:hint="default" w:ascii="Times New Roman" w:hAnsi="Times New Roman" w:cs="Times New Roman"/>
                <w:color w:val="auto"/>
              </w:rPr>
            </w:pPr>
            <w:r>
              <w:rPr>
                <w:rFonts w:hint="default" w:ascii="Times New Roman" w:hAnsi="Times New Roman" w:cs="Times New Roman"/>
                <w:color w:val="auto"/>
              </w:rPr>
              <w:t>53</w:t>
            </w:r>
          </w:p>
        </w:tc>
        <w:tc>
          <w:tcPr>
            <w:tcW w:w="629" w:type="dxa"/>
            <w:tcBorders>
              <w:top w:val="single" w:color="auto" w:sz="4" w:space="0"/>
              <w:left w:val="single" w:color="auto" w:sz="4" w:space="0"/>
              <w:bottom w:val="single" w:color="auto" w:sz="4" w:space="0"/>
              <w:right w:val="single" w:color="auto" w:sz="4" w:space="0"/>
            </w:tcBorders>
            <w:vAlign w:val="center"/>
          </w:tcPr>
          <w:p w14:paraId="5E223193">
            <w:pPr>
              <w:jc w:val="center"/>
              <w:rPr>
                <w:rFonts w:hint="default" w:ascii="Times New Roman" w:hAnsi="Times New Roman" w:cs="Times New Roman"/>
                <w:color w:val="auto"/>
              </w:rPr>
            </w:pPr>
            <w:r>
              <w:rPr>
                <w:rFonts w:hint="default" w:ascii="Times New Roman" w:hAnsi="Times New Roman" w:cs="Times New Roman"/>
                <w:color w:val="auto"/>
              </w:rPr>
              <w:t>51</w:t>
            </w:r>
          </w:p>
        </w:tc>
        <w:tc>
          <w:tcPr>
            <w:tcW w:w="709" w:type="dxa"/>
            <w:tcBorders>
              <w:top w:val="single" w:color="auto" w:sz="4" w:space="0"/>
              <w:left w:val="single" w:color="auto" w:sz="4" w:space="0"/>
              <w:bottom w:val="single" w:color="auto" w:sz="4" w:space="0"/>
              <w:right w:val="single" w:color="auto" w:sz="4" w:space="0"/>
            </w:tcBorders>
            <w:vAlign w:val="center"/>
          </w:tcPr>
          <w:p w14:paraId="113716E6">
            <w:pPr>
              <w:jc w:val="center"/>
              <w:rPr>
                <w:rFonts w:hint="default" w:ascii="Times New Roman" w:hAnsi="Times New Roman" w:cs="Times New Roman"/>
                <w:color w:val="auto"/>
              </w:rPr>
            </w:pPr>
            <w:r>
              <w:rPr>
                <w:rFonts w:hint="default" w:ascii="Times New Roman" w:hAnsi="Times New Roman" w:cs="Times New Roman"/>
                <w:color w:val="auto"/>
              </w:rPr>
              <w:t>45</w:t>
            </w:r>
          </w:p>
        </w:tc>
        <w:tc>
          <w:tcPr>
            <w:tcW w:w="709" w:type="dxa"/>
            <w:tcBorders>
              <w:top w:val="single" w:color="auto" w:sz="4" w:space="0"/>
              <w:left w:val="single" w:color="auto" w:sz="4" w:space="0"/>
              <w:bottom w:val="single" w:color="auto" w:sz="4" w:space="0"/>
              <w:right w:val="single" w:color="auto" w:sz="4" w:space="0"/>
            </w:tcBorders>
            <w:vAlign w:val="center"/>
          </w:tcPr>
          <w:p w14:paraId="3C1E0BF0">
            <w:pPr>
              <w:jc w:val="center"/>
              <w:rPr>
                <w:rFonts w:hint="default" w:ascii="Times New Roman" w:hAnsi="Times New Roman" w:cs="Times New Roman"/>
                <w:color w:val="auto"/>
              </w:rPr>
            </w:pPr>
            <w:r>
              <w:rPr>
                <w:rFonts w:hint="default" w:ascii="Times New Roman" w:hAnsi="Times New Roman" w:cs="Times New Roman"/>
                <w:color w:val="auto"/>
              </w:rPr>
              <w:t>39</w:t>
            </w:r>
          </w:p>
        </w:tc>
        <w:tc>
          <w:tcPr>
            <w:tcW w:w="832" w:type="dxa"/>
            <w:tcBorders>
              <w:top w:val="single" w:color="auto" w:sz="4" w:space="0"/>
              <w:left w:val="single" w:color="auto" w:sz="4" w:space="0"/>
              <w:bottom w:val="single" w:color="auto" w:sz="4" w:space="0"/>
              <w:right w:val="single" w:color="auto" w:sz="4" w:space="0"/>
            </w:tcBorders>
            <w:vAlign w:val="center"/>
          </w:tcPr>
          <w:p w14:paraId="7A12E76D">
            <w:pPr>
              <w:jc w:val="center"/>
              <w:rPr>
                <w:rFonts w:hint="default" w:ascii="Times New Roman" w:hAnsi="Times New Roman" w:cs="Times New Roman"/>
                <w:color w:val="auto"/>
              </w:rPr>
            </w:pPr>
            <w:r>
              <w:rPr>
                <w:rFonts w:hint="default" w:ascii="Times New Roman" w:hAnsi="Times New Roman" w:cs="Times New Roman"/>
                <w:color w:val="auto"/>
              </w:rPr>
              <w:t>23</w:t>
            </w:r>
          </w:p>
        </w:tc>
      </w:tr>
      <w:tr w14:paraId="5645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14:paraId="053509C6">
            <w:pPr>
              <w:jc w:val="center"/>
              <w:rPr>
                <w:rFonts w:hint="default" w:ascii="Times New Roman" w:hAnsi="Times New Roman" w:cs="Times New Roman"/>
                <w:color w:val="auto"/>
              </w:rPr>
            </w:pPr>
            <w:r>
              <w:rPr>
                <w:rFonts w:hint="default" w:ascii="Times New Roman" w:hAnsi="Times New Roman" w:cs="Times New Roman"/>
                <w:color w:val="auto"/>
              </w:rPr>
              <w:t>混凝土运输车</w:t>
            </w:r>
          </w:p>
        </w:tc>
        <w:tc>
          <w:tcPr>
            <w:tcW w:w="661" w:type="dxa"/>
            <w:tcBorders>
              <w:top w:val="single" w:color="auto" w:sz="4" w:space="0"/>
              <w:left w:val="single" w:color="auto" w:sz="4" w:space="0"/>
              <w:bottom w:val="single" w:color="auto" w:sz="4" w:space="0"/>
              <w:right w:val="single" w:color="auto" w:sz="4" w:space="0"/>
            </w:tcBorders>
            <w:vAlign w:val="center"/>
          </w:tcPr>
          <w:p w14:paraId="2275F5CE">
            <w:pPr>
              <w:jc w:val="center"/>
              <w:rPr>
                <w:rFonts w:hint="default" w:ascii="Times New Roman" w:hAnsi="Times New Roman" w:cs="Times New Roman"/>
                <w:color w:val="auto"/>
              </w:rPr>
            </w:pPr>
            <w:r>
              <w:rPr>
                <w:rFonts w:hint="default" w:ascii="Times New Roman" w:hAnsi="Times New Roman" w:cs="Times New Roman"/>
                <w:color w:val="auto"/>
              </w:rPr>
              <w:t>80</w:t>
            </w:r>
          </w:p>
        </w:tc>
        <w:tc>
          <w:tcPr>
            <w:tcW w:w="716" w:type="dxa"/>
            <w:tcBorders>
              <w:top w:val="single" w:color="auto" w:sz="4" w:space="0"/>
              <w:left w:val="single" w:color="auto" w:sz="4" w:space="0"/>
              <w:bottom w:val="single" w:color="auto" w:sz="4" w:space="0"/>
              <w:right w:val="single" w:color="auto" w:sz="4" w:space="0"/>
            </w:tcBorders>
            <w:vAlign w:val="center"/>
          </w:tcPr>
          <w:p w14:paraId="33CD3B32">
            <w:pPr>
              <w:jc w:val="center"/>
              <w:rPr>
                <w:rFonts w:hint="default" w:ascii="Times New Roman" w:hAnsi="Times New Roman" w:cs="Times New Roman"/>
                <w:color w:val="auto"/>
              </w:rPr>
            </w:pPr>
            <w:r>
              <w:rPr>
                <w:rFonts w:hint="default" w:ascii="Times New Roman" w:hAnsi="Times New Roman" w:cs="Times New Roman"/>
                <w:color w:val="auto"/>
              </w:rPr>
              <w:t>60</w:t>
            </w:r>
          </w:p>
        </w:tc>
        <w:tc>
          <w:tcPr>
            <w:tcW w:w="716" w:type="dxa"/>
            <w:tcBorders>
              <w:top w:val="single" w:color="auto" w:sz="4" w:space="0"/>
              <w:left w:val="single" w:color="auto" w:sz="4" w:space="0"/>
              <w:bottom w:val="single" w:color="auto" w:sz="4" w:space="0"/>
              <w:right w:val="single" w:color="auto" w:sz="4" w:space="0"/>
            </w:tcBorders>
            <w:vAlign w:val="center"/>
          </w:tcPr>
          <w:p w14:paraId="67688B27">
            <w:pPr>
              <w:jc w:val="center"/>
              <w:rPr>
                <w:rFonts w:hint="default" w:ascii="Times New Roman" w:hAnsi="Times New Roman" w:cs="Times New Roman"/>
                <w:color w:val="auto"/>
              </w:rPr>
            </w:pPr>
            <w:r>
              <w:rPr>
                <w:rFonts w:hint="default" w:ascii="Times New Roman" w:hAnsi="Times New Roman" w:cs="Times New Roman"/>
                <w:color w:val="auto"/>
              </w:rPr>
              <w:t>54</w:t>
            </w:r>
          </w:p>
        </w:tc>
        <w:tc>
          <w:tcPr>
            <w:tcW w:w="716" w:type="dxa"/>
            <w:tcBorders>
              <w:top w:val="single" w:color="auto" w:sz="4" w:space="0"/>
              <w:left w:val="single" w:color="auto" w:sz="4" w:space="0"/>
              <w:bottom w:val="single" w:color="auto" w:sz="4" w:space="0"/>
              <w:right w:val="single" w:color="auto" w:sz="4" w:space="0"/>
            </w:tcBorders>
            <w:vAlign w:val="center"/>
          </w:tcPr>
          <w:p w14:paraId="5A1FB87D">
            <w:pPr>
              <w:jc w:val="center"/>
              <w:rPr>
                <w:rFonts w:hint="default" w:ascii="Times New Roman" w:hAnsi="Times New Roman" w:cs="Times New Roman"/>
                <w:color w:val="auto"/>
              </w:rPr>
            </w:pPr>
            <w:r>
              <w:rPr>
                <w:rFonts w:hint="default" w:ascii="Times New Roman" w:hAnsi="Times New Roman" w:cs="Times New Roman"/>
                <w:color w:val="auto"/>
              </w:rPr>
              <w:t>50</w:t>
            </w:r>
          </w:p>
        </w:tc>
        <w:tc>
          <w:tcPr>
            <w:tcW w:w="726" w:type="dxa"/>
            <w:tcBorders>
              <w:top w:val="single" w:color="auto" w:sz="4" w:space="0"/>
              <w:left w:val="single" w:color="auto" w:sz="4" w:space="0"/>
              <w:bottom w:val="single" w:color="auto" w:sz="4" w:space="0"/>
              <w:right w:val="single" w:color="auto" w:sz="4" w:space="0"/>
            </w:tcBorders>
            <w:vAlign w:val="center"/>
          </w:tcPr>
          <w:p w14:paraId="6C6044D4">
            <w:pPr>
              <w:jc w:val="center"/>
              <w:rPr>
                <w:rFonts w:hint="default" w:ascii="Times New Roman" w:hAnsi="Times New Roman" w:cs="Times New Roman"/>
                <w:color w:val="auto"/>
              </w:rPr>
            </w:pPr>
            <w:r>
              <w:rPr>
                <w:rFonts w:hint="default" w:ascii="Times New Roman" w:hAnsi="Times New Roman" w:cs="Times New Roman"/>
                <w:color w:val="auto"/>
              </w:rPr>
              <w:t>48</w:t>
            </w:r>
          </w:p>
        </w:tc>
        <w:tc>
          <w:tcPr>
            <w:tcW w:w="629" w:type="dxa"/>
            <w:tcBorders>
              <w:top w:val="single" w:color="auto" w:sz="4" w:space="0"/>
              <w:left w:val="single" w:color="auto" w:sz="4" w:space="0"/>
              <w:bottom w:val="single" w:color="auto" w:sz="4" w:space="0"/>
              <w:right w:val="single" w:color="auto" w:sz="4" w:space="0"/>
            </w:tcBorders>
            <w:vAlign w:val="center"/>
          </w:tcPr>
          <w:p w14:paraId="7CDC6D84">
            <w:pPr>
              <w:jc w:val="center"/>
              <w:rPr>
                <w:rFonts w:hint="default" w:ascii="Times New Roman" w:hAnsi="Times New Roman" w:cs="Times New Roman"/>
                <w:color w:val="auto"/>
              </w:rPr>
            </w:pPr>
            <w:r>
              <w:rPr>
                <w:rFonts w:hint="default" w:ascii="Times New Roman" w:hAnsi="Times New Roman" w:cs="Times New Roman"/>
                <w:color w:val="auto"/>
              </w:rPr>
              <w:t>46</w:t>
            </w:r>
          </w:p>
        </w:tc>
        <w:tc>
          <w:tcPr>
            <w:tcW w:w="709" w:type="dxa"/>
            <w:tcBorders>
              <w:top w:val="single" w:color="auto" w:sz="4" w:space="0"/>
              <w:left w:val="single" w:color="auto" w:sz="4" w:space="0"/>
              <w:bottom w:val="single" w:color="auto" w:sz="4" w:space="0"/>
              <w:right w:val="single" w:color="auto" w:sz="4" w:space="0"/>
            </w:tcBorders>
            <w:vAlign w:val="center"/>
          </w:tcPr>
          <w:p w14:paraId="76BF3C53">
            <w:pPr>
              <w:jc w:val="center"/>
              <w:rPr>
                <w:rFonts w:hint="default" w:ascii="Times New Roman" w:hAnsi="Times New Roman" w:cs="Times New Roman"/>
                <w:color w:val="auto"/>
              </w:rPr>
            </w:pPr>
            <w:r>
              <w:rPr>
                <w:rFonts w:hint="default" w:ascii="Times New Roman" w:hAnsi="Times New Roman" w:cs="Times New Roman"/>
                <w:color w:val="auto"/>
              </w:rPr>
              <w:t>40</w:t>
            </w:r>
          </w:p>
        </w:tc>
        <w:tc>
          <w:tcPr>
            <w:tcW w:w="709" w:type="dxa"/>
            <w:tcBorders>
              <w:top w:val="single" w:color="auto" w:sz="4" w:space="0"/>
              <w:left w:val="single" w:color="auto" w:sz="4" w:space="0"/>
              <w:bottom w:val="single" w:color="auto" w:sz="4" w:space="0"/>
              <w:right w:val="single" w:color="auto" w:sz="4" w:space="0"/>
            </w:tcBorders>
            <w:vAlign w:val="center"/>
          </w:tcPr>
          <w:p w14:paraId="7FE5F393">
            <w:pPr>
              <w:jc w:val="center"/>
              <w:rPr>
                <w:rFonts w:hint="default" w:ascii="Times New Roman" w:hAnsi="Times New Roman" w:cs="Times New Roman"/>
                <w:color w:val="auto"/>
              </w:rPr>
            </w:pPr>
            <w:r>
              <w:rPr>
                <w:rFonts w:hint="default" w:ascii="Times New Roman" w:hAnsi="Times New Roman" w:cs="Times New Roman"/>
                <w:color w:val="auto"/>
              </w:rPr>
              <w:t>34</w:t>
            </w:r>
          </w:p>
        </w:tc>
        <w:tc>
          <w:tcPr>
            <w:tcW w:w="832" w:type="dxa"/>
            <w:tcBorders>
              <w:top w:val="single" w:color="auto" w:sz="4" w:space="0"/>
              <w:left w:val="single" w:color="auto" w:sz="4" w:space="0"/>
              <w:bottom w:val="single" w:color="auto" w:sz="4" w:space="0"/>
              <w:right w:val="single" w:color="auto" w:sz="4" w:space="0"/>
            </w:tcBorders>
            <w:vAlign w:val="center"/>
          </w:tcPr>
          <w:p w14:paraId="2CC97B1E">
            <w:pPr>
              <w:jc w:val="center"/>
              <w:rPr>
                <w:rFonts w:hint="default" w:ascii="Times New Roman" w:hAnsi="Times New Roman" w:cs="Times New Roman"/>
                <w:color w:val="auto"/>
              </w:rPr>
            </w:pPr>
            <w:r>
              <w:rPr>
                <w:rFonts w:hint="default" w:ascii="Times New Roman" w:hAnsi="Times New Roman" w:cs="Times New Roman"/>
                <w:color w:val="auto"/>
              </w:rPr>
              <w:t>18</w:t>
            </w:r>
          </w:p>
        </w:tc>
      </w:tr>
      <w:tr w14:paraId="1B7A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14:paraId="4D1BEB4D">
            <w:pPr>
              <w:jc w:val="center"/>
              <w:rPr>
                <w:rFonts w:hint="default" w:ascii="Times New Roman" w:hAnsi="Times New Roman" w:cs="Times New Roman"/>
                <w:color w:val="auto"/>
              </w:rPr>
            </w:pPr>
            <w:r>
              <w:rPr>
                <w:rFonts w:hint="default" w:ascii="Times New Roman" w:hAnsi="Times New Roman" w:cs="Times New Roman"/>
                <w:color w:val="auto"/>
              </w:rPr>
              <w:t>电钻</w:t>
            </w:r>
          </w:p>
        </w:tc>
        <w:tc>
          <w:tcPr>
            <w:tcW w:w="661" w:type="dxa"/>
            <w:tcBorders>
              <w:top w:val="single" w:color="auto" w:sz="4" w:space="0"/>
              <w:left w:val="single" w:color="auto" w:sz="4" w:space="0"/>
              <w:bottom w:val="single" w:color="auto" w:sz="4" w:space="0"/>
              <w:right w:val="single" w:color="auto" w:sz="4" w:space="0"/>
            </w:tcBorders>
            <w:vAlign w:val="center"/>
          </w:tcPr>
          <w:p w14:paraId="2B3C96E0">
            <w:pPr>
              <w:jc w:val="center"/>
              <w:rPr>
                <w:rFonts w:hint="default" w:ascii="Times New Roman" w:hAnsi="Times New Roman" w:cs="Times New Roman"/>
                <w:color w:val="auto"/>
              </w:rPr>
            </w:pPr>
            <w:r>
              <w:rPr>
                <w:rFonts w:hint="default" w:ascii="Times New Roman" w:hAnsi="Times New Roman" w:cs="Times New Roman"/>
                <w:color w:val="auto"/>
              </w:rPr>
              <w:t>90</w:t>
            </w:r>
          </w:p>
        </w:tc>
        <w:tc>
          <w:tcPr>
            <w:tcW w:w="716" w:type="dxa"/>
            <w:tcBorders>
              <w:top w:val="single" w:color="auto" w:sz="4" w:space="0"/>
              <w:left w:val="single" w:color="auto" w:sz="4" w:space="0"/>
              <w:bottom w:val="single" w:color="auto" w:sz="4" w:space="0"/>
              <w:right w:val="single" w:color="auto" w:sz="4" w:space="0"/>
            </w:tcBorders>
            <w:vAlign w:val="center"/>
          </w:tcPr>
          <w:p w14:paraId="58BF1AEF">
            <w:pPr>
              <w:jc w:val="center"/>
              <w:rPr>
                <w:rFonts w:hint="default" w:ascii="Times New Roman" w:hAnsi="Times New Roman" w:cs="Times New Roman"/>
                <w:color w:val="auto"/>
              </w:rPr>
            </w:pPr>
            <w:r>
              <w:rPr>
                <w:rFonts w:hint="default" w:ascii="Times New Roman" w:hAnsi="Times New Roman" w:cs="Times New Roman"/>
                <w:color w:val="auto"/>
              </w:rPr>
              <w:t>70</w:t>
            </w:r>
          </w:p>
        </w:tc>
        <w:tc>
          <w:tcPr>
            <w:tcW w:w="716" w:type="dxa"/>
            <w:tcBorders>
              <w:top w:val="single" w:color="auto" w:sz="4" w:space="0"/>
              <w:left w:val="single" w:color="auto" w:sz="4" w:space="0"/>
              <w:bottom w:val="single" w:color="auto" w:sz="4" w:space="0"/>
              <w:right w:val="single" w:color="auto" w:sz="4" w:space="0"/>
            </w:tcBorders>
            <w:vAlign w:val="center"/>
          </w:tcPr>
          <w:p w14:paraId="43258FF1">
            <w:pPr>
              <w:jc w:val="center"/>
              <w:rPr>
                <w:rFonts w:hint="default" w:ascii="Times New Roman" w:hAnsi="Times New Roman" w:cs="Times New Roman"/>
                <w:color w:val="auto"/>
              </w:rPr>
            </w:pPr>
            <w:r>
              <w:rPr>
                <w:rFonts w:hint="default" w:ascii="Times New Roman" w:hAnsi="Times New Roman" w:cs="Times New Roman"/>
                <w:color w:val="auto"/>
              </w:rPr>
              <w:t>64</w:t>
            </w:r>
          </w:p>
        </w:tc>
        <w:tc>
          <w:tcPr>
            <w:tcW w:w="716" w:type="dxa"/>
            <w:tcBorders>
              <w:top w:val="single" w:color="auto" w:sz="4" w:space="0"/>
              <w:left w:val="single" w:color="auto" w:sz="4" w:space="0"/>
              <w:bottom w:val="single" w:color="auto" w:sz="4" w:space="0"/>
              <w:right w:val="single" w:color="auto" w:sz="4" w:space="0"/>
            </w:tcBorders>
            <w:vAlign w:val="center"/>
          </w:tcPr>
          <w:p w14:paraId="3C0E24A0">
            <w:pPr>
              <w:jc w:val="center"/>
              <w:rPr>
                <w:rFonts w:hint="default" w:ascii="Times New Roman" w:hAnsi="Times New Roman" w:cs="Times New Roman"/>
                <w:color w:val="auto"/>
              </w:rPr>
            </w:pPr>
            <w:r>
              <w:rPr>
                <w:rFonts w:hint="default" w:ascii="Times New Roman" w:hAnsi="Times New Roman" w:cs="Times New Roman"/>
                <w:color w:val="auto"/>
              </w:rPr>
              <w:t>60</w:t>
            </w:r>
          </w:p>
        </w:tc>
        <w:tc>
          <w:tcPr>
            <w:tcW w:w="726" w:type="dxa"/>
            <w:tcBorders>
              <w:top w:val="single" w:color="auto" w:sz="4" w:space="0"/>
              <w:left w:val="single" w:color="auto" w:sz="4" w:space="0"/>
              <w:bottom w:val="single" w:color="auto" w:sz="4" w:space="0"/>
              <w:right w:val="single" w:color="auto" w:sz="4" w:space="0"/>
            </w:tcBorders>
            <w:vAlign w:val="center"/>
          </w:tcPr>
          <w:p w14:paraId="3E13DA41">
            <w:pPr>
              <w:jc w:val="center"/>
              <w:rPr>
                <w:rFonts w:hint="default" w:ascii="Times New Roman" w:hAnsi="Times New Roman" w:cs="Times New Roman"/>
                <w:color w:val="auto"/>
              </w:rPr>
            </w:pPr>
            <w:r>
              <w:rPr>
                <w:rFonts w:hint="default" w:ascii="Times New Roman" w:hAnsi="Times New Roman" w:cs="Times New Roman"/>
                <w:color w:val="auto"/>
              </w:rPr>
              <w:t>58</w:t>
            </w:r>
          </w:p>
        </w:tc>
        <w:tc>
          <w:tcPr>
            <w:tcW w:w="629" w:type="dxa"/>
            <w:tcBorders>
              <w:top w:val="single" w:color="auto" w:sz="4" w:space="0"/>
              <w:left w:val="single" w:color="auto" w:sz="4" w:space="0"/>
              <w:bottom w:val="single" w:color="auto" w:sz="4" w:space="0"/>
              <w:right w:val="single" w:color="auto" w:sz="4" w:space="0"/>
            </w:tcBorders>
            <w:vAlign w:val="center"/>
          </w:tcPr>
          <w:p w14:paraId="5CBB4FA6">
            <w:pPr>
              <w:jc w:val="center"/>
              <w:rPr>
                <w:rFonts w:hint="default" w:ascii="Times New Roman" w:hAnsi="Times New Roman" w:cs="Times New Roman"/>
                <w:color w:val="auto"/>
              </w:rPr>
            </w:pPr>
            <w:r>
              <w:rPr>
                <w:rFonts w:hint="default" w:ascii="Times New Roman" w:hAnsi="Times New Roman" w:cs="Times New Roman"/>
                <w:color w:val="auto"/>
              </w:rPr>
              <w:t>56</w:t>
            </w:r>
          </w:p>
        </w:tc>
        <w:tc>
          <w:tcPr>
            <w:tcW w:w="709" w:type="dxa"/>
            <w:tcBorders>
              <w:top w:val="single" w:color="auto" w:sz="4" w:space="0"/>
              <w:left w:val="single" w:color="auto" w:sz="4" w:space="0"/>
              <w:bottom w:val="single" w:color="auto" w:sz="4" w:space="0"/>
              <w:right w:val="single" w:color="auto" w:sz="4" w:space="0"/>
            </w:tcBorders>
            <w:vAlign w:val="center"/>
          </w:tcPr>
          <w:p w14:paraId="4A7FCA73">
            <w:pPr>
              <w:jc w:val="center"/>
              <w:rPr>
                <w:rFonts w:hint="default" w:ascii="Times New Roman" w:hAnsi="Times New Roman" w:cs="Times New Roman"/>
                <w:color w:val="auto"/>
              </w:rPr>
            </w:pPr>
            <w:r>
              <w:rPr>
                <w:rFonts w:hint="default" w:ascii="Times New Roman" w:hAnsi="Times New Roman" w:cs="Times New Roman"/>
                <w:color w:val="auto"/>
              </w:rPr>
              <w:t>50</w:t>
            </w:r>
          </w:p>
        </w:tc>
        <w:tc>
          <w:tcPr>
            <w:tcW w:w="709" w:type="dxa"/>
            <w:tcBorders>
              <w:top w:val="single" w:color="auto" w:sz="4" w:space="0"/>
              <w:left w:val="single" w:color="auto" w:sz="4" w:space="0"/>
              <w:bottom w:val="single" w:color="auto" w:sz="4" w:space="0"/>
              <w:right w:val="single" w:color="auto" w:sz="4" w:space="0"/>
            </w:tcBorders>
            <w:vAlign w:val="center"/>
          </w:tcPr>
          <w:p w14:paraId="168FAEE7">
            <w:pPr>
              <w:jc w:val="center"/>
              <w:rPr>
                <w:rFonts w:hint="default" w:ascii="Times New Roman" w:hAnsi="Times New Roman" w:cs="Times New Roman"/>
                <w:color w:val="auto"/>
              </w:rPr>
            </w:pPr>
            <w:r>
              <w:rPr>
                <w:rFonts w:hint="default" w:ascii="Times New Roman" w:hAnsi="Times New Roman" w:cs="Times New Roman"/>
                <w:color w:val="auto"/>
              </w:rPr>
              <w:t>44</w:t>
            </w:r>
          </w:p>
        </w:tc>
        <w:tc>
          <w:tcPr>
            <w:tcW w:w="832" w:type="dxa"/>
            <w:tcBorders>
              <w:top w:val="single" w:color="auto" w:sz="4" w:space="0"/>
              <w:left w:val="single" w:color="auto" w:sz="4" w:space="0"/>
              <w:bottom w:val="single" w:color="auto" w:sz="4" w:space="0"/>
              <w:right w:val="single" w:color="auto" w:sz="4" w:space="0"/>
            </w:tcBorders>
            <w:vAlign w:val="center"/>
          </w:tcPr>
          <w:p w14:paraId="5A4E836B">
            <w:pPr>
              <w:jc w:val="center"/>
              <w:rPr>
                <w:rFonts w:hint="default" w:ascii="Times New Roman" w:hAnsi="Times New Roman" w:cs="Times New Roman"/>
                <w:color w:val="auto"/>
              </w:rPr>
            </w:pPr>
            <w:r>
              <w:rPr>
                <w:rFonts w:hint="default" w:ascii="Times New Roman" w:hAnsi="Times New Roman" w:cs="Times New Roman"/>
                <w:color w:val="auto"/>
              </w:rPr>
              <w:t>28</w:t>
            </w:r>
          </w:p>
        </w:tc>
      </w:tr>
      <w:tr w14:paraId="570B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14:paraId="0B2B0286">
            <w:pPr>
              <w:jc w:val="center"/>
              <w:rPr>
                <w:rFonts w:hint="default" w:ascii="Times New Roman" w:hAnsi="Times New Roman" w:cs="Times New Roman"/>
                <w:color w:val="auto"/>
              </w:rPr>
            </w:pPr>
            <w:r>
              <w:rPr>
                <w:rFonts w:hint="default" w:ascii="Times New Roman" w:hAnsi="Times New Roman" w:cs="Times New Roman"/>
                <w:color w:val="auto"/>
              </w:rPr>
              <w:t>手工钻</w:t>
            </w:r>
          </w:p>
        </w:tc>
        <w:tc>
          <w:tcPr>
            <w:tcW w:w="661" w:type="dxa"/>
            <w:tcBorders>
              <w:top w:val="single" w:color="auto" w:sz="4" w:space="0"/>
              <w:left w:val="single" w:color="auto" w:sz="4" w:space="0"/>
              <w:bottom w:val="single" w:color="auto" w:sz="4" w:space="0"/>
              <w:right w:val="single" w:color="auto" w:sz="4" w:space="0"/>
            </w:tcBorders>
            <w:vAlign w:val="center"/>
          </w:tcPr>
          <w:p w14:paraId="11F7792C">
            <w:pPr>
              <w:jc w:val="center"/>
              <w:rPr>
                <w:rFonts w:hint="default" w:ascii="Times New Roman" w:hAnsi="Times New Roman" w:cs="Times New Roman"/>
                <w:color w:val="auto"/>
              </w:rPr>
            </w:pPr>
            <w:r>
              <w:rPr>
                <w:rFonts w:hint="default" w:ascii="Times New Roman" w:hAnsi="Times New Roman" w:cs="Times New Roman"/>
                <w:color w:val="auto"/>
              </w:rPr>
              <w:t>95</w:t>
            </w:r>
          </w:p>
        </w:tc>
        <w:tc>
          <w:tcPr>
            <w:tcW w:w="716" w:type="dxa"/>
            <w:tcBorders>
              <w:top w:val="single" w:color="auto" w:sz="4" w:space="0"/>
              <w:left w:val="single" w:color="auto" w:sz="4" w:space="0"/>
              <w:bottom w:val="single" w:color="auto" w:sz="4" w:space="0"/>
              <w:right w:val="single" w:color="auto" w:sz="4" w:space="0"/>
            </w:tcBorders>
            <w:vAlign w:val="center"/>
          </w:tcPr>
          <w:p w14:paraId="642BAC66">
            <w:pPr>
              <w:jc w:val="center"/>
              <w:rPr>
                <w:rFonts w:hint="default" w:ascii="Times New Roman" w:hAnsi="Times New Roman" w:cs="Times New Roman"/>
                <w:color w:val="auto"/>
              </w:rPr>
            </w:pPr>
            <w:r>
              <w:rPr>
                <w:rFonts w:hint="default" w:ascii="Times New Roman" w:hAnsi="Times New Roman" w:cs="Times New Roman"/>
                <w:color w:val="auto"/>
              </w:rPr>
              <w:t>75</w:t>
            </w:r>
          </w:p>
        </w:tc>
        <w:tc>
          <w:tcPr>
            <w:tcW w:w="716" w:type="dxa"/>
            <w:tcBorders>
              <w:top w:val="single" w:color="auto" w:sz="4" w:space="0"/>
              <w:left w:val="single" w:color="auto" w:sz="4" w:space="0"/>
              <w:bottom w:val="single" w:color="auto" w:sz="4" w:space="0"/>
              <w:right w:val="single" w:color="auto" w:sz="4" w:space="0"/>
            </w:tcBorders>
            <w:vAlign w:val="center"/>
          </w:tcPr>
          <w:p w14:paraId="18480C9B">
            <w:pPr>
              <w:jc w:val="center"/>
              <w:rPr>
                <w:rFonts w:hint="default" w:ascii="Times New Roman" w:hAnsi="Times New Roman" w:cs="Times New Roman"/>
                <w:color w:val="auto"/>
              </w:rPr>
            </w:pPr>
            <w:r>
              <w:rPr>
                <w:rFonts w:hint="default" w:ascii="Times New Roman" w:hAnsi="Times New Roman" w:cs="Times New Roman"/>
                <w:color w:val="auto"/>
              </w:rPr>
              <w:t>69</w:t>
            </w:r>
          </w:p>
        </w:tc>
        <w:tc>
          <w:tcPr>
            <w:tcW w:w="716" w:type="dxa"/>
            <w:tcBorders>
              <w:top w:val="single" w:color="auto" w:sz="4" w:space="0"/>
              <w:left w:val="single" w:color="auto" w:sz="4" w:space="0"/>
              <w:bottom w:val="single" w:color="auto" w:sz="4" w:space="0"/>
              <w:right w:val="single" w:color="auto" w:sz="4" w:space="0"/>
            </w:tcBorders>
            <w:vAlign w:val="center"/>
          </w:tcPr>
          <w:p w14:paraId="3338FE2F">
            <w:pPr>
              <w:jc w:val="center"/>
              <w:rPr>
                <w:rFonts w:hint="default" w:ascii="Times New Roman" w:hAnsi="Times New Roman" w:cs="Times New Roman"/>
                <w:color w:val="auto"/>
              </w:rPr>
            </w:pPr>
            <w:r>
              <w:rPr>
                <w:rFonts w:hint="default" w:ascii="Times New Roman" w:hAnsi="Times New Roman" w:cs="Times New Roman"/>
                <w:color w:val="auto"/>
              </w:rPr>
              <w:t>65</w:t>
            </w:r>
          </w:p>
        </w:tc>
        <w:tc>
          <w:tcPr>
            <w:tcW w:w="726" w:type="dxa"/>
            <w:tcBorders>
              <w:top w:val="single" w:color="auto" w:sz="4" w:space="0"/>
              <w:left w:val="single" w:color="auto" w:sz="4" w:space="0"/>
              <w:bottom w:val="single" w:color="auto" w:sz="4" w:space="0"/>
              <w:right w:val="single" w:color="auto" w:sz="4" w:space="0"/>
            </w:tcBorders>
            <w:vAlign w:val="center"/>
          </w:tcPr>
          <w:p w14:paraId="66BF83D2">
            <w:pPr>
              <w:jc w:val="center"/>
              <w:rPr>
                <w:rFonts w:hint="default" w:ascii="Times New Roman" w:hAnsi="Times New Roman" w:cs="Times New Roman"/>
                <w:color w:val="auto"/>
              </w:rPr>
            </w:pPr>
            <w:r>
              <w:rPr>
                <w:rFonts w:hint="default" w:ascii="Times New Roman" w:hAnsi="Times New Roman" w:cs="Times New Roman"/>
                <w:color w:val="auto"/>
              </w:rPr>
              <w:t>63</w:t>
            </w:r>
          </w:p>
        </w:tc>
        <w:tc>
          <w:tcPr>
            <w:tcW w:w="629" w:type="dxa"/>
            <w:tcBorders>
              <w:top w:val="single" w:color="auto" w:sz="4" w:space="0"/>
              <w:left w:val="single" w:color="auto" w:sz="4" w:space="0"/>
              <w:bottom w:val="single" w:color="auto" w:sz="4" w:space="0"/>
              <w:right w:val="single" w:color="auto" w:sz="4" w:space="0"/>
            </w:tcBorders>
            <w:vAlign w:val="center"/>
          </w:tcPr>
          <w:p w14:paraId="080CB704">
            <w:pPr>
              <w:jc w:val="center"/>
              <w:rPr>
                <w:rFonts w:hint="default" w:ascii="Times New Roman" w:hAnsi="Times New Roman" w:cs="Times New Roman"/>
                <w:color w:val="auto"/>
              </w:rPr>
            </w:pPr>
            <w:r>
              <w:rPr>
                <w:rFonts w:hint="default" w:ascii="Times New Roman" w:hAnsi="Times New Roman" w:cs="Times New Roman"/>
                <w:color w:val="auto"/>
              </w:rPr>
              <w:t>61</w:t>
            </w:r>
          </w:p>
        </w:tc>
        <w:tc>
          <w:tcPr>
            <w:tcW w:w="709" w:type="dxa"/>
            <w:tcBorders>
              <w:top w:val="single" w:color="auto" w:sz="4" w:space="0"/>
              <w:left w:val="single" w:color="auto" w:sz="4" w:space="0"/>
              <w:bottom w:val="single" w:color="auto" w:sz="4" w:space="0"/>
              <w:right w:val="single" w:color="auto" w:sz="4" w:space="0"/>
            </w:tcBorders>
            <w:vAlign w:val="center"/>
          </w:tcPr>
          <w:p w14:paraId="1ACC082A">
            <w:pPr>
              <w:jc w:val="center"/>
              <w:rPr>
                <w:rFonts w:hint="default" w:ascii="Times New Roman" w:hAnsi="Times New Roman" w:cs="Times New Roman"/>
                <w:color w:val="auto"/>
              </w:rPr>
            </w:pPr>
            <w:r>
              <w:rPr>
                <w:rFonts w:hint="default" w:ascii="Times New Roman" w:hAnsi="Times New Roman" w:cs="Times New Roman"/>
                <w:color w:val="auto"/>
              </w:rPr>
              <w:t>55</w:t>
            </w:r>
          </w:p>
        </w:tc>
        <w:tc>
          <w:tcPr>
            <w:tcW w:w="709" w:type="dxa"/>
            <w:tcBorders>
              <w:top w:val="single" w:color="auto" w:sz="4" w:space="0"/>
              <w:left w:val="single" w:color="auto" w:sz="4" w:space="0"/>
              <w:bottom w:val="single" w:color="auto" w:sz="4" w:space="0"/>
              <w:right w:val="single" w:color="auto" w:sz="4" w:space="0"/>
            </w:tcBorders>
            <w:vAlign w:val="center"/>
          </w:tcPr>
          <w:p w14:paraId="0D17D36F">
            <w:pPr>
              <w:jc w:val="center"/>
              <w:rPr>
                <w:rFonts w:hint="default" w:ascii="Times New Roman" w:hAnsi="Times New Roman" w:cs="Times New Roman"/>
                <w:color w:val="auto"/>
              </w:rPr>
            </w:pPr>
            <w:r>
              <w:rPr>
                <w:rFonts w:hint="default" w:ascii="Times New Roman" w:hAnsi="Times New Roman" w:cs="Times New Roman"/>
                <w:color w:val="auto"/>
              </w:rPr>
              <w:t>49</w:t>
            </w:r>
          </w:p>
        </w:tc>
        <w:tc>
          <w:tcPr>
            <w:tcW w:w="832" w:type="dxa"/>
            <w:tcBorders>
              <w:top w:val="single" w:color="auto" w:sz="4" w:space="0"/>
              <w:left w:val="single" w:color="auto" w:sz="4" w:space="0"/>
              <w:bottom w:val="single" w:color="auto" w:sz="4" w:space="0"/>
              <w:right w:val="single" w:color="auto" w:sz="4" w:space="0"/>
            </w:tcBorders>
            <w:vAlign w:val="center"/>
          </w:tcPr>
          <w:p w14:paraId="3B938F63">
            <w:pPr>
              <w:jc w:val="center"/>
              <w:rPr>
                <w:rFonts w:hint="default" w:ascii="Times New Roman" w:hAnsi="Times New Roman" w:cs="Times New Roman"/>
                <w:color w:val="auto"/>
              </w:rPr>
            </w:pPr>
            <w:r>
              <w:rPr>
                <w:rFonts w:hint="default" w:ascii="Times New Roman" w:hAnsi="Times New Roman" w:cs="Times New Roman"/>
                <w:color w:val="auto"/>
              </w:rPr>
              <w:t>33</w:t>
            </w:r>
          </w:p>
        </w:tc>
      </w:tr>
      <w:tr w14:paraId="473D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14:paraId="2C96FC57">
            <w:pPr>
              <w:jc w:val="center"/>
              <w:rPr>
                <w:rFonts w:hint="default" w:ascii="Times New Roman" w:hAnsi="Times New Roman" w:cs="Times New Roman"/>
                <w:color w:val="auto"/>
              </w:rPr>
            </w:pPr>
            <w:r>
              <w:rPr>
                <w:rFonts w:hint="default" w:ascii="Times New Roman" w:hAnsi="Times New Roman" w:cs="Times New Roman"/>
                <w:color w:val="auto"/>
              </w:rPr>
              <w:t>无齿锯</w:t>
            </w:r>
          </w:p>
        </w:tc>
        <w:tc>
          <w:tcPr>
            <w:tcW w:w="661" w:type="dxa"/>
            <w:tcBorders>
              <w:top w:val="single" w:color="auto" w:sz="4" w:space="0"/>
              <w:left w:val="single" w:color="auto" w:sz="4" w:space="0"/>
              <w:bottom w:val="single" w:color="auto" w:sz="4" w:space="0"/>
              <w:right w:val="single" w:color="auto" w:sz="4" w:space="0"/>
            </w:tcBorders>
            <w:vAlign w:val="center"/>
          </w:tcPr>
          <w:p w14:paraId="4D2D3775">
            <w:pPr>
              <w:jc w:val="center"/>
              <w:rPr>
                <w:rFonts w:hint="default" w:ascii="Times New Roman" w:hAnsi="Times New Roman" w:cs="Times New Roman"/>
                <w:color w:val="auto"/>
              </w:rPr>
            </w:pPr>
            <w:r>
              <w:rPr>
                <w:rFonts w:hint="default" w:ascii="Times New Roman" w:hAnsi="Times New Roman" w:cs="Times New Roman"/>
                <w:color w:val="auto"/>
              </w:rPr>
              <w:t>84</w:t>
            </w:r>
          </w:p>
        </w:tc>
        <w:tc>
          <w:tcPr>
            <w:tcW w:w="716" w:type="dxa"/>
            <w:tcBorders>
              <w:top w:val="single" w:color="auto" w:sz="4" w:space="0"/>
              <w:left w:val="single" w:color="auto" w:sz="4" w:space="0"/>
              <w:bottom w:val="single" w:color="auto" w:sz="4" w:space="0"/>
              <w:right w:val="single" w:color="auto" w:sz="4" w:space="0"/>
            </w:tcBorders>
            <w:vAlign w:val="center"/>
          </w:tcPr>
          <w:p w14:paraId="3FF0A75B">
            <w:pPr>
              <w:jc w:val="center"/>
              <w:rPr>
                <w:rFonts w:hint="default" w:ascii="Times New Roman" w:hAnsi="Times New Roman" w:cs="Times New Roman"/>
                <w:color w:val="auto"/>
              </w:rPr>
            </w:pPr>
            <w:r>
              <w:rPr>
                <w:rFonts w:hint="default" w:ascii="Times New Roman" w:hAnsi="Times New Roman" w:cs="Times New Roman"/>
                <w:color w:val="auto"/>
              </w:rPr>
              <w:t>64</w:t>
            </w:r>
          </w:p>
        </w:tc>
        <w:tc>
          <w:tcPr>
            <w:tcW w:w="716" w:type="dxa"/>
            <w:tcBorders>
              <w:top w:val="single" w:color="auto" w:sz="4" w:space="0"/>
              <w:left w:val="single" w:color="auto" w:sz="4" w:space="0"/>
              <w:bottom w:val="single" w:color="auto" w:sz="4" w:space="0"/>
              <w:right w:val="single" w:color="auto" w:sz="4" w:space="0"/>
            </w:tcBorders>
            <w:vAlign w:val="center"/>
          </w:tcPr>
          <w:p w14:paraId="2A7073CA">
            <w:pPr>
              <w:jc w:val="center"/>
              <w:rPr>
                <w:rFonts w:hint="default" w:ascii="Times New Roman" w:hAnsi="Times New Roman" w:cs="Times New Roman"/>
                <w:color w:val="auto"/>
              </w:rPr>
            </w:pPr>
            <w:r>
              <w:rPr>
                <w:rFonts w:hint="default" w:ascii="Times New Roman" w:hAnsi="Times New Roman" w:cs="Times New Roman"/>
                <w:color w:val="auto"/>
              </w:rPr>
              <w:t>58</w:t>
            </w:r>
          </w:p>
        </w:tc>
        <w:tc>
          <w:tcPr>
            <w:tcW w:w="716" w:type="dxa"/>
            <w:tcBorders>
              <w:top w:val="single" w:color="auto" w:sz="4" w:space="0"/>
              <w:left w:val="single" w:color="auto" w:sz="4" w:space="0"/>
              <w:bottom w:val="single" w:color="auto" w:sz="4" w:space="0"/>
              <w:right w:val="single" w:color="auto" w:sz="4" w:space="0"/>
            </w:tcBorders>
            <w:vAlign w:val="center"/>
          </w:tcPr>
          <w:p w14:paraId="56499ABF">
            <w:pPr>
              <w:jc w:val="center"/>
              <w:rPr>
                <w:rFonts w:hint="default" w:ascii="Times New Roman" w:hAnsi="Times New Roman" w:cs="Times New Roman"/>
                <w:color w:val="auto"/>
              </w:rPr>
            </w:pPr>
            <w:r>
              <w:rPr>
                <w:rFonts w:hint="default" w:ascii="Times New Roman" w:hAnsi="Times New Roman" w:cs="Times New Roman"/>
                <w:color w:val="auto"/>
              </w:rPr>
              <w:t>54</w:t>
            </w:r>
          </w:p>
        </w:tc>
        <w:tc>
          <w:tcPr>
            <w:tcW w:w="726" w:type="dxa"/>
            <w:tcBorders>
              <w:top w:val="single" w:color="auto" w:sz="4" w:space="0"/>
              <w:left w:val="single" w:color="auto" w:sz="4" w:space="0"/>
              <w:bottom w:val="single" w:color="auto" w:sz="4" w:space="0"/>
              <w:right w:val="single" w:color="auto" w:sz="4" w:space="0"/>
            </w:tcBorders>
            <w:vAlign w:val="center"/>
          </w:tcPr>
          <w:p w14:paraId="44C8FC04">
            <w:pPr>
              <w:jc w:val="center"/>
              <w:rPr>
                <w:rFonts w:hint="default" w:ascii="Times New Roman" w:hAnsi="Times New Roman" w:cs="Times New Roman"/>
                <w:color w:val="auto"/>
              </w:rPr>
            </w:pPr>
            <w:r>
              <w:rPr>
                <w:rFonts w:hint="default" w:ascii="Times New Roman" w:hAnsi="Times New Roman" w:cs="Times New Roman"/>
                <w:color w:val="auto"/>
              </w:rPr>
              <w:t>52</w:t>
            </w:r>
          </w:p>
        </w:tc>
        <w:tc>
          <w:tcPr>
            <w:tcW w:w="629" w:type="dxa"/>
            <w:tcBorders>
              <w:top w:val="single" w:color="auto" w:sz="4" w:space="0"/>
              <w:left w:val="single" w:color="auto" w:sz="4" w:space="0"/>
              <w:bottom w:val="single" w:color="auto" w:sz="4" w:space="0"/>
              <w:right w:val="single" w:color="auto" w:sz="4" w:space="0"/>
            </w:tcBorders>
            <w:vAlign w:val="center"/>
          </w:tcPr>
          <w:p w14:paraId="1FCEEB3C">
            <w:pPr>
              <w:jc w:val="center"/>
              <w:rPr>
                <w:rFonts w:hint="default" w:ascii="Times New Roman" w:hAnsi="Times New Roman" w:cs="Times New Roman"/>
                <w:color w:val="auto"/>
              </w:rPr>
            </w:pPr>
            <w:r>
              <w:rPr>
                <w:rFonts w:hint="default" w:ascii="Times New Roman" w:hAnsi="Times New Roman" w:cs="Times New Roman"/>
                <w:color w:val="auto"/>
              </w:rPr>
              <w:t>50</w:t>
            </w:r>
          </w:p>
        </w:tc>
        <w:tc>
          <w:tcPr>
            <w:tcW w:w="709" w:type="dxa"/>
            <w:tcBorders>
              <w:top w:val="single" w:color="auto" w:sz="4" w:space="0"/>
              <w:left w:val="single" w:color="auto" w:sz="4" w:space="0"/>
              <w:bottom w:val="single" w:color="auto" w:sz="4" w:space="0"/>
              <w:right w:val="single" w:color="auto" w:sz="4" w:space="0"/>
            </w:tcBorders>
            <w:vAlign w:val="center"/>
          </w:tcPr>
          <w:p w14:paraId="789B6E04">
            <w:pPr>
              <w:jc w:val="center"/>
              <w:rPr>
                <w:rFonts w:hint="default" w:ascii="Times New Roman" w:hAnsi="Times New Roman" w:cs="Times New Roman"/>
                <w:color w:val="auto"/>
              </w:rPr>
            </w:pPr>
            <w:r>
              <w:rPr>
                <w:rFonts w:hint="default" w:ascii="Times New Roman" w:hAnsi="Times New Roman" w:cs="Times New Roman"/>
                <w:color w:val="auto"/>
              </w:rPr>
              <w:t>44</w:t>
            </w:r>
          </w:p>
        </w:tc>
        <w:tc>
          <w:tcPr>
            <w:tcW w:w="709" w:type="dxa"/>
            <w:tcBorders>
              <w:top w:val="single" w:color="auto" w:sz="4" w:space="0"/>
              <w:left w:val="single" w:color="auto" w:sz="4" w:space="0"/>
              <w:bottom w:val="single" w:color="auto" w:sz="4" w:space="0"/>
              <w:right w:val="single" w:color="auto" w:sz="4" w:space="0"/>
            </w:tcBorders>
            <w:vAlign w:val="center"/>
          </w:tcPr>
          <w:p w14:paraId="72406074">
            <w:pPr>
              <w:jc w:val="center"/>
              <w:rPr>
                <w:rFonts w:hint="default" w:ascii="Times New Roman" w:hAnsi="Times New Roman" w:cs="Times New Roman"/>
                <w:color w:val="auto"/>
              </w:rPr>
            </w:pPr>
            <w:r>
              <w:rPr>
                <w:rFonts w:hint="default" w:ascii="Times New Roman" w:hAnsi="Times New Roman" w:cs="Times New Roman"/>
                <w:color w:val="auto"/>
              </w:rPr>
              <w:t>38</w:t>
            </w:r>
          </w:p>
        </w:tc>
        <w:tc>
          <w:tcPr>
            <w:tcW w:w="832" w:type="dxa"/>
            <w:tcBorders>
              <w:top w:val="single" w:color="auto" w:sz="4" w:space="0"/>
              <w:left w:val="single" w:color="auto" w:sz="4" w:space="0"/>
              <w:bottom w:val="single" w:color="auto" w:sz="4" w:space="0"/>
              <w:right w:val="single" w:color="auto" w:sz="4" w:space="0"/>
            </w:tcBorders>
            <w:vAlign w:val="center"/>
          </w:tcPr>
          <w:p w14:paraId="0939CF55">
            <w:pPr>
              <w:jc w:val="center"/>
              <w:rPr>
                <w:rFonts w:hint="default" w:ascii="Times New Roman" w:hAnsi="Times New Roman" w:cs="Times New Roman"/>
                <w:color w:val="auto"/>
              </w:rPr>
            </w:pPr>
            <w:r>
              <w:rPr>
                <w:rFonts w:hint="default" w:ascii="Times New Roman" w:hAnsi="Times New Roman" w:cs="Times New Roman"/>
                <w:color w:val="auto"/>
              </w:rPr>
              <w:t>22</w:t>
            </w:r>
          </w:p>
        </w:tc>
      </w:tr>
      <w:tr w14:paraId="4780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6" w:type="dxa"/>
            <w:tcBorders>
              <w:top w:val="single" w:color="auto" w:sz="4" w:space="0"/>
              <w:left w:val="single" w:color="auto" w:sz="4" w:space="0"/>
              <w:bottom w:val="single" w:color="auto" w:sz="4" w:space="0"/>
              <w:right w:val="single" w:color="auto" w:sz="4" w:space="0"/>
            </w:tcBorders>
            <w:vAlign w:val="center"/>
          </w:tcPr>
          <w:p w14:paraId="6F251B6F">
            <w:pPr>
              <w:jc w:val="center"/>
              <w:rPr>
                <w:rFonts w:hint="default" w:ascii="Times New Roman" w:hAnsi="Times New Roman" w:cs="Times New Roman"/>
                <w:color w:val="auto"/>
              </w:rPr>
            </w:pPr>
            <w:r>
              <w:rPr>
                <w:rFonts w:hint="default" w:ascii="Times New Roman" w:hAnsi="Times New Roman" w:cs="Times New Roman"/>
                <w:color w:val="auto"/>
              </w:rPr>
              <w:t>载重车</w:t>
            </w:r>
          </w:p>
        </w:tc>
        <w:tc>
          <w:tcPr>
            <w:tcW w:w="661" w:type="dxa"/>
            <w:tcBorders>
              <w:top w:val="single" w:color="auto" w:sz="4" w:space="0"/>
              <w:left w:val="single" w:color="auto" w:sz="4" w:space="0"/>
              <w:bottom w:val="single" w:color="auto" w:sz="4" w:space="0"/>
              <w:right w:val="single" w:color="auto" w:sz="4" w:space="0"/>
            </w:tcBorders>
            <w:vAlign w:val="center"/>
          </w:tcPr>
          <w:p w14:paraId="2F7F887B">
            <w:pPr>
              <w:jc w:val="center"/>
              <w:rPr>
                <w:rFonts w:hint="default" w:ascii="Times New Roman" w:hAnsi="Times New Roman" w:cs="Times New Roman"/>
                <w:color w:val="auto"/>
              </w:rPr>
            </w:pPr>
            <w:r>
              <w:rPr>
                <w:rFonts w:hint="default" w:ascii="Times New Roman" w:hAnsi="Times New Roman" w:cs="Times New Roman"/>
                <w:color w:val="auto"/>
              </w:rPr>
              <w:t>80</w:t>
            </w:r>
          </w:p>
        </w:tc>
        <w:tc>
          <w:tcPr>
            <w:tcW w:w="716" w:type="dxa"/>
            <w:tcBorders>
              <w:top w:val="single" w:color="auto" w:sz="4" w:space="0"/>
              <w:left w:val="single" w:color="auto" w:sz="4" w:space="0"/>
              <w:bottom w:val="single" w:color="auto" w:sz="4" w:space="0"/>
              <w:right w:val="single" w:color="auto" w:sz="4" w:space="0"/>
            </w:tcBorders>
            <w:vAlign w:val="center"/>
          </w:tcPr>
          <w:p w14:paraId="190DD13F">
            <w:pPr>
              <w:jc w:val="center"/>
              <w:rPr>
                <w:rFonts w:hint="default" w:ascii="Times New Roman" w:hAnsi="Times New Roman" w:cs="Times New Roman"/>
                <w:color w:val="auto"/>
              </w:rPr>
            </w:pPr>
            <w:r>
              <w:rPr>
                <w:rFonts w:hint="default" w:ascii="Times New Roman" w:hAnsi="Times New Roman" w:cs="Times New Roman"/>
                <w:color w:val="auto"/>
              </w:rPr>
              <w:t>60</w:t>
            </w:r>
          </w:p>
        </w:tc>
        <w:tc>
          <w:tcPr>
            <w:tcW w:w="716" w:type="dxa"/>
            <w:tcBorders>
              <w:top w:val="single" w:color="auto" w:sz="4" w:space="0"/>
              <w:left w:val="single" w:color="auto" w:sz="4" w:space="0"/>
              <w:bottom w:val="single" w:color="auto" w:sz="4" w:space="0"/>
              <w:right w:val="single" w:color="auto" w:sz="4" w:space="0"/>
            </w:tcBorders>
            <w:vAlign w:val="center"/>
          </w:tcPr>
          <w:p w14:paraId="7495FC2D">
            <w:pPr>
              <w:jc w:val="center"/>
              <w:rPr>
                <w:rFonts w:hint="default" w:ascii="Times New Roman" w:hAnsi="Times New Roman" w:cs="Times New Roman"/>
                <w:color w:val="auto"/>
              </w:rPr>
            </w:pPr>
            <w:r>
              <w:rPr>
                <w:rFonts w:hint="default" w:ascii="Times New Roman" w:hAnsi="Times New Roman" w:cs="Times New Roman"/>
                <w:color w:val="auto"/>
              </w:rPr>
              <w:t>54</w:t>
            </w:r>
          </w:p>
        </w:tc>
        <w:tc>
          <w:tcPr>
            <w:tcW w:w="716" w:type="dxa"/>
            <w:tcBorders>
              <w:top w:val="single" w:color="auto" w:sz="4" w:space="0"/>
              <w:left w:val="single" w:color="auto" w:sz="4" w:space="0"/>
              <w:bottom w:val="single" w:color="auto" w:sz="4" w:space="0"/>
              <w:right w:val="single" w:color="auto" w:sz="4" w:space="0"/>
            </w:tcBorders>
            <w:vAlign w:val="center"/>
          </w:tcPr>
          <w:p w14:paraId="69D9D74A">
            <w:pPr>
              <w:jc w:val="center"/>
              <w:rPr>
                <w:rFonts w:hint="default" w:ascii="Times New Roman" w:hAnsi="Times New Roman" w:cs="Times New Roman"/>
                <w:color w:val="auto"/>
              </w:rPr>
            </w:pPr>
            <w:r>
              <w:rPr>
                <w:rFonts w:hint="default" w:ascii="Times New Roman" w:hAnsi="Times New Roman" w:cs="Times New Roman"/>
                <w:color w:val="auto"/>
              </w:rPr>
              <w:t>50</w:t>
            </w:r>
          </w:p>
        </w:tc>
        <w:tc>
          <w:tcPr>
            <w:tcW w:w="726" w:type="dxa"/>
            <w:tcBorders>
              <w:top w:val="single" w:color="auto" w:sz="4" w:space="0"/>
              <w:left w:val="single" w:color="auto" w:sz="4" w:space="0"/>
              <w:bottom w:val="single" w:color="auto" w:sz="4" w:space="0"/>
              <w:right w:val="single" w:color="auto" w:sz="4" w:space="0"/>
            </w:tcBorders>
            <w:vAlign w:val="center"/>
          </w:tcPr>
          <w:p w14:paraId="7CCA4677">
            <w:pPr>
              <w:jc w:val="center"/>
              <w:rPr>
                <w:rFonts w:hint="default" w:ascii="Times New Roman" w:hAnsi="Times New Roman" w:cs="Times New Roman"/>
                <w:color w:val="auto"/>
              </w:rPr>
            </w:pPr>
            <w:r>
              <w:rPr>
                <w:rFonts w:hint="default" w:ascii="Times New Roman" w:hAnsi="Times New Roman" w:cs="Times New Roman"/>
                <w:color w:val="auto"/>
              </w:rPr>
              <w:t>48</w:t>
            </w:r>
          </w:p>
        </w:tc>
        <w:tc>
          <w:tcPr>
            <w:tcW w:w="629" w:type="dxa"/>
            <w:tcBorders>
              <w:top w:val="single" w:color="auto" w:sz="4" w:space="0"/>
              <w:left w:val="single" w:color="auto" w:sz="4" w:space="0"/>
              <w:bottom w:val="single" w:color="auto" w:sz="4" w:space="0"/>
              <w:right w:val="single" w:color="auto" w:sz="4" w:space="0"/>
            </w:tcBorders>
            <w:vAlign w:val="center"/>
          </w:tcPr>
          <w:p w14:paraId="5EFA35DA">
            <w:pPr>
              <w:jc w:val="center"/>
              <w:rPr>
                <w:rFonts w:hint="default" w:ascii="Times New Roman" w:hAnsi="Times New Roman" w:cs="Times New Roman"/>
                <w:color w:val="auto"/>
              </w:rPr>
            </w:pPr>
            <w:r>
              <w:rPr>
                <w:rFonts w:hint="default" w:ascii="Times New Roman" w:hAnsi="Times New Roman" w:cs="Times New Roman"/>
                <w:color w:val="auto"/>
              </w:rPr>
              <w:t>46</w:t>
            </w:r>
          </w:p>
        </w:tc>
        <w:tc>
          <w:tcPr>
            <w:tcW w:w="709" w:type="dxa"/>
            <w:tcBorders>
              <w:top w:val="single" w:color="auto" w:sz="4" w:space="0"/>
              <w:left w:val="single" w:color="auto" w:sz="4" w:space="0"/>
              <w:bottom w:val="single" w:color="auto" w:sz="4" w:space="0"/>
              <w:right w:val="single" w:color="auto" w:sz="4" w:space="0"/>
            </w:tcBorders>
            <w:vAlign w:val="center"/>
          </w:tcPr>
          <w:p w14:paraId="3B834BD4">
            <w:pPr>
              <w:jc w:val="center"/>
              <w:rPr>
                <w:rFonts w:hint="default" w:ascii="Times New Roman" w:hAnsi="Times New Roman" w:cs="Times New Roman"/>
                <w:color w:val="auto"/>
              </w:rPr>
            </w:pPr>
            <w:r>
              <w:rPr>
                <w:rFonts w:hint="default" w:ascii="Times New Roman" w:hAnsi="Times New Roman" w:cs="Times New Roman"/>
                <w:color w:val="auto"/>
              </w:rPr>
              <w:t>40</w:t>
            </w:r>
          </w:p>
        </w:tc>
        <w:tc>
          <w:tcPr>
            <w:tcW w:w="709" w:type="dxa"/>
            <w:tcBorders>
              <w:top w:val="single" w:color="auto" w:sz="4" w:space="0"/>
              <w:left w:val="single" w:color="auto" w:sz="4" w:space="0"/>
              <w:bottom w:val="single" w:color="auto" w:sz="4" w:space="0"/>
              <w:right w:val="single" w:color="auto" w:sz="4" w:space="0"/>
            </w:tcBorders>
            <w:vAlign w:val="center"/>
          </w:tcPr>
          <w:p w14:paraId="224EDA17">
            <w:pPr>
              <w:jc w:val="center"/>
              <w:rPr>
                <w:rFonts w:hint="default" w:ascii="Times New Roman" w:hAnsi="Times New Roman" w:cs="Times New Roman"/>
                <w:color w:val="auto"/>
              </w:rPr>
            </w:pPr>
            <w:r>
              <w:rPr>
                <w:rFonts w:hint="default" w:ascii="Times New Roman" w:hAnsi="Times New Roman" w:cs="Times New Roman"/>
                <w:color w:val="auto"/>
              </w:rPr>
              <w:t>34</w:t>
            </w:r>
          </w:p>
        </w:tc>
        <w:tc>
          <w:tcPr>
            <w:tcW w:w="832" w:type="dxa"/>
            <w:tcBorders>
              <w:top w:val="single" w:color="auto" w:sz="4" w:space="0"/>
              <w:left w:val="single" w:color="auto" w:sz="4" w:space="0"/>
              <w:bottom w:val="single" w:color="auto" w:sz="4" w:space="0"/>
              <w:right w:val="single" w:color="auto" w:sz="4" w:space="0"/>
            </w:tcBorders>
            <w:vAlign w:val="center"/>
          </w:tcPr>
          <w:p w14:paraId="252DF1CD">
            <w:pPr>
              <w:jc w:val="center"/>
              <w:rPr>
                <w:rFonts w:hint="default" w:ascii="Times New Roman" w:hAnsi="Times New Roman" w:cs="Times New Roman"/>
                <w:color w:val="auto"/>
              </w:rPr>
            </w:pPr>
            <w:r>
              <w:rPr>
                <w:rFonts w:hint="default" w:ascii="Times New Roman" w:hAnsi="Times New Roman" w:cs="Times New Roman"/>
                <w:color w:val="auto"/>
              </w:rPr>
              <w:t>18</w:t>
            </w:r>
          </w:p>
        </w:tc>
      </w:tr>
    </w:tbl>
    <w:p w14:paraId="68877267">
      <w:pPr>
        <w:autoSpaceDE w:val="0"/>
        <w:autoSpaceDN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2、施工期多台机械设备同时运转噪声预测值</w:t>
      </w:r>
    </w:p>
    <w:p w14:paraId="2416DE4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表5-1施工期各施工机械设备单台噪声在不同距离处的贡献值可以看出，现场施工产生的噪声源强较高，在实际施工过程中，各类机械同时工作，各类噪声源相互叠加，噪声声级将会更高，噪声的影响范围也会增大。各类机械噪声先进行声级叠加后再进行衰减计算。</w:t>
      </w:r>
    </w:p>
    <w:p w14:paraId="0D4CFB5D">
      <w:pPr>
        <w:autoSpaceDE w:val="0"/>
        <w:autoSpaceDN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声源叠加按下列公式计算：</w:t>
      </w:r>
    </w:p>
    <w:p w14:paraId="1C2AB0C2">
      <w:pPr>
        <w:autoSpaceDE w:val="0"/>
        <w:autoSpaceDN w:val="0"/>
        <w:spacing w:line="360" w:lineRule="auto"/>
        <w:ind w:firstLine="480"/>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0" distR="0">
            <wp:extent cx="3223260" cy="571500"/>
            <wp:effectExtent l="0" t="0" r="15240" b="0"/>
            <wp:docPr id="100" name="图片 7" descr="wps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 descr="wps79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223260" cy="571869"/>
                    </a:xfrm>
                    <a:prstGeom prst="rect">
                      <a:avLst/>
                    </a:prstGeom>
                    <a:noFill/>
                    <a:ln>
                      <a:noFill/>
                    </a:ln>
                  </pic:spPr>
                </pic:pic>
              </a:graphicData>
            </a:graphic>
          </wp:inline>
        </w:drawing>
      </w:r>
    </w:p>
    <w:p w14:paraId="0DD97BDE">
      <w:pPr>
        <w:autoSpaceDE w:val="0"/>
        <w:autoSpaceDN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 xml:space="preserve">i </w:t>
      </w:r>
      <w:r>
        <w:rPr>
          <w:rFonts w:hint="default" w:ascii="Times New Roman" w:hAnsi="Times New Roman" w:cs="Times New Roman"/>
          <w:color w:val="auto"/>
          <w:sz w:val="24"/>
        </w:rPr>
        <w:t>——第i个声源声值；</w:t>
      </w:r>
    </w:p>
    <w:p w14:paraId="4850D81D">
      <w:pPr>
        <w:autoSpaceDE w:val="0"/>
        <w:autoSpaceDN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 xml:space="preserve">      L</w:t>
      </w:r>
      <w:r>
        <w:rPr>
          <w:rFonts w:hint="default" w:ascii="Times New Roman" w:hAnsi="Times New Roman" w:cs="Times New Roman"/>
          <w:color w:val="auto"/>
          <w:sz w:val="24"/>
          <w:vertAlign w:val="subscript"/>
        </w:rPr>
        <w:t>A</w:t>
      </w:r>
      <w:r>
        <w:rPr>
          <w:rFonts w:hint="default" w:ascii="Times New Roman" w:hAnsi="Times New Roman" w:cs="Times New Roman"/>
          <w:color w:val="auto"/>
          <w:sz w:val="24"/>
        </w:rPr>
        <w:t xml:space="preserve"> ——某点噪声总叠加值；</w:t>
      </w:r>
    </w:p>
    <w:p w14:paraId="26C47BA6">
      <w:pPr>
        <w:autoSpaceDE w:val="0"/>
        <w:autoSpaceDN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 xml:space="preserve">      n ——声源个数。</w:t>
      </w:r>
    </w:p>
    <w:p w14:paraId="10EEA3C0">
      <w:pPr>
        <w:pStyle w:val="14"/>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阶段可通过合理安排施工时间、固定设备、室内施工和对部分机械设置减震垫后施工期噪声能够得到部分削减，削减量在5~10dB（A）之间，本次环评消减量取5dB（A），多台施工设备经过衰减叠加后噪声值见表5</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-2。</w:t>
      </w:r>
    </w:p>
    <w:p w14:paraId="0F429EBC">
      <w:pPr>
        <w:pStyle w:val="14"/>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表5</w:t>
      </w: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rPr>
        <w:t>-2   多台施工设备经过衰减叠加噪声值</w:t>
      </w:r>
    </w:p>
    <w:tbl>
      <w:tblPr>
        <w:tblStyle w:val="23"/>
        <w:tblW w:w="7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78"/>
        <w:gridCol w:w="726"/>
        <w:gridCol w:w="797"/>
        <w:gridCol w:w="779"/>
        <w:gridCol w:w="750"/>
        <w:gridCol w:w="756"/>
        <w:gridCol w:w="747"/>
        <w:gridCol w:w="812"/>
        <w:gridCol w:w="815"/>
      </w:tblGrid>
      <w:tr w14:paraId="2638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66" w:hRule="atLeast"/>
          <w:jc w:val="center"/>
        </w:trPr>
        <w:tc>
          <w:tcPr>
            <w:tcW w:w="1278" w:type="dxa"/>
            <w:shd w:val="clear" w:color="auto" w:fill="FFFFFF"/>
            <w:vAlign w:val="center"/>
          </w:tcPr>
          <w:p w14:paraId="6D845C47">
            <w:pPr>
              <w:jc w:val="center"/>
              <w:rPr>
                <w:rFonts w:hint="default" w:ascii="Times New Roman" w:hAnsi="Times New Roman" w:cs="Times New Roman"/>
                <w:b/>
                <w:color w:val="auto"/>
              </w:rPr>
            </w:pPr>
            <w:r>
              <w:rPr>
                <w:rFonts w:hint="default" w:ascii="Times New Roman" w:hAnsi="Times New Roman" w:cs="Times New Roman"/>
                <w:b/>
                <w:color w:val="auto"/>
              </w:rPr>
              <w:t>距离(m)</w:t>
            </w:r>
          </w:p>
        </w:tc>
        <w:tc>
          <w:tcPr>
            <w:tcW w:w="726" w:type="dxa"/>
            <w:shd w:val="clear" w:color="auto" w:fill="FFFFFF"/>
            <w:vAlign w:val="center"/>
          </w:tcPr>
          <w:p w14:paraId="45897110">
            <w:pPr>
              <w:jc w:val="center"/>
              <w:rPr>
                <w:rFonts w:hint="default" w:ascii="Times New Roman" w:hAnsi="Times New Roman" w:cs="Times New Roman"/>
                <w:b/>
                <w:color w:val="auto"/>
              </w:rPr>
            </w:pPr>
            <w:r>
              <w:rPr>
                <w:rFonts w:hint="default" w:ascii="Times New Roman" w:hAnsi="Times New Roman" w:cs="Times New Roman"/>
                <w:b/>
                <w:color w:val="auto"/>
              </w:rPr>
              <w:t>1</w:t>
            </w:r>
          </w:p>
        </w:tc>
        <w:tc>
          <w:tcPr>
            <w:tcW w:w="797" w:type="dxa"/>
            <w:shd w:val="clear" w:color="auto" w:fill="FFFFFF"/>
            <w:vAlign w:val="center"/>
          </w:tcPr>
          <w:p w14:paraId="38B0FC6D">
            <w:pPr>
              <w:jc w:val="center"/>
              <w:rPr>
                <w:rFonts w:hint="default" w:ascii="Times New Roman" w:hAnsi="Times New Roman" w:cs="Times New Roman"/>
                <w:b/>
                <w:color w:val="auto"/>
              </w:rPr>
            </w:pPr>
            <w:r>
              <w:rPr>
                <w:rFonts w:hint="default" w:ascii="Times New Roman" w:hAnsi="Times New Roman" w:cs="Times New Roman"/>
                <w:b/>
                <w:color w:val="auto"/>
              </w:rPr>
              <w:t>10</w:t>
            </w:r>
          </w:p>
        </w:tc>
        <w:tc>
          <w:tcPr>
            <w:tcW w:w="779" w:type="dxa"/>
            <w:shd w:val="clear" w:color="auto" w:fill="FFFFFF"/>
            <w:vAlign w:val="center"/>
          </w:tcPr>
          <w:p w14:paraId="3AA22F22">
            <w:pPr>
              <w:jc w:val="center"/>
              <w:rPr>
                <w:rFonts w:hint="default" w:ascii="Times New Roman" w:hAnsi="Times New Roman" w:cs="Times New Roman"/>
                <w:b/>
                <w:color w:val="auto"/>
              </w:rPr>
            </w:pPr>
            <w:r>
              <w:rPr>
                <w:rFonts w:hint="default" w:ascii="Times New Roman" w:hAnsi="Times New Roman" w:cs="Times New Roman"/>
                <w:b/>
                <w:color w:val="auto"/>
              </w:rPr>
              <w:t>20</w:t>
            </w:r>
          </w:p>
        </w:tc>
        <w:tc>
          <w:tcPr>
            <w:tcW w:w="750" w:type="dxa"/>
            <w:shd w:val="clear" w:color="auto" w:fill="FFFFFF"/>
            <w:vAlign w:val="center"/>
          </w:tcPr>
          <w:p w14:paraId="531C4D9E">
            <w:pPr>
              <w:jc w:val="center"/>
              <w:rPr>
                <w:rFonts w:hint="default" w:ascii="Times New Roman" w:hAnsi="Times New Roman" w:cs="Times New Roman"/>
                <w:b/>
                <w:color w:val="auto"/>
              </w:rPr>
            </w:pPr>
            <w:r>
              <w:rPr>
                <w:rFonts w:hint="default" w:ascii="Times New Roman" w:hAnsi="Times New Roman" w:cs="Times New Roman"/>
                <w:b/>
                <w:color w:val="auto"/>
              </w:rPr>
              <w:t>30</w:t>
            </w:r>
          </w:p>
        </w:tc>
        <w:tc>
          <w:tcPr>
            <w:tcW w:w="756" w:type="dxa"/>
            <w:shd w:val="clear" w:color="auto" w:fill="FFFFFF"/>
            <w:vAlign w:val="center"/>
          </w:tcPr>
          <w:p w14:paraId="22F4496D">
            <w:pPr>
              <w:jc w:val="center"/>
              <w:rPr>
                <w:rFonts w:hint="default" w:ascii="Times New Roman" w:hAnsi="Times New Roman" w:cs="Times New Roman"/>
                <w:b/>
                <w:color w:val="auto"/>
              </w:rPr>
            </w:pPr>
            <w:r>
              <w:rPr>
                <w:rFonts w:hint="default" w:ascii="Times New Roman" w:hAnsi="Times New Roman" w:cs="Times New Roman"/>
                <w:b/>
                <w:color w:val="auto"/>
              </w:rPr>
              <w:t>40</w:t>
            </w:r>
          </w:p>
        </w:tc>
        <w:tc>
          <w:tcPr>
            <w:tcW w:w="747" w:type="dxa"/>
            <w:shd w:val="clear" w:color="auto" w:fill="FFFFFF"/>
            <w:vAlign w:val="center"/>
          </w:tcPr>
          <w:p w14:paraId="00B84E38">
            <w:pPr>
              <w:jc w:val="center"/>
              <w:rPr>
                <w:rFonts w:hint="default" w:ascii="Times New Roman" w:hAnsi="Times New Roman" w:cs="Times New Roman"/>
                <w:b/>
                <w:color w:val="auto"/>
              </w:rPr>
            </w:pPr>
            <w:r>
              <w:rPr>
                <w:rFonts w:hint="default" w:ascii="Times New Roman" w:hAnsi="Times New Roman" w:cs="Times New Roman"/>
                <w:b/>
                <w:color w:val="auto"/>
              </w:rPr>
              <w:t>50</w:t>
            </w:r>
          </w:p>
        </w:tc>
        <w:tc>
          <w:tcPr>
            <w:tcW w:w="812" w:type="dxa"/>
            <w:shd w:val="clear" w:color="auto" w:fill="FFFFFF"/>
            <w:vAlign w:val="center"/>
          </w:tcPr>
          <w:p w14:paraId="5C690C64">
            <w:pPr>
              <w:jc w:val="center"/>
              <w:rPr>
                <w:rFonts w:hint="default" w:ascii="Times New Roman" w:hAnsi="Times New Roman" w:cs="Times New Roman"/>
                <w:b/>
                <w:color w:val="auto"/>
              </w:rPr>
            </w:pPr>
            <w:r>
              <w:rPr>
                <w:rFonts w:hint="default" w:ascii="Times New Roman" w:hAnsi="Times New Roman" w:cs="Times New Roman"/>
                <w:b/>
                <w:color w:val="auto"/>
              </w:rPr>
              <w:t>100</w:t>
            </w:r>
          </w:p>
        </w:tc>
        <w:tc>
          <w:tcPr>
            <w:tcW w:w="815" w:type="dxa"/>
            <w:shd w:val="clear" w:color="auto" w:fill="FFFFFF"/>
            <w:vAlign w:val="center"/>
          </w:tcPr>
          <w:p w14:paraId="73FECE27">
            <w:pPr>
              <w:jc w:val="center"/>
              <w:rPr>
                <w:rFonts w:hint="default" w:ascii="Times New Roman" w:hAnsi="Times New Roman" w:cs="Times New Roman"/>
                <w:b/>
                <w:color w:val="auto"/>
              </w:rPr>
            </w:pPr>
            <w:r>
              <w:rPr>
                <w:rFonts w:hint="default" w:ascii="Times New Roman" w:hAnsi="Times New Roman" w:cs="Times New Roman"/>
                <w:b/>
                <w:color w:val="auto"/>
              </w:rPr>
              <w:t>200</w:t>
            </w:r>
          </w:p>
        </w:tc>
      </w:tr>
      <w:tr w14:paraId="300D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278" w:type="dxa"/>
            <w:shd w:val="clear" w:color="auto" w:fill="FFFFFF"/>
            <w:vAlign w:val="center"/>
          </w:tcPr>
          <w:p w14:paraId="6DB800D1">
            <w:pPr>
              <w:pStyle w:val="14"/>
              <w:jc w:val="center"/>
              <w:rPr>
                <w:rFonts w:hint="default" w:ascii="Times New Roman" w:hAnsi="Times New Roman" w:cs="Times New Roman"/>
                <w:color w:val="auto"/>
              </w:rPr>
            </w:pPr>
            <w:r>
              <w:rPr>
                <w:rFonts w:hint="default" w:ascii="Times New Roman" w:hAnsi="Times New Roman" w:cs="Times New Roman"/>
                <w:color w:val="auto"/>
              </w:rPr>
              <w:t>LP(dB(A))</w:t>
            </w:r>
          </w:p>
        </w:tc>
        <w:tc>
          <w:tcPr>
            <w:tcW w:w="726" w:type="dxa"/>
            <w:shd w:val="clear" w:color="auto" w:fill="FFFFFF"/>
            <w:vAlign w:val="center"/>
          </w:tcPr>
          <w:p w14:paraId="4F656379">
            <w:pPr>
              <w:jc w:val="right"/>
              <w:rPr>
                <w:rFonts w:hint="default" w:ascii="Times New Roman" w:hAnsi="Times New Roman" w:cs="Times New Roman"/>
                <w:color w:val="auto"/>
                <w:sz w:val="22"/>
                <w:szCs w:val="22"/>
              </w:rPr>
            </w:pPr>
            <w:r>
              <w:rPr>
                <w:rFonts w:hint="default" w:ascii="Times New Roman" w:hAnsi="Times New Roman" w:cs="Times New Roman"/>
                <w:color w:val="auto"/>
                <w:sz w:val="22"/>
                <w:szCs w:val="22"/>
              </w:rPr>
              <w:t>95.51</w:t>
            </w:r>
          </w:p>
        </w:tc>
        <w:tc>
          <w:tcPr>
            <w:tcW w:w="797" w:type="dxa"/>
            <w:shd w:val="clear" w:color="auto" w:fill="FFFFFF"/>
            <w:vAlign w:val="center"/>
          </w:tcPr>
          <w:p w14:paraId="76E21B90">
            <w:pPr>
              <w:jc w:val="right"/>
              <w:rPr>
                <w:rFonts w:hint="default" w:ascii="Times New Roman" w:hAnsi="Times New Roman" w:cs="Times New Roman"/>
                <w:color w:val="auto"/>
                <w:sz w:val="22"/>
                <w:szCs w:val="22"/>
              </w:rPr>
            </w:pPr>
            <w:r>
              <w:rPr>
                <w:rFonts w:hint="default" w:ascii="Times New Roman" w:hAnsi="Times New Roman" w:cs="Times New Roman"/>
                <w:color w:val="auto"/>
                <w:sz w:val="22"/>
                <w:szCs w:val="22"/>
              </w:rPr>
              <w:t>75.51</w:t>
            </w:r>
          </w:p>
        </w:tc>
        <w:tc>
          <w:tcPr>
            <w:tcW w:w="779" w:type="dxa"/>
            <w:shd w:val="clear" w:color="auto" w:fill="FFFFFF"/>
            <w:vAlign w:val="center"/>
          </w:tcPr>
          <w:p w14:paraId="4EC2BCF3">
            <w:pPr>
              <w:jc w:val="right"/>
              <w:rPr>
                <w:rFonts w:hint="default" w:ascii="Times New Roman" w:hAnsi="Times New Roman" w:cs="Times New Roman"/>
                <w:color w:val="auto"/>
                <w:sz w:val="22"/>
                <w:szCs w:val="22"/>
              </w:rPr>
            </w:pPr>
            <w:r>
              <w:rPr>
                <w:rFonts w:hint="default" w:ascii="Times New Roman" w:hAnsi="Times New Roman" w:cs="Times New Roman"/>
                <w:color w:val="auto"/>
                <w:sz w:val="22"/>
                <w:szCs w:val="22"/>
              </w:rPr>
              <w:t>69.51</w:t>
            </w:r>
          </w:p>
        </w:tc>
        <w:tc>
          <w:tcPr>
            <w:tcW w:w="750" w:type="dxa"/>
            <w:shd w:val="clear" w:color="auto" w:fill="FFFFFF"/>
            <w:vAlign w:val="center"/>
          </w:tcPr>
          <w:p w14:paraId="4744D1F2">
            <w:pPr>
              <w:jc w:val="right"/>
              <w:rPr>
                <w:rFonts w:hint="default" w:ascii="Times New Roman" w:hAnsi="Times New Roman" w:cs="Times New Roman"/>
                <w:color w:val="auto"/>
                <w:sz w:val="22"/>
                <w:szCs w:val="22"/>
              </w:rPr>
            </w:pPr>
            <w:r>
              <w:rPr>
                <w:rFonts w:hint="default" w:ascii="Times New Roman" w:hAnsi="Times New Roman" w:cs="Times New Roman"/>
                <w:color w:val="auto"/>
                <w:sz w:val="22"/>
                <w:szCs w:val="22"/>
              </w:rPr>
              <w:t>65.51</w:t>
            </w:r>
          </w:p>
        </w:tc>
        <w:tc>
          <w:tcPr>
            <w:tcW w:w="756" w:type="dxa"/>
            <w:shd w:val="clear" w:color="auto" w:fill="FFFFFF"/>
            <w:vAlign w:val="center"/>
          </w:tcPr>
          <w:p w14:paraId="61C94CE2">
            <w:pPr>
              <w:jc w:val="right"/>
              <w:rPr>
                <w:rFonts w:hint="default" w:ascii="Times New Roman" w:hAnsi="Times New Roman" w:cs="Times New Roman"/>
                <w:color w:val="auto"/>
                <w:sz w:val="22"/>
                <w:szCs w:val="22"/>
              </w:rPr>
            </w:pPr>
            <w:r>
              <w:rPr>
                <w:rFonts w:hint="default" w:ascii="Times New Roman" w:hAnsi="Times New Roman" w:cs="Times New Roman"/>
                <w:color w:val="auto"/>
                <w:sz w:val="22"/>
                <w:szCs w:val="22"/>
              </w:rPr>
              <w:t>63.51</w:t>
            </w:r>
          </w:p>
        </w:tc>
        <w:tc>
          <w:tcPr>
            <w:tcW w:w="747" w:type="dxa"/>
            <w:shd w:val="clear" w:color="auto" w:fill="FFFFFF"/>
            <w:vAlign w:val="center"/>
          </w:tcPr>
          <w:p w14:paraId="1E9C2A6A">
            <w:pPr>
              <w:jc w:val="right"/>
              <w:rPr>
                <w:rFonts w:hint="default" w:ascii="Times New Roman" w:hAnsi="Times New Roman" w:cs="Times New Roman"/>
                <w:color w:val="auto"/>
                <w:sz w:val="22"/>
                <w:szCs w:val="22"/>
              </w:rPr>
            </w:pPr>
            <w:r>
              <w:rPr>
                <w:rFonts w:hint="default" w:ascii="Times New Roman" w:hAnsi="Times New Roman" w:cs="Times New Roman"/>
                <w:color w:val="auto"/>
                <w:sz w:val="22"/>
                <w:szCs w:val="22"/>
              </w:rPr>
              <w:t>61.51</w:t>
            </w:r>
          </w:p>
        </w:tc>
        <w:tc>
          <w:tcPr>
            <w:tcW w:w="812" w:type="dxa"/>
            <w:shd w:val="clear" w:color="auto" w:fill="FFFFFF"/>
            <w:vAlign w:val="center"/>
          </w:tcPr>
          <w:p w14:paraId="64882742">
            <w:pPr>
              <w:jc w:val="right"/>
              <w:rPr>
                <w:rFonts w:hint="default" w:ascii="Times New Roman" w:hAnsi="Times New Roman" w:cs="Times New Roman"/>
                <w:color w:val="auto"/>
                <w:sz w:val="22"/>
                <w:szCs w:val="22"/>
              </w:rPr>
            </w:pPr>
            <w:r>
              <w:rPr>
                <w:rFonts w:hint="default" w:ascii="Times New Roman" w:hAnsi="Times New Roman" w:cs="Times New Roman"/>
                <w:color w:val="auto"/>
                <w:sz w:val="22"/>
                <w:szCs w:val="22"/>
              </w:rPr>
              <w:t>55.51</w:t>
            </w:r>
          </w:p>
        </w:tc>
        <w:tc>
          <w:tcPr>
            <w:tcW w:w="815" w:type="dxa"/>
            <w:shd w:val="clear" w:color="auto" w:fill="FFFFFF"/>
            <w:vAlign w:val="center"/>
          </w:tcPr>
          <w:p w14:paraId="4CDDD1E2">
            <w:pPr>
              <w:jc w:val="right"/>
              <w:rPr>
                <w:rFonts w:hint="default" w:ascii="Times New Roman" w:hAnsi="Times New Roman" w:cs="Times New Roman"/>
                <w:color w:val="auto"/>
                <w:sz w:val="22"/>
                <w:szCs w:val="22"/>
              </w:rPr>
            </w:pPr>
            <w:r>
              <w:rPr>
                <w:rFonts w:hint="default" w:ascii="Times New Roman" w:hAnsi="Times New Roman" w:cs="Times New Roman"/>
                <w:color w:val="auto"/>
                <w:sz w:val="22"/>
                <w:szCs w:val="22"/>
              </w:rPr>
              <w:t>49.51</w:t>
            </w:r>
          </w:p>
        </w:tc>
      </w:tr>
    </w:tbl>
    <w:p w14:paraId="4AA780D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机械布置距离场界最近的距离在20m以上，且施工机械不会全部同时使用，施工期噪声实际排放值应小于69.51dB（A），能够满足《建筑施工场界环境噪声排放标准》(GB12523-2011)的要求，即昼间≤70dB（A），夜间不施工，则夜间无影响。项目采取以下措施后，可减少施工噪声对周围环境的影响。</w:t>
      </w:r>
    </w:p>
    <w:p w14:paraId="31B3D8D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①施工期间必须严格按《建筑施工场界环境噪声排放标准》（GB12523-2011）进行施工噪声的控制，以减少工程建设施工对周边造成的声环境影响。</w:t>
      </w:r>
    </w:p>
    <w:p w14:paraId="5427EED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②加强施工管理，优化施工方式，以减少工程建设施工对周边造成的声环境影响。</w:t>
      </w:r>
    </w:p>
    <w:p w14:paraId="79D27B1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③合理布置施工场地，高噪声设备应尽量设置于项目中部，并避免高噪设备在同一时段集中使用。</w:t>
      </w:r>
    </w:p>
    <w:p w14:paraId="57F72E05">
      <w:pPr>
        <w:pStyle w:val="14"/>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④施工期运输车辆应尽量保持良好车况，合理调度，尽可能匀速慢行；施工场地的施工车辆出入现场时应低速、减少鸣笛，以减小载重汽车噪声对周围环境的影响。</w:t>
      </w:r>
    </w:p>
    <w:p w14:paraId="63E0A70D">
      <w:pPr>
        <w:pStyle w:val="14"/>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⑤考虑到建筑材料运输时车辆噪声可能影响到附近居民，在运输车辆途经村庄时应减速慢行，减少鸣笛；物料进场要安排在白天进行，避免夜间进场影响居民休息。</w:t>
      </w:r>
    </w:p>
    <w:p w14:paraId="24D02CDC">
      <w:pPr>
        <w:spacing w:line="360" w:lineRule="auto"/>
        <w:ind w:firstLine="465"/>
        <w:rPr>
          <w:rFonts w:hint="default" w:ascii="Times New Roman" w:hAnsi="Times New Roman" w:cs="Times New Roman"/>
          <w:color w:val="auto"/>
          <w:sz w:val="24"/>
        </w:rPr>
      </w:pPr>
      <w:r>
        <w:rPr>
          <w:rFonts w:hint="default" w:ascii="Times New Roman" w:hAnsi="Times New Roman" w:cs="Times New Roman"/>
          <w:color w:val="auto"/>
          <w:sz w:val="24"/>
        </w:rPr>
        <w:t>同时，根据现场勘查可知，村庄与本项目的距离较远，最近的村庄为西南侧约1.</w:t>
      </w:r>
      <w:r>
        <w:rPr>
          <w:rFonts w:hint="default" w:ascii="Times New Roman" w:hAnsi="Times New Roman" w:cs="Times New Roman"/>
          <w:color w:val="auto"/>
          <w:sz w:val="24"/>
          <w:lang w:val="en-US" w:eastAsia="zh-CN"/>
        </w:rPr>
        <w:t>78</w:t>
      </w:r>
      <w:r>
        <w:rPr>
          <w:rFonts w:hint="default" w:ascii="Times New Roman" w:hAnsi="Times New Roman" w:cs="Times New Roman"/>
          <w:color w:val="auto"/>
          <w:sz w:val="24"/>
        </w:rPr>
        <w:t>km处的猴街村，施工噪声</w:t>
      </w:r>
      <w:r>
        <w:rPr>
          <w:rFonts w:hint="default" w:ascii="Times New Roman" w:hAnsi="Times New Roman" w:cs="Times New Roman"/>
          <w:color w:val="auto"/>
          <w:sz w:val="24"/>
          <w:lang w:val="en-US" w:eastAsia="zh-CN"/>
        </w:rPr>
        <w:t>影响</w:t>
      </w:r>
      <w:r>
        <w:rPr>
          <w:rFonts w:hint="default" w:ascii="Times New Roman" w:hAnsi="Times New Roman" w:cs="Times New Roman"/>
          <w:color w:val="auto"/>
          <w:sz w:val="24"/>
        </w:rPr>
        <w:t>较小。项目声环境评价范围为项目厂界外延200m，声评价范围内不存在环境保护目标。</w:t>
      </w:r>
    </w:p>
    <w:p w14:paraId="6F8F3810">
      <w:pPr>
        <w:pStyle w:val="14"/>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综上所述，项目区在施工期所产生的设备噪声严格按照上述措施进行控制，施工期噪声对周围环境影响较小。</w:t>
      </w:r>
    </w:p>
    <w:p w14:paraId="0F4E3DE7">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lang w:val="en-US"/>
        </w:rPr>
      </w:pPr>
      <w:bookmarkStart w:id="257" w:name="_Toc466470032"/>
      <w:bookmarkEnd w:id="257"/>
      <w:bookmarkStart w:id="258" w:name="_Toc33625925"/>
      <w:bookmarkStart w:id="259" w:name="_Toc17118"/>
      <w:r>
        <w:rPr>
          <w:rStyle w:val="35"/>
          <w:rFonts w:hint="default" w:ascii="Times New Roman" w:hAnsi="Times New Roman" w:eastAsia="宋体" w:cs="Times New Roman"/>
          <w:color w:val="auto"/>
          <w:sz w:val="24"/>
          <w:szCs w:val="24"/>
          <w:highlight w:val="none"/>
          <w:lang w:val="en-US"/>
        </w:rPr>
        <w:t>5.</w:t>
      </w:r>
      <w:r>
        <w:rPr>
          <w:rStyle w:val="35"/>
          <w:rFonts w:hint="default" w:ascii="Times New Roman" w:hAnsi="Times New Roman" w:eastAsia="宋体" w:cs="Times New Roman"/>
          <w:color w:val="auto"/>
          <w:sz w:val="24"/>
          <w:szCs w:val="24"/>
          <w:highlight w:val="none"/>
          <w:lang w:val="en-US" w:eastAsia="zh-CN"/>
        </w:rPr>
        <w:t>1.</w:t>
      </w:r>
      <w:r>
        <w:rPr>
          <w:rStyle w:val="35"/>
          <w:rFonts w:hint="default" w:ascii="Times New Roman" w:hAnsi="Times New Roman" w:eastAsia="宋体" w:cs="Times New Roman"/>
          <w:color w:val="auto"/>
          <w:sz w:val="24"/>
          <w:szCs w:val="24"/>
          <w:highlight w:val="none"/>
          <w:lang w:val="en-US"/>
        </w:rPr>
        <w:t>4 施工期固体废弃物影响分析</w:t>
      </w:r>
      <w:bookmarkEnd w:id="258"/>
      <w:bookmarkEnd w:id="259"/>
    </w:p>
    <w:p w14:paraId="27A09E9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项目施工期固体废物主要为施工场地土石方、建筑垃圾、施工人员生活垃圾以及旱厕粪便。</w:t>
      </w:r>
    </w:p>
    <w:p w14:paraId="5916576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（1）土石方</w:t>
      </w:r>
    </w:p>
    <w:p w14:paraId="0964064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根据工程分析可知，本项目土石方</w:t>
      </w:r>
      <w:r>
        <w:rPr>
          <w:rFonts w:hint="default" w:ascii="Times New Roman" w:hAnsi="Times New Roman" w:cs="Times New Roman"/>
          <w:color w:val="auto"/>
          <w:sz w:val="24"/>
          <w:lang w:val="en-US" w:eastAsia="zh-CN"/>
        </w:rPr>
        <w:t>产生</w:t>
      </w:r>
      <w:r>
        <w:rPr>
          <w:rFonts w:hint="default" w:ascii="Times New Roman" w:hAnsi="Times New Roman" w:cs="Times New Roman"/>
          <w:color w:val="auto"/>
          <w:sz w:val="24"/>
        </w:rPr>
        <w:t>量为</w:t>
      </w:r>
      <w:r>
        <w:rPr>
          <w:rFonts w:hint="default" w:ascii="Times New Roman" w:hAnsi="Times New Roman" w:cs="Times New Roman"/>
          <w:color w:val="auto"/>
          <w:sz w:val="24"/>
          <w:lang w:val="en-US" w:eastAsia="zh-CN"/>
        </w:rPr>
        <w:t>0.8</w:t>
      </w:r>
      <w:r>
        <w:rPr>
          <w:rFonts w:hint="default" w:ascii="Times New Roman" w:hAnsi="Times New Roman" w:cs="Times New Roman"/>
          <w:color w:val="auto"/>
          <w:sz w:val="24"/>
        </w:rPr>
        <w:t>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，项目土石方产生量较少，在养殖场西侧设置一个临时堆土场，</w:t>
      </w:r>
      <w:r>
        <w:rPr>
          <w:rFonts w:hint="default" w:ascii="Times New Roman" w:hAnsi="Times New Roman" w:cs="Times New Roman"/>
          <w:color w:val="auto"/>
          <w:sz w:val="24"/>
          <w:lang w:val="en-US" w:eastAsia="zh-CN"/>
        </w:rPr>
        <w:t>场地回填后</w:t>
      </w:r>
      <w:r>
        <w:rPr>
          <w:rFonts w:hint="default" w:ascii="Times New Roman" w:hAnsi="Times New Roman" w:cs="Times New Roman"/>
          <w:color w:val="auto"/>
          <w:sz w:val="24"/>
        </w:rPr>
        <w:t>剩余表土在堆场内临时堆放，用作项目的后期绿化覆土，最终可以做到土石方内部平衡，</w:t>
      </w:r>
      <w:r>
        <w:rPr>
          <w:rFonts w:hint="eastAsia" w:ascii="Times New Roman" w:hAnsi="Times New Roman" w:cs="Times New Roman"/>
          <w:color w:val="auto"/>
          <w:sz w:val="24"/>
          <w:lang w:eastAsia="zh-CN"/>
        </w:rPr>
        <w:t>无须设置</w:t>
      </w:r>
      <w:r>
        <w:rPr>
          <w:rFonts w:hint="default" w:ascii="Times New Roman" w:hAnsi="Times New Roman" w:cs="Times New Roman"/>
          <w:color w:val="auto"/>
          <w:sz w:val="24"/>
        </w:rPr>
        <w:t>弃土场，土石方对周围环境影响较小。</w:t>
      </w:r>
    </w:p>
    <w:p w14:paraId="73B1C52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（2）建筑垃圾</w:t>
      </w:r>
    </w:p>
    <w:p w14:paraId="4C34C5C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根据工程分析可知，建筑垃圾产生量</w:t>
      </w:r>
      <w:r>
        <w:rPr>
          <w:rFonts w:hint="default" w:ascii="Times New Roman" w:hAnsi="Times New Roman" w:cs="Times New Roman"/>
          <w:color w:val="auto"/>
          <w:sz w:val="24"/>
          <w:lang w:val="en-US" w:eastAsia="zh-CN"/>
        </w:rPr>
        <w:t>100t</w:t>
      </w:r>
      <w:r>
        <w:rPr>
          <w:rFonts w:hint="default" w:ascii="Times New Roman" w:hAnsi="Times New Roman" w:cs="Times New Roman"/>
          <w:color w:val="auto"/>
          <w:sz w:val="24"/>
        </w:rPr>
        <w:t>。项目通过分类集中收集后，可回收利用部分的材料回收处理，不能回收利用的部分，由施工单位运至当地住建部门指定地点堆放，禁止与生活垃圾混合处置，禁止随意丢弃，处置率达到100%，对周围环境影响较小。</w:t>
      </w:r>
    </w:p>
    <w:p w14:paraId="33667EE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（3）施工人员生活垃圾</w:t>
      </w:r>
    </w:p>
    <w:p w14:paraId="1008F3C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根据工程分析可知，施工人员生活垃圾产生量约为</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kg/d，共为</w:t>
      </w:r>
      <w:r>
        <w:rPr>
          <w:rFonts w:hint="default" w:ascii="Times New Roman" w:hAnsi="Times New Roman" w:cs="Times New Roman"/>
          <w:color w:val="auto"/>
          <w:sz w:val="24"/>
          <w:lang w:val="en-US" w:eastAsia="zh-CN"/>
        </w:rPr>
        <w:t>1.8</w:t>
      </w:r>
      <w:r>
        <w:rPr>
          <w:rFonts w:hint="default" w:ascii="Times New Roman" w:hAnsi="Times New Roman" w:cs="Times New Roman"/>
          <w:color w:val="auto"/>
          <w:sz w:val="24"/>
        </w:rPr>
        <w:t>t。施工人员的生活垃圾应定点存放、及时收集，由施工单位定期清运至周边村庄的垃圾收集点，对周围环境影响较小。</w:t>
      </w:r>
    </w:p>
    <w:p w14:paraId="5FF644F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（4）旱厕粪便</w:t>
      </w:r>
    </w:p>
    <w:p w14:paraId="6D44749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根据工程分析可知，旱厕粪便产生量约为</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kg/d，共为</w:t>
      </w:r>
      <w:r>
        <w:rPr>
          <w:rFonts w:hint="default" w:ascii="Times New Roman" w:hAnsi="Times New Roman" w:cs="Times New Roman"/>
          <w:color w:val="auto"/>
          <w:sz w:val="24"/>
          <w:lang w:val="en-US" w:eastAsia="zh-CN"/>
        </w:rPr>
        <w:t>0.9</w:t>
      </w:r>
      <w:r>
        <w:rPr>
          <w:rFonts w:hint="default" w:ascii="Times New Roman" w:hAnsi="Times New Roman" w:cs="Times New Roman"/>
          <w:color w:val="auto"/>
          <w:sz w:val="24"/>
        </w:rPr>
        <w:t>t，旱厕粪便委托周边农民清掏</w:t>
      </w:r>
      <w:r>
        <w:rPr>
          <w:rFonts w:hint="eastAsia" w:ascii="Times New Roman" w:hAnsi="Times New Roman" w:cs="Times New Roman"/>
          <w:color w:val="auto"/>
          <w:sz w:val="24"/>
          <w:lang w:eastAsia="zh-CN"/>
        </w:rPr>
        <w:t>用作</w:t>
      </w:r>
      <w:r>
        <w:rPr>
          <w:rFonts w:hint="default" w:ascii="Times New Roman" w:hAnsi="Times New Roman" w:cs="Times New Roman"/>
          <w:color w:val="auto"/>
          <w:sz w:val="24"/>
        </w:rPr>
        <w:t>农家肥，对环境影响较小。</w:t>
      </w:r>
    </w:p>
    <w:p w14:paraId="0AE4510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综上所述，本项目施工过程中固废可得到合理处置，处置率100%，对周围环境的影响较小。</w:t>
      </w:r>
    </w:p>
    <w:p w14:paraId="29BF2121">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lang w:val="en-US"/>
        </w:rPr>
      </w:pPr>
      <w:bookmarkStart w:id="260" w:name="_Toc33625926"/>
      <w:bookmarkStart w:id="261" w:name="_Toc11054"/>
      <w:r>
        <w:rPr>
          <w:rStyle w:val="35"/>
          <w:rFonts w:hint="default" w:ascii="Times New Roman" w:hAnsi="Times New Roman" w:eastAsia="宋体" w:cs="Times New Roman"/>
          <w:color w:val="auto"/>
          <w:sz w:val="24"/>
          <w:szCs w:val="24"/>
          <w:highlight w:val="none"/>
          <w:lang w:val="en-US"/>
        </w:rPr>
        <w:t>5.</w:t>
      </w:r>
      <w:r>
        <w:rPr>
          <w:rStyle w:val="35"/>
          <w:rFonts w:hint="default" w:ascii="Times New Roman" w:hAnsi="Times New Roman" w:eastAsia="宋体" w:cs="Times New Roman"/>
          <w:color w:val="auto"/>
          <w:sz w:val="24"/>
          <w:szCs w:val="24"/>
          <w:highlight w:val="none"/>
          <w:lang w:val="en-US" w:eastAsia="zh-CN"/>
        </w:rPr>
        <w:t>1.</w:t>
      </w:r>
      <w:r>
        <w:rPr>
          <w:rStyle w:val="35"/>
          <w:rFonts w:hint="default" w:ascii="Times New Roman" w:hAnsi="Times New Roman" w:eastAsia="宋体" w:cs="Times New Roman"/>
          <w:color w:val="auto"/>
          <w:sz w:val="24"/>
          <w:szCs w:val="24"/>
          <w:highlight w:val="none"/>
          <w:lang w:val="en-US"/>
        </w:rPr>
        <w:t>5 施工期生态环境影响分析</w:t>
      </w:r>
      <w:bookmarkEnd w:id="260"/>
      <w:bookmarkEnd w:id="261"/>
    </w:p>
    <w:p w14:paraId="504A582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项目对生态环境的影响主要发生在施工期，主要分为对土地利用的影响、对植被和动植物的影响，以及对水土流失、景观的影响。</w:t>
      </w:r>
    </w:p>
    <w:p w14:paraId="22497D9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（1）对土地利用的影响</w:t>
      </w:r>
    </w:p>
    <w:p w14:paraId="6D6E75D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项目占地面积约为</w:t>
      </w:r>
      <w:r>
        <w:rPr>
          <w:rFonts w:hint="default" w:ascii="Times New Roman" w:hAnsi="Times New Roman" w:cs="Times New Roman"/>
          <w:bCs/>
          <w:color w:val="auto"/>
          <w:sz w:val="24"/>
          <w:highlight w:val="none"/>
          <w:lang w:val="en-US" w:eastAsia="zh-CN"/>
        </w:rPr>
        <w:t>58665.09</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color w:val="auto"/>
          <w:sz w:val="24"/>
        </w:rPr>
        <w:t>（约</w:t>
      </w:r>
      <w:r>
        <w:rPr>
          <w:rFonts w:hint="default" w:ascii="Times New Roman" w:hAnsi="Times New Roman" w:cs="Times New Roman"/>
          <w:color w:val="auto"/>
          <w:sz w:val="24"/>
          <w:lang w:val="en-US" w:eastAsia="zh-CN"/>
        </w:rPr>
        <w:t>88.08</w:t>
      </w:r>
      <w:r>
        <w:rPr>
          <w:rFonts w:hint="default" w:ascii="Times New Roman" w:hAnsi="Times New Roman" w:cs="Times New Roman"/>
          <w:color w:val="auto"/>
          <w:sz w:val="24"/>
        </w:rPr>
        <w:t>亩），用地类型为设施农用地，项目建设对土地资源影响较小，不会改变当地土地利用格局，通过采取一系列的生态保护措施，可将影响降至最低。</w:t>
      </w:r>
    </w:p>
    <w:p w14:paraId="7D4F65D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（2）对植被类型及动植物种类的影响</w:t>
      </w:r>
    </w:p>
    <w:p w14:paraId="294B0AB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项目在施工期，对地面进行开挖和填筑，不可避免对施工范围内的植被和植物种类造成破坏。项目所在区域主要分布的植被类型多为稀树灌木草丛及少量的人工植被，植物种类主要有云南松、</w:t>
      </w:r>
      <w:r>
        <w:rPr>
          <w:rFonts w:hint="default" w:ascii="Times New Roman" w:hAnsi="Times New Roman" w:cs="Times New Roman"/>
          <w:snapToGrid w:val="0"/>
          <w:color w:val="auto"/>
          <w:kern w:val="0"/>
          <w:sz w:val="24"/>
        </w:rPr>
        <w:t>桉树</w:t>
      </w:r>
      <w:r>
        <w:rPr>
          <w:rFonts w:hint="default" w:ascii="Times New Roman" w:hAnsi="Times New Roman" w:cs="Times New Roman"/>
          <w:color w:val="auto"/>
          <w:sz w:val="24"/>
        </w:rPr>
        <w:t>、滇杨、滇石栎、马樱花、细柄草、黄茅、硬秆子草、棕叶狗尾草、鬼针草及玉米等。项目的建设在一定程度上造成了评价区内某些植物物种数量的减少，但不会造成任何一种植物物种的消失，也不会影响该地区的生物多样性。</w:t>
      </w:r>
    </w:p>
    <w:p w14:paraId="781A596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此外，根据现场调查，项目区内没有大型的野生动物分布，仅分布少量的小型动物和鸟类等种类，主要动物为山麻雀、大山雀、蟾蜍、泽蛙、丛林小鼠、小家鼠、菜花蛇、壁虎等为主。项目在施工过程中，将铲除项目区内的植被，对区域内的动物数量有一定的影响，但动物有趋利避害的本能，小型动物会自动迁移至周边的灌草林中。因此，项目施工建设对动植物的影响在可接受的范围内。</w:t>
      </w:r>
    </w:p>
    <w:p w14:paraId="32AE77A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（3）水土流失的影响</w:t>
      </w:r>
    </w:p>
    <w:p w14:paraId="13E3F08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建设过程中的水土流失主要发生于施工期。项目在施工期必将形成新的开挖面，由于土体结构的扰动，会在一定程度上破坏了原来的地貌和地表植被，使土壤的抗蚀能力减弱，在施工期，项目施工区域的水土流失会有不同程度的增加。</w:t>
      </w:r>
    </w:p>
    <w:p w14:paraId="4CDA813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因此，项目在施工过程中应严格按照水土保持方案，落实好工程拦挡措施、截水沟、绿化等相关水土保持措施，保证项目施工期产生的水土流失能够得到控制，减少对外环境的影响。</w:t>
      </w:r>
    </w:p>
    <w:p w14:paraId="4FA9D52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（4）对景观的影响</w:t>
      </w:r>
    </w:p>
    <w:p w14:paraId="208C8D7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期，由于开挖土石方、土地平整和清理场地等活动，造成大面积的裸露地表，加之施工期的建筑施工，这些都在一定程度上影响区域景观的和谐，在一定时段和在一定范围内造成项目区内景观美感的丧失。随着项目的建成，项目区内绿化面积的实施，这种影响将得到一定程度的缓解。</w:t>
      </w:r>
    </w:p>
    <w:p w14:paraId="1DB9BBC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综上所述，项目实施后，除施工期对景观的破坏外，对小范围的自然景观也造成了一定程度的破坏，但对于较大范围的生态景观来说，影响较小。</w:t>
      </w:r>
    </w:p>
    <w:p w14:paraId="683AAE04">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lang w:val="en-US"/>
        </w:rPr>
      </w:pPr>
      <w:bookmarkStart w:id="262" w:name="_Toc466470033"/>
      <w:bookmarkEnd w:id="262"/>
      <w:bookmarkStart w:id="263" w:name="_Toc22357"/>
      <w:bookmarkStart w:id="264" w:name="_Toc33625927"/>
      <w:r>
        <w:rPr>
          <w:rStyle w:val="35"/>
          <w:rFonts w:hint="default" w:ascii="Times New Roman" w:hAnsi="Times New Roman" w:eastAsia="宋体" w:cs="Times New Roman"/>
          <w:color w:val="auto"/>
          <w:sz w:val="24"/>
          <w:szCs w:val="24"/>
          <w:highlight w:val="none"/>
          <w:lang w:val="en-US"/>
        </w:rPr>
        <w:t>5.</w:t>
      </w:r>
      <w:r>
        <w:rPr>
          <w:rStyle w:val="35"/>
          <w:rFonts w:hint="default" w:ascii="Times New Roman" w:hAnsi="Times New Roman" w:eastAsia="宋体" w:cs="Times New Roman"/>
          <w:color w:val="auto"/>
          <w:sz w:val="24"/>
          <w:szCs w:val="24"/>
          <w:highlight w:val="none"/>
          <w:lang w:val="en-US" w:eastAsia="zh-CN"/>
        </w:rPr>
        <w:t>1.</w:t>
      </w:r>
      <w:r>
        <w:rPr>
          <w:rStyle w:val="35"/>
          <w:rFonts w:hint="default" w:ascii="Times New Roman" w:hAnsi="Times New Roman" w:eastAsia="宋体" w:cs="Times New Roman"/>
          <w:color w:val="auto"/>
          <w:sz w:val="24"/>
          <w:szCs w:val="24"/>
          <w:highlight w:val="none"/>
          <w:lang w:val="en-US"/>
        </w:rPr>
        <w:t xml:space="preserve">6 </w:t>
      </w:r>
      <w:bookmarkStart w:id="265" w:name="_Toc466470034"/>
      <w:bookmarkEnd w:id="265"/>
      <w:r>
        <w:rPr>
          <w:rStyle w:val="35"/>
          <w:rFonts w:hint="default" w:ascii="Times New Roman" w:hAnsi="Times New Roman" w:eastAsia="宋体" w:cs="Times New Roman"/>
          <w:color w:val="auto"/>
          <w:sz w:val="24"/>
          <w:szCs w:val="24"/>
          <w:highlight w:val="none"/>
          <w:lang w:val="en-US"/>
        </w:rPr>
        <w:t>施工期环境影响小结</w:t>
      </w:r>
      <w:bookmarkEnd w:id="263"/>
      <w:bookmarkEnd w:id="264"/>
    </w:p>
    <w:p w14:paraId="055F8977">
      <w:pPr>
        <w:spacing w:line="360" w:lineRule="auto"/>
        <w:ind w:left="-2" w:leftChars="-1" w:firstLine="537" w:firstLineChars="224"/>
        <w:rPr>
          <w:rFonts w:hint="default" w:ascii="Times New Roman" w:hAnsi="Times New Roman" w:cs="Times New Roman"/>
          <w:color w:val="auto"/>
          <w:sz w:val="24"/>
        </w:rPr>
      </w:pPr>
      <w:r>
        <w:rPr>
          <w:rFonts w:hint="default" w:ascii="Times New Roman" w:hAnsi="Times New Roman" w:cs="Times New Roman"/>
          <w:color w:val="auto"/>
          <w:sz w:val="24"/>
        </w:rPr>
        <w:t>项目施工期产生的扬尘及施工机械废气通过采取防治措施后对周围空气环境的总体影响范围小、影响程度可以接受，且这种影响在施工期结束后即随之消失。项目施工废水及生活污水可通过设置临时沉淀池进行沉淀处理后回用于洒水降尘，不外排，对周围地表水环境的影响不大。施工噪声排放能满足《建筑施工场界环境噪声排放标准》（GB12523-2011）的标准要求，且村庄与本项目的距离较远，评价范围内无声环境保护目标，施工噪声对周围环境的影响较小。项目土石方内部平衡，</w:t>
      </w:r>
      <w:r>
        <w:rPr>
          <w:rFonts w:hint="eastAsia" w:ascii="Times New Roman" w:hAnsi="Times New Roman" w:cs="Times New Roman"/>
          <w:color w:val="auto"/>
          <w:sz w:val="24"/>
          <w:lang w:eastAsia="zh-CN"/>
        </w:rPr>
        <w:t>无须设置</w:t>
      </w:r>
      <w:r>
        <w:rPr>
          <w:rFonts w:hint="default" w:ascii="Times New Roman" w:hAnsi="Times New Roman" w:cs="Times New Roman"/>
          <w:color w:val="auto"/>
          <w:sz w:val="24"/>
        </w:rPr>
        <w:t>弃土场；建筑垃圾的产生量较小，通过分类集中收集后，可回收利用部分的材料回收处理，不能回收利用的部分，由施工单位运至城市建设管理部门指定的堆放点处置，禁止与生活垃圾混合处置，禁止随意丢弃；生活垃圾收集后由施工单位定期清运至周边村庄的垃圾收集点；旱厕粪便委托周边农户清掏后</w:t>
      </w:r>
      <w:r>
        <w:rPr>
          <w:rFonts w:hint="eastAsia" w:ascii="Times New Roman" w:hAnsi="Times New Roman" w:cs="Times New Roman"/>
          <w:color w:val="auto"/>
          <w:sz w:val="24"/>
          <w:lang w:eastAsia="zh-CN"/>
        </w:rPr>
        <w:t>用作</w:t>
      </w:r>
      <w:r>
        <w:rPr>
          <w:rFonts w:hint="default" w:ascii="Times New Roman" w:hAnsi="Times New Roman" w:cs="Times New Roman"/>
          <w:color w:val="auto"/>
          <w:sz w:val="24"/>
        </w:rPr>
        <w:t>农家肥，施工期固废处置率为100%，对周围环境影响较小。</w:t>
      </w:r>
    </w:p>
    <w:p w14:paraId="4BCF37D7">
      <w:pPr>
        <w:spacing w:line="360" w:lineRule="auto"/>
        <w:ind w:left="-2" w:leftChars="-1" w:firstLine="537" w:firstLineChars="224"/>
        <w:rPr>
          <w:rFonts w:hint="default" w:ascii="Times New Roman" w:hAnsi="Times New Roman" w:cs="Times New Roman"/>
          <w:color w:val="auto"/>
          <w:szCs w:val="21"/>
        </w:rPr>
      </w:pPr>
      <w:r>
        <w:rPr>
          <w:rFonts w:hint="default" w:ascii="Times New Roman" w:hAnsi="Times New Roman" w:cs="Times New Roman"/>
          <w:color w:val="auto"/>
          <w:sz w:val="24"/>
        </w:rPr>
        <w:t>总之，施工期对环境有一定的影响，通过采取适当的防治措施以减少施工对环境的影响。但项目工程量小，施工期对环境的影响是短暂的，施工期结束后，其影响也随之结束。</w:t>
      </w:r>
    </w:p>
    <w:p w14:paraId="38F73360">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Style w:val="34"/>
          <w:rFonts w:hint="default" w:ascii="Times New Roman" w:hAnsi="Times New Roman" w:cs="Times New Roman"/>
          <w:b w:val="0"/>
          <w:bCs w:val="0"/>
          <w:color w:val="auto"/>
          <w:sz w:val="24"/>
          <w:highlight w:val="none"/>
        </w:rPr>
      </w:pPr>
      <w:bookmarkStart w:id="266" w:name="_Toc14957"/>
      <w:bookmarkStart w:id="267" w:name="_Toc30987"/>
      <w:bookmarkStart w:id="268" w:name="_Toc9479"/>
      <w:bookmarkStart w:id="269" w:name="_Toc12980"/>
      <w:r>
        <w:rPr>
          <w:rStyle w:val="34"/>
          <w:rFonts w:hint="default" w:ascii="Times New Roman" w:hAnsi="Times New Roman" w:cs="Times New Roman"/>
          <w:b w:val="0"/>
          <w:bCs w:val="0"/>
          <w:color w:val="auto"/>
          <w:sz w:val="24"/>
          <w:highlight w:val="none"/>
        </w:rPr>
        <w:t>5.2运营期</w:t>
      </w:r>
      <w:bookmarkEnd w:id="266"/>
      <w:r>
        <w:rPr>
          <w:rStyle w:val="34"/>
          <w:rFonts w:hint="eastAsia" w:ascii="Times New Roman" w:hAnsi="Times New Roman" w:cs="Times New Roman"/>
          <w:b w:val="0"/>
          <w:bCs w:val="0"/>
          <w:color w:val="auto"/>
          <w:sz w:val="24"/>
          <w:highlight w:val="none"/>
          <w:lang w:val="en-US"/>
        </w:rPr>
        <w:t>环</w:t>
      </w:r>
      <w:r>
        <w:rPr>
          <w:rStyle w:val="34"/>
          <w:rFonts w:hint="default" w:ascii="Times New Roman" w:hAnsi="Times New Roman" w:cs="Times New Roman"/>
          <w:b w:val="0"/>
          <w:bCs w:val="0"/>
          <w:color w:val="auto"/>
          <w:sz w:val="24"/>
          <w:highlight w:val="none"/>
        </w:rPr>
        <w:t>境影响预测与评价</w:t>
      </w:r>
      <w:bookmarkEnd w:id="267"/>
      <w:bookmarkEnd w:id="268"/>
      <w:bookmarkEnd w:id="269"/>
    </w:p>
    <w:p w14:paraId="49630733">
      <w:pPr>
        <w:pStyle w:val="4"/>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Times New Roman" w:hAnsi="Times New Roman" w:cs="Times New Roman"/>
          <w:color w:val="auto"/>
        </w:rPr>
      </w:pPr>
      <w:bookmarkStart w:id="270" w:name="_Toc24853"/>
      <w:r>
        <w:rPr>
          <w:rFonts w:hint="default" w:ascii="Times New Roman" w:hAnsi="Times New Roman" w:cs="Times New Roman"/>
          <w:color w:val="auto"/>
        </w:rPr>
        <w:t>5.2.1大气环境影响预测与评价</w:t>
      </w:r>
      <w:bookmarkEnd w:id="270"/>
    </w:p>
    <w:p w14:paraId="36191B2D">
      <w:pPr>
        <w:pStyle w:val="5"/>
        <w:keepNext/>
        <w:keepLines/>
        <w:pageBreakBefore w:val="0"/>
        <w:widowControl w:val="0"/>
        <w:numPr>
          <w:ilvl w:val="3"/>
          <w:numId w:val="0"/>
        </w:numPr>
        <w:kinsoku/>
        <w:wordWrap/>
        <w:overflowPunct/>
        <w:topLinePunct w:val="0"/>
        <w:autoSpaceDE/>
        <w:autoSpaceDN/>
        <w:bidi w:val="0"/>
        <w:adjustRightInd/>
        <w:snapToGrid/>
        <w:spacing w:before="0" w:after="0" w:line="377" w:lineRule="auto"/>
        <w:ind w:left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5.2.1.1主要污染源估算模型计算结果</w:t>
      </w:r>
    </w:p>
    <w:p w14:paraId="0661EBA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项目运营期废气主要为</w:t>
      </w:r>
      <w:r>
        <w:rPr>
          <w:rFonts w:hint="default" w:ascii="Times New Roman" w:hAnsi="Times New Roman" w:cs="Times New Roman"/>
          <w:bCs/>
          <w:color w:val="auto"/>
          <w:sz w:val="24"/>
          <w:highlight w:val="none"/>
        </w:rPr>
        <w:t>猪舍恶臭、</w:t>
      </w:r>
      <w:r>
        <w:rPr>
          <w:rFonts w:hint="default" w:ascii="Times New Roman" w:hAnsi="Times New Roman" w:cs="Times New Roman"/>
          <w:bCs/>
          <w:color w:val="auto"/>
          <w:sz w:val="24"/>
          <w:highlight w:val="none"/>
          <w:lang w:val="en-US" w:eastAsia="zh-CN"/>
        </w:rPr>
        <w:t>废水收集池</w:t>
      </w:r>
      <w:r>
        <w:rPr>
          <w:rFonts w:hint="default" w:ascii="Times New Roman" w:hAnsi="Times New Roman" w:cs="Times New Roman"/>
          <w:bCs/>
          <w:color w:val="auto"/>
          <w:sz w:val="24"/>
          <w:highlight w:val="none"/>
        </w:rPr>
        <w:t>恶臭、堆肥</w:t>
      </w:r>
      <w:r>
        <w:rPr>
          <w:rFonts w:hint="default" w:ascii="Times New Roman" w:hAnsi="Times New Roman" w:cs="Times New Roman"/>
          <w:bCs/>
          <w:color w:val="auto"/>
          <w:sz w:val="24"/>
          <w:highlight w:val="none"/>
          <w:lang w:val="en-US" w:eastAsia="zh-CN"/>
        </w:rPr>
        <w:t>棚</w:t>
      </w:r>
      <w:r>
        <w:rPr>
          <w:rFonts w:hint="default" w:ascii="Times New Roman" w:hAnsi="Times New Roman" w:cs="Times New Roman"/>
          <w:bCs/>
          <w:color w:val="auto"/>
          <w:sz w:val="24"/>
          <w:highlight w:val="none"/>
        </w:rPr>
        <w:t>恶臭及</w:t>
      </w:r>
      <w:r>
        <w:rPr>
          <w:rFonts w:hint="default" w:ascii="Times New Roman" w:hAnsi="Times New Roman" w:cs="Times New Roman"/>
          <w:bCs/>
          <w:color w:val="auto"/>
          <w:sz w:val="24"/>
          <w:highlight w:val="none"/>
          <w:lang w:val="en-US" w:eastAsia="zh-CN"/>
        </w:rPr>
        <w:t>烘干棚天然气燃烧废气</w:t>
      </w:r>
      <w:r>
        <w:rPr>
          <w:rFonts w:hint="default" w:ascii="Times New Roman" w:hAnsi="Times New Roman" w:cs="Times New Roman"/>
          <w:bCs/>
          <w:color w:val="auto"/>
          <w:sz w:val="24"/>
          <w:highlight w:val="none"/>
        </w:rPr>
        <w:t>。</w:t>
      </w:r>
    </w:p>
    <w:p w14:paraId="32BC652F">
      <w:pPr>
        <w:bidi w:val="0"/>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估算模式</w:t>
      </w:r>
    </w:p>
    <w:p w14:paraId="0E87FA35">
      <w:pPr>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依据《环境影响评价技术导则 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14:paraId="7A28293E">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2.估算因子</w:t>
      </w:r>
    </w:p>
    <w:p w14:paraId="234B23A2">
      <w:pPr>
        <w:spacing w:line="360" w:lineRule="auto"/>
        <w:ind w:firstLine="480" w:firstLineChars="200"/>
        <w:rPr>
          <w:rFonts w:hint="default" w:ascii="Times New Roman" w:hAnsi="Times New Roman" w:eastAsia="宋体" w:cs="Times New Roman"/>
          <w:color w:val="auto"/>
          <w:sz w:val="24"/>
          <w:szCs w:val="24"/>
        </w:rPr>
      </w:pPr>
      <w:bookmarkStart w:id="271" w:name="_Toc64726999"/>
      <w:bookmarkStart w:id="272" w:name="_Toc66009278"/>
      <w:bookmarkStart w:id="273" w:name="_Toc66352695"/>
      <w:bookmarkStart w:id="274" w:name="_Toc65510218"/>
      <w:bookmarkStart w:id="275" w:name="_Toc66620953"/>
      <w:bookmarkStart w:id="276" w:name="_Toc64802045"/>
      <w:bookmarkStart w:id="277" w:name="_Toc64801376"/>
      <w:bookmarkStart w:id="278" w:name="_Toc6288"/>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猪舍、堆粪棚、</w:t>
      </w:r>
      <w:r>
        <w:rPr>
          <w:rFonts w:hint="default" w:ascii="Times New Roman" w:hAnsi="Times New Roman" w:eastAsia="宋体" w:cs="Times New Roman"/>
          <w:iCs/>
          <w:color w:val="auto"/>
          <w:sz w:val="24"/>
          <w:szCs w:val="24"/>
          <w:lang w:val="en-US" w:eastAsia="zh-CN"/>
        </w:rPr>
        <w:t>废水收集池</w:t>
      </w:r>
      <w:r>
        <w:rPr>
          <w:rFonts w:hint="default" w:ascii="Times New Roman" w:hAnsi="Times New Roman" w:eastAsia="宋体" w:cs="Times New Roman"/>
          <w:color w:val="auto"/>
          <w:sz w:val="24"/>
          <w:szCs w:val="24"/>
          <w:lang w:val="en-US" w:eastAsia="zh-CN"/>
        </w:rPr>
        <w:t>恶臭气体（无组织）：</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w:t>
      </w:r>
    </w:p>
    <w:p w14:paraId="08EADB18">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烘干棚天然气燃烧器废气（无组织）：SO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vertAlign w:val="baseline"/>
          <w:lang w:val="en-US" w:eastAsia="zh-CN"/>
        </w:rPr>
        <w:t>、TSP</w:t>
      </w:r>
      <w:r>
        <w:rPr>
          <w:rFonts w:hint="default" w:ascii="Times New Roman" w:hAnsi="Times New Roman" w:eastAsia="宋体" w:cs="Times New Roman"/>
          <w:color w:val="auto"/>
          <w:sz w:val="24"/>
          <w:szCs w:val="24"/>
          <w:lang w:val="en-US" w:eastAsia="zh-CN"/>
        </w:rPr>
        <w:t>；</w:t>
      </w:r>
    </w:p>
    <w:p w14:paraId="493F5384">
      <w:pPr>
        <w:spacing w:line="360" w:lineRule="auto"/>
        <w:ind w:firstLine="720" w:firstLineChars="3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本次估算NO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源强取NO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源强的90%。</w:t>
      </w:r>
    </w:p>
    <w:bookmarkEnd w:id="271"/>
    <w:bookmarkEnd w:id="272"/>
    <w:bookmarkEnd w:id="273"/>
    <w:bookmarkEnd w:id="274"/>
    <w:bookmarkEnd w:id="275"/>
    <w:bookmarkEnd w:id="276"/>
    <w:bookmarkEnd w:id="277"/>
    <w:bookmarkEnd w:id="278"/>
    <w:p w14:paraId="4D37B816">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3.估算源强</w:t>
      </w:r>
    </w:p>
    <w:p w14:paraId="75033D91">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Cs/>
          <w:color w:val="auto"/>
          <w:sz w:val="24"/>
          <w:szCs w:val="24"/>
        </w:rPr>
        <w:t>项目猪舍、</w:t>
      </w:r>
      <w:r>
        <w:rPr>
          <w:rFonts w:hint="default" w:ascii="Times New Roman" w:hAnsi="Times New Roman" w:eastAsia="宋体" w:cs="Times New Roman"/>
          <w:iCs/>
          <w:color w:val="auto"/>
          <w:sz w:val="24"/>
          <w:szCs w:val="24"/>
          <w:lang w:val="en-US" w:eastAsia="zh-CN"/>
        </w:rPr>
        <w:t>废水收集池</w:t>
      </w:r>
      <w:r>
        <w:rPr>
          <w:rFonts w:hint="default" w:ascii="Times New Roman" w:hAnsi="Times New Roman" w:eastAsia="宋体" w:cs="Times New Roman"/>
          <w:iCs/>
          <w:color w:val="auto"/>
          <w:sz w:val="24"/>
          <w:szCs w:val="24"/>
        </w:rPr>
        <w:t>、堆粪棚</w:t>
      </w:r>
      <w:r>
        <w:rPr>
          <w:rFonts w:hint="default" w:ascii="Times New Roman" w:hAnsi="Times New Roman" w:eastAsia="宋体" w:cs="Times New Roman"/>
          <w:iCs/>
          <w:color w:val="auto"/>
          <w:sz w:val="24"/>
          <w:szCs w:val="24"/>
          <w:lang w:val="en-US" w:eastAsia="zh-CN"/>
        </w:rPr>
        <w:t>池</w:t>
      </w:r>
      <w:r>
        <w:rPr>
          <w:rFonts w:hint="default" w:ascii="Times New Roman" w:hAnsi="Times New Roman" w:eastAsia="宋体" w:cs="Times New Roman"/>
          <w:iCs/>
          <w:color w:val="auto"/>
          <w:sz w:val="24"/>
          <w:szCs w:val="24"/>
        </w:rPr>
        <w:t>等区域均相邻布设，故本次环评将其作为一个面源进行预测，</w:t>
      </w:r>
      <w:r>
        <w:rPr>
          <w:rFonts w:hint="default" w:ascii="Times New Roman" w:hAnsi="Times New Roman" w:eastAsia="宋体" w:cs="Times New Roman"/>
          <w:iCs/>
          <w:color w:val="auto"/>
          <w:sz w:val="24"/>
          <w:szCs w:val="24"/>
          <w:lang w:val="en-US" w:eastAsia="zh-CN"/>
        </w:rPr>
        <w:t>烘干棚</w:t>
      </w:r>
      <w:r>
        <w:rPr>
          <w:rFonts w:hint="default" w:ascii="Times New Roman" w:hAnsi="Times New Roman" w:eastAsia="宋体" w:cs="Times New Roman"/>
          <w:color w:val="auto"/>
          <w:sz w:val="24"/>
          <w:szCs w:val="24"/>
          <w:lang w:val="en-US" w:eastAsia="zh-CN"/>
        </w:rPr>
        <w:t>天然气燃烧器燃烧区域</w:t>
      </w:r>
      <w:r>
        <w:rPr>
          <w:rFonts w:hint="default" w:ascii="Times New Roman" w:hAnsi="Times New Roman" w:eastAsia="宋体" w:cs="Times New Roman"/>
          <w:iCs/>
          <w:color w:val="auto"/>
          <w:sz w:val="24"/>
          <w:szCs w:val="24"/>
        </w:rPr>
        <w:t>作为一个面源进行预测</w:t>
      </w:r>
      <w:r>
        <w:rPr>
          <w:rFonts w:hint="default" w:ascii="Times New Roman" w:hAnsi="Times New Roman" w:eastAsia="宋体" w:cs="Times New Roman"/>
          <w:iCs/>
          <w:color w:val="auto"/>
          <w:sz w:val="24"/>
          <w:szCs w:val="24"/>
          <w:lang w:val="en-US" w:eastAsia="zh-CN"/>
        </w:rPr>
        <w:t>。</w:t>
      </w:r>
    </w:p>
    <w:p w14:paraId="5A3308A9">
      <w:pPr>
        <w:spacing w:line="360" w:lineRule="auto"/>
        <w:ind w:firstLine="480" w:firstLineChars="200"/>
        <w:rPr>
          <w:rFonts w:hint="default" w:ascii="Times New Roman" w:hAnsi="Times New Roman" w:cs="Times New Roman"/>
          <w:b/>
          <w:bCs/>
          <w:color w:val="auto"/>
          <w:sz w:val="21"/>
          <w:szCs w:val="21"/>
        </w:rPr>
      </w:pPr>
      <w:r>
        <w:rPr>
          <w:rFonts w:hint="default" w:ascii="Times New Roman" w:hAnsi="Times New Roman" w:eastAsia="宋体" w:cs="Times New Roman"/>
          <w:color w:val="auto"/>
          <w:sz w:val="24"/>
          <w:szCs w:val="24"/>
        </w:rPr>
        <w:t>根据《环境影响评价技术导则 大气环境》（HJ2.2-2018）及生态环境部环境工程评估中心发布的大气估算模型AERSCREEN手册，当污染源为矩形面源时不能使用复杂地形选项，本次评价将</w:t>
      </w:r>
      <w:r>
        <w:rPr>
          <w:rFonts w:hint="default" w:ascii="Times New Roman" w:hAnsi="Times New Roman" w:eastAsia="宋体" w:cs="Times New Roman"/>
          <w:color w:val="auto"/>
          <w:sz w:val="24"/>
          <w:szCs w:val="24"/>
          <w:lang w:val="en-US" w:eastAsia="zh-CN"/>
        </w:rPr>
        <w:t>无组织</w:t>
      </w:r>
      <w:r>
        <w:rPr>
          <w:rFonts w:hint="default" w:ascii="Times New Roman" w:hAnsi="Times New Roman" w:eastAsia="宋体" w:cs="Times New Roman"/>
          <w:color w:val="auto"/>
          <w:sz w:val="24"/>
          <w:szCs w:val="24"/>
        </w:rPr>
        <w:t>面源等效成圆形面源进行估算。</w:t>
      </w:r>
      <w:r>
        <w:rPr>
          <w:rFonts w:hint="default" w:ascii="Times New Roman" w:hAnsi="Times New Roman" w:eastAsia="宋体" w:cs="Times New Roman"/>
          <w:color w:val="auto"/>
          <w:sz w:val="24"/>
          <w:szCs w:val="24"/>
          <w:lang w:val="en-US" w:eastAsia="zh-CN"/>
        </w:rPr>
        <w:t>各个污染源源强详见下表：</w:t>
      </w:r>
    </w:p>
    <w:p w14:paraId="2A1202BB">
      <w:pPr>
        <w:autoSpaceDE w:val="0"/>
        <w:autoSpaceDN w:val="0"/>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default" w:ascii="Times New Roman" w:hAnsi="Times New Roman" w:cs="Times New Roman"/>
          <w:b/>
          <w:color w:val="auto"/>
          <w:highlight w:val="none"/>
          <w:lang w:val="en-US" w:eastAsia="zh-CN"/>
        </w:rPr>
        <w:t>5.2.1-1</w:t>
      </w:r>
      <w:r>
        <w:rPr>
          <w:rFonts w:hint="default" w:ascii="Times New Roman" w:hAnsi="Times New Roman" w:cs="Times New Roman"/>
          <w:b/>
          <w:color w:val="auto"/>
          <w:highlight w:val="none"/>
        </w:rPr>
        <w:t xml:space="preserve">   无组织废气污染源参数一览表（近圆形面源）</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396"/>
        <w:gridCol w:w="1260"/>
        <w:gridCol w:w="636"/>
        <w:gridCol w:w="688"/>
        <w:gridCol w:w="630"/>
        <w:gridCol w:w="688"/>
        <w:gridCol w:w="688"/>
        <w:gridCol w:w="805"/>
        <w:gridCol w:w="1208"/>
      </w:tblGrid>
      <w:tr w14:paraId="218D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96" w:type="dxa"/>
            <w:vMerge w:val="restart"/>
            <w:vAlign w:val="center"/>
          </w:tcPr>
          <w:p w14:paraId="665D508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污染源名称</w:t>
            </w:r>
          </w:p>
        </w:tc>
        <w:tc>
          <w:tcPr>
            <w:tcW w:w="2656" w:type="dxa"/>
            <w:gridSpan w:val="2"/>
            <w:vAlign w:val="center"/>
          </w:tcPr>
          <w:p w14:paraId="4D0537D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面源中心点坐标/°</w:t>
            </w:r>
          </w:p>
        </w:tc>
        <w:tc>
          <w:tcPr>
            <w:tcW w:w="636" w:type="dxa"/>
            <w:vMerge w:val="restart"/>
            <w:vAlign w:val="center"/>
          </w:tcPr>
          <w:p w14:paraId="40FB10F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面源海拔高度/m</w:t>
            </w:r>
          </w:p>
        </w:tc>
        <w:tc>
          <w:tcPr>
            <w:tcW w:w="688" w:type="dxa"/>
            <w:vMerge w:val="restart"/>
            <w:vAlign w:val="center"/>
          </w:tcPr>
          <w:p w14:paraId="176E22D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面源半径/m</w:t>
            </w:r>
          </w:p>
        </w:tc>
        <w:tc>
          <w:tcPr>
            <w:tcW w:w="630" w:type="dxa"/>
            <w:vMerge w:val="restart"/>
            <w:vAlign w:val="center"/>
          </w:tcPr>
          <w:p w14:paraId="47BE929F">
            <w:pPr>
              <w:keepNext w:val="0"/>
              <w:keepLines w:val="0"/>
              <w:suppressLineNumbers w:val="0"/>
              <w:snapToGrid w:val="0"/>
              <w:spacing w:before="0" w:beforeAutospacing="0" w:after="0" w:afterAutospacing="0"/>
              <w:ind w:left="0" w:right="0"/>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有效排放高度/m</w:t>
            </w:r>
          </w:p>
        </w:tc>
        <w:tc>
          <w:tcPr>
            <w:tcW w:w="688" w:type="dxa"/>
            <w:vMerge w:val="restart"/>
            <w:vAlign w:val="center"/>
          </w:tcPr>
          <w:p w14:paraId="76E13C7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排放工况</w:t>
            </w:r>
          </w:p>
        </w:tc>
        <w:tc>
          <w:tcPr>
            <w:tcW w:w="688" w:type="dxa"/>
            <w:vMerge w:val="restart"/>
            <w:vAlign w:val="center"/>
          </w:tcPr>
          <w:p w14:paraId="6F3713F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年排放小时数</w:t>
            </w:r>
          </w:p>
        </w:tc>
        <w:tc>
          <w:tcPr>
            <w:tcW w:w="805" w:type="dxa"/>
            <w:vMerge w:val="restart"/>
            <w:vAlign w:val="center"/>
          </w:tcPr>
          <w:p w14:paraId="2A75914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污染物</w:t>
            </w:r>
          </w:p>
        </w:tc>
        <w:tc>
          <w:tcPr>
            <w:tcW w:w="1208" w:type="dxa"/>
            <w:vMerge w:val="restart"/>
            <w:vAlign w:val="center"/>
          </w:tcPr>
          <w:p w14:paraId="13ECC74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排放速率</w:t>
            </w:r>
          </w:p>
          <w:p w14:paraId="5A5DC87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（kg/h）</w:t>
            </w:r>
          </w:p>
        </w:tc>
      </w:tr>
      <w:tr w14:paraId="4D4A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96" w:type="dxa"/>
            <w:vMerge w:val="continue"/>
            <w:vAlign w:val="center"/>
          </w:tcPr>
          <w:p w14:paraId="7660C02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396" w:type="dxa"/>
            <w:vAlign w:val="center"/>
          </w:tcPr>
          <w:p w14:paraId="6BDE95B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X</w:t>
            </w:r>
          </w:p>
        </w:tc>
        <w:tc>
          <w:tcPr>
            <w:tcW w:w="1260" w:type="dxa"/>
            <w:vAlign w:val="center"/>
          </w:tcPr>
          <w:p w14:paraId="52180D0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Y</w:t>
            </w:r>
          </w:p>
        </w:tc>
        <w:tc>
          <w:tcPr>
            <w:tcW w:w="636" w:type="dxa"/>
            <w:vMerge w:val="continue"/>
            <w:vAlign w:val="center"/>
          </w:tcPr>
          <w:p w14:paraId="6234F68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c>
          <w:tcPr>
            <w:tcW w:w="688" w:type="dxa"/>
            <w:vMerge w:val="continue"/>
            <w:vAlign w:val="center"/>
          </w:tcPr>
          <w:p w14:paraId="3B87AEA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c>
          <w:tcPr>
            <w:tcW w:w="630" w:type="dxa"/>
            <w:vMerge w:val="continue"/>
            <w:vAlign w:val="center"/>
          </w:tcPr>
          <w:p w14:paraId="09A14C5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c>
          <w:tcPr>
            <w:tcW w:w="688" w:type="dxa"/>
            <w:vMerge w:val="continue"/>
            <w:vAlign w:val="center"/>
          </w:tcPr>
          <w:p w14:paraId="7EB5ADB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688" w:type="dxa"/>
            <w:vMerge w:val="continue"/>
            <w:vAlign w:val="center"/>
          </w:tcPr>
          <w:p w14:paraId="14C763E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805" w:type="dxa"/>
            <w:vMerge w:val="continue"/>
            <w:vAlign w:val="center"/>
          </w:tcPr>
          <w:p w14:paraId="3A45FC8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208" w:type="dxa"/>
            <w:vMerge w:val="continue"/>
            <w:vAlign w:val="center"/>
          </w:tcPr>
          <w:p w14:paraId="27ACA36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r>
      <w:tr w14:paraId="6529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96" w:type="dxa"/>
            <w:vMerge w:val="restart"/>
            <w:tcBorders>
              <w:bottom w:val="single" w:color="auto" w:sz="4" w:space="0"/>
            </w:tcBorders>
            <w:vAlign w:val="center"/>
          </w:tcPr>
          <w:p w14:paraId="434D1F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Cs/>
                <w:color w:val="auto"/>
                <w:sz w:val="18"/>
                <w:szCs w:val="18"/>
                <w:highlight w:val="none"/>
              </w:rPr>
              <w:t>猪舍</w:t>
            </w:r>
            <w:r>
              <w:rPr>
                <w:rFonts w:hint="default" w:ascii="Times New Roman" w:hAnsi="Times New Roman" w:eastAsia="宋体" w:cs="Times New Roman"/>
                <w:iCs/>
                <w:color w:val="auto"/>
                <w:sz w:val="18"/>
                <w:szCs w:val="18"/>
                <w:highlight w:val="none"/>
                <w:lang w:eastAsia="zh-CN"/>
              </w:rPr>
              <w:t>、</w:t>
            </w:r>
            <w:r>
              <w:rPr>
                <w:rFonts w:hint="default" w:ascii="Times New Roman" w:hAnsi="Times New Roman" w:eastAsia="宋体" w:cs="Times New Roman"/>
                <w:iCs/>
                <w:color w:val="auto"/>
                <w:sz w:val="18"/>
                <w:szCs w:val="18"/>
                <w:highlight w:val="none"/>
                <w:lang w:val="en-US" w:eastAsia="zh-CN"/>
              </w:rPr>
              <w:t>堆粪棚、废水收集池</w:t>
            </w:r>
          </w:p>
        </w:tc>
        <w:tc>
          <w:tcPr>
            <w:tcW w:w="1396" w:type="dxa"/>
            <w:vMerge w:val="restart"/>
            <w:tcBorders>
              <w:bottom w:val="single" w:color="auto" w:sz="4" w:space="0"/>
            </w:tcBorders>
            <w:vAlign w:val="center"/>
          </w:tcPr>
          <w:p w14:paraId="6BF85A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103.493045E</w:t>
            </w:r>
          </w:p>
        </w:tc>
        <w:tc>
          <w:tcPr>
            <w:tcW w:w="1260" w:type="dxa"/>
            <w:vMerge w:val="restart"/>
            <w:tcBorders>
              <w:bottom w:val="single" w:color="auto" w:sz="4" w:space="0"/>
            </w:tcBorders>
            <w:vAlign w:val="center"/>
          </w:tcPr>
          <w:p w14:paraId="680D8A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24.283213N</w:t>
            </w:r>
          </w:p>
        </w:tc>
        <w:tc>
          <w:tcPr>
            <w:tcW w:w="636" w:type="dxa"/>
            <w:vMerge w:val="restart"/>
            <w:tcBorders>
              <w:bottom w:val="single" w:color="auto" w:sz="4" w:space="0"/>
            </w:tcBorders>
            <w:vAlign w:val="center"/>
          </w:tcPr>
          <w:p w14:paraId="591287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1484</w:t>
            </w:r>
          </w:p>
        </w:tc>
        <w:tc>
          <w:tcPr>
            <w:tcW w:w="688" w:type="dxa"/>
            <w:vMerge w:val="restart"/>
            <w:tcBorders>
              <w:bottom w:val="single" w:color="auto" w:sz="4" w:space="0"/>
            </w:tcBorders>
            <w:vAlign w:val="center"/>
          </w:tcPr>
          <w:p w14:paraId="319CFD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45.49</w:t>
            </w:r>
          </w:p>
        </w:tc>
        <w:tc>
          <w:tcPr>
            <w:tcW w:w="630" w:type="dxa"/>
            <w:vMerge w:val="restart"/>
            <w:tcBorders>
              <w:bottom w:val="single" w:color="auto" w:sz="4" w:space="0"/>
            </w:tcBorders>
            <w:vAlign w:val="center"/>
          </w:tcPr>
          <w:p w14:paraId="62E0BDAC">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w:t>
            </w:r>
          </w:p>
        </w:tc>
        <w:tc>
          <w:tcPr>
            <w:tcW w:w="688" w:type="dxa"/>
            <w:vMerge w:val="restart"/>
            <w:tcBorders>
              <w:bottom w:val="single" w:color="auto" w:sz="4" w:space="0"/>
            </w:tcBorders>
            <w:vAlign w:val="center"/>
          </w:tcPr>
          <w:p w14:paraId="65D9F1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正常排放</w:t>
            </w:r>
          </w:p>
        </w:tc>
        <w:tc>
          <w:tcPr>
            <w:tcW w:w="688" w:type="dxa"/>
            <w:tcBorders>
              <w:bottom w:val="single" w:color="auto" w:sz="4" w:space="0"/>
            </w:tcBorders>
            <w:vAlign w:val="center"/>
          </w:tcPr>
          <w:p w14:paraId="71B032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7680</w:t>
            </w:r>
          </w:p>
        </w:tc>
        <w:tc>
          <w:tcPr>
            <w:tcW w:w="805" w:type="dxa"/>
            <w:tcBorders>
              <w:bottom w:val="single" w:color="auto" w:sz="4" w:space="0"/>
            </w:tcBorders>
            <w:vAlign w:val="center"/>
          </w:tcPr>
          <w:p w14:paraId="5ECA50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NH</w:t>
            </w:r>
            <w:r>
              <w:rPr>
                <w:rFonts w:hint="default" w:ascii="Times New Roman" w:hAnsi="Times New Roman" w:eastAsia="宋体" w:cs="Times New Roman"/>
                <w:color w:val="auto"/>
                <w:sz w:val="18"/>
                <w:szCs w:val="18"/>
                <w:highlight w:val="none"/>
                <w:vertAlign w:val="subscript"/>
              </w:rPr>
              <w:t>3</w:t>
            </w:r>
          </w:p>
        </w:tc>
        <w:tc>
          <w:tcPr>
            <w:tcW w:w="1208" w:type="dxa"/>
            <w:tcBorders>
              <w:bottom w:val="single" w:color="auto" w:sz="4" w:space="0"/>
            </w:tcBorders>
            <w:shd w:val="clear" w:color="auto" w:fill="auto"/>
            <w:vAlign w:val="center"/>
          </w:tcPr>
          <w:p w14:paraId="75D584EF">
            <w:pPr>
              <w:keepNext w:val="0"/>
              <w:keepLines w:val="0"/>
              <w:widowControl/>
              <w:suppressLineNumbers w:val="0"/>
              <w:jc w:val="right"/>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0.006037</w:t>
            </w:r>
          </w:p>
        </w:tc>
      </w:tr>
      <w:tr w14:paraId="2F0B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96" w:type="dxa"/>
            <w:vMerge w:val="continue"/>
            <w:vAlign w:val="center"/>
          </w:tcPr>
          <w:p w14:paraId="226E41C7">
            <w:pPr>
              <w:keepNext w:val="0"/>
              <w:keepLines w:val="0"/>
              <w:suppressLineNumbers w:val="0"/>
              <w:spacing w:before="0" w:beforeAutospacing="0" w:after="0" w:afterAutospacing="0"/>
              <w:ind w:left="0" w:right="0"/>
              <w:jc w:val="center"/>
              <w:rPr>
                <w:rFonts w:hint="default" w:ascii="Times New Roman" w:hAnsi="Times New Roman" w:eastAsia="宋体" w:cs="Times New Roman"/>
                <w:iCs/>
                <w:color w:val="auto"/>
                <w:sz w:val="18"/>
                <w:szCs w:val="18"/>
                <w:highlight w:val="none"/>
              </w:rPr>
            </w:pPr>
          </w:p>
        </w:tc>
        <w:tc>
          <w:tcPr>
            <w:tcW w:w="1396" w:type="dxa"/>
            <w:vMerge w:val="continue"/>
            <w:vAlign w:val="center"/>
          </w:tcPr>
          <w:p w14:paraId="3618A7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260" w:type="dxa"/>
            <w:vMerge w:val="continue"/>
            <w:vAlign w:val="center"/>
          </w:tcPr>
          <w:p w14:paraId="7C8CEA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636" w:type="dxa"/>
            <w:vMerge w:val="continue"/>
            <w:vAlign w:val="center"/>
          </w:tcPr>
          <w:p w14:paraId="168351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688" w:type="dxa"/>
            <w:vMerge w:val="continue"/>
            <w:vAlign w:val="center"/>
          </w:tcPr>
          <w:p w14:paraId="64E930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630" w:type="dxa"/>
            <w:vMerge w:val="continue"/>
            <w:vAlign w:val="center"/>
          </w:tcPr>
          <w:p w14:paraId="7FC729A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688" w:type="dxa"/>
            <w:vMerge w:val="continue"/>
            <w:vAlign w:val="center"/>
          </w:tcPr>
          <w:p w14:paraId="380D93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688" w:type="dxa"/>
            <w:vAlign w:val="center"/>
          </w:tcPr>
          <w:p w14:paraId="2A3505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7680</w:t>
            </w:r>
          </w:p>
        </w:tc>
        <w:tc>
          <w:tcPr>
            <w:tcW w:w="805" w:type="dxa"/>
            <w:vAlign w:val="center"/>
          </w:tcPr>
          <w:p w14:paraId="72686E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rPr>
              <w:t>H</w:t>
            </w:r>
            <w:r>
              <w:rPr>
                <w:rFonts w:hint="default" w:ascii="Times New Roman" w:hAnsi="Times New Roman" w:eastAsia="宋体" w:cs="Times New Roman"/>
                <w:bCs/>
                <w:color w:val="auto"/>
                <w:sz w:val="18"/>
                <w:szCs w:val="18"/>
                <w:highlight w:val="none"/>
                <w:vertAlign w:val="subscript"/>
              </w:rPr>
              <w:t>2</w:t>
            </w:r>
            <w:r>
              <w:rPr>
                <w:rFonts w:hint="default" w:ascii="Times New Roman" w:hAnsi="Times New Roman" w:eastAsia="宋体" w:cs="Times New Roman"/>
                <w:bCs/>
                <w:color w:val="auto"/>
                <w:sz w:val="18"/>
                <w:szCs w:val="18"/>
                <w:highlight w:val="none"/>
              </w:rPr>
              <w:t>S</w:t>
            </w:r>
          </w:p>
        </w:tc>
        <w:tc>
          <w:tcPr>
            <w:tcW w:w="1208" w:type="dxa"/>
            <w:shd w:val="clear" w:color="auto" w:fill="auto"/>
            <w:vAlign w:val="center"/>
          </w:tcPr>
          <w:p w14:paraId="1917FAA4">
            <w:pPr>
              <w:keepNext w:val="0"/>
              <w:keepLines w:val="0"/>
              <w:widowControl/>
              <w:suppressLineNumbers w:val="0"/>
              <w:jc w:val="right"/>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0.0012755</w:t>
            </w:r>
          </w:p>
        </w:tc>
      </w:tr>
      <w:tr w14:paraId="18A4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96" w:type="dxa"/>
            <w:vMerge w:val="restart"/>
            <w:vAlign w:val="center"/>
          </w:tcPr>
          <w:p w14:paraId="3BB17C6D">
            <w:pPr>
              <w:keepNext w:val="0"/>
              <w:keepLines w:val="0"/>
              <w:suppressLineNumbers w:val="0"/>
              <w:spacing w:before="0" w:beforeAutospacing="0" w:after="0" w:afterAutospacing="0"/>
              <w:ind w:left="0" w:right="0"/>
              <w:jc w:val="center"/>
              <w:rPr>
                <w:rFonts w:hint="default" w:ascii="Times New Roman" w:hAnsi="Times New Roman" w:eastAsia="宋体" w:cs="Times New Roman"/>
                <w:iCs/>
                <w:color w:val="auto"/>
                <w:sz w:val="18"/>
                <w:szCs w:val="18"/>
                <w:highlight w:val="none"/>
                <w:lang w:val="en-US" w:eastAsia="zh-CN"/>
              </w:rPr>
            </w:pPr>
            <w:r>
              <w:rPr>
                <w:rFonts w:hint="default" w:ascii="Times New Roman" w:hAnsi="Times New Roman" w:eastAsia="宋体" w:cs="Times New Roman"/>
                <w:iCs/>
                <w:color w:val="auto"/>
                <w:sz w:val="18"/>
                <w:szCs w:val="18"/>
                <w:highlight w:val="none"/>
                <w:lang w:val="en-US" w:eastAsia="zh-CN"/>
              </w:rPr>
              <w:t>烘干棚</w:t>
            </w:r>
          </w:p>
        </w:tc>
        <w:tc>
          <w:tcPr>
            <w:tcW w:w="1396" w:type="dxa"/>
            <w:vMerge w:val="restart"/>
            <w:vAlign w:val="center"/>
          </w:tcPr>
          <w:p w14:paraId="48E887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103.491795E</w:t>
            </w:r>
          </w:p>
        </w:tc>
        <w:tc>
          <w:tcPr>
            <w:tcW w:w="1260" w:type="dxa"/>
            <w:vMerge w:val="restart"/>
            <w:vAlign w:val="center"/>
          </w:tcPr>
          <w:p w14:paraId="2042D5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24.282387N</w:t>
            </w:r>
          </w:p>
        </w:tc>
        <w:tc>
          <w:tcPr>
            <w:tcW w:w="636" w:type="dxa"/>
            <w:vMerge w:val="restart"/>
            <w:vAlign w:val="center"/>
          </w:tcPr>
          <w:p w14:paraId="371506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1484</w:t>
            </w:r>
          </w:p>
        </w:tc>
        <w:tc>
          <w:tcPr>
            <w:tcW w:w="688" w:type="dxa"/>
            <w:vMerge w:val="restart"/>
            <w:vAlign w:val="center"/>
          </w:tcPr>
          <w:p w14:paraId="2CDE4F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7.98</w:t>
            </w:r>
          </w:p>
        </w:tc>
        <w:tc>
          <w:tcPr>
            <w:tcW w:w="630" w:type="dxa"/>
            <w:vMerge w:val="restart"/>
            <w:vAlign w:val="center"/>
          </w:tcPr>
          <w:p w14:paraId="6D2BA17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p>
        </w:tc>
        <w:tc>
          <w:tcPr>
            <w:tcW w:w="688" w:type="dxa"/>
            <w:vMerge w:val="restart"/>
            <w:vAlign w:val="center"/>
          </w:tcPr>
          <w:p w14:paraId="4F359F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正常排放</w:t>
            </w:r>
          </w:p>
        </w:tc>
        <w:tc>
          <w:tcPr>
            <w:tcW w:w="688" w:type="dxa"/>
            <w:vMerge w:val="restart"/>
            <w:vAlign w:val="center"/>
          </w:tcPr>
          <w:p w14:paraId="67193C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640</w:t>
            </w:r>
          </w:p>
        </w:tc>
        <w:tc>
          <w:tcPr>
            <w:tcW w:w="805" w:type="dxa"/>
            <w:tcBorders>
              <w:bottom w:val="single" w:color="auto" w:sz="4" w:space="0"/>
            </w:tcBorders>
            <w:vAlign w:val="center"/>
          </w:tcPr>
          <w:p w14:paraId="3BE0B3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 w:val="0"/>
                <w:bCs w:val="0"/>
                <w:color w:val="auto"/>
                <w:sz w:val="18"/>
                <w:szCs w:val="18"/>
                <w:vertAlign w:val="baseline"/>
                <w:lang w:val="en-US" w:eastAsia="zh-CN"/>
              </w:rPr>
              <w:t>颗粒物</w:t>
            </w:r>
          </w:p>
        </w:tc>
        <w:tc>
          <w:tcPr>
            <w:tcW w:w="1208" w:type="dxa"/>
            <w:tcBorders>
              <w:bottom w:val="single" w:color="auto" w:sz="4" w:space="0"/>
            </w:tcBorders>
            <w:vAlign w:val="center"/>
          </w:tcPr>
          <w:p w14:paraId="6DC905FE">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0.00011</w:t>
            </w:r>
          </w:p>
        </w:tc>
      </w:tr>
      <w:tr w14:paraId="37EF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96" w:type="dxa"/>
            <w:vMerge w:val="continue"/>
            <w:vAlign w:val="center"/>
          </w:tcPr>
          <w:p w14:paraId="21B2C72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1396" w:type="dxa"/>
            <w:vMerge w:val="continue"/>
            <w:vAlign w:val="center"/>
          </w:tcPr>
          <w:p w14:paraId="20DBE80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1260" w:type="dxa"/>
            <w:vMerge w:val="continue"/>
            <w:vAlign w:val="center"/>
          </w:tcPr>
          <w:p w14:paraId="49C15C1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636" w:type="dxa"/>
            <w:vMerge w:val="continue"/>
            <w:vAlign w:val="center"/>
          </w:tcPr>
          <w:p w14:paraId="2A3085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688" w:type="dxa"/>
            <w:vMerge w:val="continue"/>
            <w:vAlign w:val="center"/>
          </w:tcPr>
          <w:p w14:paraId="6126ADD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630" w:type="dxa"/>
            <w:vMerge w:val="continue"/>
            <w:vAlign w:val="center"/>
          </w:tcPr>
          <w:p w14:paraId="757978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688" w:type="dxa"/>
            <w:vMerge w:val="continue"/>
            <w:vAlign w:val="center"/>
          </w:tcPr>
          <w:p w14:paraId="47CCD64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688" w:type="dxa"/>
            <w:vMerge w:val="continue"/>
            <w:vAlign w:val="center"/>
          </w:tcPr>
          <w:p w14:paraId="7B149E5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18"/>
                <w:szCs w:val="18"/>
              </w:rPr>
            </w:pPr>
          </w:p>
        </w:tc>
        <w:tc>
          <w:tcPr>
            <w:tcW w:w="805" w:type="dxa"/>
            <w:tcBorders>
              <w:bottom w:val="single" w:color="auto" w:sz="4" w:space="0"/>
            </w:tcBorders>
            <w:vAlign w:val="center"/>
          </w:tcPr>
          <w:p w14:paraId="6DBAAB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 w:val="0"/>
                <w:bCs w:val="0"/>
                <w:color w:val="auto"/>
                <w:sz w:val="18"/>
                <w:szCs w:val="18"/>
                <w:vertAlign w:val="baseline"/>
                <w:lang w:val="en-US" w:eastAsia="zh-CN"/>
              </w:rPr>
              <w:t>二氧化硫</w:t>
            </w:r>
          </w:p>
        </w:tc>
        <w:tc>
          <w:tcPr>
            <w:tcW w:w="1208" w:type="dxa"/>
            <w:tcBorders>
              <w:bottom w:val="single" w:color="auto" w:sz="4" w:space="0"/>
            </w:tcBorders>
            <w:vAlign w:val="center"/>
          </w:tcPr>
          <w:p w14:paraId="705D155E">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color w:val="auto"/>
                <w:sz w:val="18"/>
                <w:szCs w:val="18"/>
                <w:highlight w:val="none"/>
              </w:rPr>
              <w:t>0.00</w:t>
            </w:r>
            <w:r>
              <w:rPr>
                <w:rFonts w:hint="default" w:ascii="Times New Roman" w:hAnsi="Times New Roman" w:eastAsia="宋体" w:cs="Times New Roman"/>
                <w:color w:val="auto"/>
                <w:sz w:val="18"/>
                <w:szCs w:val="18"/>
                <w:highlight w:val="none"/>
                <w:lang w:val="en-US" w:eastAsia="zh-CN"/>
              </w:rPr>
              <w:t>00318</w:t>
            </w:r>
          </w:p>
        </w:tc>
      </w:tr>
      <w:tr w14:paraId="53B1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96" w:type="dxa"/>
            <w:vMerge w:val="continue"/>
            <w:tcBorders>
              <w:bottom w:val="single" w:color="auto" w:sz="4" w:space="0"/>
            </w:tcBorders>
            <w:vAlign w:val="center"/>
          </w:tcPr>
          <w:p w14:paraId="35E0F7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18"/>
                <w:szCs w:val="18"/>
                <w:highlight w:val="none"/>
              </w:rPr>
            </w:pPr>
          </w:p>
        </w:tc>
        <w:tc>
          <w:tcPr>
            <w:tcW w:w="1396" w:type="dxa"/>
            <w:vMerge w:val="continue"/>
            <w:tcBorders>
              <w:bottom w:val="single" w:color="auto" w:sz="4" w:space="0"/>
            </w:tcBorders>
            <w:vAlign w:val="center"/>
          </w:tcPr>
          <w:p w14:paraId="5E5B569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18"/>
                <w:szCs w:val="18"/>
                <w:highlight w:val="none"/>
              </w:rPr>
            </w:pPr>
          </w:p>
        </w:tc>
        <w:tc>
          <w:tcPr>
            <w:tcW w:w="1260" w:type="dxa"/>
            <w:vMerge w:val="continue"/>
            <w:tcBorders>
              <w:bottom w:val="single" w:color="auto" w:sz="4" w:space="0"/>
            </w:tcBorders>
            <w:vAlign w:val="center"/>
          </w:tcPr>
          <w:p w14:paraId="1F6091A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18"/>
                <w:szCs w:val="18"/>
                <w:highlight w:val="none"/>
              </w:rPr>
            </w:pPr>
          </w:p>
        </w:tc>
        <w:tc>
          <w:tcPr>
            <w:tcW w:w="636" w:type="dxa"/>
            <w:vMerge w:val="continue"/>
            <w:tcBorders>
              <w:bottom w:val="single" w:color="auto" w:sz="4" w:space="0"/>
            </w:tcBorders>
            <w:vAlign w:val="center"/>
          </w:tcPr>
          <w:p w14:paraId="750574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18"/>
                <w:szCs w:val="18"/>
                <w:highlight w:val="none"/>
              </w:rPr>
            </w:pPr>
          </w:p>
        </w:tc>
        <w:tc>
          <w:tcPr>
            <w:tcW w:w="688" w:type="dxa"/>
            <w:vMerge w:val="continue"/>
            <w:tcBorders>
              <w:bottom w:val="single" w:color="auto" w:sz="4" w:space="0"/>
            </w:tcBorders>
            <w:vAlign w:val="center"/>
          </w:tcPr>
          <w:p w14:paraId="509377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18"/>
                <w:szCs w:val="18"/>
                <w:highlight w:val="none"/>
              </w:rPr>
            </w:pPr>
          </w:p>
        </w:tc>
        <w:tc>
          <w:tcPr>
            <w:tcW w:w="630" w:type="dxa"/>
            <w:vMerge w:val="continue"/>
            <w:tcBorders>
              <w:bottom w:val="single" w:color="auto" w:sz="4" w:space="0"/>
            </w:tcBorders>
            <w:vAlign w:val="center"/>
          </w:tcPr>
          <w:p w14:paraId="7781843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18"/>
                <w:szCs w:val="18"/>
                <w:highlight w:val="none"/>
              </w:rPr>
            </w:pPr>
          </w:p>
        </w:tc>
        <w:tc>
          <w:tcPr>
            <w:tcW w:w="688" w:type="dxa"/>
            <w:vMerge w:val="continue"/>
            <w:tcBorders>
              <w:bottom w:val="single" w:color="auto" w:sz="4" w:space="0"/>
            </w:tcBorders>
            <w:vAlign w:val="center"/>
          </w:tcPr>
          <w:p w14:paraId="757211C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18"/>
                <w:szCs w:val="18"/>
                <w:highlight w:val="none"/>
              </w:rPr>
            </w:pPr>
          </w:p>
        </w:tc>
        <w:tc>
          <w:tcPr>
            <w:tcW w:w="688" w:type="dxa"/>
            <w:vMerge w:val="continue"/>
            <w:tcBorders>
              <w:bottom w:val="single" w:color="auto" w:sz="4" w:space="0"/>
            </w:tcBorders>
            <w:vAlign w:val="center"/>
          </w:tcPr>
          <w:p w14:paraId="657C8B0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18"/>
                <w:szCs w:val="18"/>
                <w:highlight w:val="none"/>
              </w:rPr>
            </w:pPr>
          </w:p>
        </w:tc>
        <w:tc>
          <w:tcPr>
            <w:tcW w:w="805" w:type="dxa"/>
            <w:tcBorders>
              <w:bottom w:val="single" w:color="auto" w:sz="4" w:space="0"/>
            </w:tcBorders>
            <w:vAlign w:val="center"/>
          </w:tcPr>
          <w:p w14:paraId="6403AB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rPr>
              <w:t>NO</w:t>
            </w:r>
            <w:r>
              <w:rPr>
                <w:rFonts w:hint="default" w:ascii="Times New Roman" w:hAnsi="Times New Roman" w:eastAsia="宋体" w:cs="Times New Roman"/>
                <w:bCs/>
                <w:color w:val="auto"/>
                <w:sz w:val="18"/>
                <w:szCs w:val="18"/>
                <w:vertAlign w:val="subscript"/>
              </w:rPr>
              <w:t>2</w:t>
            </w:r>
          </w:p>
        </w:tc>
        <w:tc>
          <w:tcPr>
            <w:tcW w:w="1208" w:type="dxa"/>
            <w:tcBorders>
              <w:bottom w:val="single" w:color="auto" w:sz="4" w:space="0"/>
            </w:tcBorders>
            <w:vAlign w:val="center"/>
          </w:tcPr>
          <w:p w14:paraId="23D887E3">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0.000216</w:t>
            </w:r>
          </w:p>
        </w:tc>
      </w:tr>
    </w:tbl>
    <w:p w14:paraId="18240C72">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4.评价标准</w:t>
      </w:r>
    </w:p>
    <w:p w14:paraId="0A3A2F35">
      <w:pPr>
        <w:ind w:firstLine="420" w:firstLineChars="200"/>
        <w:rPr>
          <w:rFonts w:hint="default" w:ascii="Times New Roman" w:hAnsi="Times New Roman" w:cs="Times New Roman"/>
          <w:b/>
          <w:bCs/>
          <w:color w:val="auto"/>
          <w:sz w:val="21"/>
        </w:rPr>
      </w:pPr>
      <w:r>
        <w:rPr>
          <w:rFonts w:hint="default" w:ascii="Times New Roman" w:hAnsi="Times New Roman" w:cs="Times New Roman"/>
          <w:color w:val="auto"/>
          <w:szCs w:val="20"/>
        </w:rPr>
        <w:t>污染物评价标准和来源见下表</w:t>
      </w:r>
      <w:r>
        <w:rPr>
          <w:rFonts w:hint="default" w:ascii="Times New Roman" w:hAnsi="Times New Roman" w:cs="Times New Roman"/>
          <w:color w:val="auto"/>
          <w:szCs w:val="20"/>
          <w:lang w:val="en-US" w:eastAsia="zh-CN"/>
        </w:rPr>
        <w:t>5.2.1</w:t>
      </w:r>
      <w:r>
        <w:rPr>
          <w:rFonts w:hint="default" w:ascii="Times New Roman" w:hAnsi="Times New Roman" w:cs="Times New Roman"/>
          <w:color w:val="auto"/>
          <w:szCs w:val="20"/>
        </w:rPr>
        <w:t>-</w:t>
      </w:r>
      <w:r>
        <w:rPr>
          <w:rFonts w:hint="default" w:ascii="Times New Roman" w:hAnsi="Times New Roman" w:cs="Times New Roman"/>
          <w:color w:val="auto"/>
          <w:szCs w:val="20"/>
          <w:lang w:val="en-US" w:eastAsia="zh-CN"/>
        </w:rPr>
        <w:t>2</w:t>
      </w:r>
      <w:r>
        <w:rPr>
          <w:rFonts w:hint="default" w:ascii="Times New Roman" w:hAnsi="Times New Roman" w:cs="Times New Roman"/>
          <w:color w:val="auto"/>
          <w:szCs w:val="20"/>
        </w:rPr>
        <w:t>。</w:t>
      </w:r>
    </w:p>
    <w:p w14:paraId="7CE74CAB">
      <w:pPr>
        <w:spacing w:line="240" w:lineRule="auto"/>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表</w:t>
      </w:r>
      <w:r>
        <w:rPr>
          <w:rFonts w:hint="default" w:ascii="Times New Roman" w:hAnsi="Times New Roman" w:cs="Times New Roman"/>
          <w:color w:val="auto"/>
          <w:szCs w:val="20"/>
          <w:lang w:val="en-US" w:eastAsia="zh-CN"/>
        </w:rPr>
        <w:t>5.2.1</w:t>
      </w:r>
      <w:r>
        <w:rPr>
          <w:rFonts w:hint="default" w:ascii="Times New Roman" w:hAnsi="Times New Roman" w:cs="Times New Roman"/>
          <w:color w:val="auto"/>
          <w:szCs w:val="20"/>
        </w:rPr>
        <w:t>-</w:t>
      </w:r>
      <w:r>
        <w:rPr>
          <w:rFonts w:hint="default" w:ascii="Times New Roman" w:hAnsi="Times New Roman" w:cs="Times New Roman"/>
          <w:color w:val="auto"/>
          <w:szCs w:val="20"/>
          <w:lang w:val="en-US" w:eastAsia="zh-CN"/>
        </w:rPr>
        <w:t>2</w:t>
      </w:r>
      <w:r>
        <w:rPr>
          <w:rFonts w:hint="default" w:ascii="Times New Roman" w:hAnsi="Times New Roman" w:cs="Times New Roman"/>
          <w:b/>
          <w:bCs/>
          <w:color w:val="auto"/>
          <w:sz w:val="21"/>
        </w:rPr>
        <w:t xml:space="preserve">  污染物评价标准</w:t>
      </w:r>
    </w:p>
    <w:tbl>
      <w:tblPr>
        <w:tblStyle w:val="23"/>
        <w:tblW w:w="8833"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45"/>
        <w:gridCol w:w="1710"/>
        <w:gridCol w:w="1890"/>
        <w:gridCol w:w="1692"/>
        <w:gridCol w:w="1896"/>
      </w:tblGrid>
      <w:tr w14:paraId="3ACF23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45" w:type="dxa"/>
            <w:vAlign w:val="center"/>
          </w:tcPr>
          <w:p w14:paraId="2053BF9C">
            <w:pPr>
              <w:spacing w:line="24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污染物名称</w:t>
            </w:r>
          </w:p>
        </w:tc>
        <w:tc>
          <w:tcPr>
            <w:tcW w:w="1710" w:type="dxa"/>
            <w:vAlign w:val="center"/>
          </w:tcPr>
          <w:p w14:paraId="6779AE78">
            <w:pPr>
              <w:spacing w:line="24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功能区</w:t>
            </w:r>
          </w:p>
        </w:tc>
        <w:tc>
          <w:tcPr>
            <w:tcW w:w="1890" w:type="dxa"/>
            <w:vAlign w:val="center"/>
          </w:tcPr>
          <w:p w14:paraId="6A5CD828">
            <w:pPr>
              <w:spacing w:line="24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取值时间</w:t>
            </w:r>
          </w:p>
        </w:tc>
        <w:tc>
          <w:tcPr>
            <w:tcW w:w="1692" w:type="dxa"/>
            <w:vAlign w:val="center"/>
          </w:tcPr>
          <w:p w14:paraId="04C8DD6B">
            <w:pPr>
              <w:spacing w:line="24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标准值(mg/m</w:t>
            </w:r>
            <w:r>
              <w:rPr>
                <w:rFonts w:hint="default" w:ascii="Times New Roman" w:hAnsi="Times New Roman" w:cs="Times New Roman"/>
                <w:b/>
                <w:bCs/>
                <w:color w:val="auto"/>
                <w:sz w:val="18"/>
                <w:szCs w:val="18"/>
                <w:vertAlign w:val="superscript"/>
              </w:rPr>
              <w:t>3</w:t>
            </w:r>
            <w:r>
              <w:rPr>
                <w:rFonts w:hint="default" w:ascii="Times New Roman" w:hAnsi="Times New Roman" w:cs="Times New Roman"/>
                <w:b/>
                <w:bCs/>
                <w:color w:val="auto"/>
                <w:sz w:val="18"/>
                <w:szCs w:val="18"/>
              </w:rPr>
              <w:t>)</w:t>
            </w:r>
          </w:p>
        </w:tc>
        <w:tc>
          <w:tcPr>
            <w:tcW w:w="1896" w:type="dxa"/>
            <w:vAlign w:val="center"/>
          </w:tcPr>
          <w:p w14:paraId="15F0B72A">
            <w:pPr>
              <w:spacing w:line="24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标准来源</w:t>
            </w:r>
          </w:p>
        </w:tc>
      </w:tr>
      <w:tr w14:paraId="583D2C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5" w:hRule="atLeast"/>
        </w:trPr>
        <w:tc>
          <w:tcPr>
            <w:tcW w:w="1645" w:type="dxa"/>
            <w:vAlign w:val="center"/>
          </w:tcPr>
          <w:p w14:paraId="5421910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NH</w:t>
            </w:r>
            <w:r>
              <w:rPr>
                <w:rFonts w:hint="default" w:ascii="Times New Roman" w:hAnsi="Times New Roman" w:cs="Times New Roman"/>
                <w:color w:val="auto"/>
                <w:sz w:val="18"/>
                <w:szCs w:val="18"/>
                <w:vertAlign w:val="subscript"/>
              </w:rPr>
              <w:t>3</w:t>
            </w:r>
          </w:p>
        </w:tc>
        <w:tc>
          <w:tcPr>
            <w:tcW w:w="1710" w:type="dxa"/>
            <w:vAlign w:val="center"/>
          </w:tcPr>
          <w:p w14:paraId="009E92A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二类限区</w:t>
            </w:r>
          </w:p>
        </w:tc>
        <w:tc>
          <w:tcPr>
            <w:tcW w:w="1890" w:type="dxa"/>
            <w:vAlign w:val="center"/>
          </w:tcPr>
          <w:p w14:paraId="16F1372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小时值</w:t>
            </w:r>
          </w:p>
        </w:tc>
        <w:tc>
          <w:tcPr>
            <w:tcW w:w="1692" w:type="dxa"/>
            <w:vAlign w:val="center"/>
          </w:tcPr>
          <w:p w14:paraId="2B7B938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w:t>
            </w:r>
          </w:p>
        </w:tc>
        <w:tc>
          <w:tcPr>
            <w:tcW w:w="1896" w:type="dxa"/>
            <w:vMerge w:val="restart"/>
            <w:vAlign w:val="center"/>
          </w:tcPr>
          <w:p w14:paraId="463EFC0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《环境影响评价技术导则 大气环境》HJ2.2-2018</w:t>
            </w:r>
          </w:p>
        </w:tc>
      </w:tr>
      <w:tr w14:paraId="4E0324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1645" w:type="dxa"/>
            <w:vAlign w:val="center"/>
          </w:tcPr>
          <w:p w14:paraId="15B54DE8">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H</w:t>
            </w:r>
            <w:r>
              <w:rPr>
                <w:rFonts w:hint="default" w:ascii="Times New Roman" w:hAnsi="Times New Roman" w:cs="Times New Roman"/>
                <w:color w:val="auto"/>
                <w:sz w:val="18"/>
                <w:szCs w:val="18"/>
                <w:vertAlign w:val="subscript"/>
              </w:rPr>
              <w:t>2</w:t>
            </w:r>
            <w:r>
              <w:rPr>
                <w:rFonts w:hint="default" w:ascii="Times New Roman" w:hAnsi="Times New Roman" w:cs="Times New Roman"/>
                <w:color w:val="auto"/>
                <w:sz w:val="18"/>
                <w:szCs w:val="18"/>
              </w:rPr>
              <w:t>S</w:t>
            </w:r>
          </w:p>
        </w:tc>
        <w:tc>
          <w:tcPr>
            <w:tcW w:w="1710" w:type="dxa"/>
            <w:vAlign w:val="center"/>
          </w:tcPr>
          <w:p w14:paraId="422B7FDD">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二类限区</w:t>
            </w:r>
          </w:p>
        </w:tc>
        <w:tc>
          <w:tcPr>
            <w:tcW w:w="1890" w:type="dxa"/>
            <w:vAlign w:val="center"/>
          </w:tcPr>
          <w:p w14:paraId="12E8BBC2">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小时值</w:t>
            </w:r>
          </w:p>
        </w:tc>
        <w:tc>
          <w:tcPr>
            <w:tcW w:w="1692" w:type="dxa"/>
            <w:vAlign w:val="center"/>
          </w:tcPr>
          <w:p w14:paraId="3D347E6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0.01</w:t>
            </w:r>
          </w:p>
        </w:tc>
        <w:tc>
          <w:tcPr>
            <w:tcW w:w="1896" w:type="dxa"/>
            <w:vMerge w:val="continue"/>
            <w:vAlign w:val="center"/>
          </w:tcPr>
          <w:p w14:paraId="4021C29A">
            <w:pPr>
              <w:spacing w:line="240" w:lineRule="auto"/>
              <w:jc w:val="center"/>
              <w:rPr>
                <w:rFonts w:hint="default" w:ascii="Times New Roman" w:hAnsi="Times New Roman" w:cs="Times New Roman"/>
                <w:color w:val="auto"/>
                <w:sz w:val="18"/>
                <w:szCs w:val="18"/>
              </w:rPr>
            </w:pPr>
          </w:p>
        </w:tc>
      </w:tr>
      <w:tr w14:paraId="7B3F0C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0" w:hRule="atLeast"/>
        </w:trPr>
        <w:tc>
          <w:tcPr>
            <w:tcW w:w="1645" w:type="dxa"/>
            <w:vAlign w:val="center"/>
          </w:tcPr>
          <w:p w14:paraId="7CA06EBF">
            <w:pPr>
              <w:spacing w:line="240" w:lineRule="auto"/>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SO</w:t>
            </w:r>
            <w:r>
              <w:rPr>
                <w:rFonts w:hint="default" w:ascii="Times New Roman" w:hAnsi="Times New Roman" w:cs="Times New Roman"/>
                <w:color w:val="auto"/>
                <w:sz w:val="18"/>
                <w:szCs w:val="18"/>
                <w:vertAlign w:val="subscript"/>
              </w:rPr>
              <w:t>2</w:t>
            </w:r>
          </w:p>
        </w:tc>
        <w:tc>
          <w:tcPr>
            <w:tcW w:w="1710" w:type="dxa"/>
            <w:vAlign w:val="center"/>
          </w:tcPr>
          <w:p w14:paraId="58087636">
            <w:pPr>
              <w:spacing w:line="240" w:lineRule="auto"/>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二类限区</w:t>
            </w:r>
          </w:p>
        </w:tc>
        <w:tc>
          <w:tcPr>
            <w:tcW w:w="1890" w:type="dxa"/>
            <w:vAlign w:val="center"/>
          </w:tcPr>
          <w:p w14:paraId="1A0CE84F">
            <w:pPr>
              <w:spacing w:line="240" w:lineRule="auto"/>
              <w:jc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sz w:val="18"/>
                <w:szCs w:val="18"/>
              </w:rPr>
              <w:t>小时值</w:t>
            </w:r>
          </w:p>
        </w:tc>
        <w:tc>
          <w:tcPr>
            <w:tcW w:w="1692" w:type="dxa"/>
            <w:vAlign w:val="center"/>
          </w:tcPr>
          <w:p w14:paraId="5CE88049">
            <w:pPr>
              <w:spacing w:line="240" w:lineRule="auto"/>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0.5</w:t>
            </w:r>
          </w:p>
        </w:tc>
        <w:tc>
          <w:tcPr>
            <w:tcW w:w="1896" w:type="dxa"/>
            <w:vMerge w:val="restart"/>
            <w:vAlign w:val="center"/>
          </w:tcPr>
          <w:p w14:paraId="57537F87">
            <w:pPr>
              <w:spacing w:line="240" w:lineRule="auto"/>
              <w:jc w:val="center"/>
              <w:rPr>
                <w:rFonts w:hint="default" w:ascii="Times New Roman" w:hAnsi="Times New Roman" w:eastAsia="宋体" w:cs="Times New Roman"/>
                <w:color w:val="auto"/>
                <w:sz w:val="18"/>
                <w:szCs w:val="18"/>
                <w:shd w:val="clear" w:color="auto" w:fill="FFFFFF"/>
                <w:lang w:val="en-US" w:eastAsia="zh-CN"/>
              </w:rPr>
            </w:pPr>
            <w:r>
              <w:rPr>
                <w:rFonts w:hint="default" w:ascii="Times New Roman" w:hAnsi="Times New Roman" w:cs="Times New Roman"/>
                <w:color w:val="auto"/>
                <w:sz w:val="18"/>
                <w:szCs w:val="18"/>
              </w:rPr>
              <w:t>《环境空气质量标准》GB3095-2012</w:t>
            </w:r>
            <w:r>
              <w:rPr>
                <w:rFonts w:hint="default" w:ascii="Times New Roman" w:hAnsi="Times New Roman" w:cs="Times New Roman"/>
                <w:color w:val="auto"/>
                <w:sz w:val="18"/>
                <w:szCs w:val="18"/>
                <w:lang w:val="en-US" w:eastAsia="zh-CN"/>
              </w:rPr>
              <w:t>及修改单</w:t>
            </w:r>
            <w:r>
              <w:rPr>
                <w:rFonts w:hint="default" w:ascii="Times New Roman" w:hAnsi="Times New Roman" w:cs="Times New Roman"/>
                <w:color w:val="auto"/>
                <w:sz w:val="18"/>
                <w:szCs w:val="18"/>
              </w:rPr>
              <w:t>二级标准</w:t>
            </w:r>
          </w:p>
        </w:tc>
      </w:tr>
      <w:tr w14:paraId="668D8D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2" w:hRule="atLeast"/>
        </w:trPr>
        <w:tc>
          <w:tcPr>
            <w:tcW w:w="1645" w:type="dxa"/>
            <w:vAlign w:val="center"/>
          </w:tcPr>
          <w:p w14:paraId="7C83D5DA">
            <w:pPr>
              <w:spacing w:line="240" w:lineRule="auto"/>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NO</w:t>
            </w:r>
            <w:r>
              <w:rPr>
                <w:rFonts w:hint="default" w:ascii="Times New Roman" w:hAnsi="Times New Roman" w:cs="Times New Roman"/>
                <w:color w:val="auto"/>
                <w:sz w:val="18"/>
                <w:szCs w:val="18"/>
                <w:vertAlign w:val="subscript"/>
              </w:rPr>
              <w:t>2</w:t>
            </w:r>
          </w:p>
        </w:tc>
        <w:tc>
          <w:tcPr>
            <w:tcW w:w="1710" w:type="dxa"/>
            <w:vAlign w:val="center"/>
          </w:tcPr>
          <w:p w14:paraId="5F9A3F5A">
            <w:pPr>
              <w:spacing w:line="240" w:lineRule="auto"/>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二类限区</w:t>
            </w:r>
          </w:p>
        </w:tc>
        <w:tc>
          <w:tcPr>
            <w:tcW w:w="1890" w:type="dxa"/>
            <w:vAlign w:val="center"/>
          </w:tcPr>
          <w:p w14:paraId="1292CB65">
            <w:pPr>
              <w:spacing w:line="240" w:lineRule="auto"/>
              <w:jc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sz w:val="18"/>
                <w:szCs w:val="18"/>
              </w:rPr>
              <w:t>小时值</w:t>
            </w:r>
          </w:p>
        </w:tc>
        <w:tc>
          <w:tcPr>
            <w:tcW w:w="1692" w:type="dxa"/>
            <w:vAlign w:val="center"/>
          </w:tcPr>
          <w:p w14:paraId="19F1E366">
            <w:pPr>
              <w:spacing w:line="240" w:lineRule="auto"/>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0.2</w:t>
            </w:r>
          </w:p>
        </w:tc>
        <w:tc>
          <w:tcPr>
            <w:tcW w:w="1896" w:type="dxa"/>
            <w:vMerge w:val="continue"/>
            <w:vAlign w:val="center"/>
          </w:tcPr>
          <w:p w14:paraId="416EBE67">
            <w:pPr>
              <w:spacing w:line="240" w:lineRule="auto"/>
              <w:jc w:val="center"/>
              <w:rPr>
                <w:rFonts w:hint="default" w:ascii="Times New Roman" w:hAnsi="Times New Roman" w:cs="Times New Roman"/>
                <w:color w:val="auto"/>
                <w:sz w:val="18"/>
                <w:szCs w:val="18"/>
              </w:rPr>
            </w:pPr>
          </w:p>
        </w:tc>
      </w:tr>
      <w:tr w14:paraId="79081A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2" w:hRule="atLeast"/>
        </w:trPr>
        <w:tc>
          <w:tcPr>
            <w:tcW w:w="1645" w:type="dxa"/>
            <w:vAlign w:val="center"/>
          </w:tcPr>
          <w:p w14:paraId="3D101662">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TSP</w:t>
            </w:r>
          </w:p>
        </w:tc>
        <w:tc>
          <w:tcPr>
            <w:tcW w:w="1710" w:type="dxa"/>
            <w:vAlign w:val="center"/>
          </w:tcPr>
          <w:p w14:paraId="311C0DD1">
            <w:pPr>
              <w:spacing w:line="240" w:lineRule="auto"/>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二类限区</w:t>
            </w:r>
          </w:p>
        </w:tc>
        <w:tc>
          <w:tcPr>
            <w:tcW w:w="1890" w:type="dxa"/>
            <w:vAlign w:val="center"/>
          </w:tcPr>
          <w:p w14:paraId="7B407DB0">
            <w:pPr>
              <w:spacing w:line="240" w:lineRule="auto"/>
              <w:jc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sz w:val="18"/>
                <w:szCs w:val="18"/>
              </w:rPr>
              <w:t>小时值</w:t>
            </w:r>
          </w:p>
        </w:tc>
        <w:tc>
          <w:tcPr>
            <w:tcW w:w="1692" w:type="dxa"/>
            <w:vAlign w:val="center"/>
          </w:tcPr>
          <w:p w14:paraId="1FA02DCE">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0.9</w:t>
            </w:r>
          </w:p>
        </w:tc>
        <w:tc>
          <w:tcPr>
            <w:tcW w:w="1896" w:type="dxa"/>
            <w:vMerge w:val="continue"/>
            <w:vAlign w:val="center"/>
          </w:tcPr>
          <w:p w14:paraId="5F8B804D">
            <w:pPr>
              <w:spacing w:line="240" w:lineRule="auto"/>
              <w:jc w:val="center"/>
              <w:rPr>
                <w:rFonts w:hint="default" w:ascii="Times New Roman" w:hAnsi="Times New Roman" w:cs="Times New Roman"/>
                <w:color w:val="auto"/>
                <w:sz w:val="18"/>
                <w:szCs w:val="18"/>
              </w:rPr>
            </w:pPr>
          </w:p>
        </w:tc>
      </w:tr>
    </w:tbl>
    <w:p w14:paraId="60B7C488">
      <w:pPr>
        <w:spacing w:line="240" w:lineRule="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lang w:val="en-US" w:eastAsia="zh-CN"/>
        </w:rPr>
        <w:t>注：根据大气导则（</w:t>
      </w:r>
      <w:r>
        <w:rPr>
          <w:rFonts w:hint="default" w:ascii="Times New Roman" w:hAnsi="Times New Roman" w:cs="Times New Roman"/>
          <w:color w:val="auto"/>
          <w:sz w:val="21"/>
          <w:szCs w:val="21"/>
          <w:highlight w:val="none"/>
        </w:rPr>
        <w:t>HJ2.2-2018</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kern w:val="0"/>
          <w:sz w:val="21"/>
          <w:szCs w:val="21"/>
          <w:highlight w:val="none"/>
          <w:lang w:val="en-US" w:eastAsia="zh-CN" w:bidi="ar"/>
        </w:rPr>
        <w:t>对仅有 8h 平均质量浓度限值、日平均质量浓度限值或年平均质量浓度限值的，可分别按2倍、3倍、6倍折算为1h平均质量浓度限值。TSP只有日均值和年均值，本次评价TSP小时质量标准按日均值的3倍进行折算。</w:t>
      </w:r>
    </w:p>
    <w:p w14:paraId="5C195068">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5.估算模型参数</w:t>
      </w:r>
    </w:p>
    <w:p w14:paraId="1A364527">
      <w:pPr>
        <w:ind w:firstLine="420" w:firstLineChars="200"/>
        <w:rPr>
          <w:rFonts w:hint="default" w:ascii="Times New Roman" w:hAnsi="Times New Roman" w:cs="Times New Roman"/>
          <w:b/>
          <w:color w:val="auto"/>
          <w:sz w:val="21"/>
          <w:szCs w:val="21"/>
        </w:rPr>
      </w:pPr>
      <w:r>
        <w:rPr>
          <w:rFonts w:hint="default" w:ascii="Times New Roman" w:hAnsi="Times New Roman" w:cs="Times New Roman"/>
          <w:color w:val="auto"/>
          <w:szCs w:val="20"/>
        </w:rPr>
        <w:t>拟建项目估算模型参数如下表</w:t>
      </w:r>
      <w:r>
        <w:rPr>
          <w:rFonts w:hint="default" w:ascii="Times New Roman" w:hAnsi="Times New Roman" w:cs="Times New Roman"/>
          <w:color w:val="auto"/>
          <w:szCs w:val="20"/>
          <w:lang w:val="en-US" w:eastAsia="zh-CN"/>
        </w:rPr>
        <w:t>5.2.1</w:t>
      </w:r>
      <w:r>
        <w:rPr>
          <w:rFonts w:hint="default" w:ascii="Times New Roman" w:hAnsi="Times New Roman" w:cs="Times New Roman"/>
          <w:color w:val="auto"/>
          <w:szCs w:val="20"/>
        </w:rPr>
        <w:t>-</w:t>
      </w:r>
      <w:r>
        <w:rPr>
          <w:rFonts w:hint="default" w:ascii="Times New Roman" w:hAnsi="Times New Roman" w:cs="Times New Roman"/>
          <w:color w:val="auto"/>
          <w:szCs w:val="20"/>
          <w:lang w:val="en-US" w:eastAsia="zh-CN"/>
        </w:rPr>
        <w:t>3</w:t>
      </w:r>
      <w:r>
        <w:rPr>
          <w:rFonts w:hint="default" w:ascii="Times New Roman" w:hAnsi="Times New Roman" w:cs="Times New Roman"/>
          <w:color w:val="auto"/>
          <w:szCs w:val="20"/>
        </w:rPr>
        <w:t>：</w:t>
      </w:r>
    </w:p>
    <w:p w14:paraId="3FD858F9">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color w:val="auto"/>
          <w:szCs w:val="20"/>
          <w:lang w:val="en-US" w:eastAsia="zh-CN"/>
        </w:rPr>
        <w:t>5.2.1</w:t>
      </w:r>
      <w:r>
        <w:rPr>
          <w:rFonts w:hint="default" w:ascii="Times New Roman" w:hAnsi="Times New Roman" w:cs="Times New Roman"/>
          <w:color w:val="auto"/>
          <w:szCs w:val="20"/>
        </w:rPr>
        <w:t>-</w:t>
      </w:r>
      <w:r>
        <w:rPr>
          <w:rFonts w:hint="default" w:ascii="Times New Roman" w:hAnsi="Times New Roman" w:cs="Times New Roman"/>
          <w:color w:val="auto"/>
          <w:szCs w:val="20"/>
          <w:lang w:val="en-US" w:eastAsia="zh-CN"/>
        </w:rPr>
        <w:t>3</w:t>
      </w:r>
      <w:r>
        <w:rPr>
          <w:rFonts w:hint="default" w:ascii="Times New Roman" w:hAnsi="Times New Roman" w:cs="Times New Roman"/>
          <w:b/>
          <w:color w:val="auto"/>
          <w:sz w:val="21"/>
          <w:szCs w:val="21"/>
        </w:rPr>
        <w:t xml:space="preserve">   估算模型参数</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5"/>
        <w:gridCol w:w="2737"/>
        <w:gridCol w:w="3683"/>
      </w:tblGrid>
      <w:tr w14:paraId="7829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12" w:type="dxa"/>
            <w:gridSpan w:val="2"/>
            <w:vAlign w:val="center"/>
          </w:tcPr>
          <w:p w14:paraId="38FB97C2">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参数</w:t>
            </w:r>
          </w:p>
        </w:tc>
        <w:tc>
          <w:tcPr>
            <w:tcW w:w="3683" w:type="dxa"/>
            <w:vAlign w:val="center"/>
          </w:tcPr>
          <w:p w14:paraId="179AABCE">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取值</w:t>
            </w:r>
          </w:p>
        </w:tc>
      </w:tr>
      <w:tr w14:paraId="13C9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2375" w:type="dxa"/>
            <w:vMerge w:val="restart"/>
            <w:vAlign w:val="center"/>
          </w:tcPr>
          <w:p w14:paraId="21C9FB9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城市农村/选项</w:t>
            </w:r>
          </w:p>
        </w:tc>
        <w:tc>
          <w:tcPr>
            <w:tcW w:w="2737" w:type="dxa"/>
            <w:vAlign w:val="center"/>
          </w:tcPr>
          <w:p w14:paraId="6911324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城市/农村</w:t>
            </w:r>
          </w:p>
        </w:tc>
        <w:tc>
          <w:tcPr>
            <w:tcW w:w="3683" w:type="dxa"/>
            <w:vAlign w:val="center"/>
          </w:tcPr>
          <w:p w14:paraId="5256F6C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农村</w:t>
            </w:r>
          </w:p>
        </w:tc>
      </w:tr>
      <w:tr w14:paraId="0B67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2375" w:type="dxa"/>
            <w:vMerge w:val="continue"/>
            <w:vAlign w:val="center"/>
          </w:tcPr>
          <w:p w14:paraId="7C478D2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737" w:type="dxa"/>
            <w:vAlign w:val="center"/>
          </w:tcPr>
          <w:p w14:paraId="095A02C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人口数(城市人口数)</w:t>
            </w:r>
          </w:p>
        </w:tc>
        <w:tc>
          <w:tcPr>
            <w:tcW w:w="3683" w:type="dxa"/>
            <w:vAlign w:val="center"/>
          </w:tcPr>
          <w:p w14:paraId="008C251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4F0E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112" w:type="dxa"/>
            <w:gridSpan w:val="2"/>
            <w:vAlign w:val="center"/>
          </w:tcPr>
          <w:p w14:paraId="2CC86FB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最高环境温度</w:t>
            </w:r>
          </w:p>
        </w:tc>
        <w:tc>
          <w:tcPr>
            <w:tcW w:w="3683" w:type="dxa"/>
            <w:vAlign w:val="center"/>
          </w:tcPr>
          <w:p w14:paraId="6B63AE0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36.4°C</w:t>
            </w:r>
          </w:p>
        </w:tc>
      </w:tr>
      <w:tr w14:paraId="1F95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112" w:type="dxa"/>
            <w:gridSpan w:val="2"/>
            <w:vAlign w:val="center"/>
          </w:tcPr>
          <w:p w14:paraId="126CB22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最低环境温度</w:t>
            </w:r>
          </w:p>
        </w:tc>
        <w:tc>
          <w:tcPr>
            <w:tcW w:w="3683" w:type="dxa"/>
            <w:vAlign w:val="center"/>
          </w:tcPr>
          <w:p w14:paraId="05BC3DA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-2.8°C</w:t>
            </w:r>
          </w:p>
        </w:tc>
      </w:tr>
      <w:tr w14:paraId="24FF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112" w:type="dxa"/>
            <w:gridSpan w:val="2"/>
            <w:vAlign w:val="center"/>
          </w:tcPr>
          <w:p w14:paraId="1B05620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土地利用类型</w:t>
            </w:r>
          </w:p>
        </w:tc>
        <w:tc>
          <w:tcPr>
            <w:tcW w:w="3683" w:type="dxa"/>
            <w:vAlign w:val="center"/>
          </w:tcPr>
          <w:p w14:paraId="1DB4D61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农作地</w:t>
            </w:r>
          </w:p>
        </w:tc>
      </w:tr>
      <w:tr w14:paraId="1A5C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112" w:type="dxa"/>
            <w:gridSpan w:val="2"/>
            <w:vAlign w:val="center"/>
          </w:tcPr>
          <w:p w14:paraId="36AA97E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区域湿度条件</w:t>
            </w:r>
          </w:p>
        </w:tc>
        <w:tc>
          <w:tcPr>
            <w:tcW w:w="3683" w:type="dxa"/>
            <w:vAlign w:val="center"/>
          </w:tcPr>
          <w:p w14:paraId="2536A4B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潮湿</w:t>
            </w:r>
          </w:p>
        </w:tc>
      </w:tr>
      <w:tr w14:paraId="2A2D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375" w:type="dxa"/>
            <w:vMerge w:val="restart"/>
            <w:vAlign w:val="center"/>
          </w:tcPr>
          <w:p w14:paraId="3BB02F7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是否考虑地形</w:t>
            </w:r>
          </w:p>
        </w:tc>
        <w:tc>
          <w:tcPr>
            <w:tcW w:w="2737" w:type="dxa"/>
            <w:vAlign w:val="center"/>
          </w:tcPr>
          <w:p w14:paraId="4AC2353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考虑地形</w:t>
            </w:r>
          </w:p>
        </w:tc>
        <w:tc>
          <w:tcPr>
            <w:tcW w:w="3683" w:type="dxa"/>
            <w:vAlign w:val="center"/>
          </w:tcPr>
          <w:p w14:paraId="6930F48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是</w:t>
            </w:r>
          </w:p>
        </w:tc>
      </w:tr>
      <w:tr w14:paraId="3CA0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375" w:type="dxa"/>
            <w:vMerge w:val="continue"/>
            <w:vAlign w:val="center"/>
          </w:tcPr>
          <w:p w14:paraId="744F1BE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737" w:type="dxa"/>
            <w:vAlign w:val="center"/>
          </w:tcPr>
          <w:p w14:paraId="0A85D68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地形数据分辨率(m)</w:t>
            </w:r>
          </w:p>
        </w:tc>
        <w:tc>
          <w:tcPr>
            <w:tcW w:w="3683" w:type="dxa"/>
            <w:vAlign w:val="center"/>
          </w:tcPr>
          <w:p w14:paraId="6EDD6CE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90</w:t>
            </w:r>
          </w:p>
        </w:tc>
      </w:tr>
      <w:tr w14:paraId="7ADC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375" w:type="dxa"/>
            <w:vMerge w:val="restart"/>
            <w:vAlign w:val="center"/>
          </w:tcPr>
          <w:p w14:paraId="5343A49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是否考虑岸线熏烟</w:t>
            </w:r>
          </w:p>
        </w:tc>
        <w:tc>
          <w:tcPr>
            <w:tcW w:w="2737" w:type="dxa"/>
            <w:vAlign w:val="center"/>
          </w:tcPr>
          <w:p w14:paraId="2C33211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考虑岸线熏烟</w:t>
            </w:r>
          </w:p>
        </w:tc>
        <w:tc>
          <w:tcPr>
            <w:tcW w:w="3683" w:type="dxa"/>
            <w:vAlign w:val="center"/>
          </w:tcPr>
          <w:p w14:paraId="74B6374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否</w:t>
            </w:r>
          </w:p>
        </w:tc>
      </w:tr>
      <w:tr w14:paraId="3025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375" w:type="dxa"/>
            <w:vMerge w:val="continue"/>
            <w:vAlign w:val="center"/>
          </w:tcPr>
          <w:p w14:paraId="52297EF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737" w:type="dxa"/>
            <w:vAlign w:val="center"/>
          </w:tcPr>
          <w:p w14:paraId="338102E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岸线距离/km</w:t>
            </w:r>
          </w:p>
        </w:tc>
        <w:tc>
          <w:tcPr>
            <w:tcW w:w="3683" w:type="dxa"/>
            <w:vAlign w:val="center"/>
          </w:tcPr>
          <w:p w14:paraId="1B5700E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3ADE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375" w:type="dxa"/>
            <w:vMerge w:val="continue"/>
            <w:vAlign w:val="center"/>
          </w:tcPr>
          <w:p w14:paraId="5DFC276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737" w:type="dxa"/>
            <w:vAlign w:val="center"/>
          </w:tcPr>
          <w:p w14:paraId="653AE08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岸线方向/</w:t>
            </w:r>
            <w:r>
              <w:rPr>
                <w:rFonts w:hint="default" w:ascii="Times New Roman" w:hAnsi="Times New Roman" w:cs="Times New Roman"/>
                <w:color w:val="auto"/>
                <w:sz w:val="18"/>
                <w:szCs w:val="18"/>
                <w:highlight w:val="none"/>
                <w:vertAlign w:val="superscript"/>
              </w:rPr>
              <w:t>o</w:t>
            </w:r>
          </w:p>
        </w:tc>
        <w:tc>
          <w:tcPr>
            <w:tcW w:w="3683" w:type="dxa"/>
            <w:vAlign w:val="center"/>
          </w:tcPr>
          <w:p w14:paraId="58C9AA5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bl>
    <w:p w14:paraId="1F796AD3">
      <w:pPr>
        <w:bidi w:val="0"/>
        <w:spacing w:line="360" w:lineRule="auto"/>
        <w:rPr>
          <w:rFonts w:hint="default" w:ascii="Times New Roman" w:hAnsi="Times New Roman" w:eastAsia="宋体" w:cs="Times New Roman"/>
          <w:b/>
          <w:bCs/>
          <w:color w:val="auto"/>
          <w:sz w:val="24"/>
          <w:szCs w:val="24"/>
          <w:lang w:val="en-US" w:eastAsia="zh-CN"/>
        </w:rPr>
      </w:pPr>
      <w:bookmarkStart w:id="279" w:name="_Toc26370"/>
      <w:r>
        <w:rPr>
          <w:rFonts w:hint="default" w:ascii="Times New Roman" w:hAnsi="Times New Roman" w:eastAsia="宋体" w:cs="Times New Roman"/>
          <w:b/>
          <w:bCs/>
          <w:color w:val="auto"/>
          <w:sz w:val="24"/>
          <w:szCs w:val="24"/>
          <w:lang w:val="en-US" w:eastAsia="zh-CN"/>
        </w:rPr>
        <w:t>6.主要污染源估算结果</w:t>
      </w:r>
      <w:bookmarkEnd w:id="279"/>
    </w:p>
    <w:p w14:paraId="1885DECB">
      <w:pPr>
        <w:spacing w:line="360" w:lineRule="auto"/>
        <w:ind w:firstLine="480" w:firstLineChars="200"/>
        <w:jc w:val="both"/>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宋体" w:cs="Times New Roman"/>
          <w:color w:val="auto"/>
          <w:sz w:val="24"/>
          <w:szCs w:val="24"/>
          <w:highlight w:val="none"/>
          <w:lang w:val="en-US" w:eastAsia="zh-CN"/>
        </w:rPr>
        <w:t>采用《环境影响评价技术导则 大气环境》HJ2.2-2018推荐的估算模式AERSCREEN进行估算，结果如下表。</w:t>
      </w:r>
    </w:p>
    <w:p w14:paraId="37F91E22">
      <w:pPr>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（1）无组织恶臭估算结果</w:t>
      </w:r>
    </w:p>
    <w:p w14:paraId="474E4183">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color w:val="auto"/>
          <w:szCs w:val="20"/>
          <w:lang w:val="en-US" w:eastAsia="zh-CN"/>
        </w:rPr>
        <w:t>5.2.1</w:t>
      </w:r>
      <w:r>
        <w:rPr>
          <w:rFonts w:hint="default" w:ascii="Times New Roman" w:hAnsi="Times New Roman" w:cs="Times New Roman"/>
          <w:color w:val="auto"/>
          <w:szCs w:val="20"/>
        </w:rPr>
        <w:t>-</w:t>
      </w:r>
      <w:r>
        <w:rPr>
          <w:rFonts w:hint="default" w:ascii="Times New Roman" w:hAnsi="Times New Roman" w:cs="Times New Roman"/>
          <w:color w:val="auto"/>
          <w:szCs w:val="20"/>
          <w:lang w:val="en-US" w:eastAsia="zh-CN"/>
        </w:rPr>
        <w:t>4</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 xml:space="preserve"> </w:t>
      </w:r>
      <w:r>
        <w:rPr>
          <w:rFonts w:hint="default" w:ascii="Times New Roman" w:hAnsi="Times New Roman" w:cs="Times New Roman"/>
          <w:b/>
          <w:color w:val="auto"/>
          <w:sz w:val="21"/>
          <w:szCs w:val="21"/>
          <w:lang w:val="en-US" w:eastAsia="zh-CN"/>
        </w:rPr>
        <w:t>恶臭</w:t>
      </w:r>
      <w:r>
        <w:rPr>
          <w:rFonts w:hint="default" w:ascii="Times New Roman" w:hAnsi="Times New Roman" w:cs="Times New Roman"/>
          <w:b/>
          <w:bCs/>
          <w:color w:val="auto"/>
          <w:sz w:val="21"/>
          <w:szCs w:val="21"/>
        </w:rPr>
        <w:t>排放的污染物估算模式预测结果</w:t>
      </w:r>
    </w:p>
    <w:tbl>
      <w:tblPr>
        <w:tblStyle w:val="23"/>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47"/>
        <w:gridCol w:w="1583"/>
        <w:gridCol w:w="2211"/>
        <w:gridCol w:w="1665"/>
        <w:gridCol w:w="2153"/>
      </w:tblGrid>
      <w:tr w14:paraId="6CCE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347" w:type="dxa"/>
            <w:vMerge w:val="restart"/>
            <w:shd w:val="clear" w:color="auto" w:fill="auto"/>
            <w:vAlign w:val="center"/>
          </w:tcPr>
          <w:p w14:paraId="2A624CFA">
            <w:pPr>
              <w:spacing w:line="240" w:lineRule="auto"/>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color w:val="auto"/>
                <w:sz w:val="18"/>
                <w:szCs w:val="18"/>
              </w:rPr>
              <w:t>下风向距离（m）</w:t>
            </w:r>
          </w:p>
        </w:tc>
        <w:tc>
          <w:tcPr>
            <w:tcW w:w="7612" w:type="dxa"/>
            <w:gridSpan w:val="4"/>
            <w:shd w:val="clear" w:color="auto" w:fill="auto"/>
            <w:vAlign w:val="center"/>
          </w:tcPr>
          <w:p w14:paraId="0DE3CED6">
            <w:pPr>
              <w:spacing w:line="240" w:lineRule="auto"/>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color w:val="auto"/>
                <w:sz w:val="18"/>
                <w:szCs w:val="18"/>
                <w:lang w:val="en-US" w:eastAsia="zh-CN"/>
              </w:rPr>
              <w:t>猪舍、废水收集池、堆粪棚面源</w:t>
            </w:r>
          </w:p>
        </w:tc>
      </w:tr>
      <w:tr w14:paraId="1DAD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vMerge w:val="continue"/>
            <w:shd w:val="clear" w:color="auto" w:fill="auto"/>
            <w:vAlign w:val="center"/>
          </w:tcPr>
          <w:p w14:paraId="4AC29744">
            <w:pPr>
              <w:spacing w:line="240" w:lineRule="auto"/>
              <w:jc w:val="center"/>
              <w:rPr>
                <w:rFonts w:hint="default" w:ascii="Times New Roman" w:hAnsi="Times New Roman" w:eastAsia="宋体" w:cs="Times New Roman"/>
                <w:i w:val="0"/>
                <w:iCs w:val="0"/>
                <w:color w:val="auto"/>
                <w:kern w:val="0"/>
                <w:sz w:val="18"/>
                <w:szCs w:val="18"/>
                <w:u w:val="none"/>
                <w:lang w:val="en-US" w:eastAsia="zh-CN" w:bidi="ar"/>
              </w:rPr>
            </w:pPr>
          </w:p>
        </w:tc>
        <w:tc>
          <w:tcPr>
            <w:tcW w:w="1583" w:type="dxa"/>
            <w:shd w:val="clear" w:color="auto" w:fill="auto"/>
            <w:vAlign w:val="center"/>
          </w:tcPr>
          <w:p w14:paraId="15411669">
            <w:pPr>
              <w:spacing w:line="240" w:lineRule="auto"/>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color w:val="auto"/>
                <w:sz w:val="18"/>
                <w:szCs w:val="18"/>
              </w:rPr>
              <w:t>NH</w:t>
            </w:r>
            <w:r>
              <w:rPr>
                <w:rFonts w:hint="default" w:ascii="Times New Roman" w:hAnsi="Times New Roman" w:cs="Times New Roman"/>
                <w:b/>
                <w:color w:val="auto"/>
                <w:sz w:val="18"/>
                <w:szCs w:val="18"/>
                <w:vertAlign w:val="subscript"/>
              </w:rPr>
              <w:t>3</w:t>
            </w:r>
            <w:r>
              <w:rPr>
                <w:rFonts w:hint="default" w:ascii="Times New Roman" w:hAnsi="Times New Roman" w:cs="Times New Roman"/>
                <w:b/>
                <w:color w:val="auto"/>
                <w:sz w:val="18"/>
                <w:szCs w:val="18"/>
              </w:rPr>
              <w:t>浓度(</w:t>
            </w:r>
            <w:r>
              <w:rPr>
                <w:rFonts w:hint="default" w:ascii="Times New Roman" w:hAnsi="Times New Roman" w:cs="Times New Roman"/>
                <w:b/>
                <w:color w:val="auto"/>
                <w:sz w:val="18"/>
                <w:szCs w:val="18"/>
                <w:lang w:val="en-US" w:eastAsia="zh-CN"/>
              </w:rPr>
              <w:t>m</w:t>
            </w:r>
            <w:r>
              <w:rPr>
                <w:rFonts w:hint="default" w:ascii="Times New Roman" w:hAnsi="Times New Roman" w:cs="Times New Roman"/>
                <w:b/>
                <w:color w:val="auto"/>
                <w:sz w:val="18"/>
                <w:szCs w:val="18"/>
              </w:rPr>
              <w:t>g/m³)</w:t>
            </w:r>
          </w:p>
        </w:tc>
        <w:tc>
          <w:tcPr>
            <w:tcW w:w="2211" w:type="dxa"/>
            <w:shd w:val="clear" w:color="auto" w:fill="auto"/>
            <w:vAlign w:val="center"/>
          </w:tcPr>
          <w:p w14:paraId="637B8C2B">
            <w:pPr>
              <w:spacing w:line="240" w:lineRule="auto"/>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color w:val="auto"/>
                <w:sz w:val="18"/>
                <w:szCs w:val="18"/>
              </w:rPr>
              <w:t>NH</w:t>
            </w:r>
            <w:r>
              <w:rPr>
                <w:rFonts w:hint="default" w:ascii="Times New Roman" w:hAnsi="Times New Roman" w:cs="Times New Roman"/>
                <w:b/>
                <w:color w:val="auto"/>
                <w:sz w:val="18"/>
                <w:szCs w:val="18"/>
                <w:vertAlign w:val="subscript"/>
              </w:rPr>
              <w:t>3</w:t>
            </w:r>
            <w:r>
              <w:rPr>
                <w:rFonts w:hint="default" w:ascii="Times New Roman" w:hAnsi="Times New Roman" w:cs="Times New Roman"/>
                <w:b/>
                <w:color w:val="auto"/>
                <w:sz w:val="18"/>
                <w:szCs w:val="18"/>
              </w:rPr>
              <w:t>占标率(%)</w:t>
            </w:r>
          </w:p>
        </w:tc>
        <w:tc>
          <w:tcPr>
            <w:tcW w:w="1665" w:type="dxa"/>
            <w:shd w:val="clear" w:color="auto" w:fill="auto"/>
            <w:vAlign w:val="center"/>
          </w:tcPr>
          <w:p w14:paraId="23E00852">
            <w:pPr>
              <w:spacing w:line="240" w:lineRule="auto"/>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color w:val="auto"/>
                <w:sz w:val="18"/>
                <w:szCs w:val="18"/>
              </w:rPr>
              <w:t>H</w:t>
            </w:r>
            <w:r>
              <w:rPr>
                <w:rFonts w:hint="default" w:ascii="Times New Roman" w:hAnsi="Times New Roman" w:cs="Times New Roman"/>
                <w:b/>
                <w:color w:val="auto"/>
                <w:sz w:val="18"/>
                <w:szCs w:val="18"/>
                <w:vertAlign w:val="subscript"/>
              </w:rPr>
              <w:t>2</w:t>
            </w:r>
            <w:r>
              <w:rPr>
                <w:rFonts w:hint="default" w:ascii="Times New Roman" w:hAnsi="Times New Roman" w:cs="Times New Roman"/>
                <w:b/>
                <w:color w:val="auto"/>
                <w:sz w:val="18"/>
                <w:szCs w:val="18"/>
              </w:rPr>
              <w:t>S浓度(</w:t>
            </w:r>
            <w:r>
              <w:rPr>
                <w:rFonts w:hint="default" w:ascii="Times New Roman" w:hAnsi="Times New Roman" w:cs="Times New Roman"/>
                <w:b/>
                <w:color w:val="auto"/>
                <w:sz w:val="18"/>
                <w:szCs w:val="18"/>
                <w:lang w:val="en-US" w:eastAsia="zh-CN"/>
              </w:rPr>
              <w:t>m</w:t>
            </w:r>
            <w:r>
              <w:rPr>
                <w:rFonts w:hint="default" w:ascii="Times New Roman" w:hAnsi="Times New Roman" w:cs="Times New Roman"/>
                <w:b/>
                <w:color w:val="auto"/>
                <w:sz w:val="18"/>
                <w:szCs w:val="18"/>
              </w:rPr>
              <w:t>g/m³)</w:t>
            </w:r>
          </w:p>
        </w:tc>
        <w:tc>
          <w:tcPr>
            <w:tcW w:w="2153" w:type="dxa"/>
            <w:shd w:val="clear" w:color="auto" w:fill="auto"/>
            <w:vAlign w:val="center"/>
          </w:tcPr>
          <w:p w14:paraId="7B2B5208">
            <w:pPr>
              <w:spacing w:line="240" w:lineRule="auto"/>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color w:val="auto"/>
                <w:sz w:val="18"/>
                <w:szCs w:val="18"/>
              </w:rPr>
              <w:t>H</w:t>
            </w:r>
            <w:r>
              <w:rPr>
                <w:rFonts w:hint="default" w:ascii="Times New Roman" w:hAnsi="Times New Roman" w:cs="Times New Roman"/>
                <w:b/>
                <w:color w:val="auto"/>
                <w:sz w:val="18"/>
                <w:szCs w:val="18"/>
                <w:vertAlign w:val="subscript"/>
              </w:rPr>
              <w:t>2</w:t>
            </w:r>
            <w:r>
              <w:rPr>
                <w:rFonts w:hint="default" w:ascii="Times New Roman" w:hAnsi="Times New Roman" w:cs="Times New Roman"/>
                <w:b/>
                <w:color w:val="auto"/>
                <w:sz w:val="18"/>
                <w:szCs w:val="18"/>
              </w:rPr>
              <w:t>S占标率(%)</w:t>
            </w:r>
          </w:p>
        </w:tc>
      </w:tr>
      <w:tr w14:paraId="1DD3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69EDD15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583" w:type="dxa"/>
            <w:shd w:val="clear" w:color="auto" w:fill="auto"/>
            <w:vAlign w:val="center"/>
          </w:tcPr>
          <w:p w14:paraId="4F1F690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1.59E-03</w:t>
            </w:r>
          </w:p>
        </w:tc>
        <w:tc>
          <w:tcPr>
            <w:tcW w:w="2211" w:type="dxa"/>
            <w:shd w:val="clear" w:color="auto" w:fill="auto"/>
            <w:vAlign w:val="center"/>
          </w:tcPr>
          <w:p w14:paraId="702F2EF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0.8</w:t>
            </w:r>
          </w:p>
        </w:tc>
        <w:tc>
          <w:tcPr>
            <w:tcW w:w="1665" w:type="dxa"/>
            <w:shd w:val="clear" w:color="auto" w:fill="auto"/>
            <w:vAlign w:val="center"/>
          </w:tcPr>
          <w:p w14:paraId="1F85D31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3.36E-04</w:t>
            </w:r>
          </w:p>
        </w:tc>
        <w:tc>
          <w:tcPr>
            <w:tcW w:w="2153" w:type="dxa"/>
            <w:shd w:val="clear" w:color="auto" w:fill="auto"/>
            <w:vAlign w:val="center"/>
          </w:tcPr>
          <w:p w14:paraId="48C9550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3.36</w:t>
            </w:r>
          </w:p>
        </w:tc>
      </w:tr>
      <w:tr w14:paraId="2E2C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1F74712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1583" w:type="dxa"/>
            <w:shd w:val="clear" w:color="auto" w:fill="auto"/>
            <w:vAlign w:val="center"/>
          </w:tcPr>
          <w:p w14:paraId="657BDB3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2.11E-03</w:t>
            </w:r>
          </w:p>
        </w:tc>
        <w:tc>
          <w:tcPr>
            <w:tcW w:w="2211" w:type="dxa"/>
            <w:shd w:val="clear" w:color="auto" w:fill="auto"/>
            <w:vAlign w:val="center"/>
          </w:tcPr>
          <w:p w14:paraId="3F4D66B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1.05</w:t>
            </w:r>
          </w:p>
        </w:tc>
        <w:tc>
          <w:tcPr>
            <w:tcW w:w="1665" w:type="dxa"/>
            <w:shd w:val="clear" w:color="auto" w:fill="auto"/>
            <w:vAlign w:val="center"/>
          </w:tcPr>
          <w:p w14:paraId="2FA8072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4.46E-04</w:t>
            </w:r>
          </w:p>
        </w:tc>
        <w:tc>
          <w:tcPr>
            <w:tcW w:w="2153" w:type="dxa"/>
            <w:shd w:val="clear" w:color="auto" w:fill="auto"/>
            <w:vAlign w:val="center"/>
          </w:tcPr>
          <w:p w14:paraId="16D47EB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4.46</w:t>
            </w:r>
          </w:p>
        </w:tc>
      </w:tr>
      <w:tr w14:paraId="32CC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68470A7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1583" w:type="dxa"/>
            <w:shd w:val="clear" w:color="auto" w:fill="auto"/>
            <w:vAlign w:val="center"/>
          </w:tcPr>
          <w:p w14:paraId="412AC27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2.80E-03</w:t>
            </w:r>
          </w:p>
        </w:tc>
        <w:tc>
          <w:tcPr>
            <w:tcW w:w="2211" w:type="dxa"/>
            <w:shd w:val="clear" w:color="auto" w:fill="auto"/>
            <w:vAlign w:val="center"/>
          </w:tcPr>
          <w:p w14:paraId="6FD441B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1665" w:type="dxa"/>
            <w:shd w:val="clear" w:color="auto" w:fill="auto"/>
            <w:vAlign w:val="center"/>
          </w:tcPr>
          <w:p w14:paraId="59448AB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5.91E-04</w:t>
            </w:r>
          </w:p>
        </w:tc>
        <w:tc>
          <w:tcPr>
            <w:tcW w:w="2153" w:type="dxa"/>
            <w:shd w:val="clear" w:color="auto" w:fill="auto"/>
            <w:vAlign w:val="center"/>
          </w:tcPr>
          <w:p w14:paraId="2865BEA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5.91</w:t>
            </w:r>
          </w:p>
        </w:tc>
      </w:tr>
      <w:tr w14:paraId="0BE3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FEF2CB" w:themeFill="accent3" w:themeFillTint="32"/>
            <w:vAlign w:val="center"/>
          </w:tcPr>
          <w:p w14:paraId="23A2802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w:t>
            </w:r>
          </w:p>
        </w:tc>
        <w:tc>
          <w:tcPr>
            <w:tcW w:w="1583" w:type="dxa"/>
            <w:shd w:val="clear" w:color="auto" w:fill="FEF2CB" w:themeFill="accent3" w:themeFillTint="32"/>
            <w:vAlign w:val="center"/>
          </w:tcPr>
          <w:p w14:paraId="3A46EF5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2.84E-03</w:t>
            </w:r>
          </w:p>
        </w:tc>
        <w:tc>
          <w:tcPr>
            <w:tcW w:w="2211" w:type="dxa"/>
            <w:shd w:val="clear" w:color="auto" w:fill="FEF2CB" w:themeFill="accent3" w:themeFillTint="32"/>
            <w:vAlign w:val="center"/>
          </w:tcPr>
          <w:p w14:paraId="2774BC5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1.42</w:t>
            </w:r>
          </w:p>
        </w:tc>
        <w:tc>
          <w:tcPr>
            <w:tcW w:w="1665" w:type="dxa"/>
            <w:shd w:val="clear" w:color="auto" w:fill="FEF2CB" w:themeFill="accent3" w:themeFillTint="32"/>
            <w:vAlign w:val="center"/>
          </w:tcPr>
          <w:p w14:paraId="76B4280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6.01E-04</w:t>
            </w:r>
          </w:p>
        </w:tc>
        <w:tc>
          <w:tcPr>
            <w:tcW w:w="2153" w:type="dxa"/>
            <w:shd w:val="clear" w:color="auto" w:fill="FEF2CB" w:themeFill="accent3" w:themeFillTint="32"/>
            <w:vAlign w:val="center"/>
          </w:tcPr>
          <w:p w14:paraId="5DA4D2F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6.01</w:t>
            </w:r>
          </w:p>
        </w:tc>
      </w:tr>
      <w:tr w14:paraId="4898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2A1F798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75</w:t>
            </w:r>
          </w:p>
        </w:tc>
        <w:tc>
          <w:tcPr>
            <w:tcW w:w="1583" w:type="dxa"/>
            <w:shd w:val="clear" w:color="auto" w:fill="auto"/>
            <w:vAlign w:val="center"/>
          </w:tcPr>
          <w:p w14:paraId="1F1CDF2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2.65E-03</w:t>
            </w:r>
          </w:p>
        </w:tc>
        <w:tc>
          <w:tcPr>
            <w:tcW w:w="2211" w:type="dxa"/>
            <w:shd w:val="clear" w:color="auto" w:fill="auto"/>
            <w:vAlign w:val="center"/>
          </w:tcPr>
          <w:p w14:paraId="463B1B3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1.33</w:t>
            </w:r>
          </w:p>
        </w:tc>
        <w:tc>
          <w:tcPr>
            <w:tcW w:w="1665" w:type="dxa"/>
            <w:shd w:val="clear" w:color="auto" w:fill="auto"/>
            <w:vAlign w:val="center"/>
          </w:tcPr>
          <w:p w14:paraId="7EE704A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5.61E-04</w:t>
            </w:r>
          </w:p>
        </w:tc>
        <w:tc>
          <w:tcPr>
            <w:tcW w:w="2153" w:type="dxa"/>
            <w:shd w:val="clear" w:color="auto" w:fill="auto"/>
            <w:vAlign w:val="center"/>
          </w:tcPr>
          <w:p w14:paraId="3391407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5.61</w:t>
            </w:r>
          </w:p>
        </w:tc>
      </w:tr>
      <w:tr w14:paraId="1E83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6CA0C5D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1583" w:type="dxa"/>
            <w:shd w:val="clear" w:color="auto" w:fill="auto"/>
            <w:vAlign w:val="center"/>
          </w:tcPr>
          <w:p w14:paraId="350904B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2.15E-03</w:t>
            </w:r>
          </w:p>
        </w:tc>
        <w:tc>
          <w:tcPr>
            <w:tcW w:w="2211" w:type="dxa"/>
            <w:shd w:val="clear" w:color="auto" w:fill="auto"/>
            <w:vAlign w:val="center"/>
          </w:tcPr>
          <w:p w14:paraId="2787777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1.08</w:t>
            </w:r>
          </w:p>
        </w:tc>
        <w:tc>
          <w:tcPr>
            <w:tcW w:w="1665" w:type="dxa"/>
            <w:shd w:val="clear" w:color="auto" w:fill="auto"/>
            <w:vAlign w:val="center"/>
          </w:tcPr>
          <w:p w14:paraId="57D8925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4.54E-04</w:t>
            </w:r>
          </w:p>
        </w:tc>
        <w:tc>
          <w:tcPr>
            <w:tcW w:w="2153" w:type="dxa"/>
            <w:shd w:val="clear" w:color="auto" w:fill="auto"/>
            <w:vAlign w:val="center"/>
          </w:tcPr>
          <w:p w14:paraId="56E0E14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4.54</w:t>
            </w:r>
          </w:p>
        </w:tc>
      </w:tr>
      <w:tr w14:paraId="1BB4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7756071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125</w:t>
            </w:r>
          </w:p>
        </w:tc>
        <w:tc>
          <w:tcPr>
            <w:tcW w:w="1583" w:type="dxa"/>
            <w:shd w:val="clear" w:color="auto" w:fill="auto"/>
            <w:vAlign w:val="center"/>
          </w:tcPr>
          <w:p w14:paraId="5132191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1.75E-03</w:t>
            </w:r>
          </w:p>
        </w:tc>
        <w:tc>
          <w:tcPr>
            <w:tcW w:w="2211" w:type="dxa"/>
            <w:shd w:val="clear" w:color="auto" w:fill="auto"/>
            <w:vAlign w:val="center"/>
          </w:tcPr>
          <w:p w14:paraId="6DA088E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0.87</w:t>
            </w:r>
          </w:p>
        </w:tc>
        <w:tc>
          <w:tcPr>
            <w:tcW w:w="1665" w:type="dxa"/>
            <w:shd w:val="clear" w:color="auto" w:fill="auto"/>
            <w:vAlign w:val="center"/>
          </w:tcPr>
          <w:p w14:paraId="05294D4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3.69E-04</w:t>
            </w:r>
          </w:p>
        </w:tc>
        <w:tc>
          <w:tcPr>
            <w:tcW w:w="2153" w:type="dxa"/>
            <w:shd w:val="clear" w:color="auto" w:fill="auto"/>
            <w:vAlign w:val="center"/>
          </w:tcPr>
          <w:p w14:paraId="07DB7C0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3.69</w:t>
            </w:r>
          </w:p>
        </w:tc>
      </w:tr>
      <w:tr w14:paraId="1725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1266216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w:t>
            </w:r>
          </w:p>
        </w:tc>
        <w:tc>
          <w:tcPr>
            <w:tcW w:w="1583" w:type="dxa"/>
            <w:shd w:val="clear" w:color="auto" w:fill="auto"/>
            <w:vAlign w:val="center"/>
          </w:tcPr>
          <w:p w14:paraId="6FDF2F7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1.47E-03</w:t>
            </w:r>
          </w:p>
        </w:tc>
        <w:tc>
          <w:tcPr>
            <w:tcW w:w="2211" w:type="dxa"/>
            <w:shd w:val="clear" w:color="auto" w:fill="auto"/>
            <w:vAlign w:val="center"/>
          </w:tcPr>
          <w:p w14:paraId="7DC6105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0.74</w:t>
            </w:r>
          </w:p>
        </w:tc>
        <w:tc>
          <w:tcPr>
            <w:tcW w:w="1665" w:type="dxa"/>
            <w:shd w:val="clear" w:color="auto" w:fill="auto"/>
            <w:vAlign w:val="center"/>
          </w:tcPr>
          <w:p w14:paraId="6064114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3.11E-04</w:t>
            </w:r>
          </w:p>
        </w:tc>
        <w:tc>
          <w:tcPr>
            <w:tcW w:w="2153" w:type="dxa"/>
            <w:shd w:val="clear" w:color="auto" w:fill="auto"/>
            <w:vAlign w:val="center"/>
          </w:tcPr>
          <w:p w14:paraId="179A585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3.11</w:t>
            </w:r>
          </w:p>
        </w:tc>
      </w:tr>
      <w:tr w14:paraId="4707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7CD831F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175</w:t>
            </w:r>
          </w:p>
        </w:tc>
        <w:tc>
          <w:tcPr>
            <w:tcW w:w="1583" w:type="dxa"/>
            <w:shd w:val="clear" w:color="auto" w:fill="auto"/>
            <w:vAlign w:val="center"/>
          </w:tcPr>
          <w:p w14:paraId="678E9DB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1.27E-03</w:t>
            </w:r>
          </w:p>
        </w:tc>
        <w:tc>
          <w:tcPr>
            <w:tcW w:w="2211" w:type="dxa"/>
            <w:shd w:val="clear" w:color="auto" w:fill="auto"/>
            <w:vAlign w:val="center"/>
          </w:tcPr>
          <w:p w14:paraId="4352826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0.63</w:t>
            </w:r>
          </w:p>
        </w:tc>
        <w:tc>
          <w:tcPr>
            <w:tcW w:w="1665" w:type="dxa"/>
            <w:shd w:val="clear" w:color="auto" w:fill="auto"/>
            <w:vAlign w:val="center"/>
          </w:tcPr>
          <w:p w14:paraId="300129B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2.68E-04</w:t>
            </w:r>
          </w:p>
        </w:tc>
        <w:tc>
          <w:tcPr>
            <w:tcW w:w="2153" w:type="dxa"/>
            <w:shd w:val="clear" w:color="auto" w:fill="auto"/>
            <w:vAlign w:val="center"/>
          </w:tcPr>
          <w:p w14:paraId="69AD02A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2.68</w:t>
            </w:r>
          </w:p>
        </w:tc>
      </w:tr>
      <w:tr w14:paraId="4C18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39FE941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200</w:t>
            </w:r>
          </w:p>
        </w:tc>
        <w:tc>
          <w:tcPr>
            <w:tcW w:w="1583" w:type="dxa"/>
            <w:shd w:val="clear" w:color="auto" w:fill="auto"/>
            <w:vAlign w:val="center"/>
          </w:tcPr>
          <w:p w14:paraId="0860091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1.11E-03</w:t>
            </w:r>
          </w:p>
        </w:tc>
        <w:tc>
          <w:tcPr>
            <w:tcW w:w="2211" w:type="dxa"/>
            <w:shd w:val="clear" w:color="auto" w:fill="auto"/>
            <w:vAlign w:val="center"/>
          </w:tcPr>
          <w:p w14:paraId="452EFA1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0.56</w:t>
            </w:r>
          </w:p>
        </w:tc>
        <w:tc>
          <w:tcPr>
            <w:tcW w:w="1665" w:type="dxa"/>
            <w:shd w:val="clear" w:color="auto" w:fill="auto"/>
            <w:vAlign w:val="center"/>
          </w:tcPr>
          <w:p w14:paraId="3FEE1CF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2.35E-04</w:t>
            </w:r>
          </w:p>
        </w:tc>
        <w:tc>
          <w:tcPr>
            <w:tcW w:w="2153" w:type="dxa"/>
            <w:shd w:val="clear" w:color="auto" w:fill="auto"/>
            <w:vAlign w:val="center"/>
          </w:tcPr>
          <w:p w14:paraId="26D92A9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2.35</w:t>
            </w:r>
          </w:p>
        </w:tc>
      </w:tr>
      <w:tr w14:paraId="4A3E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2FBE0D5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225</w:t>
            </w:r>
          </w:p>
        </w:tc>
        <w:tc>
          <w:tcPr>
            <w:tcW w:w="1583" w:type="dxa"/>
            <w:shd w:val="clear" w:color="auto" w:fill="auto"/>
            <w:vAlign w:val="center"/>
          </w:tcPr>
          <w:p w14:paraId="0A4494F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9.91E-04</w:t>
            </w:r>
          </w:p>
        </w:tc>
        <w:tc>
          <w:tcPr>
            <w:tcW w:w="2211" w:type="dxa"/>
            <w:shd w:val="clear" w:color="auto" w:fill="auto"/>
            <w:vAlign w:val="center"/>
          </w:tcPr>
          <w:p w14:paraId="381385C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0.5</w:t>
            </w:r>
          </w:p>
        </w:tc>
        <w:tc>
          <w:tcPr>
            <w:tcW w:w="1665" w:type="dxa"/>
            <w:shd w:val="clear" w:color="auto" w:fill="auto"/>
            <w:vAlign w:val="center"/>
          </w:tcPr>
          <w:p w14:paraId="5D36C53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2.09E-04</w:t>
            </w:r>
          </w:p>
        </w:tc>
        <w:tc>
          <w:tcPr>
            <w:tcW w:w="2153" w:type="dxa"/>
            <w:shd w:val="clear" w:color="auto" w:fill="auto"/>
            <w:vAlign w:val="center"/>
          </w:tcPr>
          <w:p w14:paraId="55DA798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2.09</w:t>
            </w:r>
          </w:p>
        </w:tc>
      </w:tr>
      <w:tr w14:paraId="28AE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65D08BA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250</w:t>
            </w:r>
          </w:p>
        </w:tc>
        <w:tc>
          <w:tcPr>
            <w:tcW w:w="1583" w:type="dxa"/>
            <w:shd w:val="clear" w:color="auto" w:fill="auto"/>
            <w:vAlign w:val="center"/>
          </w:tcPr>
          <w:p w14:paraId="34DB3C3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8.90E-04</w:t>
            </w:r>
          </w:p>
        </w:tc>
        <w:tc>
          <w:tcPr>
            <w:tcW w:w="2211" w:type="dxa"/>
            <w:shd w:val="clear" w:color="auto" w:fill="auto"/>
            <w:vAlign w:val="center"/>
          </w:tcPr>
          <w:p w14:paraId="5E6DFB0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0.45</w:t>
            </w:r>
          </w:p>
        </w:tc>
        <w:tc>
          <w:tcPr>
            <w:tcW w:w="1665" w:type="dxa"/>
            <w:shd w:val="clear" w:color="auto" w:fill="auto"/>
            <w:vAlign w:val="center"/>
          </w:tcPr>
          <w:p w14:paraId="3DF68C0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1.88E-04</w:t>
            </w:r>
          </w:p>
        </w:tc>
        <w:tc>
          <w:tcPr>
            <w:tcW w:w="2153" w:type="dxa"/>
            <w:shd w:val="clear" w:color="auto" w:fill="auto"/>
            <w:vAlign w:val="center"/>
          </w:tcPr>
          <w:p w14:paraId="0DC9E9A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1.88</w:t>
            </w:r>
          </w:p>
        </w:tc>
      </w:tr>
      <w:tr w14:paraId="079A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58D03EF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275</w:t>
            </w:r>
          </w:p>
        </w:tc>
        <w:tc>
          <w:tcPr>
            <w:tcW w:w="1583" w:type="dxa"/>
            <w:shd w:val="clear" w:color="auto" w:fill="auto"/>
            <w:vAlign w:val="center"/>
          </w:tcPr>
          <w:p w14:paraId="00DB8C3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8.07E-04</w:t>
            </w:r>
          </w:p>
        </w:tc>
        <w:tc>
          <w:tcPr>
            <w:tcW w:w="2211" w:type="dxa"/>
            <w:shd w:val="clear" w:color="auto" w:fill="auto"/>
            <w:vAlign w:val="center"/>
          </w:tcPr>
          <w:p w14:paraId="6B04FC5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0.4</w:t>
            </w:r>
          </w:p>
        </w:tc>
        <w:tc>
          <w:tcPr>
            <w:tcW w:w="1665" w:type="dxa"/>
            <w:shd w:val="clear" w:color="auto" w:fill="auto"/>
            <w:vAlign w:val="center"/>
          </w:tcPr>
          <w:p w14:paraId="3E879D0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1.71E-04</w:t>
            </w:r>
          </w:p>
        </w:tc>
        <w:tc>
          <w:tcPr>
            <w:tcW w:w="2153" w:type="dxa"/>
            <w:shd w:val="clear" w:color="auto" w:fill="auto"/>
            <w:vAlign w:val="center"/>
          </w:tcPr>
          <w:p w14:paraId="09196FE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1.71</w:t>
            </w:r>
          </w:p>
        </w:tc>
      </w:tr>
      <w:tr w14:paraId="47DF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720B3D9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1583" w:type="dxa"/>
            <w:shd w:val="clear" w:color="auto" w:fill="auto"/>
            <w:vAlign w:val="center"/>
          </w:tcPr>
          <w:p w14:paraId="3D26CF7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7.39E-04</w:t>
            </w:r>
          </w:p>
        </w:tc>
        <w:tc>
          <w:tcPr>
            <w:tcW w:w="2211" w:type="dxa"/>
            <w:shd w:val="clear" w:color="auto" w:fill="auto"/>
            <w:vAlign w:val="center"/>
          </w:tcPr>
          <w:p w14:paraId="7CAAE40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0.37</w:t>
            </w:r>
          </w:p>
        </w:tc>
        <w:tc>
          <w:tcPr>
            <w:tcW w:w="1665" w:type="dxa"/>
            <w:shd w:val="clear" w:color="auto" w:fill="auto"/>
            <w:vAlign w:val="center"/>
          </w:tcPr>
          <w:p w14:paraId="12B9810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1.56E-04</w:t>
            </w:r>
          </w:p>
        </w:tc>
        <w:tc>
          <w:tcPr>
            <w:tcW w:w="2153" w:type="dxa"/>
            <w:shd w:val="clear" w:color="auto" w:fill="auto"/>
            <w:vAlign w:val="center"/>
          </w:tcPr>
          <w:p w14:paraId="144707A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1.56</w:t>
            </w:r>
          </w:p>
        </w:tc>
      </w:tr>
      <w:tr w14:paraId="3299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3A3A208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325</w:t>
            </w:r>
          </w:p>
        </w:tc>
        <w:tc>
          <w:tcPr>
            <w:tcW w:w="1583" w:type="dxa"/>
            <w:shd w:val="clear" w:color="auto" w:fill="auto"/>
            <w:vAlign w:val="center"/>
          </w:tcPr>
          <w:p w14:paraId="7CE84E5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6.80E-04</w:t>
            </w:r>
          </w:p>
        </w:tc>
        <w:tc>
          <w:tcPr>
            <w:tcW w:w="2211" w:type="dxa"/>
            <w:shd w:val="clear" w:color="auto" w:fill="auto"/>
            <w:vAlign w:val="center"/>
          </w:tcPr>
          <w:p w14:paraId="215821D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0.34</w:t>
            </w:r>
          </w:p>
        </w:tc>
        <w:tc>
          <w:tcPr>
            <w:tcW w:w="1665" w:type="dxa"/>
            <w:shd w:val="clear" w:color="auto" w:fill="auto"/>
            <w:vAlign w:val="center"/>
          </w:tcPr>
          <w:p w14:paraId="247FE89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1.44E-04</w:t>
            </w:r>
          </w:p>
        </w:tc>
        <w:tc>
          <w:tcPr>
            <w:tcW w:w="2153" w:type="dxa"/>
            <w:shd w:val="clear" w:color="auto" w:fill="auto"/>
            <w:vAlign w:val="center"/>
          </w:tcPr>
          <w:p w14:paraId="1CA4154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1.44</w:t>
            </w:r>
          </w:p>
        </w:tc>
      </w:tr>
      <w:tr w14:paraId="6FFA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33569CB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350</w:t>
            </w:r>
          </w:p>
        </w:tc>
        <w:tc>
          <w:tcPr>
            <w:tcW w:w="1583" w:type="dxa"/>
            <w:shd w:val="clear" w:color="auto" w:fill="auto"/>
            <w:vAlign w:val="center"/>
          </w:tcPr>
          <w:p w14:paraId="7B0FF23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6.27E-04</w:t>
            </w:r>
          </w:p>
        </w:tc>
        <w:tc>
          <w:tcPr>
            <w:tcW w:w="2211" w:type="dxa"/>
            <w:shd w:val="clear" w:color="auto" w:fill="auto"/>
            <w:vAlign w:val="center"/>
          </w:tcPr>
          <w:p w14:paraId="62AF640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0.31</w:t>
            </w:r>
          </w:p>
        </w:tc>
        <w:tc>
          <w:tcPr>
            <w:tcW w:w="1665" w:type="dxa"/>
            <w:shd w:val="clear" w:color="auto" w:fill="auto"/>
            <w:vAlign w:val="center"/>
          </w:tcPr>
          <w:p w14:paraId="3D19915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1.33E-04</w:t>
            </w:r>
          </w:p>
        </w:tc>
        <w:tc>
          <w:tcPr>
            <w:tcW w:w="2153" w:type="dxa"/>
            <w:shd w:val="clear" w:color="auto" w:fill="auto"/>
            <w:vAlign w:val="center"/>
          </w:tcPr>
          <w:p w14:paraId="781F41C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1.33</w:t>
            </w:r>
          </w:p>
        </w:tc>
      </w:tr>
      <w:tr w14:paraId="0D63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457FA89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375</w:t>
            </w:r>
          </w:p>
        </w:tc>
        <w:tc>
          <w:tcPr>
            <w:tcW w:w="1583" w:type="dxa"/>
            <w:shd w:val="clear" w:color="auto" w:fill="auto"/>
            <w:vAlign w:val="center"/>
          </w:tcPr>
          <w:p w14:paraId="41FEADA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5.84E-04</w:t>
            </w:r>
          </w:p>
        </w:tc>
        <w:tc>
          <w:tcPr>
            <w:tcW w:w="2211" w:type="dxa"/>
            <w:shd w:val="clear" w:color="auto" w:fill="auto"/>
            <w:vAlign w:val="center"/>
          </w:tcPr>
          <w:p w14:paraId="374F7F1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0.29</w:t>
            </w:r>
          </w:p>
        </w:tc>
        <w:tc>
          <w:tcPr>
            <w:tcW w:w="1665" w:type="dxa"/>
            <w:shd w:val="clear" w:color="auto" w:fill="auto"/>
            <w:vAlign w:val="center"/>
          </w:tcPr>
          <w:p w14:paraId="46BFA24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1.23E-04</w:t>
            </w:r>
          </w:p>
        </w:tc>
        <w:tc>
          <w:tcPr>
            <w:tcW w:w="2153" w:type="dxa"/>
            <w:shd w:val="clear" w:color="auto" w:fill="auto"/>
            <w:vAlign w:val="center"/>
          </w:tcPr>
          <w:p w14:paraId="2231F47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1.23</w:t>
            </w:r>
          </w:p>
        </w:tc>
      </w:tr>
      <w:tr w14:paraId="3DB8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790F1F4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400</w:t>
            </w:r>
          </w:p>
        </w:tc>
        <w:tc>
          <w:tcPr>
            <w:tcW w:w="1583" w:type="dxa"/>
            <w:shd w:val="clear" w:color="auto" w:fill="auto"/>
            <w:vAlign w:val="center"/>
          </w:tcPr>
          <w:p w14:paraId="17C522A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5.45E-04</w:t>
            </w:r>
          </w:p>
        </w:tc>
        <w:tc>
          <w:tcPr>
            <w:tcW w:w="2211" w:type="dxa"/>
            <w:shd w:val="clear" w:color="auto" w:fill="auto"/>
            <w:vAlign w:val="center"/>
          </w:tcPr>
          <w:p w14:paraId="4F9F2C6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0.27</w:t>
            </w:r>
          </w:p>
        </w:tc>
        <w:tc>
          <w:tcPr>
            <w:tcW w:w="1665" w:type="dxa"/>
            <w:shd w:val="clear" w:color="auto" w:fill="auto"/>
            <w:vAlign w:val="center"/>
          </w:tcPr>
          <w:p w14:paraId="280493B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1.15E-04</w:t>
            </w:r>
          </w:p>
        </w:tc>
        <w:tc>
          <w:tcPr>
            <w:tcW w:w="2153" w:type="dxa"/>
            <w:shd w:val="clear" w:color="auto" w:fill="auto"/>
            <w:vAlign w:val="center"/>
          </w:tcPr>
          <w:p w14:paraId="52255C3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1.15</w:t>
            </w:r>
          </w:p>
        </w:tc>
      </w:tr>
      <w:tr w14:paraId="62FA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3F61032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425</w:t>
            </w:r>
          </w:p>
        </w:tc>
        <w:tc>
          <w:tcPr>
            <w:tcW w:w="1583" w:type="dxa"/>
            <w:shd w:val="clear" w:color="auto" w:fill="auto"/>
            <w:vAlign w:val="center"/>
          </w:tcPr>
          <w:p w14:paraId="2D9FF6F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5.11E-04</w:t>
            </w:r>
          </w:p>
        </w:tc>
        <w:tc>
          <w:tcPr>
            <w:tcW w:w="2211" w:type="dxa"/>
            <w:shd w:val="clear" w:color="auto" w:fill="auto"/>
            <w:vAlign w:val="center"/>
          </w:tcPr>
          <w:p w14:paraId="2005B39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0.26</w:t>
            </w:r>
          </w:p>
        </w:tc>
        <w:tc>
          <w:tcPr>
            <w:tcW w:w="1665" w:type="dxa"/>
            <w:shd w:val="clear" w:color="auto" w:fill="auto"/>
            <w:vAlign w:val="center"/>
          </w:tcPr>
          <w:p w14:paraId="51EC7F7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1.08E-04</w:t>
            </w:r>
          </w:p>
        </w:tc>
        <w:tc>
          <w:tcPr>
            <w:tcW w:w="2153" w:type="dxa"/>
            <w:shd w:val="clear" w:color="auto" w:fill="auto"/>
            <w:vAlign w:val="center"/>
          </w:tcPr>
          <w:p w14:paraId="6E83A14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1.08</w:t>
            </w:r>
          </w:p>
        </w:tc>
      </w:tr>
      <w:tr w14:paraId="1E89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1FC6278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450</w:t>
            </w:r>
          </w:p>
        </w:tc>
        <w:tc>
          <w:tcPr>
            <w:tcW w:w="1583" w:type="dxa"/>
            <w:shd w:val="clear" w:color="auto" w:fill="auto"/>
            <w:vAlign w:val="center"/>
          </w:tcPr>
          <w:p w14:paraId="06761AD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4.80E-04</w:t>
            </w:r>
          </w:p>
        </w:tc>
        <w:tc>
          <w:tcPr>
            <w:tcW w:w="2211" w:type="dxa"/>
            <w:shd w:val="clear" w:color="auto" w:fill="auto"/>
            <w:vAlign w:val="center"/>
          </w:tcPr>
          <w:p w14:paraId="309AB0A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0.24</w:t>
            </w:r>
          </w:p>
        </w:tc>
        <w:tc>
          <w:tcPr>
            <w:tcW w:w="1665" w:type="dxa"/>
            <w:shd w:val="clear" w:color="auto" w:fill="auto"/>
            <w:vAlign w:val="center"/>
          </w:tcPr>
          <w:p w14:paraId="764E00D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1.01E-04</w:t>
            </w:r>
          </w:p>
        </w:tc>
        <w:tc>
          <w:tcPr>
            <w:tcW w:w="2153" w:type="dxa"/>
            <w:shd w:val="clear" w:color="auto" w:fill="auto"/>
            <w:vAlign w:val="center"/>
          </w:tcPr>
          <w:p w14:paraId="055C93E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1.01</w:t>
            </w:r>
          </w:p>
        </w:tc>
      </w:tr>
      <w:tr w14:paraId="1ADA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4FC6083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475</w:t>
            </w:r>
          </w:p>
        </w:tc>
        <w:tc>
          <w:tcPr>
            <w:tcW w:w="1583" w:type="dxa"/>
            <w:shd w:val="clear" w:color="auto" w:fill="auto"/>
            <w:vAlign w:val="center"/>
          </w:tcPr>
          <w:p w14:paraId="6A9BB02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4.52E-04</w:t>
            </w:r>
          </w:p>
        </w:tc>
        <w:tc>
          <w:tcPr>
            <w:tcW w:w="2211" w:type="dxa"/>
            <w:shd w:val="clear" w:color="auto" w:fill="auto"/>
            <w:vAlign w:val="center"/>
          </w:tcPr>
          <w:p w14:paraId="199EC4F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0.23</w:t>
            </w:r>
          </w:p>
        </w:tc>
        <w:tc>
          <w:tcPr>
            <w:tcW w:w="1665" w:type="dxa"/>
            <w:shd w:val="clear" w:color="auto" w:fill="auto"/>
            <w:vAlign w:val="center"/>
          </w:tcPr>
          <w:p w14:paraId="4E694CE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9.56E-05</w:t>
            </w:r>
          </w:p>
        </w:tc>
        <w:tc>
          <w:tcPr>
            <w:tcW w:w="2153" w:type="dxa"/>
            <w:shd w:val="clear" w:color="auto" w:fill="auto"/>
            <w:vAlign w:val="center"/>
          </w:tcPr>
          <w:p w14:paraId="4B9162D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0.96</w:t>
            </w:r>
          </w:p>
        </w:tc>
      </w:tr>
      <w:tr w14:paraId="1232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2FA79A0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583" w:type="dxa"/>
            <w:shd w:val="clear" w:color="auto" w:fill="auto"/>
            <w:vAlign w:val="center"/>
          </w:tcPr>
          <w:p w14:paraId="0A4282C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4.25E-04</w:t>
            </w:r>
          </w:p>
        </w:tc>
        <w:tc>
          <w:tcPr>
            <w:tcW w:w="2211" w:type="dxa"/>
            <w:shd w:val="clear" w:color="auto" w:fill="auto"/>
            <w:vAlign w:val="center"/>
          </w:tcPr>
          <w:p w14:paraId="1EE331B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0.21</w:t>
            </w:r>
          </w:p>
        </w:tc>
        <w:tc>
          <w:tcPr>
            <w:tcW w:w="1665" w:type="dxa"/>
            <w:shd w:val="clear" w:color="auto" w:fill="auto"/>
            <w:vAlign w:val="center"/>
          </w:tcPr>
          <w:p w14:paraId="42B5E98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8.99E-05</w:t>
            </w:r>
          </w:p>
        </w:tc>
        <w:tc>
          <w:tcPr>
            <w:tcW w:w="2153" w:type="dxa"/>
            <w:shd w:val="clear" w:color="auto" w:fill="auto"/>
            <w:vAlign w:val="center"/>
          </w:tcPr>
          <w:p w14:paraId="12716B0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0.9</w:t>
            </w:r>
          </w:p>
        </w:tc>
      </w:tr>
      <w:tr w14:paraId="0840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65AB9BD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525</w:t>
            </w:r>
          </w:p>
        </w:tc>
        <w:tc>
          <w:tcPr>
            <w:tcW w:w="1583" w:type="dxa"/>
            <w:shd w:val="clear" w:color="auto" w:fill="auto"/>
            <w:vAlign w:val="center"/>
          </w:tcPr>
          <w:p w14:paraId="0B7C585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4.05E-04</w:t>
            </w:r>
          </w:p>
        </w:tc>
        <w:tc>
          <w:tcPr>
            <w:tcW w:w="2211" w:type="dxa"/>
            <w:shd w:val="clear" w:color="auto" w:fill="auto"/>
            <w:vAlign w:val="center"/>
          </w:tcPr>
          <w:p w14:paraId="46DE603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0.2</w:t>
            </w:r>
          </w:p>
        </w:tc>
        <w:tc>
          <w:tcPr>
            <w:tcW w:w="1665" w:type="dxa"/>
            <w:shd w:val="clear" w:color="auto" w:fill="auto"/>
            <w:vAlign w:val="center"/>
          </w:tcPr>
          <w:p w14:paraId="7EEFA7F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8.56E-05</w:t>
            </w:r>
          </w:p>
        </w:tc>
        <w:tc>
          <w:tcPr>
            <w:tcW w:w="2153" w:type="dxa"/>
            <w:shd w:val="clear" w:color="auto" w:fill="auto"/>
            <w:vAlign w:val="center"/>
          </w:tcPr>
          <w:p w14:paraId="3A2BCBE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0.86</w:t>
            </w:r>
          </w:p>
        </w:tc>
      </w:tr>
      <w:tr w14:paraId="46A8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06232BC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550</w:t>
            </w:r>
          </w:p>
        </w:tc>
        <w:tc>
          <w:tcPr>
            <w:tcW w:w="1583" w:type="dxa"/>
            <w:shd w:val="clear" w:color="auto" w:fill="auto"/>
            <w:vAlign w:val="center"/>
          </w:tcPr>
          <w:p w14:paraId="587EEB5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3.76E-04</w:t>
            </w:r>
          </w:p>
        </w:tc>
        <w:tc>
          <w:tcPr>
            <w:tcW w:w="2211" w:type="dxa"/>
            <w:shd w:val="clear" w:color="auto" w:fill="auto"/>
            <w:vAlign w:val="center"/>
          </w:tcPr>
          <w:p w14:paraId="1690C54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0.19</w:t>
            </w:r>
          </w:p>
        </w:tc>
        <w:tc>
          <w:tcPr>
            <w:tcW w:w="1665" w:type="dxa"/>
            <w:shd w:val="clear" w:color="auto" w:fill="auto"/>
            <w:vAlign w:val="center"/>
          </w:tcPr>
          <w:p w14:paraId="1605748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7.95E-05</w:t>
            </w:r>
          </w:p>
        </w:tc>
        <w:tc>
          <w:tcPr>
            <w:tcW w:w="2153" w:type="dxa"/>
            <w:shd w:val="clear" w:color="auto" w:fill="auto"/>
            <w:vAlign w:val="center"/>
          </w:tcPr>
          <w:p w14:paraId="1FA6975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0.79</w:t>
            </w:r>
          </w:p>
        </w:tc>
      </w:tr>
      <w:tr w14:paraId="7447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00508FD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575</w:t>
            </w:r>
          </w:p>
        </w:tc>
        <w:tc>
          <w:tcPr>
            <w:tcW w:w="1583" w:type="dxa"/>
            <w:shd w:val="clear" w:color="auto" w:fill="auto"/>
            <w:vAlign w:val="center"/>
          </w:tcPr>
          <w:p w14:paraId="6338734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3.51E-04</w:t>
            </w:r>
          </w:p>
        </w:tc>
        <w:tc>
          <w:tcPr>
            <w:tcW w:w="2211" w:type="dxa"/>
            <w:shd w:val="clear" w:color="auto" w:fill="auto"/>
            <w:vAlign w:val="center"/>
          </w:tcPr>
          <w:p w14:paraId="5526F29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0.18</w:t>
            </w:r>
          </w:p>
        </w:tc>
        <w:tc>
          <w:tcPr>
            <w:tcW w:w="1665" w:type="dxa"/>
            <w:shd w:val="clear" w:color="auto" w:fill="auto"/>
            <w:vAlign w:val="center"/>
          </w:tcPr>
          <w:p w14:paraId="2CFA958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7.42E-05</w:t>
            </w:r>
          </w:p>
        </w:tc>
        <w:tc>
          <w:tcPr>
            <w:tcW w:w="2153" w:type="dxa"/>
            <w:shd w:val="clear" w:color="auto" w:fill="auto"/>
            <w:vAlign w:val="center"/>
          </w:tcPr>
          <w:p w14:paraId="14A3F2D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0.74</w:t>
            </w:r>
          </w:p>
        </w:tc>
      </w:tr>
      <w:tr w14:paraId="2691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6C1A71F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600</w:t>
            </w:r>
          </w:p>
        </w:tc>
        <w:tc>
          <w:tcPr>
            <w:tcW w:w="1583" w:type="dxa"/>
            <w:shd w:val="clear" w:color="auto" w:fill="auto"/>
            <w:vAlign w:val="center"/>
          </w:tcPr>
          <w:p w14:paraId="1971326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3.46E-04</w:t>
            </w:r>
          </w:p>
        </w:tc>
        <w:tc>
          <w:tcPr>
            <w:tcW w:w="2211" w:type="dxa"/>
            <w:shd w:val="clear" w:color="auto" w:fill="auto"/>
            <w:vAlign w:val="center"/>
          </w:tcPr>
          <w:p w14:paraId="23BC0C3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0.17</w:t>
            </w:r>
          </w:p>
        </w:tc>
        <w:tc>
          <w:tcPr>
            <w:tcW w:w="1665" w:type="dxa"/>
            <w:shd w:val="clear" w:color="auto" w:fill="auto"/>
            <w:vAlign w:val="center"/>
          </w:tcPr>
          <w:p w14:paraId="238353F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7.31E-05</w:t>
            </w:r>
          </w:p>
        </w:tc>
        <w:tc>
          <w:tcPr>
            <w:tcW w:w="2153" w:type="dxa"/>
            <w:shd w:val="clear" w:color="auto" w:fill="auto"/>
            <w:vAlign w:val="center"/>
          </w:tcPr>
          <w:p w14:paraId="68F3EE4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0.73</w:t>
            </w:r>
          </w:p>
        </w:tc>
      </w:tr>
      <w:tr w14:paraId="5AE4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23D55C3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625</w:t>
            </w:r>
          </w:p>
        </w:tc>
        <w:tc>
          <w:tcPr>
            <w:tcW w:w="1583" w:type="dxa"/>
            <w:shd w:val="clear" w:color="auto" w:fill="auto"/>
            <w:vAlign w:val="center"/>
          </w:tcPr>
          <w:p w14:paraId="3D6B46B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3.33E-04</w:t>
            </w:r>
          </w:p>
        </w:tc>
        <w:tc>
          <w:tcPr>
            <w:tcW w:w="2211" w:type="dxa"/>
            <w:shd w:val="clear" w:color="auto" w:fill="auto"/>
            <w:vAlign w:val="center"/>
          </w:tcPr>
          <w:p w14:paraId="084429C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0.17</w:t>
            </w:r>
          </w:p>
        </w:tc>
        <w:tc>
          <w:tcPr>
            <w:tcW w:w="1665" w:type="dxa"/>
            <w:shd w:val="clear" w:color="auto" w:fill="auto"/>
            <w:vAlign w:val="center"/>
          </w:tcPr>
          <w:p w14:paraId="592D450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7.04E-05</w:t>
            </w:r>
          </w:p>
        </w:tc>
        <w:tc>
          <w:tcPr>
            <w:tcW w:w="2153" w:type="dxa"/>
            <w:shd w:val="clear" w:color="auto" w:fill="auto"/>
            <w:vAlign w:val="center"/>
          </w:tcPr>
          <w:p w14:paraId="5656232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0.7</w:t>
            </w:r>
          </w:p>
        </w:tc>
      </w:tr>
      <w:tr w14:paraId="6117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0E33905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650</w:t>
            </w:r>
          </w:p>
        </w:tc>
        <w:tc>
          <w:tcPr>
            <w:tcW w:w="1583" w:type="dxa"/>
            <w:shd w:val="clear" w:color="auto" w:fill="auto"/>
            <w:vAlign w:val="center"/>
          </w:tcPr>
          <w:p w14:paraId="22E9DB1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3.18E-04</w:t>
            </w:r>
          </w:p>
        </w:tc>
        <w:tc>
          <w:tcPr>
            <w:tcW w:w="2211" w:type="dxa"/>
            <w:shd w:val="clear" w:color="auto" w:fill="auto"/>
            <w:vAlign w:val="center"/>
          </w:tcPr>
          <w:p w14:paraId="0356E91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0.16</w:t>
            </w:r>
          </w:p>
        </w:tc>
        <w:tc>
          <w:tcPr>
            <w:tcW w:w="1665" w:type="dxa"/>
            <w:shd w:val="clear" w:color="auto" w:fill="auto"/>
            <w:vAlign w:val="center"/>
          </w:tcPr>
          <w:p w14:paraId="75249BF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6.71E-05</w:t>
            </w:r>
          </w:p>
        </w:tc>
        <w:tc>
          <w:tcPr>
            <w:tcW w:w="2153" w:type="dxa"/>
            <w:shd w:val="clear" w:color="auto" w:fill="auto"/>
            <w:vAlign w:val="center"/>
          </w:tcPr>
          <w:p w14:paraId="01BBB3C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0.67</w:t>
            </w:r>
          </w:p>
        </w:tc>
      </w:tr>
      <w:tr w14:paraId="6C19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7A03D9F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675</w:t>
            </w:r>
          </w:p>
        </w:tc>
        <w:tc>
          <w:tcPr>
            <w:tcW w:w="1583" w:type="dxa"/>
            <w:shd w:val="clear" w:color="auto" w:fill="auto"/>
            <w:vAlign w:val="center"/>
          </w:tcPr>
          <w:p w14:paraId="583205A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3.00E-04</w:t>
            </w:r>
          </w:p>
        </w:tc>
        <w:tc>
          <w:tcPr>
            <w:tcW w:w="2211" w:type="dxa"/>
            <w:shd w:val="clear" w:color="auto" w:fill="auto"/>
            <w:vAlign w:val="center"/>
          </w:tcPr>
          <w:p w14:paraId="1A3570B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0.15</w:t>
            </w:r>
          </w:p>
        </w:tc>
        <w:tc>
          <w:tcPr>
            <w:tcW w:w="1665" w:type="dxa"/>
            <w:shd w:val="clear" w:color="auto" w:fill="auto"/>
            <w:vAlign w:val="center"/>
          </w:tcPr>
          <w:p w14:paraId="361330E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6.34E-05</w:t>
            </w:r>
          </w:p>
        </w:tc>
        <w:tc>
          <w:tcPr>
            <w:tcW w:w="2153" w:type="dxa"/>
            <w:shd w:val="clear" w:color="auto" w:fill="auto"/>
            <w:vAlign w:val="center"/>
          </w:tcPr>
          <w:p w14:paraId="44D5B00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0.63</w:t>
            </w:r>
          </w:p>
        </w:tc>
      </w:tr>
      <w:tr w14:paraId="6010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0013AEF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700</w:t>
            </w:r>
          </w:p>
        </w:tc>
        <w:tc>
          <w:tcPr>
            <w:tcW w:w="1583" w:type="dxa"/>
            <w:shd w:val="clear" w:color="auto" w:fill="auto"/>
            <w:vAlign w:val="center"/>
          </w:tcPr>
          <w:p w14:paraId="589AC99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2.84E-04</w:t>
            </w:r>
          </w:p>
        </w:tc>
        <w:tc>
          <w:tcPr>
            <w:tcW w:w="2211" w:type="dxa"/>
            <w:shd w:val="clear" w:color="auto" w:fill="auto"/>
            <w:vAlign w:val="center"/>
          </w:tcPr>
          <w:p w14:paraId="29BAD88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0.14</w:t>
            </w:r>
          </w:p>
        </w:tc>
        <w:tc>
          <w:tcPr>
            <w:tcW w:w="1665" w:type="dxa"/>
            <w:shd w:val="clear" w:color="auto" w:fill="auto"/>
            <w:vAlign w:val="center"/>
          </w:tcPr>
          <w:p w14:paraId="66117A1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6.00E-05</w:t>
            </w:r>
          </w:p>
        </w:tc>
        <w:tc>
          <w:tcPr>
            <w:tcW w:w="2153" w:type="dxa"/>
            <w:shd w:val="clear" w:color="auto" w:fill="auto"/>
            <w:vAlign w:val="center"/>
          </w:tcPr>
          <w:p w14:paraId="6D26684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0.6</w:t>
            </w:r>
          </w:p>
        </w:tc>
      </w:tr>
      <w:tr w14:paraId="78E9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3DA4774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725</w:t>
            </w:r>
          </w:p>
        </w:tc>
        <w:tc>
          <w:tcPr>
            <w:tcW w:w="1583" w:type="dxa"/>
            <w:shd w:val="clear" w:color="auto" w:fill="auto"/>
            <w:vAlign w:val="center"/>
          </w:tcPr>
          <w:p w14:paraId="49D4F25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2.67E-04</w:t>
            </w:r>
          </w:p>
        </w:tc>
        <w:tc>
          <w:tcPr>
            <w:tcW w:w="2211" w:type="dxa"/>
            <w:shd w:val="clear" w:color="auto" w:fill="auto"/>
            <w:vAlign w:val="center"/>
          </w:tcPr>
          <w:p w14:paraId="19EE750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0.13</w:t>
            </w:r>
          </w:p>
        </w:tc>
        <w:tc>
          <w:tcPr>
            <w:tcW w:w="1665" w:type="dxa"/>
            <w:shd w:val="clear" w:color="auto" w:fill="auto"/>
            <w:vAlign w:val="center"/>
          </w:tcPr>
          <w:p w14:paraId="66CCB71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5.65E-05</w:t>
            </w:r>
          </w:p>
        </w:tc>
        <w:tc>
          <w:tcPr>
            <w:tcW w:w="2153" w:type="dxa"/>
            <w:shd w:val="clear" w:color="auto" w:fill="auto"/>
            <w:vAlign w:val="center"/>
          </w:tcPr>
          <w:p w14:paraId="19CB4C6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0.56</w:t>
            </w:r>
          </w:p>
        </w:tc>
      </w:tr>
      <w:tr w14:paraId="4FA7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1CE13BF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750</w:t>
            </w:r>
          </w:p>
        </w:tc>
        <w:tc>
          <w:tcPr>
            <w:tcW w:w="1583" w:type="dxa"/>
            <w:shd w:val="clear" w:color="auto" w:fill="auto"/>
            <w:vAlign w:val="center"/>
          </w:tcPr>
          <w:p w14:paraId="1F3E66B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2.61E-04</w:t>
            </w:r>
          </w:p>
        </w:tc>
        <w:tc>
          <w:tcPr>
            <w:tcW w:w="2211" w:type="dxa"/>
            <w:shd w:val="clear" w:color="auto" w:fill="auto"/>
            <w:vAlign w:val="center"/>
          </w:tcPr>
          <w:p w14:paraId="6B675AE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0.13</w:t>
            </w:r>
          </w:p>
        </w:tc>
        <w:tc>
          <w:tcPr>
            <w:tcW w:w="1665" w:type="dxa"/>
            <w:shd w:val="clear" w:color="auto" w:fill="auto"/>
            <w:vAlign w:val="center"/>
          </w:tcPr>
          <w:p w14:paraId="0050BD4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5.52E-05</w:t>
            </w:r>
          </w:p>
        </w:tc>
        <w:tc>
          <w:tcPr>
            <w:tcW w:w="2153" w:type="dxa"/>
            <w:shd w:val="clear" w:color="auto" w:fill="auto"/>
            <w:vAlign w:val="center"/>
          </w:tcPr>
          <w:p w14:paraId="1A8C25E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0.55</w:t>
            </w:r>
          </w:p>
        </w:tc>
      </w:tr>
      <w:tr w14:paraId="6A25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78AB2F5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775</w:t>
            </w:r>
          </w:p>
        </w:tc>
        <w:tc>
          <w:tcPr>
            <w:tcW w:w="1583" w:type="dxa"/>
            <w:shd w:val="clear" w:color="auto" w:fill="auto"/>
            <w:vAlign w:val="center"/>
          </w:tcPr>
          <w:p w14:paraId="7A40AE5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2.61E-04</w:t>
            </w:r>
          </w:p>
        </w:tc>
        <w:tc>
          <w:tcPr>
            <w:tcW w:w="2211" w:type="dxa"/>
            <w:shd w:val="clear" w:color="auto" w:fill="auto"/>
            <w:vAlign w:val="center"/>
          </w:tcPr>
          <w:p w14:paraId="4563303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0.13</w:t>
            </w:r>
          </w:p>
        </w:tc>
        <w:tc>
          <w:tcPr>
            <w:tcW w:w="1665" w:type="dxa"/>
            <w:shd w:val="clear" w:color="auto" w:fill="auto"/>
            <w:vAlign w:val="center"/>
          </w:tcPr>
          <w:p w14:paraId="1EE18F4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5.51E-05</w:t>
            </w:r>
          </w:p>
        </w:tc>
        <w:tc>
          <w:tcPr>
            <w:tcW w:w="2153" w:type="dxa"/>
            <w:shd w:val="clear" w:color="auto" w:fill="auto"/>
            <w:vAlign w:val="center"/>
          </w:tcPr>
          <w:p w14:paraId="2DCC8D8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0.55</w:t>
            </w:r>
          </w:p>
        </w:tc>
      </w:tr>
      <w:tr w14:paraId="1C42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21956E6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800</w:t>
            </w:r>
          </w:p>
        </w:tc>
        <w:tc>
          <w:tcPr>
            <w:tcW w:w="1583" w:type="dxa"/>
            <w:shd w:val="clear" w:color="auto" w:fill="auto"/>
            <w:vAlign w:val="center"/>
          </w:tcPr>
          <w:p w14:paraId="768FDF4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2.52E-04</w:t>
            </w:r>
          </w:p>
        </w:tc>
        <w:tc>
          <w:tcPr>
            <w:tcW w:w="2211" w:type="dxa"/>
            <w:shd w:val="clear" w:color="auto" w:fill="auto"/>
            <w:vAlign w:val="center"/>
          </w:tcPr>
          <w:p w14:paraId="7600E5A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0.13</w:t>
            </w:r>
          </w:p>
        </w:tc>
        <w:tc>
          <w:tcPr>
            <w:tcW w:w="1665" w:type="dxa"/>
            <w:shd w:val="clear" w:color="auto" w:fill="auto"/>
            <w:vAlign w:val="center"/>
          </w:tcPr>
          <w:p w14:paraId="7E6DAB1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5.31E-05</w:t>
            </w:r>
          </w:p>
        </w:tc>
        <w:tc>
          <w:tcPr>
            <w:tcW w:w="2153" w:type="dxa"/>
            <w:shd w:val="clear" w:color="auto" w:fill="auto"/>
            <w:vAlign w:val="center"/>
          </w:tcPr>
          <w:p w14:paraId="6ABF934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0.53</w:t>
            </w:r>
          </w:p>
        </w:tc>
      </w:tr>
      <w:tr w14:paraId="04B3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5CE68FF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825</w:t>
            </w:r>
          </w:p>
        </w:tc>
        <w:tc>
          <w:tcPr>
            <w:tcW w:w="1583" w:type="dxa"/>
            <w:shd w:val="clear" w:color="auto" w:fill="auto"/>
            <w:vAlign w:val="center"/>
          </w:tcPr>
          <w:p w14:paraId="25E098B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2.41E-04</w:t>
            </w:r>
          </w:p>
        </w:tc>
        <w:tc>
          <w:tcPr>
            <w:tcW w:w="2211" w:type="dxa"/>
            <w:shd w:val="clear" w:color="auto" w:fill="auto"/>
            <w:vAlign w:val="center"/>
          </w:tcPr>
          <w:p w14:paraId="4B00792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0.12</w:t>
            </w:r>
          </w:p>
        </w:tc>
        <w:tc>
          <w:tcPr>
            <w:tcW w:w="1665" w:type="dxa"/>
            <w:shd w:val="clear" w:color="auto" w:fill="auto"/>
            <w:vAlign w:val="center"/>
          </w:tcPr>
          <w:p w14:paraId="1098A46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5.09E-05</w:t>
            </w:r>
          </w:p>
        </w:tc>
        <w:tc>
          <w:tcPr>
            <w:tcW w:w="2153" w:type="dxa"/>
            <w:shd w:val="clear" w:color="auto" w:fill="auto"/>
            <w:vAlign w:val="center"/>
          </w:tcPr>
          <w:p w14:paraId="7C0F7BA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0.51</w:t>
            </w:r>
          </w:p>
        </w:tc>
      </w:tr>
      <w:tr w14:paraId="20CC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2450CC5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850</w:t>
            </w:r>
          </w:p>
        </w:tc>
        <w:tc>
          <w:tcPr>
            <w:tcW w:w="1583" w:type="dxa"/>
            <w:shd w:val="clear" w:color="auto" w:fill="auto"/>
            <w:vAlign w:val="center"/>
          </w:tcPr>
          <w:p w14:paraId="57625F1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2.35E-04</w:t>
            </w:r>
          </w:p>
        </w:tc>
        <w:tc>
          <w:tcPr>
            <w:tcW w:w="2211" w:type="dxa"/>
            <w:shd w:val="clear" w:color="auto" w:fill="auto"/>
            <w:vAlign w:val="center"/>
          </w:tcPr>
          <w:p w14:paraId="6371227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0.12</w:t>
            </w:r>
          </w:p>
        </w:tc>
        <w:tc>
          <w:tcPr>
            <w:tcW w:w="1665" w:type="dxa"/>
            <w:shd w:val="clear" w:color="auto" w:fill="auto"/>
            <w:vAlign w:val="center"/>
          </w:tcPr>
          <w:p w14:paraId="10B5307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4.96E-05</w:t>
            </w:r>
          </w:p>
        </w:tc>
        <w:tc>
          <w:tcPr>
            <w:tcW w:w="2153" w:type="dxa"/>
            <w:shd w:val="clear" w:color="auto" w:fill="auto"/>
            <w:vAlign w:val="center"/>
          </w:tcPr>
          <w:p w14:paraId="6946FC6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0.5</w:t>
            </w:r>
          </w:p>
        </w:tc>
      </w:tr>
      <w:tr w14:paraId="4E2A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3EAF7F9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875</w:t>
            </w:r>
          </w:p>
        </w:tc>
        <w:tc>
          <w:tcPr>
            <w:tcW w:w="1583" w:type="dxa"/>
            <w:shd w:val="clear" w:color="auto" w:fill="auto"/>
            <w:vAlign w:val="center"/>
          </w:tcPr>
          <w:p w14:paraId="4AB1EB3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2.27E-04</w:t>
            </w:r>
          </w:p>
        </w:tc>
        <w:tc>
          <w:tcPr>
            <w:tcW w:w="2211" w:type="dxa"/>
            <w:shd w:val="clear" w:color="auto" w:fill="auto"/>
            <w:vAlign w:val="center"/>
          </w:tcPr>
          <w:p w14:paraId="7FB07EF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0.11</w:t>
            </w:r>
          </w:p>
        </w:tc>
        <w:tc>
          <w:tcPr>
            <w:tcW w:w="1665" w:type="dxa"/>
            <w:shd w:val="clear" w:color="auto" w:fill="auto"/>
            <w:vAlign w:val="center"/>
          </w:tcPr>
          <w:p w14:paraId="3B769B8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4.79E-05</w:t>
            </w:r>
          </w:p>
        </w:tc>
        <w:tc>
          <w:tcPr>
            <w:tcW w:w="2153" w:type="dxa"/>
            <w:shd w:val="clear" w:color="auto" w:fill="auto"/>
            <w:vAlign w:val="center"/>
          </w:tcPr>
          <w:p w14:paraId="3C24BFB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0.48</w:t>
            </w:r>
          </w:p>
        </w:tc>
      </w:tr>
      <w:tr w14:paraId="6544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719ADC3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900</w:t>
            </w:r>
          </w:p>
        </w:tc>
        <w:tc>
          <w:tcPr>
            <w:tcW w:w="1583" w:type="dxa"/>
            <w:shd w:val="clear" w:color="auto" w:fill="auto"/>
            <w:vAlign w:val="center"/>
          </w:tcPr>
          <w:p w14:paraId="5052BFE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2.16E-04</w:t>
            </w:r>
          </w:p>
        </w:tc>
        <w:tc>
          <w:tcPr>
            <w:tcW w:w="2211" w:type="dxa"/>
            <w:shd w:val="clear" w:color="auto" w:fill="auto"/>
            <w:vAlign w:val="center"/>
          </w:tcPr>
          <w:p w14:paraId="3A24419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0.11</w:t>
            </w:r>
          </w:p>
        </w:tc>
        <w:tc>
          <w:tcPr>
            <w:tcW w:w="1665" w:type="dxa"/>
            <w:shd w:val="clear" w:color="auto" w:fill="auto"/>
            <w:vAlign w:val="center"/>
          </w:tcPr>
          <w:p w14:paraId="0D6F375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4.57E-05</w:t>
            </w:r>
          </w:p>
        </w:tc>
        <w:tc>
          <w:tcPr>
            <w:tcW w:w="2153" w:type="dxa"/>
            <w:shd w:val="clear" w:color="auto" w:fill="auto"/>
            <w:vAlign w:val="center"/>
          </w:tcPr>
          <w:p w14:paraId="420B07F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0.46</w:t>
            </w:r>
          </w:p>
        </w:tc>
      </w:tr>
      <w:tr w14:paraId="0AA1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208BC9A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925</w:t>
            </w:r>
          </w:p>
        </w:tc>
        <w:tc>
          <w:tcPr>
            <w:tcW w:w="1583" w:type="dxa"/>
            <w:shd w:val="clear" w:color="auto" w:fill="auto"/>
            <w:vAlign w:val="center"/>
          </w:tcPr>
          <w:p w14:paraId="1631978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2.05E-04</w:t>
            </w:r>
          </w:p>
        </w:tc>
        <w:tc>
          <w:tcPr>
            <w:tcW w:w="2211" w:type="dxa"/>
            <w:shd w:val="clear" w:color="auto" w:fill="auto"/>
            <w:vAlign w:val="center"/>
          </w:tcPr>
          <w:p w14:paraId="508CEE1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w:t>
            </w:r>
          </w:p>
        </w:tc>
        <w:tc>
          <w:tcPr>
            <w:tcW w:w="1665" w:type="dxa"/>
            <w:shd w:val="clear" w:color="auto" w:fill="auto"/>
            <w:vAlign w:val="center"/>
          </w:tcPr>
          <w:p w14:paraId="6AC67AB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4.34E-05</w:t>
            </w:r>
          </w:p>
        </w:tc>
        <w:tc>
          <w:tcPr>
            <w:tcW w:w="2153" w:type="dxa"/>
            <w:shd w:val="clear" w:color="auto" w:fill="auto"/>
            <w:vAlign w:val="center"/>
          </w:tcPr>
          <w:p w14:paraId="2AC1648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0.43</w:t>
            </w:r>
          </w:p>
        </w:tc>
      </w:tr>
      <w:tr w14:paraId="0939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76C0384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950</w:t>
            </w:r>
          </w:p>
        </w:tc>
        <w:tc>
          <w:tcPr>
            <w:tcW w:w="1583" w:type="dxa"/>
            <w:shd w:val="clear" w:color="auto" w:fill="auto"/>
            <w:vAlign w:val="center"/>
          </w:tcPr>
          <w:p w14:paraId="149BFA9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1.93E-04</w:t>
            </w:r>
          </w:p>
        </w:tc>
        <w:tc>
          <w:tcPr>
            <w:tcW w:w="2211" w:type="dxa"/>
            <w:shd w:val="clear" w:color="auto" w:fill="auto"/>
            <w:vAlign w:val="center"/>
          </w:tcPr>
          <w:p w14:paraId="5CAD720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w:t>
            </w:r>
          </w:p>
        </w:tc>
        <w:tc>
          <w:tcPr>
            <w:tcW w:w="1665" w:type="dxa"/>
            <w:shd w:val="clear" w:color="auto" w:fill="auto"/>
            <w:vAlign w:val="center"/>
          </w:tcPr>
          <w:p w14:paraId="2F1D9C9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4.08E-05</w:t>
            </w:r>
          </w:p>
        </w:tc>
        <w:tc>
          <w:tcPr>
            <w:tcW w:w="2153" w:type="dxa"/>
            <w:shd w:val="clear" w:color="auto" w:fill="auto"/>
            <w:vAlign w:val="center"/>
          </w:tcPr>
          <w:p w14:paraId="4CE17E7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0.41</w:t>
            </w:r>
          </w:p>
        </w:tc>
      </w:tr>
      <w:tr w14:paraId="0CB4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782EDF7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975</w:t>
            </w:r>
          </w:p>
        </w:tc>
        <w:tc>
          <w:tcPr>
            <w:tcW w:w="1583" w:type="dxa"/>
            <w:shd w:val="clear" w:color="auto" w:fill="auto"/>
            <w:vAlign w:val="center"/>
          </w:tcPr>
          <w:p w14:paraId="69FB454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1.96E-04</w:t>
            </w:r>
          </w:p>
        </w:tc>
        <w:tc>
          <w:tcPr>
            <w:tcW w:w="2211" w:type="dxa"/>
            <w:shd w:val="clear" w:color="auto" w:fill="auto"/>
            <w:vAlign w:val="center"/>
          </w:tcPr>
          <w:p w14:paraId="02CC170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w:t>
            </w:r>
          </w:p>
        </w:tc>
        <w:tc>
          <w:tcPr>
            <w:tcW w:w="1665" w:type="dxa"/>
            <w:shd w:val="clear" w:color="auto" w:fill="auto"/>
            <w:vAlign w:val="center"/>
          </w:tcPr>
          <w:p w14:paraId="5FB2E97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4.14E-05</w:t>
            </w:r>
          </w:p>
        </w:tc>
        <w:tc>
          <w:tcPr>
            <w:tcW w:w="2153" w:type="dxa"/>
            <w:shd w:val="clear" w:color="auto" w:fill="auto"/>
            <w:vAlign w:val="center"/>
          </w:tcPr>
          <w:p w14:paraId="6666693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0.41</w:t>
            </w:r>
          </w:p>
        </w:tc>
      </w:tr>
      <w:tr w14:paraId="19BC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28865C0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1583" w:type="dxa"/>
            <w:shd w:val="clear" w:color="auto" w:fill="auto"/>
            <w:vAlign w:val="center"/>
          </w:tcPr>
          <w:p w14:paraId="420E7B9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1.94E-04</w:t>
            </w:r>
          </w:p>
        </w:tc>
        <w:tc>
          <w:tcPr>
            <w:tcW w:w="2211" w:type="dxa"/>
            <w:shd w:val="clear" w:color="auto" w:fill="auto"/>
            <w:vAlign w:val="center"/>
          </w:tcPr>
          <w:p w14:paraId="317220B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w:t>
            </w:r>
          </w:p>
        </w:tc>
        <w:tc>
          <w:tcPr>
            <w:tcW w:w="1665" w:type="dxa"/>
            <w:shd w:val="clear" w:color="auto" w:fill="auto"/>
            <w:vAlign w:val="center"/>
          </w:tcPr>
          <w:p w14:paraId="6855352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4.10E-05</w:t>
            </w:r>
          </w:p>
        </w:tc>
        <w:tc>
          <w:tcPr>
            <w:tcW w:w="2153" w:type="dxa"/>
            <w:shd w:val="clear" w:color="auto" w:fill="auto"/>
            <w:vAlign w:val="center"/>
          </w:tcPr>
          <w:p w14:paraId="49D5EEF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0.41</w:t>
            </w:r>
          </w:p>
        </w:tc>
      </w:tr>
      <w:tr w14:paraId="4180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5FFF29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1500</w:t>
            </w:r>
          </w:p>
        </w:tc>
        <w:tc>
          <w:tcPr>
            <w:tcW w:w="1583" w:type="dxa"/>
            <w:shd w:val="clear" w:color="auto" w:fill="auto"/>
            <w:vAlign w:val="center"/>
          </w:tcPr>
          <w:p w14:paraId="48AECD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7.04E-05</w:t>
            </w:r>
          </w:p>
        </w:tc>
        <w:tc>
          <w:tcPr>
            <w:tcW w:w="2211" w:type="dxa"/>
            <w:shd w:val="clear" w:color="auto" w:fill="auto"/>
            <w:vAlign w:val="center"/>
          </w:tcPr>
          <w:p w14:paraId="49103B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0.04</w:t>
            </w:r>
          </w:p>
        </w:tc>
        <w:tc>
          <w:tcPr>
            <w:tcW w:w="1665" w:type="dxa"/>
            <w:shd w:val="clear" w:color="auto" w:fill="auto"/>
            <w:vAlign w:val="center"/>
          </w:tcPr>
          <w:p w14:paraId="789144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1.49E-05</w:t>
            </w:r>
          </w:p>
        </w:tc>
        <w:tc>
          <w:tcPr>
            <w:tcW w:w="2153" w:type="dxa"/>
            <w:shd w:val="clear" w:color="auto" w:fill="auto"/>
            <w:vAlign w:val="center"/>
          </w:tcPr>
          <w:p w14:paraId="4A9F02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0.15</w:t>
            </w:r>
          </w:p>
        </w:tc>
      </w:tr>
      <w:tr w14:paraId="3E5A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3F1164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2000</w:t>
            </w:r>
          </w:p>
        </w:tc>
        <w:tc>
          <w:tcPr>
            <w:tcW w:w="1583" w:type="dxa"/>
            <w:shd w:val="clear" w:color="auto" w:fill="auto"/>
            <w:vAlign w:val="center"/>
          </w:tcPr>
          <w:p w14:paraId="4C719D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6.87E-05</w:t>
            </w:r>
          </w:p>
        </w:tc>
        <w:tc>
          <w:tcPr>
            <w:tcW w:w="2211" w:type="dxa"/>
            <w:shd w:val="clear" w:color="auto" w:fill="auto"/>
            <w:vAlign w:val="center"/>
          </w:tcPr>
          <w:p w14:paraId="5F2E15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0.03</w:t>
            </w:r>
          </w:p>
        </w:tc>
        <w:tc>
          <w:tcPr>
            <w:tcW w:w="1665" w:type="dxa"/>
            <w:shd w:val="clear" w:color="auto" w:fill="auto"/>
            <w:vAlign w:val="center"/>
          </w:tcPr>
          <w:p w14:paraId="3A9E9E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1.45E-05</w:t>
            </w:r>
          </w:p>
        </w:tc>
        <w:tc>
          <w:tcPr>
            <w:tcW w:w="2153" w:type="dxa"/>
            <w:shd w:val="clear" w:color="auto" w:fill="auto"/>
            <w:vAlign w:val="center"/>
          </w:tcPr>
          <w:p w14:paraId="16CA39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0.15</w:t>
            </w:r>
          </w:p>
        </w:tc>
      </w:tr>
      <w:tr w14:paraId="5A87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10B246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2500</w:t>
            </w:r>
          </w:p>
        </w:tc>
        <w:tc>
          <w:tcPr>
            <w:tcW w:w="1583" w:type="dxa"/>
            <w:shd w:val="clear" w:color="auto" w:fill="auto"/>
            <w:vAlign w:val="center"/>
          </w:tcPr>
          <w:p w14:paraId="705DCC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3.69E-05</w:t>
            </w:r>
          </w:p>
        </w:tc>
        <w:tc>
          <w:tcPr>
            <w:tcW w:w="2211" w:type="dxa"/>
            <w:shd w:val="clear" w:color="auto" w:fill="auto"/>
            <w:vAlign w:val="center"/>
          </w:tcPr>
          <w:p w14:paraId="44E149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0.02</w:t>
            </w:r>
          </w:p>
        </w:tc>
        <w:tc>
          <w:tcPr>
            <w:tcW w:w="1665" w:type="dxa"/>
            <w:shd w:val="clear" w:color="auto" w:fill="auto"/>
            <w:vAlign w:val="center"/>
          </w:tcPr>
          <w:p w14:paraId="54C6C5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7.79E-06</w:t>
            </w:r>
          </w:p>
        </w:tc>
        <w:tc>
          <w:tcPr>
            <w:tcW w:w="2153" w:type="dxa"/>
            <w:shd w:val="clear" w:color="auto" w:fill="auto"/>
            <w:vAlign w:val="center"/>
          </w:tcPr>
          <w:p w14:paraId="4061BE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0.08</w:t>
            </w:r>
          </w:p>
        </w:tc>
      </w:tr>
      <w:tr w14:paraId="0BD72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47" w:type="dxa"/>
            <w:shd w:val="clear" w:color="auto" w:fill="auto"/>
            <w:vAlign w:val="center"/>
          </w:tcPr>
          <w:p w14:paraId="57D8293C">
            <w:pPr>
              <w:spacing w:line="240" w:lineRule="auto"/>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rPr>
              <w:t>下风向最大浓度</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58m)</w:t>
            </w:r>
          </w:p>
        </w:tc>
        <w:tc>
          <w:tcPr>
            <w:tcW w:w="1583" w:type="dxa"/>
            <w:shd w:val="clear" w:color="auto" w:fill="auto"/>
            <w:vAlign w:val="center"/>
          </w:tcPr>
          <w:p w14:paraId="6C4B87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2.84E-03</w:t>
            </w:r>
          </w:p>
        </w:tc>
        <w:tc>
          <w:tcPr>
            <w:tcW w:w="2211" w:type="dxa"/>
            <w:shd w:val="clear" w:color="auto" w:fill="auto"/>
            <w:vAlign w:val="center"/>
          </w:tcPr>
          <w:p w14:paraId="72C510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1.42</w:t>
            </w:r>
          </w:p>
        </w:tc>
        <w:tc>
          <w:tcPr>
            <w:tcW w:w="1665" w:type="dxa"/>
            <w:shd w:val="clear" w:color="auto" w:fill="auto"/>
            <w:vAlign w:val="center"/>
          </w:tcPr>
          <w:p w14:paraId="70A036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6.01E-04</w:t>
            </w:r>
          </w:p>
        </w:tc>
        <w:tc>
          <w:tcPr>
            <w:tcW w:w="2153" w:type="dxa"/>
            <w:shd w:val="clear" w:color="auto" w:fill="auto"/>
            <w:vAlign w:val="center"/>
          </w:tcPr>
          <w:p w14:paraId="65C741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6.01</w:t>
            </w:r>
          </w:p>
        </w:tc>
      </w:tr>
    </w:tbl>
    <w:p w14:paraId="07E35631">
      <w:pPr>
        <w:keepNext w:val="0"/>
        <w:keepLines w:val="0"/>
        <w:pageBreakBefore w:val="0"/>
        <w:widowControl w:val="0"/>
        <w:kinsoku/>
        <w:wordWrap/>
        <w:overflowPunct/>
        <w:topLinePunct w:val="0"/>
        <w:autoSpaceDE/>
        <w:autoSpaceDN/>
        <w:bidi w:val="0"/>
        <w:adjustRightInd/>
        <w:snapToGrid/>
        <w:spacing w:before="157" w:beforeLines="50" w:line="360" w:lineRule="auto"/>
        <w:ind w:firstLine="422" w:firstLineChars="200"/>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Cs w:val="20"/>
          <w:lang w:val="en-US" w:eastAsia="zh-CN"/>
        </w:rPr>
        <w:t>（2）烘干棚天然气燃烧器无组织废气估算结果</w:t>
      </w:r>
    </w:p>
    <w:p w14:paraId="7F1FF4B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cs="Times New Roman"/>
          <w:color w:val="auto"/>
          <w:szCs w:val="20"/>
          <w:lang w:val="en-US" w:eastAsia="zh-CN"/>
        </w:rPr>
        <w:t>5.2.1</w:t>
      </w:r>
      <w:r>
        <w:rPr>
          <w:rFonts w:hint="default" w:ascii="Times New Roman" w:hAnsi="Times New Roman" w:cs="Times New Roman"/>
          <w:color w:val="auto"/>
          <w:szCs w:val="20"/>
        </w:rPr>
        <w:t>-</w:t>
      </w:r>
      <w:r>
        <w:rPr>
          <w:rFonts w:hint="default" w:ascii="Times New Roman" w:hAnsi="Times New Roman" w:cs="Times New Roman"/>
          <w:color w:val="auto"/>
          <w:szCs w:val="20"/>
          <w:lang w:val="en-US" w:eastAsia="zh-CN"/>
        </w:rPr>
        <w:t>5</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烘干棚柴油燃烧器无组织废气</w:t>
      </w:r>
      <w:r>
        <w:rPr>
          <w:rFonts w:hint="default" w:ascii="Times New Roman" w:hAnsi="Times New Roman" w:eastAsia="宋体" w:cs="Times New Roman"/>
          <w:b/>
          <w:bCs/>
          <w:color w:val="auto"/>
          <w:sz w:val="21"/>
          <w:szCs w:val="21"/>
        </w:rPr>
        <w:t>估算模式预测结果</w:t>
      </w:r>
    </w:p>
    <w:tbl>
      <w:tblPr>
        <w:tblStyle w:val="23"/>
        <w:tblW w:w="8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36"/>
        <w:gridCol w:w="1246"/>
        <w:gridCol w:w="1175"/>
        <w:gridCol w:w="13"/>
        <w:gridCol w:w="1184"/>
        <w:gridCol w:w="1148"/>
        <w:gridCol w:w="1230"/>
        <w:gridCol w:w="1164"/>
      </w:tblGrid>
      <w:tr w14:paraId="32DE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36" w:type="dxa"/>
            <w:vMerge w:val="restart"/>
            <w:shd w:val="clear" w:color="auto" w:fill="auto"/>
            <w:vAlign w:val="center"/>
          </w:tcPr>
          <w:p w14:paraId="1EEE6FEA">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color w:val="auto"/>
                <w:sz w:val="18"/>
                <w:szCs w:val="18"/>
              </w:rPr>
              <w:t>下风向距离（m）</w:t>
            </w:r>
          </w:p>
        </w:tc>
        <w:tc>
          <w:tcPr>
            <w:tcW w:w="7160" w:type="dxa"/>
            <w:gridSpan w:val="7"/>
            <w:shd w:val="clear" w:color="auto" w:fill="auto"/>
            <w:vAlign w:val="center"/>
          </w:tcPr>
          <w:p w14:paraId="0D6D75ED">
            <w:pPr>
              <w:spacing w:line="240" w:lineRule="auto"/>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color w:val="auto"/>
                <w:sz w:val="18"/>
                <w:szCs w:val="18"/>
                <w:lang w:val="en-US" w:eastAsia="zh-CN"/>
              </w:rPr>
              <w:t>烘干棚</w:t>
            </w:r>
          </w:p>
        </w:tc>
      </w:tr>
      <w:tr w14:paraId="6774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36" w:type="dxa"/>
            <w:vMerge w:val="continue"/>
            <w:shd w:val="clear" w:color="auto" w:fill="auto"/>
            <w:vAlign w:val="center"/>
          </w:tcPr>
          <w:p w14:paraId="1CAF92DC">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246" w:type="dxa"/>
            <w:shd w:val="clear" w:color="auto" w:fill="auto"/>
            <w:vAlign w:val="center"/>
          </w:tcPr>
          <w:p w14:paraId="51E62F26">
            <w:pPr>
              <w:spacing w:line="240" w:lineRule="auto"/>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color w:val="auto"/>
                <w:sz w:val="18"/>
                <w:szCs w:val="18"/>
                <w:lang w:val="en-US" w:eastAsia="zh-CN"/>
              </w:rPr>
              <w:t>TSP</w:t>
            </w:r>
            <w:r>
              <w:rPr>
                <w:rFonts w:hint="default" w:ascii="Times New Roman" w:hAnsi="Times New Roman" w:cs="Times New Roman"/>
                <w:b/>
                <w:color w:val="auto"/>
                <w:sz w:val="18"/>
                <w:szCs w:val="18"/>
              </w:rPr>
              <w:t>浓度(</w:t>
            </w:r>
            <w:r>
              <w:rPr>
                <w:rFonts w:hint="default" w:ascii="Times New Roman" w:hAnsi="Times New Roman" w:cs="Times New Roman"/>
                <w:b/>
                <w:color w:val="auto"/>
                <w:sz w:val="18"/>
                <w:szCs w:val="18"/>
                <w:lang w:val="en-US" w:eastAsia="zh-CN"/>
              </w:rPr>
              <w:t>m</w:t>
            </w:r>
            <w:r>
              <w:rPr>
                <w:rFonts w:hint="default" w:ascii="Times New Roman" w:hAnsi="Times New Roman" w:cs="Times New Roman"/>
                <w:b/>
                <w:color w:val="auto"/>
                <w:sz w:val="18"/>
                <w:szCs w:val="18"/>
              </w:rPr>
              <w:t>g/m³)</w:t>
            </w:r>
          </w:p>
        </w:tc>
        <w:tc>
          <w:tcPr>
            <w:tcW w:w="1175" w:type="dxa"/>
            <w:shd w:val="clear" w:color="auto" w:fill="auto"/>
            <w:vAlign w:val="center"/>
          </w:tcPr>
          <w:p w14:paraId="300A3DD3">
            <w:pPr>
              <w:spacing w:line="240" w:lineRule="auto"/>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color w:val="auto"/>
                <w:sz w:val="18"/>
                <w:szCs w:val="18"/>
                <w:lang w:val="en-US" w:eastAsia="zh-CN"/>
              </w:rPr>
              <w:t>TSP</w:t>
            </w:r>
            <w:r>
              <w:rPr>
                <w:rFonts w:hint="default" w:ascii="Times New Roman" w:hAnsi="Times New Roman" w:cs="Times New Roman"/>
                <w:b/>
                <w:color w:val="auto"/>
                <w:sz w:val="18"/>
                <w:szCs w:val="18"/>
              </w:rPr>
              <w:t>占标率(%)</w:t>
            </w:r>
          </w:p>
        </w:tc>
        <w:tc>
          <w:tcPr>
            <w:tcW w:w="1197" w:type="dxa"/>
            <w:gridSpan w:val="2"/>
            <w:shd w:val="clear" w:color="auto" w:fill="auto"/>
            <w:vAlign w:val="center"/>
          </w:tcPr>
          <w:p w14:paraId="3647984D">
            <w:pPr>
              <w:spacing w:line="240" w:lineRule="auto"/>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color w:val="auto"/>
                <w:sz w:val="18"/>
                <w:szCs w:val="18"/>
                <w:lang w:val="en-US" w:eastAsia="zh-CN"/>
              </w:rPr>
              <w:t>SO</w:t>
            </w:r>
            <w:r>
              <w:rPr>
                <w:rFonts w:hint="default" w:ascii="Times New Roman" w:hAnsi="Times New Roman" w:cs="Times New Roman"/>
                <w:b/>
                <w:color w:val="auto"/>
                <w:sz w:val="18"/>
                <w:szCs w:val="18"/>
                <w:vertAlign w:val="subscript"/>
                <w:lang w:val="en-US" w:eastAsia="zh-CN"/>
              </w:rPr>
              <w:t>2</w:t>
            </w:r>
            <w:r>
              <w:rPr>
                <w:rFonts w:hint="default" w:ascii="Times New Roman" w:hAnsi="Times New Roman" w:cs="Times New Roman"/>
                <w:b/>
                <w:color w:val="auto"/>
                <w:sz w:val="18"/>
                <w:szCs w:val="18"/>
              </w:rPr>
              <w:t>浓度(</w:t>
            </w:r>
            <w:r>
              <w:rPr>
                <w:rFonts w:hint="default" w:ascii="Times New Roman" w:hAnsi="Times New Roman" w:cs="Times New Roman"/>
                <w:b/>
                <w:color w:val="auto"/>
                <w:sz w:val="18"/>
                <w:szCs w:val="18"/>
                <w:lang w:val="en-US" w:eastAsia="zh-CN"/>
              </w:rPr>
              <w:t>m</w:t>
            </w:r>
            <w:r>
              <w:rPr>
                <w:rFonts w:hint="default" w:ascii="Times New Roman" w:hAnsi="Times New Roman" w:cs="Times New Roman"/>
                <w:b/>
                <w:color w:val="auto"/>
                <w:sz w:val="18"/>
                <w:szCs w:val="18"/>
              </w:rPr>
              <w:t>g/m³)</w:t>
            </w:r>
          </w:p>
        </w:tc>
        <w:tc>
          <w:tcPr>
            <w:tcW w:w="1148" w:type="dxa"/>
            <w:shd w:val="clear" w:color="auto" w:fill="auto"/>
            <w:vAlign w:val="center"/>
          </w:tcPr>
          <w:p w14:paraId="50A50799">
            <w:pPr>
              <w:spacing w:line="240" w:lineRule="auto"/>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color w:val="auto"/>
                <w:sz w:val="18"/>
                <w:szCs w:val="18"/>
                <w:lang w:val="en-US" w:eastAsia="zh-CN"/>
              </w:rPr>
              <w:t>SO</w:t>
            </w:r>
            <w:r>
              <w:rPr>
                <w:rFonts w:hint="default" w:ascii="Times New Roman" w:hAnsi="Times New Roman" w:cs="Times New Roman"/>
                <w:b/>
                <w:color w:val="auto"/>
                <w:sz w:val="18"/>
                <w:szCs w:val="18"/>
                <w:vertAlign w:val="subscript"/>
                <w:lang w:val="en-US" w:eastAsia="zh-CN"/>
              </w:rPr>
              <w:t>2</w:t>
            </w:r>
            <w:r>
              <w:rPr>
                <w:rFonts w:hint="default" w:ascii="Times New Roman" w:hAnsi="Times New Roman" w:cs="Times New Roman"/>
                <w:b/>
                <w:color w:val="auto"/>
                <w:sz w:val="18"/>
                <w:szCs w:val="18"/>
              </w:rPr>
              <w:t>占标率(%)</w:t>
            </w:r>
          </w:p>
        </w:tc>
        <w:tc>
          <w:tcPr>
            <w:tcW w:w="1230" w:type="dxa"/>
            <w:shd w:val="clear" w:color="auto" w:fill="auto"/>
            <w:vAlign w:val="center"/>
          </w:tcPr>
          <w:p w14:paraId="71CB0E74">
            <w:pPr>
              <w:spacing w:line="240" w:lineRule="auto"/>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color w:val="auto"/>
                <w:sz w:val="18"/>
                <w:szCs w:val="18"/>
              </w:rPr>
              <w:t>N</w:t>
            </w:r>
            <w:r>
              <w:rPr>
                <w:rFonts w:hint="default" w:ascii="Times New Roman" w:hAnsi="Times New Roman" w:cs="Times New Roman"/>
                <w:b/>
                <w:color w:val="auto"/>
                <w:sz w:val="18"/>
                <w:szCs w:val="18"/>
                <w:lang w:val="en-US" w:eastAsia="zh-CN"/>
              </w:rPr>
              <w:t>O</w:t>
            </w:r>
            <w:r>
              <w:rPr>
                <w:rFonts w:hint="default" w:ascii="Times New Roman" w:hAnsi="Times New Roman" w:cs="Times New Roman"/>
                <w:b/>
                <w:color w:val="auto"/>
                <w:sz w:val="18"/>
                <w:szCs w:val="18"/>
                <w:vertAlign w:val="subscript"/>
                <w:lang w:val="en-US" w:eastAsia="zh-CN"/>
              </w:rPr>
              <w:t>2</w:t>
            </w:r>
            <w:r>
              <w:rPr>
                <w:rFonts w:hint="default" w:ascii="Times New Roman" w:hAnsi="Times New Roman" w:cs="Times New Roman"/>
                <w:b/>
                <w:color w:val="auto"/>
                <w:sz w:val="18"/>
                <w:szCs w:val="18"/>
              </w:rPr>
              <w:t>浓度(</w:t>
            </w:r>
            <w:r>
              <w:rPr>
                <w:rFonts w:hint="default" w:ascii="Times New Roman" w:hAnsi="Times New Roman" w:cs="Times New Roman"/>
                <w:b/>
                <w:color w:val="auto"/>
                <w:sz w:val="18"/>
                <w:szCs w:val="18"/>
                <w:lang w:val="en-US" w:eastAsia="zh-CN"/>
              </w:rPr>
              <w:t>m</w:t>
            </w:r>
            <w:r>
              <w:rPr>
                <w:rFonts w:hint="default" w:ascii="Times New Roman" w:hAnsi="Times New Roman" w:cs="Times New Roman"/>
                <w:b/>
                <w:color w:val="auto"/>
                <w:sz w:val="18"/>
                <w:szCs w:val="18"/>
              </w:rPr>
              <w:t>g/m³)</w:t>
            </w:r>
          </w:p>
        </w:tc>
        <w:tc>
          <w:tcPr>
            <w:tcW w:w="1164" w:type="dxa"/>
            <w:shd w:val="clear" w:color="auto" w:fill="auto"/>
            <w:vAlign w:val="center"/>
          </w:tcPr>
          <w:p w14:paraId="716D8135">
            <w:pPr>
              <w:spacing w:line="240" w:lineRule="auto"/>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
                <w:color w:val="auto"/>
                <w:sz w:val="18"/>
                <w:szCs w:val="18"/>
              </w:rPr>
              <w:t>N</w:t>
            </w:r>
            <w:r>
              <w:rPr>
                <w:rFonts w:hint="default" w:ascii="Times New Roman" w:hAnsi="Times New Roman" w:cs="Times New Roman"/>
                <w:b/>
                <w:color w:val="auto"/>
                <w:sz w:val="18"/>
                <w:szCs w:val="18"/>
                <w:lang w:val="en-US" w:eastAsia="zh-CN"/>
              </w:rPr>
              <w:t>O</w:t>
            </w:r>
            <w:r>
              <w:rPr>
                <w:rFonts w:hint="default" w:ascii="Times New Roman" w:hAnsi="Times New Roman" w:cs="Times New Roman"/>
                <w:b/>
                <w:color w:val="auto"/>
                <w:sz w:val="18"/>
                <w:szCs w:val="18"/>
                <w:vertAlign w:val="subscript"/>
                <w:lang w:val="en-US" w:eastAsia="zh-CN"/>
              </w:rPr>
              <w:t>2</w:t>
            </w:r>
            <w:r>
              <w:rPr>
                <w:rFonts w:hint="default" w:ascii="Times New Roman" w:hAnsi="Times New Roman" w:cs="Times New Roman"/>
                <w:b/>
                <w:color w:val="auto"/>
                <w:sz w:val="18"/>
                <w:szCs w:val="18"/>
              </w:rPr>
              <w:t>占标率(%)</w:t>
            </w:r>
          </w:p>
        </w:tc>
      </w:tr>
      <w:tr w14:paraId="247F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20B0013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246" w:type="dxa"/>
            <w:shd w:val="clear" w:color="auto" w:fill="auto"/>
            <w:vAlign w:val="center"/>
          </w:tcPr>
          <w:p w14:paraId="736774AC">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1.69E-04</w:t>
            </w:r>
          </w:p>
        </w:tc>
        <w:tc>
          <w:tcPr>
            <w:tcW w:w="1188" w:type="dxa"/>
            <w:gridSpan w:val="2"/>
            <w:shd w:val="clear" w:color="auto" w:fill="auto"/>
            <w:vAlign w:val="center"/>
          </w:tcPr>
          <w:p w14:paraId="4B8ED658">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0.02</w:t>
            </w:r>
          </w:p>
        </w:tc>
        <w:tc>
          <w:tcPr>
            <w:tcW w:w="1184" w:type="dxa"/>
            <w:shd w:val="clear" w:color="auto" w:fill="auto"/>
            <w:vAlign w:val="center"/>
          </w:tcPr>
          <w:p w14:paraId="16FB76F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4.88E-05</w:t>
            </w:r>
          </w:p>
        </w:tc>
        <w:tc>
          <w:tcPr>
            <w:tcW w:w="1148" w:type="dxa"/>
            <w:shd w:val="clear" w:color="auto" w:fill="auto"/>
            <w:vAlign w:val="center"/>
          </w:tcPr>
          <w:p w14:paraId="061C4FA4">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c>
          <w:tcPr>
            <w:tcW w:w="1230" w:type="dxa"/>
            <w:shd w:val="clear" w:color="auto" w:fill="auto"/>
            <w:vAlign w:val="center"/>
          </w:tcPr>
          <w:p w14:paraId="4D468225">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3.31E-04</w:t>
            </w:r>
          </w:p>
        </w:tc>
        <w:tc>
          <w:tcPr>
            <w:tcW w:w="1164" w:type="dxa"/>
            <w:shd w:val="clear" w:color="auto" w:fill="auto"/>
            <w:vAlign w:val="center"/>
          </w:tcPr>
          <w:p w14:paraId="0D9B7BB3">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0.17</w:t>
            </w:r>
          </w:p>
        </w:tc>
      </w:tr>
      <w:tr w14:paraId="0078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FEF2CB" w:themeFill="accent3" w:themeFillTint="32"/>
            <w:vAlign w:val="center"/>
          </w:tcPr>
          <w:p w14:paraId="77AD0B1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1246" w:type="dxa"/>
            <w:shd w:val="clear" w:color="auto" w:fill="FEF2CB" w:themeFill="accent3" w:themeFillTint="32"/>
            <w:vAlign w:val="center"/>
          </w:tcPr>
          <w:p w14:paraId="15B77A1E">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1.73E-04</w:t>
            </w:r>
          </w:p>
        </w:tc>
        <w:tc>
          <w:tcPr>
            <w:tcW w:w="1188" w:type="dxa"/>
            <w:gridSpan w:val="2"/>
            <w:shd w:val="clear" w:color="auto" w:fill="FEF2CB" w:themeFill="accent3" w:themeFillTint="32"/>
            <w:vAlign w:val="center"/>
          </w:tcPr>
          <w:p w14:paraId="74753106">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0.02</w:t>
            </w:r>
          </w:p>
        </w:tc>
        <w:tc>
          <w:tcPr>
            <w:tcW w:w="1184" w:type="dxa"/>
            <w:shd w:val="clear" w:color="auto" w:fill="FEF2CB" w:themeFill="accent3" w:themeFillTint="32"/>
            <w:vAlign w:val="center"/>
          </w:tcPr>
          <w:p w14:paraId="65B97CD3">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5.00E-05</w:t>
            </w:r>
          </w:p>
        </w:tc>
        <w:tc>
          <w:tcPr>
            <w:tcW w:w="1148" w:type="dxa"/>
            <w:shd w:val="clear" w:color="auto" w:fill="FEF2CB" w:themeFill="accent3" w:themeFillTint="32"/>
            <w:vAlign w:val="center"/>
          </w:tcPr>
          <w:p w14:paraId="573707D7">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c>
          <w:tcPr>
            <w:tcW w:w="1230" w:type="dxa"/>
            <w:shd w:val="clear" w:color="auto" w:fill="FEF2CB" w:themeFill="accent3" w:themeFillTint="32"/>
            <w:vAlign w:val="center"/>
          </w:tcPr>
          <w:p w14:paraId="5132408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3.40E-04</w:t>
            </w:r>
          </w:p>
        </w:tc>
        <w:tc>
          <w:tcPr>
            <w:tcW w:w="1164" w:type="dxa"/>
            <w:shd w:val="clear" w:color="auto" w:fill="FEF2CB" w:themeFill="accent3" w:themeFillTint="32"/>
            <w:vAlign w:val="center"/>
          </w:tcPr>
          <w:p w14:paraId="160FECCB">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0.17</w:t>
            </w:r>
          </w:p>
        </w:tc>
      </w:tr>
      <w:tr w14:paraId="18D4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36" w:type="dxa"/>
            <w:shd w:val="clear" w:color="auto" w:fill="auto"/>
            <w:vAlign w:val="center"/>
          </w:tcPr>
          <w:p w14:paraId="575AF9F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1246" w:type="dxa"/>
            <w:shd w:val="clear" w:color="auto" w:fill="auto"/>
            <w:vAlign w:val="center"/>
          </w:tcPr>
          <w:p w14:paraId="4CC31823">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1.61E-04</w:t>
            </w:r>
          </w:p>
        </w:tc>
        <w:tc>
          <w:tcPr>
            <w:tcW w:w="1188" w:type="dxa"/>
            <w:gridSpan w:val="2"/>
            <w:shd w:val="clear" w:color="auto" w:fill="auto"/>
            <w:vAlign w:val="center"/>
          </w:tcPr>
          <w:p w14:paraId="77B7AAA5">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0.02</w:t>
            </w:r>
          </w:p>
        </w:tc>
        <w:tc>
          <w:tcPr>
            <w:tcW w:w="1184" w:type="dxa"/>
            <w:shd w:val="clear" w:color="auto" w:fill="auto"/>
            <w:vAlign w:val="center"/>
          </w:tcPr>
          <w:p w14:paraId="03BF1645">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4.65E-05</w:t>
            </w:r>
          </w:p>
        </w:tc>
        <w:tc>
          <w:tcPr>
            <w:tcW w:w="1148" w:type="dxa"/>
            <w:shd w:val="clear" w:color="auto" w:fill="auto"/>
            <w:vAlign w:val="center"/>
          </w:tcPr>
          <w:p w14:paraId="607B3D1F">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c>
          <w:tcPr>
            <w:tcW w:w="1230" w:type="dxa"/>
            <w:shd w:val="clear" w:color="auto" w:fill="auto"/>
            <w:vAlign w:val="center"/>
          </w:tcPr>
          <w:p w14:paraId="6C8061A0">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3.16E-04</w:t>
            </w:r>
          </w:p>
        </w:tc>
        <w:tc>
          <w:tcPr>
            <w:tcW w:w="1164" w:type="dxa"/>
            <w:shd w:val="clear" w:color="auto" w:fill="auto"/>
            <w:vAlign w:val="center"/>
          </w:tcPr>
          <w:p w14:paraId="77B67D76">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0.16</w:t>
            </w:r>
          </w:p>
        </w:tc>
      </w:tr>
      <w:tr w14:paraId="6293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36" w:type="dxa"/>
            <w:shd w:val="clear" w:color="auto" w:fill="auto"/>
            <w:vAlign w:val="center"/>
          </w:tcPr>
          <w:p w14:paraId="1BD0234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w:t>
            </w:r>
          </w:p>
        </w:tc>
        <w:tc>
          <w:tcPr>
            <w:tcW w:w="1246" w:type="dxa"/>
            <w:shd w:val="clear" w:color="auto" w:fill="auto"/>
            <w:vAlign w:val="center"/>
          </w:tcPr>
          <w:p w14:paraId="54F54369">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1.03E-04</w:t>
            </w:r>
          </w:p>
        </w:tc>
        <w:tc>
          <w:tcPr>
            <w:tcW w:w="1188" w:type="dxa"/>
            <w:gridSpan w:val="2"/>
            <w:shd w:val="clear" w:color="auto" w:fill="auto"/>
            <w:vAlign w:val="center"/>
          </w:tcPr>
          <w:p w14:paraId="26599955">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c>
          <w:tcPr>
            <w:tcW w:w="1184" w:type="dxa"/>
            <w:shd w:val="clear" w:color="auto" w:fill="auto"/>
            <w:vAlign w:val="center"/>
          </w:tcPr>
          <w:p w14:paraId="0C0BB13F">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2.97E-05</w:t>
            </w:r>
          </w:p>
        </w:tc>
        <w:tc>
          <w:tcPr>
            <w:tcW w:w="1148" w:type="dxa"/>
            <w:shd w:val="clear" w:color="auto" w:fill="auto"/>
            <w:vAlign w:val="center"/>
          </w:tcPr>
          <w:p w14:paraId="40BAC7C1">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c>
          <w:tcPr>
            <w:tcW w:w="1230" w:type="dxa"/>
            <w:shd w:val="clear" w:color="auto" w:fill="auto"/>
            <w:vAlign w:val="center"/>
          </w:tcPr>
          <w:p w14:paraId="08059E06">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2.02E-04</w:t>
            </w:r>
          </w:p>
        </w:tc>
        <w:tc>
          <w:tcPr>
            <w:tcW w:w="1164" w:type="dxa"/>
            <w:shd w:val="clear" w:color="auto" w:fill="auto"/>
            <w:vAlign w:val="center"/>
          </w:tcPr>
          <w:p w14:paraId="7A16ADAB">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w:t>
            </w:r>
          </w:p>
        </w:tc>
      </w:tr>
      <w:tr w14:paraId="3844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1B4FA7C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75</w:t>
            </w:r>
          </w:p>
        </w:tc>
        <w:tc>
          <w:tcPr>
            <w:tcW w:w="1246" w:type="dxa"/>
            <w:shd w:val="clear" w:color="auto" w:fill="auto"/>
            <w:vAlign w:val="center"/>
          </w:tcPr>
          <w:p w14:paraId="7C4EC0BE">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6.92E-05</w:t>
            </w:r>
          </w:p>
        </w:tc>
        <w:tc>
          <w:tcPr>
            <w:tcW w:w="1188" w:type="dxa"/>
            <w:gridSpan w:val="2"/>
            <w:shd w:val="clear" w:color="auto" w:fill="auto"/>
            <w:vAlign w:val="center"/>
          </w:tcPr>
          <w:p w14:paraId="034B9152">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c>
          <w:tcPr>
            <w:tcW w:w="1184" w:type="dxa"/>
            <w:shd w:val="clear" w:color="auto" w:fill="auto"/>
            <w:vAlign w:val="center"/>
          </w:tcPr>
          <w:p w14:paraId="7675C772">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2.00E-05</w:t>
            </w:r>
          </w:p>
        </w:tc>
        <w:tc>
          <w:tcPr>
            <w:tcW w:w="1148" w:type="dxa"/>
            <w:shd w:val="clear" w:color="auto" w:fill="auto"/>
            <w:vAlign w:val="center"/>
          </w:tcPr>
          <w:p w14:paraId="2D0DB5FC">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231B41C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1.36E-04</w:t>
            </w:r>
          </w:p>
        </w:tc>
        <w:tc>
          <w:tcPr>
            <w:tcW w:w="1164" w:type="dxa"/>
            <w:shd w:val="clear" w:color="auto" w:fill="auto"/>
            <w:vAlign w:val="center"/>
          </w:tcPr>
          <w:p w14:paraId="6749D42E">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0.07</w:t>
            </w:r>
          </w:p>
        </w:tc>
      </w:tr>
      <w:tr w14:paraId="7EFE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1F11BB7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1246" w:type="dxa"/>
            <w:shd w:val="clear" w:color="auto" w:fill="auto"/>
            <w:vAlign w:val="center"/>
          </w:tcPr>
          <w:p w14:paraId="4B2BA944">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5.14E-05</w:t>
            </w:r>
          </w:p>
        </w:tc>
        <w:tc>
          <w:tcPr>
            <w:tcW w:w="1188" w:type="dxa"/>
            <w:gridSpan w:val="2"/>
            <w:shd w:val="clear" w:color="auto" w:fill="auto"/>
            <w:vAlign w:val="center"/>
          </w:tcPr>
          <w:p w14:paraId="0FC35EB1">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c>
          <w:tcPr>
            <w:tcW w:w="1184" w:type="dxa"/>
            <w:shd w:val="clear" w:color="auto" w:fill="auto"/>
            <w:vAlign w:val="center"/>
          </w:tcPr>
          <w:p w14:paraId="69E58C82">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1.49E-05</w:t>
            </w:r>
          </w:p>
        </w:tc>
        <w:tc>
          <w:tcPr>
            <w:tcW w:w="1148" w:type="dxa"/>
            <w:shd w:val="clear" w:color="auto" w:fill="auto"/>
            <w:vAlign w:val="center"/>
          </w:tcPr>
          <w:p w14:paraId="200F1190">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5FC56535">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1.01E-04</w:t>
            </w:r>
          </w:p>
        </w:tc>
        <w:tc>
          <w:tcPr>
            <w:tcW w:w="1164" w:type="dxa"/>
            <w:shd w:val="clear" w:color="auto" w:fill="auto"/>
            <w:vAlign w:val="center"/>
          </w:tcPr>
          <w:p w14:paraId="00CC0847">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0.05</w:t>
            </w:r>
          </w:p>
        </w:tc>
      </w:tr>
      <w:tr w14:paraId="3861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2F8D28A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125</w:t>
            </w:r>
          </w:p>
        </w:tc>
        <w:tc>
          <w:tcPr>
            <w:tcW w:w="1246" w:type="dxa"/>
            <w:shd w:val="clear" w:color="auto" w:fill="auto"/>
            <w:vAlign w:val="center"/>
          </w:tcPr>
          <w:p w14:paraId="372CFE07">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4.06E-05</w:t>
            </w:r>
          </w:p>
        </w:tc>
        <w:tc>
          <w:tcPr>
            <w:tcW w:w="1188" w:type="dxa"/>
            <w:gridSpan w:val="2"/>
            <w:shd w:val="clear" w:color="auto" w:fill="auto"/>
            <w:vAlign w:val="center"/>
          </w:tcPr>
          <w:p w14:paraId="7B9D7DC8">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0FF63571">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1.17E-05</w:t>
            </w:r>
          </w:p>
        </w:tc>
        <w:tc>
          <w:tcPr>
            <w:tcW w:w="1148" w:type="dxa"/>
            <w:shd w:val="clear" w:color="auto" w:fill="auto"/>
            <w:vAlign w:val="center"/>
          </w:tcPr>
          <w:p w14:paraId="7A519C1F">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7F84B5C6">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7.97E-05</w:t>
            </w:r>
          </w:p>
        </w:tc>
        <w:tc>
          <w:tcPr>
            <w:tcW w:w="1164" w:type="dxa"/>
            <w:shd w:val="clear" w:color="auto" w:fill="auto"/>
            <w:vAlign w:val="center"/>
          </w:tcPr>
          <w:p w14:paraId="5BE8F04C">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0.04</w:t>
            </w:r>
          </w:p>
        </w:tc>
      </w:tr>
      <w:tr w14:paraId="098D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5A6D28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w:t>
            </w:r>
          </w:p>
        </w:tc>
        <w:tc>
          <w:tcPr>
            <w:tcW w:w="1246" w:type="dxa"/>
            <w:shd w:val="clear" w:color="auto" w:fill="auto"/>
            <w:vAlign w:val="center"/>
          </w:tcPr>
          <w:p w14:paraId="4E936844">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3.34E-05</w:t>
            </w:r>
          </w:p>
        </w:tc>
        <w:tc>
          <w:tcPr>
            <w:tcW w:w="1188" w:type="dxa"/>
            <w:gridSpan w:val="2"/>
            <w:shd w:val="clear" w:color="auto" w:fill="auto"/>
            <w:vAlign w:val="center"/>
          </w:tcPr>
          <w:p w14:paraId="38D02148">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74AD2EA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9.65E-06</w:t>
            </w:r>
          </w:p>
        </w:tc>
        <w:tc>
          <w:tcPr>
            <w:tcW w:w="1148" w:type="dxa"/>
            <w:shd w:val="clear" w:color="auto" w:fill="auto"/>
            <w:vAlign w:val="center"/>
          </w:tcPr>
          <w:p w14:paraId="6D228D15">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275DA376">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6.55E-05</w:t>
            </w:r>
          </w:p>
        </w:tc>
        <w:tc>
          <w:tcPr>
            <w:tcW w:w="1164" w:type="dxa"/>
            <w:shd w:val="clear" w:color="auto" w:fill="auto"/>
            <w:vAlign w:val="center"/>
          </w:tcPr>
          <w:p w14:paraId="6939CD12">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0.03</w:t>
            </w:r>
          </w:p>
        </w:tc>
      </w:tr>
      <w:tr w14:paraId="4AEE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1FFB252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175</w:t>
            </w:r>
          </w:p>
        </w:tc>
        <w:tc>
          <w:tcPr>
            <w:tcW w:w="1246" w:type="dxa"/>
            <w:shd w:val="clear" w:color="auto" w:fill="auto"/>
            <w:vAlign w:val="center"/>
          </w:tcPr>
          <w:p w14:paraId="02A417A2">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2.81E-05</w:t>
            </w:r>
          </w:p>
        </w:tc>
        <w:tc>
          <w:tcPr>
            <w:tcW w:w="1188" w:type="dxa"/>
            <w:gridSpan w:val="2"/>
            <w:shd w:val="clear" w:color="auto" w:fill="auto"/>
            <w:vAlign w:val="center"/>
          </w:tcPr>
          <w:p w14:paraId="208CB554">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27DFCC6C">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8.13E-06</w:t>
            </w:r>
          </w:p>
        </w:tc>
        <w:tc>
          <w:tcPr>
            <w:tcW w:w="1148" w:type="dxa"/>
            <w:shd w:val="clear" w:color="auto" w:fill="auto"/>
            <w:vAlign w:val="center"/>
          </w:tcPr>
          <w:p w14:paraId="530C2B4C">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46FF8459">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5.52E-05</w:t>
            </w:r>
          </w:p>
        </w:tc>
        <w:tc>
          <w:tcPr>
            <w:tcW w:w="1164" w:type="dxa"/>
            <w:shd w:val="clear" w:color="auto" w:fill="auto"/>
            <w:vAlign w:val="center"/>
          </w:tcPr>
          <w:p w14:paraId="711F7803">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0.03</w:t>
            </w:r>
          </w:p>
        </w:tc>
      </w:tr>
      <w:tr w14:paraId="1678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4F35DBF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200</w:t>
            </w:r>
          </w:p>
        </w:tc>
        <w:tc>
          <w:tcPr>
            <w:tcW w:w="1246" w:type="dxa"/>
            <w:shd w:val="clear" w:color="auto" w:fill="auto"/>
            <w:vAlign w:val="center"/>
          </w:tcPr>
          <w:p w14:paraId="0C256C1E">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2.42E-05</w:t>
            </w:r>
          </w:p>
        </w:tc>
        <w:tc>
          <w:tcPr>
            <w:tcW w:w="1188" w:type="dxa"/>
            <w:gridSpan w:val="2"/>
            <w:shd w:val="clear" w:color="auto" w:fill="auto"/>
            <w:vAlign w:val="center"/>
          </w:tcPr>
          <w:p w14:paraId="15F87852">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0640ABAC">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6.99E-06</w:t>
            </w:r>
          </w:p>
        </w:tc>
        <w:tc>
          <w:tcPr>
            <w:tcW w:w="1148" w:type="dxa"/>
            <w:shd w:val="clear" w:color="auto" w:fill="auto"/>
            <w:vAlign w:val="center"/>
          </w:tcPr>
          <w:p w14:paraId="7089162C">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33965C50">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4.75E-05</w:t>
            </w:r>
          </w:p>
        </w:tc>
        <w:tc>
          <w:tcPr>
            <w:tcW w:w="1164" w:type="dxa"/>
            <w:shd w:val="clear" w:color="auto" w:fill="auto"/>
            <w:vAlign w:val="center"/>
          </w:tcPr>
          <w:p w14:paraId="297F0239">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0.02</w:t>
            </w:r>
          </w:p>
        </w:tc>
      </w:tr>
      <w:tr w14:paraId="2A1A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194593F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225</w:t>
            </w:r>
          </w:p>
        </w:tc>
        <w:tc>
          <w:tcPr>
            <w:tcW w:w="1246" w:type="dxa"/>
            <w:shd w:val="clear" w:color="auto" w:fill="auto"/>
            <w:vAlign w:val="center"/>
          </w:tcPr>
          <w:p w14:paraId="72561424">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2.12E-05</w:t>
            </w:r>
          </w:p>
        </w:tc>
        <w:tc>
          <w:tcPr>
            <w:tcW w:w="1188" w:type="dxa"/>
            <w:gridSpan w:val="2"/>
            <w:shd w:val="clear" w:color="auto" w:fill="auto"/>
            <w:vAlign w:val="center"/>
          </w:tcPr>
          <w:p w14:paraId="5A65CBC9">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79B81C68">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6.12E-06</w:t>
            </w:r>
          </w:p>
        </w:tc>
        <w:tc>
          <w:tcPr>
            <w:tcW w:w="1148" w:type="dxa"/>
            <w:shd w:val="clear" w:color="auto" w:fill="auto"/>
            <w:vAlign w:val="center"/>
          </w:tcPr>
          <w:p w14:paraId="51F1B582">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61B84FE3">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4.16E-05</w:t>
            </w:r>
          </w:p>
        </w:tc>
        <w:tc>
          <w:tcPr>
            <w:tcW w:w="1164" w:type="dxa"/>
            <w:shd w:val="clear" w:color="auto" w:fill="auto"/>
            <w:vAlign w:val="center"/>
          </w:tcPr>
          <w:p w14:paraId="6F332617">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0.02</w:t>
            </w:r>
          </w:p>
        </w:tc>
      </w:tr>
      <w:tr w14:paraId="3EA6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36" w:type="dxa"/>
            <w:shd w:val="clear" w:color="auto" w:fill="auto"/>
            <w:vAlign w:val="center"/>
          </w:tcPr>
          <w:p w14:paraId="1B669AD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250</w:t>
            </w:r>
          </w:p>
        </w:tc>
        <w:tc>
          <w:tcPr>
            <w:tcW w:w="1246" w:type="dxa"/>
            <w:shd w:val="clear" w:color="auto" w:fill="auto"/>
            <w:vAlign w:val="center"/>
          </w:tcPr>
          <w:p w14:paraId="182E75E3">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1.88E-05</w:t>
            </w:r>
          </w:p>
        </w:tc>
        <w:tc>
          <w:tcPr>
            <w:tcW w:w="1188" w:type="dxa"/>
            <w:gridSpan w:val="2"/>
            <w:shd w:val="clear" w:color="auto" w:fill="auto"/>
            <w:vAlign w:val="center"/>
          </w:tcPr>
          <w:p w14:paraId="782F03D8">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1D19C933">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5.43E-06</w:t>
            </w:r>
          </w:p>
        </w:tc>
        <w:tc>
          <w:tcPr>
            <w:tcW w:w="1148" w:type="dxa"/>
            <w:shd w:val="clear" w:color="auto" w:fill="auto"/>
            <w:vAlign w:val="center"/>
          </w:tcPr>
          <w:p w14:paraId="352ED684">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0FB917BE">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3.69E-05</w:t>
            </w:r>
          </w:p>
        </w:tc>
        <w:tc>
          <w:tcPr>
            <w:tcW w:w="1164" w:type="dxa"/>
            <w:shd w:val="clear" w:color="auto" w:fill="auto"/>
            <w:vAlign w:val="center"/>
          </w:tcPr>
          <w:p w14:paraId="019A40AF">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0.02</w:t>
            </w:r>
          </w:p>
        </w:tc>
      </w:tr>
      <w:tr w14:paraId="299C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653C641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275</w:t>
            </w:r>
          </w:p>
        </w:tc>
        <w:tc>
          <w:tcPr>
            <w:tcW w:w="1246" w:type="dxa"/>
            <w:shd w:val="clear" w:color="auto" w:fill="auto"/>
            <w:vAlign w:val="center"/>
          </w:tcPr>
          <w:p w14:paraId="7AEAE729">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1.68E-05</w:t>
            </w:r>
          </w:p>
        </w:tc>
        <w:tc>
          <w:tcPr>
            <w:tcW w:w="1188" w:type="dxa"/>
            <w:gridSpan w:val="2"/>
            <w:shd w:val="clear" w:color="auto" w:fill="auto"/>
            <w:vAlign w:val="center"/>
          </w:tcPr>
          <w:p w14:paraId="65EF9625">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30882298">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4.86E-06</w:t>
            </w:r>
          </w:p>
        </w:tc>
        <w:tc>
          <w:tcPr>
            <w:tcW w:w="1148" w:type="dxa"/>
            <w:shd w:val="clear" w:color="auto" w:fill="auto"/>
            <w:vAlign w:val="center"/>
          </w:tcPr>
          <w:p w14:paraId="7EB7DB56">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1E8688AE">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3.30E-05</w:t>
            </w:r>
          </w:p>
        </w:tc>
        <w:tc>
          <w:tcPr>
            <w:tcW w:w="1164" w:type="dxa"/>
            <w:shd w:val="clear" w:color="auto" w:fill="auto"/>
            <w:vAlign w:val="center"/>
          </w:tcPr>
          <w:p w14:paraId="54A3F6D8">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0.02</w:t>
            </w:r>
          </w:p>
        </w:tc>
      </w:tr>
      <w:tr w14:paraId="7513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3EE27FF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300</w:t>
            </w:r>
          </w:p>
        </w:tc>
        <w:tc>
          <w:tcPr>
            <w:tcW w:w="1246" w:type="dxa"/>
            <w:shd w:val="clear" w:color="auto" w:fill="auto"/>
            <w:vAlign w:val="center"/>
          </w:tcPr>
          <w:p w14:paraId="03E18F6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1.52E-05</w:t>
            </w:r>
          </w:p>
        </w:tc>
        <w:tc>
          <w:tcPr>
            <w:tcW w:w="1188" w:type="dxa"/>
            <w:gridSpan w:val="2"/>
            <w:shd w:val="clear" w:color="auto" w:fill="auto"/>
            <w:vAlign w:val="center"/>
          </w:tcPr>
          <w:p w14:paraId="6C2B4817">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1FD3828E">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4.40E-06</w:t>
            </w:r>
          </w:p>
        </w:tc>
        <w:tc>
          <w:tcPr>
            <w:tcW w:w="1148" w:type="dxa"/>
            <w:shd w:val="clear" w:color="auto" w:fill="auto"/>
            <w:vAlign w:val="center"/>
          </w:tcPr>
          <w:p w14:paraId="72F74039">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5640649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2.99E-05</w:t>
            </w:r>
          </w:p>
        </w:tc>
        <w:tc>
          <w:tcPr>
            <w:tcW w:w="1164" w:type="dxa"/>
            <w:shd w:val="clear" w:color="auto" w:fill="auto"/>
            <w:vAlign w:val="center"/>
          </w:tcPr>
          <w:p w14:paraId="1F7A8035">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7DE7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36" w:type="dxa"/>
            <w:shd w:val="clear" w:color="auto" w:fill="auto"/>
            <w:vAlign w:val="center"/>
          </w:tcPr>
          <w:p w14:paraId="6FEE09A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325</w:t>
            </w:r>
          </w:p>
        </w:tc>
        <w:tc>
          <w:tcPr>
            <w:tcW w:w="1246" w:type="dxa"/>
            <w:shd w:val="clear" w:color="auto" w:fill="auto"/>
            <w:vAlign w:val="center"/>
          </w:tcPr>
          <w:p w14:paraId="25688022">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1.39E-05</w:t>
            </w:r>
          </w:p>
        </w:tc>
        <w:tc>
          <w:tcPr>
            <w:tcW w:w="1188" w:type="dxa"/>
            <w:gridSpan w:val="2"/>
            <w:shd w:val="clear" w:color="auto" w:fill="auto"/>
            <w:vAlign w:val="center"/>
          </w:tcPr>
          <w:p w14:paraId="0C2130D9">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136BE433">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4.01E-06</w:t>
            </w:r>
          </w:p>
        </w:tc>
        <w:tc>
          <w:tcPr>
            <w:tcW w:w="1148" w:type="dxa"/>
            <w:shd w:val="clear" w:color="auto" w:fill="auto"/>
            <w:vAlign w:val="center"/>
          </w:tcPr>
          <w:p w14:paraId="4728D526">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53CAA8DF">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2.72E-05</w:t>
            </w:r>
          </w:p>
        </w:tc>
        <w:tc>
          <w:tcPr>
            <w:tcW w:w="1164" w:type="dxa"/>
            <w:shd w:val="clear" w:color="auto" w:fill="auto"/>
            <w:vAlign w:val="center"/>
          </w:tcPr>
          <w:p w14:paraId="06D8A99C">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2443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1DAC059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350</w:t>
            </w:r>
          </w:p>
        </w:tc>
        <w:tc>
          <w:tcPr>
            <w:tcW w:w="1246" w:type="dxa"/>
            <w:shd w:val="clear" w:color="auto" w:fill="auto"/>
            <w:vAlign w:val="center"/>
          </w:tcPr>
          <w:p w14:paraId="07B55569">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1.27E-05</w:t>
            </w:r>
          </w:p>
        </w:tc>
        <w:tc>
          <w:tcPr>
            <w:tcW w:w="1188" w:type="dxa"/>
            <w:gridSpan w:val="2"/>
            <w:shd w:val="clear" w:color="auto" w:fill="auto"/>
            <w:vAlign w:val="center"/>
          </w:tcPr>
          <w:p w14:paraId="3DB10BD0">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61942BF4">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3.67E-06</w:t>
            </w:r>
          </w:p>
        </w:tc>
        <w:tc>
          <w:tcPr>
            <w:tcW w:w="1148" w:type="dxa"/>
            <w:shd w:val="clear" w:color="auto" w:fill="auto"/>
            <w:vAlign w:val="center"/>
          </w:tcPr>
          <w:p w14:paraId="09A83263">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60CF5891">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2.49E-05</w:t>
            </w:r>
          </w:p>
        </w:tc>
        <w:tc>
          <w:tcPr>
            <w:tcW w:w="1164" w:type="dxa"/>
            <w:shd w:val="clear" w:color="auto" w:fill="auto"/>
            <w:vAlign w:val="center"/>
          </w:tcPr>
          <w:p w14:paraId="3D685A8B">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5B80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36" w:type="dxa"/>
            <w:shd w:val="clear" w:color="auto" w:fill="auto"/>
            <w:vAlign w:val="center"/>
          </w:tcPr>
          <w:p w14:paraId="1DE1A11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375</w:t>
            </w:r>
          </w:p>
        </w:tc>
        <w:tc>
          <w:tcPr>
            <w:tcW w:w="1246" w:type="dxa"/>
            <w:shd w:val="clear" w:color="auto" w:fill="auto"/>
            <w:vAlign w:val="center"/>
          </w:tcPr>
          <w:p w14:paraId="19BBE099">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1.17E-05</w:t>
            </w:r>
          </w:p>
        </w:tc>
        <w:tc>
          <w:tcPr>
            <w:tcW w:w="1188" w:type="dxa"/>
            <w:gridSpan w:val="2"/>
            <w:shd w:val="clear" w:color="auto" w:fill="auto"/>
            <w:vAlign w:val="center"/>
          </w:tcPr>
          <w:p w14:paraId="5EF9D222">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10E1915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3.38E-06</w:t>
            </w:r>
          </w:p>
        </w:tc>
        <w:tc>
          <w:tcPr>
            <w:tcW w:w="1148" w:type="dxa"/>
            <w:shd w:val="clear" w:color="auto" w:fill="auto"/>
            <w:vAlign w:val="center"/>
          </w:tcPr>
          <w:p w14:paraId="2D05CE2A">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33544E8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2.29E-05</w:t>
            </w:r>
          </w:p>
        </w:tc>
        <w:tc>
          <w:tcPr>
            <w:tcW w:w="1164" w:type="dxa"/>
            <w:shd w:val="clear" w:color="auto" w:fill="auto"/>
            <w:vAlign w:val="center"/>
          </w:tcPr>
          <w:p w14:paraId="7B7AD4FE">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179D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2255AD4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400</w:t>
            </w:r>
          </w:p>
        </w:tc>
        <w:tc>
          <w:tcPr>
            <w:tcW w:w="1246" w:type="dxa"/>
            <w:shd w:val="clear" w:color="auto" w:fill="auto"/>
            <w:vAlign w:val="center"/>
          </w:tcPr>
          <w:p w14:paraId="0D29E55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1.08E-05</w:t>
            </w:r>
          </w:p>
        </w:tc>
        <w:tc>
          <w:tcPr>
            <w:tcW w:w="1188" w:type="dxa"/>
            <w:gridSpan w:val="2"/>
            <w:shd w:val="clear" w:color="auto" w:fill="auto"/>
            <w:vAlign w:val="center"/>
          </w:tcPr>
          <w:p w14:paraId="6D22E4B0">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46D18C5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3.13E-06</w:t>
            </w:r>
          </w:p>
        </w:tc>
        <w:tc>
          <w:tcPr>
            <w:tcW w:w="1148" w:type="dxa"/>
            <w:shd w:val="clear" w:color="auto" w:fill="auto"/>
            <w:vAlign w:val="center"/>
          </w:tcPr>
          <w:p w14:paraId="500DB6C2">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45F591A7">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2.13E-05</w:t>
            </w:r>
          </w:p>
        </w:tc>
        <w:tc>
          <w:tcPr>
            <w:tcW w:w="1164" w:type="dxa"/>
            <w:shd w:val="clear" w:color="auto" w:fill="auto"/>
            <w:vAlign w:val="center"/>
          </w:tcPr>
          <w:p w14:paraId="0E6F951C">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0C54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36" w:type="dxa"/>
            <w:shd w:val="clear" w:color="auto" w:fill="auto"/>
            <w:vAlign w:val="center"/>
          </w:tcPr>
          <w:p w14:paraId="25CDC95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425</w:t>
            </w:r>
          </w:p>
        </w:tc>
        <w:tc>
          <w:tcPr>
            <w:tcW w:w="1246" w:type="dxa"/>
            <w:shd w:val="clear" w:color="auto" w:fill="auto"/>
            <w:vAlign w:val="center"/>
          </w:tcPr>
          <w:p w14:paraId="3DB9908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1.02E-05</w:t>
            </w:r>
          </w:p>
        </w:tc>
        <w:tc>
          <w:tcPr>
            <w:tcW w:w="1188" w:type="dxa"/>
            <w:gridSpan w:val="2"/>
            <w:shd w:val="clear" w:color="auto" w:fill="auto"/>
            <w:vAlign w:val="center"/>
          </w:tcPr>
          <w:p w14:paraId="18E1B450">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7EC1924E">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2.93E-06</w:t>
            </w:r>
          </w:p>
        </w:tc>
        <w:tc>
          <w:tcPr>
            <w:tcW w:w="1148" w:type="dxa"/>
            <w:shd w:val="clear" w:color="auto" w:fill="auto"/>
            <w:vAlign w:val="center"/>
          </w:tcPr>
          <w:p w14:paraId="707B0E63">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07081A66">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1.99E-05</w:t>
            </w:r>
          </w:p>
        </w:tc>
        <w:tc>
          <w:tcPr>
            <w:tcW w:w="1164" w:type="dxa"/>
            <w:shd w:val="clear" w:color="auto" w:fill="auto"/>
            <w:vAlign w:val="center"/>
          </w:tcPr>
          <w:p w14:paraId="664FBAC4">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5B4C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7DD9BF6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450</w:t>
            </w:r>
          </w:p>
        </w:tc>
        <w:tc>
          <w:tcPr>
            <w:tcW w:w="1246" w:type="dxa"/>
            <w:shd w:val="clear" w:color="auto" w:fill="auto"/>
            <w:vAlign w:val="center"/>
          </w:tcPr>
          <w:p w14:paraId="114C376F">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9.51E-06</w:t>
            </w:r>
          </w:p>
        </w:tc>
        <w:tc>
          <w:tcPr>
            <w:tcW w:w="1188" w:type="dxa"/>
            <w:gridSpan w:val="2"/>
            <w:shd w:val="clear" w:color="auto" w:fill="auto"/>
            <w:vAlign w:val="center"/>
          </w:tcPr>
          <w:p w14:paraId="7CC29CC8">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67FC13A5">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2.75E-06</w:t>
            </w:r>
          </w:p>
        </w:tc>
        <w:tc>
          <w:tcPr>
            <w:tcW w:w="1148" w:type="dxa"/>
            <w:shd w:val="clear" w:color="auto" w:fill="auto"/>
            <w:vAlign w:val="center"/>
          </w:tcPr>
          <w:p w14:paraId="3DF6D7FC">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00755572">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1.87E-05</w:t>
            </w:r>
          </w:p>
        </w:tc>
        <w:tc>
          <w:tcPr>
            <w:tcW w:w="1164" w:type="dxa"/>
            <w:shd w:val="clear" w:color="auto" w:fill="auto"/>
            <w:vAlign w:val="center"/>
          </w:tcPr>
          <w:p w14:paraId="6733561B">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038E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4CA0FF2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475</w:t>
            </w:r>
          </w:p>
        </w:tc>
        <w:tc>
          <w:tcPr>
            <w:tcW w:w="1246" w:type="dxa"/>
            <w:shd w:val="clear" w:color="auto" w:fill="auto"/>
            <w:vAlign w:val="center"/>
          </w:tcPr>
          <w:p w14:paraId="25209503">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8.94E-06</w:t>
            </w:r>
          </w:p>
        </w:tc>
        <w:tc>
          <w:tcPr>
            <w:tcW w:w="1188" w:type="dxa"/>
            <w:gridSpan w:val="2"/>
            <w:shd w:val="clear" w:color="auto" w:fill="auto"/>
            <w:vAlign w:val="center"/>
          </w:tcPr>
          <w:p w14:paraId="6E63CD4F">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2885167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2.58E-06</w:t>
            </w:r>
          </w:p>
        </w:tc>
        <w:tc>
          <w:tcPr>
            <w:tcW w:w="1148" w:type="dxa"/>
            <w:shd w:val="clear" w:color="auto" w:fill="auto"/>
            <w:vAlign w:val="center"/>
          </w:tcPr>
          <w:p w14:paraId="76768F4C">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645EE510">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1.75E-05</w:t>
            </w:r>
          </w:p>
        </w:tc>
        <w:tc>
          <w:tcPr>
            <w:tcW w:w="1164" w:type="dxa"/>
            <w:shd w:val="clear" w:color="auto" w:fill="auto"/>
            <w:vAlign w:val="center"/>
          </w:tcPr>
          <w:p w14:paraId="6B3D9BB3">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1443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0562859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1246" w:type="dxa"/>
            <w:shd w:val="clear" w:color="auto" w:fill="auto"/>
            <w:vAlign w:val="center"/>
          </w:tcPr>
          <w:p w14:paraId="7FAED2C8">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8.38E-06</w:t>
            </w:r>
          </w:p>
        </w:tc>
        <w:tc>
          <w:tcPr>
            <w:tcW w:w="1188" w:type="dxa"/>
            <w:gridSpan w:val="2"/>
            <w:shd w:val="clear" w:color="auto" w:fill="auto"/>
            <w:vAlign w:val="center"/>
          </w:tcPr>
          <w:p w14:paraId="6B1452CA">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2577453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2.42E-06</w:t>
            </w:r>
          </w:p>
        </w:tc>
        <w:tc>
          <w:tcPr>
            <w:tcW w:w="1148" w:type="dxa"/>
            <w:shd w:val="clear" w:color="auto" w:fill="auto"/>
            <w:vAlign w:val="center"/>
          </w:tcPr>
          <w:p w14:paraId="374A3A43">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41B07704">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1.65E-05</w:t>
            </w:r>
          </w:p>
        </w:tc>
        <w:tc>
          <w:tcPr>
            <w:tcW w:w="1164" w:type="dxa"/>
            <w:shd w:val="clear" w:color="auto" w:fill="auto"/>
            <w:vAlign w:val="center"/>
          </w:tcPr>
          <w:p w14:paraId="0DD545C4">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03C93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36" w:type="dxa"/>
            <w:shd w:val="clear" w:color="auto" w:fill="auto"/>
            <w:vAlign w:val="center"/>
          </w:tcPr>
          <w:p w14:paraId="2974167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525</w:t>
            </w:r>
          </w:p>
        </w:tc>
        <w:tc>
          <w:tcPr>
            <w:tcW w:w="1246" w:type="dxa"/>
            <w:shd w:val="clear" w:color="auto" w:fill="auto"/>
            <w:vAlign w:val="center"/>
          </w:tcPr>
          <w:p w14:paraId="1932079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7.94E-06</w:t>
            </w:r>
          </w:p>
        </w:tc>
        <w:tc>
          <w:tcPr>
            <w:tcW w:w="1188" w:type="dxa"/>
            <w:gridSpan w:val="2"/>
            <w:shd w:val="clear" w:color="auto" w:fill="auto"/>
            <w:vAlign w:val="center"/>
          </w:tcPr>
          <w:p w14:paraId="6E02A20B">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7005FAA2">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2.29E-06</w:t>
            </w:r>
          </w:p>
        </w:tc>
        <w:tc>
          <w:tcPr>
            <w:tcW w:w="1148" w:type="dxa"/>
            <w:shd w:val="clear" w:color="auto" w:fill="auto"/>
            <w:vAlign w:val="center"/>
          </w:tcPr>
          <w:p w14:paraId="67A92459">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1E723A74">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1.56E-05</w:t>
            </w:r>
          </w:p>
        </w:tc>
        <w:tc>
          <w:tcPr>
            <w:tcW w:w="1164" w:type="dxa"/>
            <w:shd w:val="clear" w:color="auto" w:fill="auto"/>
            <w:vAlign w:val="center"/>
          </w:tcPr>
          <w:p w14:paraId="1934CCF0">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39E7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42D8ABC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550</w:t>
            </w:r>
          </w:p>
        </w:tc>
        <w:tc>
          <w:tcPr>
            <w:tcW w:w="1246" w:type="dxa"/>
            <w:shd w:val="clear" w:color="auto" w:fill="auto"/>
            <w:vAlign w:val="center"/>
          </w:tcPr>
          <w:p w14:paraId="65F065B3">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7.51E-06</w:t>
            </w:r>
          </w:p>
        </w:tc>
        <w:tc>
          <w:tcPr>
            <w:tcW w:w="1188" w:type="dxa"/>
            <w:gridSpan w:val="2"/>
            <w:shd w:val="clear" w:color="auto" w:fill="auto"/>
            <w:vAlign w:val="center"/>
          </w:tcPr>
          <w:p w14:paraId="38AD511D">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5A36472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2.17E-06</w:t>
            </w:r>
          </w:p>
        </w:tc>
        <w:tc>
          <w:tcPr>
            <w:tcW w:w="1148" w:type="dxa"/>
            <w:shd w:val="clear" w:color="auto" w:fill="auto"/>
            <w:vAlign w:val="center"/>
          </w:tcPr>
          <w:p w14:paraId="31FAEF02">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17EFDEB2">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1.48E-05</w:t>
            </w:r>
          </w:p>
        </w:tc>
        <w:tc>
          <w:tcPr>
            <w:tcW w:w="1164" w:type="dxa"/>
            <w:shd w:val="clear" w:color="auto" w:fill="auto"/>
            <w:vAlign w:val="center"/>
          </w:tcPr>
          <w:p w14:paraId="7AF29743">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04F4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36" w:type="dxa"/>
            <w:shd w:val="clear" w:color="auto" w:fill="auto"/>
            <w:vAlign w:val="center"/>
          </w:tcPr>
          <w:p w14:paraId="25D3295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575</w:t>
            </w:r>
          </w:p>
        </w:tc>
        <w:tc>
          <w:tcPr>
            <w:tcW w:w="1246" w:type="dxa"/>
            <w:shd w:val="clear" w:color="auto" w:fill="auto"/>
            <w:vAlign w:val="center"/>
          </w:tcPr>
          <w:p w14:paraId="6CC8353F">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7.13E-06</w:t>
            </w:r>
          </w:p>
        </w:tc>
        <w:tc>
          <w:tcPr>
            <w:tcW w:w="1188" w:type="dxa"/>
            <w:gridSpan w:val="2"/>
            <w:shd w:val="clear" w:color="auto" w:fill="auto"/>
            <w:vAlign w:val="center"/>
          </w:tcPr>
          <w:p w14:paraId="54688CC0">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5B6FD2BE">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2.06E-06</w:t>
            </w:r>
          </w:p>
        </w:tc>
        <w:tc>
          <w:tcPr>
            <w:tcW w:w="1148" w:type="dxa"/>
            <w:shd w:val="clear" w:color="auto" w:fill="auto"/>
            <w:vAlign w:val="center"/>
          </w:tcPr>
          <w:p w14:paraId="087E3F65">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3AC91887">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1.40E-05</w:t>
            </w:r>
          </w:p>
        </w:tc>
        <w:tc>
          <w:tcPr>
            <w:tcW w:w="1164" w:type="dxa"/>
            <w:shd w:val="clear" w:color="auto" w:fill="auto"/>
            <w:vAlign w:val="center"/>
          </w:tcPr>
          <w:p w14:paraId="71D6C1D1">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305D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4926A26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600</w:t>
            </w:r>
          </w:p>
        </w:tc>
        <w:tc>
          <w:tcPr>
            <w:tcW w:w="1246" w:type="dxa"/>
            <w:shd w:val="clear" w:color="auto" w:fill="auto"/>
            <w:vAlign w:val="center"/>
          </w:tcPr>
          <w:p w14:paraId="4D69B5B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6.73E-06</w:t>
            </w:r>
          </w:p>
        </w:tc>
        <w:tc>
          <w:tcPr>
            <w:tcW w:w="1188" w:type="dxa"/>
            <w:gridSpan w:val="2"/>
            <w:shd w:val="clear" w:color="auto" w:fill="auto"/>
            <w:vAlign w:val="center"/>
          </w:tcPr>
          <w:p w14:paraId="5125EBA7">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0D938E60">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1.95E-06</w:t>
            </w:r>
          </w:p>
        </w:tc>
        <w:tc>
          <w:tcPr>
            <w:tcW w:w="1148" w:type="dxa"/>
            <w:shd w:val="clear" w:color="auto" w:fill="auto"/>
            <w:vAlign w:val="center"/>
          </w:tcPr>
          <w:p w14:paraId="0BDFA031">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6D86E4F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1.32E-05</w:t>
            </w:r>
          </w:p>
        </w:tc>
        <w:tc>
          <w:tcPr>
            <w:tcW w:w="1164" w:type="dxa"/>
            <w:shd w:val="clear" w:color="auto" w:fill="auto"/>
            <w:vAlign w:val="center"/>
          </w:tcPr>
          <w:p w14:paraId="19A02BA6">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0AFD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579FAE8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625</w:t>
            </w:r>
          </w:p>
        </w:tc>
        <w:tc>
          <w:tcPr>
            <w:tcW w:w="1246" w:type="dxa"/>
            <w:shd w:val="clear" w:color="auto" w:fill="auto"/>
            <w:vAlign w:val="center"/>
          </w:tcPr>
          <w:p w14:paraId="791C9F37">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6.42E-06</w:t>
            </w:r>
          </w:p>
        </w:tc>
        <w:tc>
          <w:tcPr>
            <w:tcW w:w="1188" w:type="dxa"/>
            <w:gridSpan w:val="2"/>
            <w:shd w:val="clear" w:color="auto" w:fill="auto"/>
            <w:vAlign w:val="center"/>
          </w:tcPr>
          <w:p w14:paraId="65C0DC4A">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21A7F517">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1.85E-06</w:t>
            </w:r>
          </w:p>
        </w:tc>
        <w:tc>
          <w:tcPr>
            <w:tcW w:w="1148" w:type="dxa"/>
            <w:shd w:val="clear" w:color="auto" w:fill="auto"/>
            <w:vAlign w:val="center"/>
          </w:tcPr>
          <w:p w14:paraId="2050B770">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0BD5AA30">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1.26E-05</w:t>
            </w:r>
          </w:p>
        </w:tc>
        <w:tc>
          <w:tcPr>
            <w:tcW w:w="1164" w:type="dxa"/>
            <w:shd w:val="clear" w:color="auto" w:fill="auto"/>
            <w:vAlign w:val="center"/>
          </w:tcPr>
          <w:p w14:paraId="48BAFFAE">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4B11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7625AC0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650</w:t>
            </w:r>
          </w:p>
        </w:tc>
        <w:tc>
          <w:tcPr>
            <w:tcW w:w="1246" w:type="dxa"/>
            <w:shd w:val="clear" w:color="auto" w:fill="auto"/>
            <w:vAlign w:val="center"/>
          </w:tcPr>
          <w:p w14:paraId="4A836E3C">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6.16E-06</w:t>
            </w:r>
          </w:p>
        </w:tc>
        <w:tc>
          <w:tcPr>
            <w:tcW w:w="1188" w:type="dxa"/>
            <w:gridSpan w:val="2"/>
            <w:shd w:val="clear" w:color="auto" w:fill="auto"/>
            <w:vAlign w:val="center"/>
          </w:tcPr>
          <w:p w14:paraId="3FC6602C">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12DF6069">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1.78E-06</w:t>
            </w:r>
          </w:p>
        </w:tc>
        <w:tc>
          <w:tcPr>
            <w:tcW w:w="1148" w:type="dxa"/>
            <w:shd w:val="clear" w:color="auto" w:fill="auto"/>
            <w:vAlign w:val="center"/>
          </w:tcPr>
          <w:p w14:paraId="576BD604">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306A9AD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1.21E-05</w:t>
            </w:r>
          </w:p>
        </w:tc>
        <w:tc>
          <w:tcPr>
            <w:tcW w:w="1164" w:type="dxa"/>
            <w:shd w:val="clear" w:color="auto" w:fill="auto"/>
            <w:vAlign w:val="center"/>
          </w:tcPr>
          <w:p w14:paraId="14CA0BAC">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552F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1828123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675</w:t>
            </w:r>
          </w:p>
        </w:tc>
        <w:tc>
          <w:tcPr>
            <w:tcW w:w="1246" w:type="dxa"/>
            <w:shd w:val="clear" w:color="auto" w:fill="auto"/>
            <w:vAlign w:val="center"/>
          </w:tcPr>
          <w:p w14:paraId="440DF866">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5.88E-06</w:t>
            </w:r>
          </w:p>
        </w:tc>
        <w:tc>
          <w:tcPr>
            <w:tcW w:w="1188" w:type="dxa"/>
            <w:gridSpan w:val="2"/>
            <w:shd w:val="clear" w:color="auto" w:fill="auto"/>
            <w:vAlign w:val="center"/>
          </w:tcPr>
          <w:p w14:paraId="224D818A">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7434C5D3">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1.70E-06</w:t>
            </w:r>
          </w:p>
        </w:tc>
        <w:tc>
          <w:tcPr>
            <w:tcW w:w="1148" w:type="dxa"/>
            <w:shd w:val="clear" w:color="auto" w:fill="auto"/>
            <w:vAlign w:val="center"/>
          </w:tcPr>
          <w:p w14:paraId="1F059619">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1F3E5CD8">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1.15E-05</w:t>
            </w:r>
          </w:p>
        </w:tc>
        <w:tc>
          <w:tcPr>
            <w:tcW w:w="1164" w:type="dxa"/>
            <w:shd w:val="clear" w:color="auto" w:fill="auto"/>
            <w:vAlign w:val="center"/>
          </w:tcPr>
          <w:p w14:paraId="5DCFE5D4">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361A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1F7DD99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700</w:t>
            </w:r>
          </w:p>
        </w:tc>
        <w:tc>
          <w:tcPr>
            <w:tcW w:w="1246" w:type="dxa"/>
            <w:shd w:val="clear" w:color="auto" w:fill="auto"/>
            <w:vAlign w:val="center"/>
          </w:tcPr>
          <w:p w14:paraId="021986A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5.59E-06</w:t>
            </w:r>
          </w:p>
        </w:tc>
        <w:tc>
          <w:tcPr>
            <w:tcW w:w="1188" w:type="dxa"/>
            <w:gridSpan w:val="2"/>
            <w:shd w:val="clear" w:color="auto" w:fill="auto"/>
            <w:vAlign w:val="center"/>
          </w:tcPr>
          <w:p w14:paraId="021F0C18">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70BABB85">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1.61E-06</w:t>
            </w:r>
          </w:p>
        </w:tc>
        <w:tc>
          <w:tcPr>
            <w:tcW w:w="1148" w:type="dxa"/>
            <w:shd w:val="clear" w:color="auto" w:fill="auto"/>
            <w:vAlign w:val="center"/>
          </w:tcPr>
          <w:p w14:paraId="5651ED93">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643E804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1.10E-05</w:t>
            </w:r>
          </w:p>
        </w:tc>
        <w:tc>
          <w:tcPr>
            <w:tcW w:w="1164" w:type="dxa"/>
            <w:shd w:val="clear" w:color="auto" w:fill="auto"/>
            <w:vAlign w:val="center"/>
          </w:tcPr>
          <w:p w14:paraId="37D7CC14">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195C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4C4435D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725</w:t>
            </w:r>
          </w:p>
        </w:tc>
        <w:tc>
          <w:tcPr>
            <w:tcW w:w="1246" w:type="dxa"/>
            <w:shd w:val="clear" w:color="auto" w:fill="auto"/>
            <w:vAlign w:val="center"/>
          </w:tcPr>
          <w:p w14:paraId="06751B3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5.39E-06</w:t>
            </w:r>
          </w:p>
        </w:tc>
        <w:tc>
          <w:tcPr>
            <w:tcW w:w="1188" w:type="dxa"/>
            <w:gridSpan w:val="2"/>
            <w:shd w:val="clear" w:color="auto" w:fill="auto"/>
            <w:vAlign w:val="center"/>
          </w:tcPr>
          <w:p w14:paraId="06ED3F9F">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569F027C">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1.56E-06</w:t>
            </w:r>
          </w:p>
        </w:tc>
        <w:tc>
          <w:tcPr>
            <w:tcW w:w="1148" w:type="dxa"/>
            <w:shd w:val="clear" w:color="auto" w:fill="auto"/>
            <w:vAlign w:val="center"/>
          </w:tcPr>
          <w:p w14:paraId="7503909D">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68B70F55">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1.06E-05</w:t>
            </w:r>
          </w:p>
        </w:tc>
        <w:tc>
          <w:tcPr>
            <w:tcW w:w="1164" w:type="dxa"/>
            <w:shd w:val="clear" w:color="auto" w:fill="auto"/>
            <w:vAlign w:val="center"/>
          </w:tcPr>
          <w:p w14:paraId="2C4B8B4F">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180B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0E7C6FF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750</w:t>
            </w:r>
          </w:p>
        </w:tc>
        <w:tc>
          <w:tcPr>
            <w:tcW w:w="1246" w:type="dxa"/>
            <w:shd w:val="clear" w:color="auto" w:fill="auto"/>
            <w:vAlign w:val="center"/>
          </w:tcPr>
          <w:p w14:paraId="546D04E9">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5.19E-06</w:t>
            </w:r>
          </w:p>
        </w:tc>
        <w:tc>
          <w:tcPr>
            <w:tcW w:w="1188" w:type="dxa"/>
            <w:gridSpan w:val="2"/>
            <w:shd w:val="clear" w:color="auto" w:fill="auto"/>
            <w:vAlign w:val="center"/>
          </w:tcPr>
          <w:p w14:paraId="5F70C0DA">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2AC84951">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1.50E-06</w:t>
            </w:r>
          </w:p>
        </w:tc>
        <w:tc>
          <w:tcPr>
            <w:tcW w:w="1148" w:type="dxa"/>
            <w:shd w:val="clear" w:color="auto" w:fill="auto"/>
            <w:vAlign w:val="center"/>
          </w:tcPr>
          <w:p w14:paraId="4CA5873D">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5BC0382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1.02E-05</w:t>
            </w:r>
          </w:p>
        </w:tc>
        <w:tc>
          <w:tcPr>
            <w:tcW w:w="1164" w:type="dxa"/>
            <w:shd w:val="clear" w:color="auto" w:fill="auto"/>
            <w:vAlign w:val="center"/>
          </w:tcPr>
          <w:p w14:paraId="14DF8D3D">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292D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1DC4A6D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775</w:t>
            </w:r>
          </w:p>
        </w:tc>
        <w:tc>
          <w:tcPr>
            <w:tcW w:w="1246" w:type="dxa"/>
            <w:shd w:val="clear" w:color="auto" w:fill="auto"/>
            <w:vAlign w:val="center"/>
          </w:tcPr>
          <w:p w14:paraId="1748A21E">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4.98E-06</w:t>
            </w:r>
          </w:p>
        </w:tc>
        <w:tc>
          <w:tcPr>
            <w:tcW w:w="1188" w:type="dxa"/>
            <w:gridSpan w:val="2"/>
            <w:shd w:val="clear" w:color="auto" w:fill="auto"/>
            <w:vAlign w:val="center"/>
          </w:tcPr>
          <w:p w14:paraId="7B43F22D">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1C4B60F6">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1.44E-06</w:t>
            </w:r>
          </w:p>
        </w:tc>
        <w:tc>
          <w:tcPr>
            <w:tcW w:w="1148" w:type="dxa"/>
            <w:shd w:val="clear" w:color="auto" w:fill="auto"/>
            <w:vAlign w:val="center"/>
          </w:tcPr>
          <w:p w14:paraId="5BCFD9BE">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398B930F">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9.79E-06</w:t>
            </w:r>
          </w:p>
        </w:tc>
        <w:tc>
          <w:tcPr>
            <w:tcW w:w="1164" w:type="dxa"/>
            <w:shd w:val="clear" w:color="auto" w:fill="auto"/>
            <w:vAlign w:val="center"/>
          </w:tcPr>
          <w:p w14:paraId="6C71A1FF">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r>
      <w:tr w14:paraId="5591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304AEB2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800</w:t>
            </w:r>
          </w:p>
        </w:tc>
        <w:tc>
          <w:tcPr>
            <w:tcW w:w="1246" w:type="dxa"/>
            <w:shd w:val="clear" w:color="auto" w:fill="auto"/>
            <w:vAlign w:val="center"/>
          </w:tcPr>
          <w:p w14:paraId="18B62A68">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4.80E-06</w:t>
            </w:r>
          </w:p>
        </w:tc>
        <w:tc>
          <w:tcPr>
            <w:tcW w:w="1188" w:type="dxa"/>
            <w:gridSpan w:val="2"/>
            <w:shd w:val="clear" w:color="auto" w:fill="auto"/>
            <w:vAlign w:val="center"/>
          </w:tcPr>
          <w:p w14:paraId="3E683681">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2B4704B3">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1.39E-06</w:t>
            </w:r>
          </w:p>
        </w:tc>
        <w:tc>
          <w:tcPr>
            <w:tcW w:w="1148" w:type="dxa"/>
            <w:shd w:val="clear" w:color="auto" w:fill="auto"/>
            <w:vAlign w:val="center"/>
          </w:tcPr>
          <w:p w14:paraId="5FC9F7DA">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2C1EBC9C">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9.43E-06</w:t>
            </w:r>
          </w:p>
        </w:tc>
        <w:tc>
          <w:tcPr>
            <w:tcW w:w="1164" w:type="dxa"/>
            <w:shd w:val="clear" w:color="auto" w:fill="auto"/>
            <w:vAlign w:val="center"/>
          </w:tcPr>
          <w:p w14:paraId="25E77CE7">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r>
      <w:tr w14:paraId="3BFA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36" w:type="dxa"/>
            <w:shd w:val="clear" w:color="auto" w:fill="auto"/>
            <w:vAlign w:val="center"/>
          </w:tcPr>
          <w:p w14:paraId="20FD73E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825</w:t>
            </w:r>
          </w:p>
        </w:tc>
        <w:tc>
          <w:tcPr>
            <w:tcW w:w="1246" w:type="dxa"/>
            <w:shd w:val="clear" w:color="auto" w:fill="auto"/>
            <w:vAlign w:val="center"/>
          </w:tcPr>
          <w:p w14:paraId="10967656">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4.63E-06</w:t>
            </w:r>
          </w:p>
        </w:tc>
        <w:tc>
          <w:tcPr>
            <w:tcW w:w="1188" w:type="dxa"/>
            <w:gridSpan w:val="2"/>
            <w:shd w:val="clear" w:color="auto" w:fill="auto"/>
            <w:vAlign w:val="center"/>
          </w:tcPr>
          <w:p w14:paraId="1ABCC084">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2B36E2D3">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1.34E-06</w:t>
            </w:r>
          </w:p>
        </w:tc>
        <w:tc>
          <w:tcPr>
            <w:tcW w:w="1148" w:type="dxa"/>
            <w:shd w:val="clear" w:color="auto" w:fill="auto"/>
            <w:vAlign w:val="center"/>
          </w:tcPr>
          <w:p w14:paraId="4CDB21FB">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2D966BC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9.08E-06</w:t>
            </w:r>
          </w:p>
        </w:tc>
        <w:tc>
          <w:tcPr>
            <w:tcW w:w="1164" w:type="dxa"/>
            <w:shd w:val="clear" w:color="auto" w:fill="auto"/>
            <w:vAlign w:val="center"/>
          </w:tcPr>
          <w:p w14:paraId="063B64A3">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r>
      <w:tr w14:paraId="42EB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5209430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850</w:t>
            </w:r>
          </w:p>
        </w:tc>
        <w:tc>
          <w:tcPr>
            <w:tcW w:w="1246" w:type="dxa"/>
            <w:shd w:val="clear" w:color="auto" w:fill="auto"/>
            <w:vAlign w:val="center"/>
          </w:tcPr>
          <w:p w14:paraId="247F3504">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4.43E-06</w:t>
            </w:r>
          </w:p>
        </w:tc>
        <w:tc>
          <w:tcPr>
            <w:tcW w:w="1188" w:type="dxa"/>
            <w:gridSpan w:val="2"/>
            <w:shd w:val="clear" w:color="auto" w:fill="auto"/>
            <w:vAlign w:val="center"/>
          </w:tcPr>
          <w:p w14:paraId="453834DD">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4F16C6C5">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1.28E-06</w:t>
            </w:r>
          </w:p>
        </w:tc>
        <w:tc>
          <w:tcPr>
            <w:tcW w:w="1148" w:type="dxa"/>
            <w:shd w:val="clear" w:color="auto" w:fill="auto"/>
            <w:vAlign w:val="center"/>
          </w:tcPr>
          <w:p w14:paraId="33177B85">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1D815FA4">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8.70E-06</w:t>
            </w:r>
          </w:p>
        </w:tc>
        <w:tc>
          <w:tcPr>
            <w:tcW w:w="1164" w:type="dxa"/>
            <w:shd w:val="clear" w:color="auto" w:fill="auto"/>
            <w:vAlign w:val="center"/>
          </w:tcPr>
          <w:p w14:paraId="0B3A7D8D">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r>
      <w:tr w14:paraId="4DCD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36" w:type="dxa"/>
            <w:shd w:val="clear" w:color="auto" w:fill="auto"/>
            <w:vAlign w:val="center"/>
          </w:tcPr>
          <w:p w14:paraId="3C08E32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875</w:t>
            </w:r>
          </w:p>
        </w:tc>
        <w:tc>
          <w:tcPr>
            <w:tcW w:w="1246" w:type="dxa"/>
            <w:shd w:val="clear" w:color="auto" w:fill="auto"/>
            <w:vAlign w:val="center"/>
          </w:tcPr>
          <w:p w14:paraId="4C14FDC8">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4.27E-06</w:t>
            </w:r>
          </w:p>
        </w:tc>
        <w:tc>
          <w:tcPr>
            <w:tcW w:w="1188" w:type="dxa"/>
            <w:gridSpan w:val="2"/>
            <w:shd w:val="clear" w:color="auto" w:fill="auto"/>
            <w:vAlign w:val="center"/>
          </w:tcPr>
          <w:p w14:paraId="5825B2CC">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19BC9292">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1.24E-06</w:t>
            </w:r>
          </w:p>
        </w:tc>
        <w:tc>
          <w:tcPr>
            <w:tcW w:w="1148" w:type="dxa"/>
            <w:shd w:val="clear" w:color="auto" w:fill="auto"/>
            <w:vAlign w:val="center"/>
          </w:tcPr>
          <w:p w14:paraId="0901A4C5">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24CA6755">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8.39E-06</w:t>
            </w:r>
          </w:p>
        </w:tc>
        <w:tc>
          <w:tcPr>
            <w:tcW w:w="1164" w:type="dxa"/>
            <w:shd w:val="clear" w:color="auto" w:fill="auto"/>
            <w:vAlign w:val="center"/>
          </w:tcPr>
          <w:p w14:paraId="2ED907A4">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r>
      <w:tr w14:paraId="2D40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1D0C620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900</w:t>
            </w:r>
          </w:p>
        </w:tc>
        <w:tc>
          <w:tcPr>
            <w:tcW w:w="1246" w:type="dxa"/>
            <w:shd w:val="clear" w:color="auto" w:fill="auto"/>
            <w:vAlign w:val="center"/>
          </w:tcPr>
          <w:p w14:paraId="5A4D52EF">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4.17E-06</w:t>
            </w:r>
          </w:p>
        </w:tc>
        <w:tc>
          <w:tcPr>
            <w:tcW w:w="1188" w:type="dxa"/>
            <w:gridSpan w:val="2"/>
            <w:shd w:val="clear" w:color="auto" w:fill="auto"/>
            <w:vAlign w:val="center"/>
          </w:tcPr>
          <w:p w14:paraId="0BBA6362">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77A0C741">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1.21E-06</w:t>
            </w:r>
          </w:p>
        </w:tc>
        <w:tc>
          <w:tcPr>
            <w:tcW w:w="1148" w:type="dxa"/>
            <w:shd w:val="clear" w:color="auto" w:fill="auto"/>
            <w:vAlign w:val="center"/>
          </w:tcPr>
          <w:p w14:paraId="2225C751">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0C5F8AE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8.19E-06</w:t>
            </w:r>
          </w:p>
        </w:tc>
        <w:tc>
          <w:tcPr>
            <w:tcW w:w="1164" w:type="dxa"/>
            <w:shd w:val="clear" w:color="auto" w:fill="auto"/>
            <w:vAlign w:val="center"/>
          </w:tcPr>
          <w:p w14:paraId="689C5EC0">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r>
      <w:tr w14:paraId="7402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36" w:type="dxa"/>
            <w:shd w:val="clear" w:color="auto" w:fill="auto"/>
            <w:vAlign w:val="center"/>
          </w:tcPr>
          <w:p w14:paraId="018A45E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925</w:t>
            </w:r>
          </w:p>
        </w:tc>
        <w:tc>
          <w:tcPr>
            <w:tcW w:w="1246" w:type="dxa"/>
            <w:shd w:val="clear" w:color="auto" w:fill="auto"/>
            <w:vAlign w:val="center"/>
          </w:tcPr>
          <w:p w14:paraId="3239C2B2">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3.99E-06</w:t>
            </w:r>
          </w:p>
        </w:tc>
        <w:tc>
          <w:tcPr>
            <w:tcW w:w="1188" w:type="dxa"/>
            <w:gridSpan w:val="2"/>
            <w:shd w:val="clear" w:color="auto" w:fill="auto"/>
            <w:vAlign w:val="center"/>
          </w:tcPr>
          <w:p w14:paraId="6292CCAA">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26008A96">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1.15E-06</w:t>
            </w:r>
          </w:p>
        </w:tc>
        <w:tc>
          <w:tcPr>
            <w:tcW w:w="1148" w:type="dxa"/>
            <w:shd w:val="clear" w:color="auto" w:fill="auto"/>
            <w:vAlign w:val="center"/>
          </w:tcPr>
          <w:p w14:paraId="4915AEFF">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0C458AE5">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7.84E-06</w:t>
            </w:r>
          </w:p>
        </w:tc>
        <w:tc>
          <w:tcPr>
            <w:tcW w:w="1164" w:type="dxa"/>
            <w:shd w:val="clear" w:color="auto" w:fill="auto"/>
            <w:vAlign w:val="center"/>
          </w:tcPr>
          <w:p w14:paraId="098F25FC">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r>
      <w:tr w14:paraId="7E3D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1FCC9EB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950</w:t>
            </w:r>
          </w:p>
        </w:tc>
        <w:tc>
          <w:tcPr>
            <w:tcW w:w="1246" w:type="dxa"/>
            <w:shd w:val="clear" w:color="auto" w:fill="auto"/>
            <w:vAlign w:val="center"/>
          </w:tcPr>
          <w:p w14:paraId="13CAAC8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3.89E-06</w:t>
            </w:r>
          </w:p>
        </w:tc>
        <w:tc>
          <w:tcPr>
            <w:tcW w:w="1188" w:type="dxa"/>
            <w:gridSpan w:val="2"/>
            <w:shd w:val="clear" w:color="auto" w:fill="auto"/>
            <w:vAlign w:val="center"/>
          </w:tcPr>
          <w:p w14:paraId="63D62DFB">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5E1FB2C7">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1.12E-06</w:t>
            </w:r>
          </w:p>
        </w:tc>
        <w:tc>
          <w:tcPr>
            <w:tcW w:w="1148" w:type="dxa"/>
            <w:shd w:val="clear" w:color="auto" w:fill="auto"/>
            <w:vAlign w:val="center"/>
          </w:tcPr>
          <w:p w14:paraId="750218EB">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0C6B74B9">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7.64E-06</w:t>
            </w:r>
          </w:p>
        </w:tc>
        <w:tc>
          <w:tcPr>
            <w:tcW w:w="1164" w:type="dxa"/>
            <w:shd w:val="clear" w:color="auto" w:fill="auto"/>
            <w:vAlign w:val="center"/>
          </w:tcPr>
          <w:p w14:paraId="26D8B3C7">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r>
      <w:tr w14:paraId="1A95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039CB46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975</w:t>
            </w:r>
          </w:p>
        </w:tc>
        <w:tc>
          <w:tcPr>
            <w:tcW w:w="1246" w:type="dxa"/>
            <w:shd w:val="clear" w:color="auto" w:fill="auto"/>
            <w:vAlign w:val="center"/>
          </w:tcPr>
          <w:p w14:paraId="1DFFF07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3.79E-06</w:t>
            </w:r>
          </w:p>
        </w:tc>
        <w:tc>
          <w:tcPr>
            <w:tcW w:w="1188" w:type="dxa"/>
            <w:gridSpan w:val="2"/>
            <w:shd w:val="clear" w:color="auto" w:fill="auto"/>
            <w:vAlign w:val="center"/>
          </w:tcPr>
          <w:p w14:paraId="112EDC52">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79B49881">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1.10E-06</w:t>
            </w:r>
          </w:p>
        </w:tc>
        <w:tc>
          <w:tcPr>
            <w:tcW w:w="1148" w:type="dxa"/>
            <w:shd w:val="clear" w:color="auto" w:fill="auto"/>
            <w:vAlign w:val="center"/>
          </w:tcPr>
          <w:p w14:paraId="792A92CE">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38D4E4E1">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7.44E-06</w:t>
            </w:r>
          </w:p>
        </w:tc>
        <w:tc>
          <w:tcPr>
            <w:tcW w:w="1164" w:type="dxa"/>
            <w:shd w:val="clear" w:color="auto" w:fill="auto"/>
            <w:vAlign w:val="center"/>
          </w:tcPr>
          <w:p w14:paraId="336D3DD7">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r>
      <w:tr w14:paraId="20B3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66C0D35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w:t>
            </w:r>
          </w:p>
        </w:tc>
        <w:tc>
          <w:tcPr>
            <w:tcW w:w="1246" w:type="dxa"/>
            <w:shd w:val="clear" w:color="auto" w:fill="auto"/>
            <w:vAlign w:val="center"/>
          </w:tcPr>
          <w:p w14:paraId="31A8FB10">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3.67E-06</w:t>
            </w:r>
          </w:p>
        </w:tc>
        <w:tc>
          <w:tcPr>
            <w:tcW w:w="1188" w:type="dxa"/>
            <w:gridSpan w:val="2"/>
            <w:shd w:val="clear" w:color="auto" w:fill="auto"/>
            <w:vAlign w:val="center"/>
          </w:tcPr>
          <w:p w14:paraId="462B12FC">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5E557889">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1.06E-06</w:t>
            </w:r>
          </w:p>
        </w:tc>
        <w:tc>
          <w:tcPr>
            <w:tcW w:w="1148" w:type="dxa"/>
            <w:shd w:val="clear" w:color="auto" w:fill="auto"/>
            <w:vAlign w:val="center"/>
          </w:tcPr>
          <w:p w14:paraId="090AFBED">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5B8A45F8">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7.21E-06</w:t>
            </w:r>
          </w:p>
        </w:tc>
        <w:tc>
          <w:tcPr>
            <w:tcW w:w="1164" w:type="dxa"/>
            <w:shd w:val="clear" w:color="auto" w:fill="auto"/>
            <w:vAlign w:val="center"/>
          </w:tcPr>
          <w:p w14:paraId="3E8E7FB3">
            <w:pPr>
              <w:keepNext w:val="0"/>
              <w:keepLines w:val="0"/>
              <w:widowControl/>
              <w:suppressLineNumbers w:val="0"/>
              <w:jc w:val="righ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r>
      <w:tr w14:paraId="22D3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1723DC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1500</w:t>
            </w:r>
          </w:p>
        </w:tc>
        <w:tc>
          <w:tcPr>
            <w:tcW w:w="1246" w:type="dxa"/>
            <w:shd w:val="clear" w:color="auto" w:fill="auto"/>
            <w:vAlign w:val="center"/>
          </w:tcPr>
          <w:p w14:paraId="218722B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1.97E-06</w:t>
            </w:r>
          </w:p>
        </w:tc>
        <w:tc>
          <w:tcPr>
            <w:tcW w:w="1188" w:type="dxa"/>
            <w:gridSpan w:val="2"/>
            <w:shd w:val="clear" w:color="auto" w:fill="auto"/>
            <w:vAlign w:val="center"/>
          </w:tcPr>
          <w:p w14:paraId="2B6B7ED7">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4648866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5.71E-07</w:t>
            </w:r>
          </w:p>
        </w:tc>
        <w:tc>
          <w:tcPr>
            <w:tcW w:w="1148" w:type="dxa"/>
            <w:shd w:val="clear" w:color="auto" w:fill="auto"/>
            <w:vAlign w:val="center"/>
          </w:tcPr>
          <w:p w14:paraId="1937CEBF">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42E622E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3.88E-06</w:t>
            </w:r>
          </w:p>
        </w:tc>
        <w:tc>
          <w:tcPr>
            <w:tcW w:w="1164" w:type="dxa"/>
            <w:shd w:val="clear" w:color="auto" w:fill="auto"/>
            <w:vAlign w:val="center"/>
          </w:tcPr>
          <w:p w14:paraId="233CF364">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p>
        </w:tc>
      </w:tr>
      <w:tr w14:paraId="100C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36" w:type="dxa"/>
            <w:shd w:val="clear" w:color="auto" w:fill="auto"/>
            <w:vAlign w:val="center"/>
          </w:tcPr>
          <w:p w14:paraId="5A53DB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2000</w:t>
            </w:r>
          </w:p>
        </w:tc>
        <w:tc>
          <w:tcPr>
            <w:tcW w:w="1246" w:type="dxa"/>
            <w:shd w:val="clear" w:color="auto" w:fill="auto"/>
            <w:vAlign w:val="center"/>
          </w:tcPr>
          <w:p w14:paraId="4DA3F61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1.51E-06</w:t>
            </w:r>
          </w:p>
        </w:tc>
        <w:tc>
          <w:tcPr>
            <w:tcW w:w="1188" w:type="dxa"/>
            <w:gridSpan w:val="2"/>
            <w:shd w:val="clear" w:color="auto" w:fill="auto"/>
            <w:vAlign w:val="center"/>
          </w:tcPr>
          <w:p w14:paraId="48695A68">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60A2FBA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4.37E-07</w:t>
            </w:r>
          </w:p>
        </w:tc>
        <w:tc>
          <w:tcPr>
            <w:tcW w:w="1148" w:type="dxa"/>
            <w:shd w:val="clear" w:color="auto" w:fill="auto"/>
            <w:vAlign w:val="center"/>
          </w:tcPr>
          <w:p w14:paraId="506A2830">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38BBECA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2.97E-06</w:t>
            </w:r>
          </w:p>
        </w:tc>
        <w:tc>
          <w:tcPr>
            <w:tcW w:w="1164" w:type="dxa"/>
            <w:shd w:val="clear" w:color="auto" w:fill="auto"/>
            <w:vAlign w:val="center"/>
          </w:tcPr>
          <w:p w14:paraId="14777EF5">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p>
        </w:tc>
      </w:tr>
      <w:tr w14:paraId="1F785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36" w:type="dxa"/>
            <w:shd w:val="clear" w:color="auto" w:fill="auto"/>
            <w:vAlign w:val="center"/>
          </w:tcPr>
          <w:p w14:paraId="604069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2500</w:t>
            </w:r>
          </w:p>
        </w:tc>
        <w:tc>
          <w:tcPr>
            <w:tcW w:w="1246" w:type="dxa"/>
            <w:shd w:val="clear" w:color="auto" w:fill="auto"/>
            <w:vAlign w:val="center"/>
          </w:tcPr>
          <w:p w14:paraId="79488AA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9.78E-07</w:t>
            </w:r>
          </w:p>
        </w:tc>
        <w:tc>
          <w:tcPr>
            <w:tcW w:w="1188" w:type="dxa"/>
            <w:gridSpan w:val="2"/>
            <w:shd w:val="clear" w:color="auto" w:fill="auto"/>
            <w:vAlign w:val="center"/>
          </w:tcPr>
          <w:p w14:paraId="6E5C341A">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p>
        </w:tc>
        <w:tc>
          <w:tcPr>
            <w:tcW w:w="1184" w:type="dxa"/>
            <w:shd w:val="clear" w:color="auto" w:fill="auto"/>
            <w:vAlign w:val="center"/>
          </w:tcPr>
          <w:p w14:paraId="5DF72C2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2.83E-07</w:t>
            </w:r>
          </w:p>
        </w:tc>
        <w:tc>
          <w:tcPr>
            <w:tcW w:w="1148" w:type="dxa"/>
            <w:shd w:val="clear" w:color="auto" w:fill="auto"/>
            <w:vAlign w:val="center"/>
          </w:tcPr>
          <w:p w14:paraId="6CF369D5">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p>
        </w:tc>
        <w:tc>
          <w:tcPr>
            <w:tcW w:w="1230" w:type="dxa"/>
            <w:shd w:val="clear" w:color="auto" w:fill="auto"/>
            <w:vAlign w:val="center"/>
          </w:tcPr>
          <w:p w14:paraId="02AAE3D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1.92E-06</w:t>
            </w:r>
          </w:p>
        </w:tc>
        <w:tc>
          <w:tcPr>
            <w:tcW w:w="1164" w:type="dxa"/>
            <w:shd w:val="clear" w:color="auto" w:fill="auto"/>
            <w:vAlign w:val="center"/>
          </w:tcPr>
          <w:p w14:paraId="2BDB7666">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p>
        </w:tc>
      </w:tr>
      <w:tr w14:paraId="1A2E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636" w:type="dxa"/>
            <w:shd w:val="clear" w:color="auto" w:fill="auto"/>
            <w:vAlign w:val="center"/>
          </w:tcPr>
          <w:p w14:paraId="11F920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rPr>
              <w:t>下风向最大浓度</w:t>
            </w:r>
            <w:r>
              <w:rPr>
                <w:rFonts w:hint="default" w:ascii="Times New Roman" w:hAnsi="Times New Roman" w:cs="Times New Roman"/>
                <w:color w:val="auto"/>
                <w:sz w:val="18"/>
                <w:szCs w:val="18"/>
                <w:lang w:eastAsia="zh-CN"/>
              </w:rPr>
              <w:t>（</w:t>
            </w:r>
            <w:r>
              <w:rPr>
                <w:rFonts w:hint="default" w:ascii="Times New Roman" w:hAnsi="Times New Roman" w:eastAsia="宋体" w:cs="Times New Roman"/>
                <w:i w:val="0"/>
                <w:iCs w:val="0"/>
                <w:color w:val="auto"/>
                <w:kern w:val="0"/>
                <w:sz w:val="18"/>
                <w:szCs w:val="18"/>
                <w:u w:val="none"/>
                <w:lang w:val="en-US" w:eastAsia="zh-CN" w:bidi="ar"/>
              </w:rPr>
              <w:t>16m)</w:t>
            </w:r>
          </w:p>
        </w:tc>
        <w:tc>
          <w:tcPr>
            <w:tcW w:w="1246" w:type="dxa"/>
            <w:shd w:val="clear" w:color="auto" w:fill="auto"/>
            <w:vAlign w:val="center"/>
          </w:tcPr>
          <w:p w14:paraId="00BA258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1.73E-04</w:t>
            </w:r>
          </w:p>
        </w:tc>
        <w:tc>
          <w:tcPr>
            <w:tcW w:w="1188" w:type="dxa"/>
            <w:gridSpan w:val="2"/>
            <w:shd w:val="clear" w:color="auto" w:fill="auto"/>
            <w:vAlign w:val="center"/>
          </w:tcPr>
          <w:p w14:paraId="32F2FF75">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0.02</w:t>
            </w:r>
          </w:p>
        </w:tc>
        <w:tc>
          <w:tcPr>
            <w:tcW w:w="1184" w:type="dxa"/>
            <w:shd w:val="clear" w:color="auto" w:fill="auto"/>
            <w:vAlign w:val="center"/>
          </w:tcPr>
          <w:p w14:paraId="227504E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5.00E-05</w:t>
            </w:r>
          </w:p>
        </w:tc>
        <w:tc>
          <w:tcPr>
            <w:tcW w:w="1148" w:type="dxa"/>
            <w:shd w:val="clear" w:color="auto" w:fill="auto"/>
            <w:vAlign w:val="center"/>
          </w:tcPr>
          <w:p w14:paraId="51B2CE62">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0.01</w:t>
            </w:r>
          </w:p>
        </w:tc>
        <w:tc>
          <w:tcPr>
            <w:tcW w:w="1230" w:type="dxa"/>
            <w:shd w:val="clear" w:color="auto" w:fill="auto"/>
            <w:vAlign w:val="center"/>
          </w:tcPr>
          <w:p w14:paraId="114BCAD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3.40E-04</w:t>
            </w:r>
          </w:p>
        </w:tc>
        <w:tc>
          <w:tcPr>
            <w:tcW w:w="1164" w:type="dxa"/>
            <w:shd w:val="clear" w:color="auto" w:fill="auto"/>
            <w:vAlign w:val="center"/>
          </w:tcPr>
          <w:p w14:paraId="46797BB5">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0.17</w:t>
            </w:r>
          </w:p>
        </w:tc>
      </w:tr>
    </w:tbl>
    <w:p w14:paraId="281F66E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以上估算预测结果</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pacing w:val="-10"/>
          <w:sz w:val="24"/>
          <w:szCs w:val="24"/>
        </w:rPr>
        <w:t>项目运营期恶臭气体中NH</w:t>
      </w:r>
      <w:r>
        <w:rPr>
          <w:rFonts w:hint="default" w:ascii="Times New Roman" w:hAnsi="Times New Roman" w:eastAsia="宋体" w:cs="Times New Roman"/>
          <w:bCs/>
          <w:color w:val="auto"/>
          <w:spacing w:val="-10"/>
          <w:sz w:val="24"/>
          <w:szCs w:val="24"/>
          <w:vertAlign w:val="subscript"/>
        </w:rPr>
        <w:t>3</w:t>
      </w:r>
      <w:r>
        <w:rPr>
          <w:rFonts w:hint="default" w:ascii="Times New Roman" w:hAnsi="Times New Roman" w:eastAsia="宋体" w:cs="Times New Roman"/>
          <w:bCs/>
          <w:color w:val="auto"/>
          <w:spacing w:val="-10"/>
          <w:sz w:val="24"/>
          <w:szCs w:val="24"/>
        </w:rPr>
        <w:t>最大落地浓度为</w:t>
      </w:r>
      <w:r>
        <w:rPr>
          <w:rFonts w:hint="default" w:ascii="Times New Roman" w:hAnsi="Times New Roman" w:eastAsia="宋体" w:cs="Times New Roman"/>
          <w:color w:val="auto"/>
          <w:sz w:val="24"/>
          <w:szCs w:val="24"/>
          <w:lang w:val="en-US" w:eastAsia="zh-CN"/>
        </w:rPr>
        <w:t>2.84</w:t>
      </w:r>
      <w:r>
        <w:rPr>
          <w:rFonts w:hint="eastAsia" w:ascii="Times New Roman" w:hAnsi="Times New Roman" w:cs="Times New Roman"/>
          <w:color w:val="auto"/>
          <w:sz w:val="24"/>
          <w:szCs w:val="24"/>
          <w:lang w:val="en-US" w:eastAsia="zh-CN"/>
        </w:rPr>
        <w:t>μg/m</w:t>
      </w:r>
      <w:r>
        <w:rPr>
          <w:rFonts w:hint="eastAsia" w:ascii="Times New Roman" w:hAnsi="Times New Roman" w:cs="Times New Roman"/>
          <w:color w:val="auto"/>
          <w:sz w:val="24"/>
          <w:szCs w:val="24"/>
          <w:vertAlign w:val="superscript"/>
          <w:lang w:val="en-US" w:eastAsia="zh-CN"/>
        </w:rPr>
        <w:t>3</w:t>
      </w:r>
      <w:r>
        <w:rPr>
          <w:rFonts w:hint="default" w:ascii="Times New Roman" w:hAnsi="Times New Roman" w:eastAsia="宋体" w:cs="Times New Roman"/>
          <w:bCs/>
          <w:color w:val="auto"/>
          <w:spacing w:val="-10"/>
          <w:sz w:val="24"/>
          <w:szCs w:val="24"/>
        </w:rPr>
        <w:t>，出现距离为下风向</w:t>
      </w:r>
      <w:r>
        <w:rPr>
          <w:rFonts w:hint="default" w:ascii="Times New Roman" w:hAnsi="Times New Roman" w:eastAsia="宋体" w:cs="Times New Roman"/>
          <w:bCs/>
          <w:color w:val="auto"/>
          <w:spacing w:val="-10"/>
          <w:sz w:val="24"/>
          <w:szCs w:val="24"/>
          <w:lang w:val="en-US" w:eastAsia="zh-CN"/>
        </w:rPr>
        <w:t>58</w:t>
      </w:r>
      <w:r>
        <w:rPr>
          <w:rFonts w:hint="default" w:ascii="Times New Roman" w:hAnsi="Times New Roman" w:eastAsia="宋体" w:cs="Times New Roman"/>
          <w:bCs/>
          <w:color w:val="auto"/>
          <w:spacing w:val="-10"/>
          <w:sz w:val="24"/>
          <w:szCs w:val="24"/>
        </w:rPr>
        <w:t>m；</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w:t>
      </w:r>
      <w:r>
        <w:rPr>
          <w:rFonts w:hint="default" w:ascii="Times New Roman" w:hAnsi="Times New Roman" w:eastAsia="宋体" w:cs="Times New Roman"/>
          <w:bCs/>
          <w:color w:val="auto"/>
          <w:spacing w:val="-10"/>
          <w:sz w:val="24"/>
          <w:szCs w:val="24"/>
        </w:rPr>
        <w:t>最大落地浓度为</w:t>
      </w:r>
      <w:r>
        <w:rPr>
          <w:rFonts w:hint="default" w:ascii="Times New Roman" w:hAnsi="Times New Roman" w:eastAsia="宋体" w:cs="Times New Roman"/>
          <w:color w:val="auto"/>
          <w:sz w:val="24"/>
          <w:szCs w:val="24"/>
          <w:lang w:val="en-US" w:eastAsia="zh-CN"/>
        </w:rPr>
        <w:t>0.601</w:t>
      </w:r>
      <w:r>
        <w:rPr>
          <w:rFonts w:hint="eastAsia" w:ascii="Times New Roman" w:hAnsi="Times New Roman" w:cs="Times New Roman"/>
          <w:color w:val="auto"/>
          <w:sz w:val="24"/>
          <w:szCs w:val="24"/>
          <w:lang w:val="en-US" w:eastAsia="zh-CN"/>
        </w:rPr>
        <w:t>μg/m</w:t>
      </w:r>
      <w:r>
        <w:rPr>
          <w:rFonts w:hint="eastAsia" w:ascii="Times New Roman" w:hAnsi="Times New Roman" w:cs="Times New Roman"/>
          <w:color w:val="auto"/>
          <w:sz w:val="24"/>
          <w:szCs w:val="24"/>
          <w:vertAlign w:val="superscript"/>
          <w:lang w:val="en-US" w:eastAsia="zh-CN"/>
        </w:rPr>
        <w:t>3</w:t>
      </w:r>
      <w:r>
        <w:rPr>
          <w:rFonts w:hint="default" w:ascii="Times New Roman" w:hAnsi="Times New Roman" w:eastAsia="宋体" w:cs="Times New Roman"/>
          <w:bCs/>
          <w:color w:val="auto"/>
          <w:spacing w:val="-10"/>
          <w:sz w:val="24"/>
          <w:szCs w:val="24"/>
        </w:rPr>
        <w:t>，出现距离为下风向</w:t>
      </w:r>
      <w:r>
        <w:rPr>
          <w:rFonts w:hint="default" w:ascii="Times New Roman" w:hAnsi="Times New Roman" w:eastAsia="宋体" w:cs="Times New Roman"/>
          <w:bCs/>
          <w:color w:val="auto"/>
          <w:spacing w:val="-10"/>
          <w:sz w:val="24"/>
          <w:szCs w:val="24"/>
          <w:lang w:val="en-US" w:eastAsia="zh-CN"/>
        </w:rPr>
        <w:t>58</w:t>
      </w:r>
      <w:r>
        <w:rPr>
          <w:rFonts w:hint="default" w:ascii="Times New Roman" w:hAnsi="Times New Roman" w:eastAsia="宋体" w:cs="Times New Roman"/>
          <w:bCs/>
          <w:color w:val="auto"/>
          <w:spacing w:val="-10"/>
          <w:sz w:val="24"/>
          <w:szCs w:val="24"/>
        </w:rPr>
        <w:t>m</w:t>
      </w:r>
      <w:r>
        <w:rPr>
          <w:rFonts w:hint="default" w:ascii="Times New Roman" w:hAnsi="Times New Roman" w:cs="Times New Roman"/>
          <w:bCs/>
          <w:color w:val="auto"/>
          <w:spacing w:val="-10"/>
          <w:sz w:val="24"/>
          <w:szCs w:val="24"/>
          <w:lang w:eastAsia="zh-CN"/>
        </w:rPr>
        <w:t>，</w:t>
      </w:r>
      <w:r>
        <w:rPr>
          <w:rFonts w:hint="default" w:ascii="Times New Roman" w:hAnsi="Times New Roman" w:eastAsia="宋体" w:cs="Times New Roman"/>
          <w:bCs/>
          <w:color w:val="auto"/>
          <w:spacing w:val="-10"/>
          <w:sz w:val="24"/>
          <w:szCs w:val="24"/>
          <w:lang w:val="en-US" w:eastAsia="zh-CN"/>
        </w:rPr>
        <w:t>无组织排放的</w:t>
      </w:r>
      <w:r>
        <w:rPr>
          <w:rFonts w:hint="default" w:ascii="Times New Roman" w:hAnsi="Times New Roman" w:eastAsia="宋体" w:cs="Times New Roman"/>
          <w:bCs/>
          <w:color w:val="auto"/>
          <w:sz w:val="24"/>
          <w:szCs w:val="24"/>
        </w:rPr>
        <w:t>SO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pacing w:val="-10"/>
          <w:sz w:val="24"/>
          <w:szCs w:val="24"/>
          <w:lang w:val="en-US" w:eastAsia="zh-CN"/>
        </w:rPr>
        <w:t>最大</w:t>
      </w:r>
      <w:r>
        <w:rPr>
          <w:rFonts w:hint="default" w:ascii="Times New Roman" w:hAnsi="Times New Roman" w:eastAsia="宋体" w:cs="Times New Roman"/>
          <w:bCs/>
          <w:color w:val="auto"/>
          <w:spacing w:val="-10"/>
          <w:sz w:val="24"/>
          <w:szCs w:val="24"/>
        </w:rPr>
        <w:t>落地浓度为</w:t>
      </w:r>
      <w:r>
        <w:rPr>
          <w:rFonts w:hint="default" w:ascii="Times New Roman" w:hAnsi="Times New Roman" w:eastAsia="宋体" w:cs="Times New Roman"/>
          <w:color w:val="auto"/>
          <w:sz w:val="24"/>
          <w:szCs w:val="24"/>
          <w:lang w:val="en-US" w:eastAsia="zh-CN"/>
        </w:rPr>
        <w:t>0.05</w:t>
      </w:r>
      <w:r>
        <w:rPr>
          <w:rFonts w:hint="eastAsia" w:ascii="Times New Roman" w:hAnsi="Times New Roman" w:cs="Times New Roman"/>
          <w:color w:val="auto"/>
          <w:sz w:val="24"/>
          <w:szCs w:val="24"/>
          <w:lang w:val="en-US" w:eastAsia="zh-CN"/>
        </w:rPr>
        <w:t>μg/m</w:t>
      </w:r>
      <w:r>
        <w:rPr>
          <w:rFonts w:hint="eastAsia" w:ascii="Times New Roman" w:hAnsi="Times New Roman" w:cs="Times New Roman"/>
          <w:color w:val="auto"/>
          <w:sz w:val="24"/>
          <w:szCs w:val="24"/>
          <w:vertAlign w:val="superscript"/>
          <w:lang w:val="en-US" w:eastAsia="zh-CN"/>
        </w:rPr>
        <w:t>3</w:t>
      </w:r>
      <w:r>
        <w:rPr>
          <w:rFonts w:hint="default" w:ascii="Times New Roman" w:hAnsi="Times New Roman" w:eastAsia="宋体" w:cs="Times New Roman"/>
          <w:bCs/>
          <w:color w:val="auto"/>
          <w:spacing w:val="-10"/>
          <w:sz w:val="24"/>
          <w:szCs w:val="24"/>
        </w:rPr>
        <w:t>；</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bCs/>
          <w:color w:val="auto"/>
          <w:spacing w:val="-10"/>
          <w:sz w:val="24"/>
          <w:szCs w:val="24"/>
          <w:lang w:val="en-US" w:eastAsia="zh-CN"/>
        </w:rPr>
        <w:t>最大</w:t>
      </w:r>
      <w:r>
        <w:rPr>
          <w:rFonts w:hint="default" w:ascii="Times New Roman" w:hAnsi="Times New Roman" w:eastAsia="宋体" w:cs="Times New Roman"/>
          <w:bCs/>
          <w:color w:val="auto"/>
          <w:spacing w:val="-10"/>
          <w:sz w:val="24"/>
          <w:szCs w:val="24"/>
        </w:rPr>
        <w:t>落地浓度为</w:t>
      </w:r>
      <w:r>
        <w:rPr>
          <w:rFonts w:hint="default" w:ascii="Times New Roman" w:hAnsi="Times New Roman" w:eastAsia="宋体" w:cs="Times New Roman"/>
          <w:color w:val="auto"/>
          <w:sz w:val="24"/>
          <w:szCs w:val="24"/>
          <w:lang w:val="en-US" w:eastAsia="zh-CN"/>
        </w:rPr>
        <w:t>0.34</w:t>
      </w:r>
      <w:r>
        <w:rPr>
          <w:rFonts w:hint="eastAsia" w:ascii="Times New Roman" w:hAnsi="Times New Roman" w:cs="Times New Roman"/>
          <w:color w:val="auto"/>
          <w:sz w:val="24"/>
          <w:szCs w:val="24"/>
          <w:lang w:val="en-US" w:eastAsia="zh-CN"/>
        </w:rPr>
        <w:t>μg/m</w:t>
      </w:r>
      <w:r>
        <w:rPr>
          <w:rFonts w:hint="eastAsia" w:ascii="Times New Roman" w:hAnsi="Times New Roman" w:cs="Times New Roman"/>
          <w:color w:val="auto"/>
          <w:sz w:val="24"/>
          <w:szCs w:val="24"/>
          <w:vertAlign w:val="superscript"/>
          <w:lang w:val="en-US" w:eastAsia="zh-CN"/>
        </w:rPr>
        <w:t>3</w:t>
      </w:r>
      <w:r>
        <w:rPr>
          <w:rFonts w:hint="default" w:ascii="Times New Roman" w:hAnsi="Times New Roman" w:eastAsia="宋体" w:cs="Times New Roman"/>
          <w:bCs/>
          <w:color w:val="auto"/>
          <w:spacing w:val="-10"/>
          <w:sz w:val="24"/>
          <w:szCs w:val="24"/>
        </w:rPr>
        <w:t>，</w:t>
      </w:r>
      <w:r>
        <w:rPr>
          <w:rFonts w:hint="default" w:ascii="Times New Roman" w:hAnsi="Times New Roman" w:eastAsia="宋体" w:cs="Times New Roman"/>
          <w:color w:val="auto"/>
          <w:sz w:val="24"/>
          <w:szCs w:val="24"/>
          <w:lang w:val="en-US" w:eastAsia="zh-CN"/>
        </w:rPr>
        <w:t>TSP</w:t>
      </w:r>
      <w:r>
        <w:rPr>
          <w:rFonts w:hint="default" w:ascii="Times New Roman" w:hAnsi="Times New Roman" w:eastAsia="宋体" w:cs="Times New Roman"/>
          <w:bCs/>
          <w:color w:val="auto"/>
          <w:spacing w:val="-10"/>
          <w:sz w:val="24"/>
          <w:szCs w:val="24"/>
          <w:lang w:val="en-US" w:eastAsia="zh-CN"/>
        </w:rPr>
        <w:t>最大</w:t>
      </w:r>
      <w:r>
        <w:rPr>
          <w:rFonts w:hint="default" w:ascii="Times New Roman" w:hAnsi="Times New Roman" w:eastAsia="宋体" w:cs="Times New Roman"/>
          <w:bCs/>
          <w:color w:val="auto"/>
          <w:spacing w:val="-10"/>
          <w:sz w:val="24"/>
          <w:szCs w:val="24"/>
        </w:rPr>
        <w:t>落地浓度为</w:t>
      </w:r>
      <w:r>
        <w:rPr>
          <w:rFonts w:hint="default" w:ascii="Times New Roman" w:hAnsi="Times New Roman" w:eastAsia="宋体" w:cs="Times New Roman"/>
          <w:color w:val="auto"/>
          <w:sz w:val="24"/>
          <w:szCs w:val="24"/>
          <w:lang w:val="en-US" w:eastAsia="zh-CN"/>
        </w:rPr>
        <w:t>0.173</w:t>
      </w:r>
      <w:r>
        <w:rPr>
          <w:rFonts w:hint="eastAsia" w:ascii="Times New Roman" w:hAnsi="Times New Roman" w:cs="Times New Roman"/>
          <w:color w:val="auto"/>
          <w:sz w:val="24"/>
          <w:szCs w:val="24"/>
          <w:lang w:val="en-US" w:eastAsia="zh-CN"/>
        </w:rPr>
        <w:t>μg/m</w:t>
      </w:r>
      <w:r>
        <w:rPr>
          <w:rFonts w:hint="eastAsia" w:ascii="Times New Roman" w:hAnsi="Times New Roman" w:cs="Times New Roman"/>
          <w:color w:val="auto"/>
          <w:sz w:val="24"/>
          <w:szCs w:val="24"/>
          <w:vertAlign w:val="superscript"/>
          <w:lang w:val="en-US" w:eastAsia="zh-CN"/>
        </w:rPr>
        <w:t>3</w:t>
      </w:r>
      <w:r>
        <w:rPr>
          <w:rFonts w:hint="default" w:ascii="Times New Roman" w:hAnsi="Times New Roman" w:eastAsia="宋体" w:cs="Times New Roman"/>
          <w:bCs/>
          <w:color w:val="auto"/>
          <w:spacing w:val="-10"/>
          <w:sz w:val="24"/>
          <w:szCs w:val="24"/>
        </w:rPr>
        <w:t>，出现距离为下风向</w:t>
      </w:r>
      <w:r>
        <w:rPr>
          <w:rFonts w:hint="default" w:ascii="Times New Roman" w:hAnsi="Times New Roman" w:eastAsia="宋体" w:cs="Times New Roman"/>
          <w:bCs/>
          <w:color w:val="auto"/>
          <w:spacing w:val="-10"/>
          <w:sz w:val="24"/>
          <w:szCs w:val="24"/>
          <w:lang w:val="en-US" w:eastAsia="zh-CN"/>
        </w:rPr>
        <w:t>16</w:t>
      </w:r>
      <w:r>
        <w:rPr>
          <w:rFonts w:hint="default" w:ascii="Times New Roman" w:hAnsi="Times New Roman" w:eastAsia="宋体" w:cs="Times New Roman"/>
          <w:bCs/>
          <w:color w:val="auto"/>
          <w:spacing w:val="-10"/>
          <w:sz w:val="24"/>
          <w:szCs w:val="24"/>
        </w:rPr>
        <w:t>m</w:t>
      </w:r>
      <w:r>
        <w:rPr>
          <w:rFonts w:hint="default" w:ascii="Times New Roman" w:hAnsi="Times New Roman" w:eastAsia="宋体" w:cs="Times New Roman"/>
          <w:bCs/>
          <w:color w:val="auto"/>
          <w:sz w:val="24"/>
          <w:szCs w:val="24"/>
          <w:lang w:eastAsia="zh-CN"/>
        </w:rPr>
        <w:t>。</w:t>
      </w:r>
    </w:p>
    <w:p w14:paraId="52162361">
      <w:pPr>
        <w:keepNext w:val="0"/>
        <w:keepLines w:val="0"/>
        <w:pageBreakBefore w:val="0"/>
        <w:widowControl w:val="0"/>
        <w:kinsoku/>
        <w:wordWrap/>
        <w:overflowPunct/>
        <w:topLinePunct w:val="0"/>
        <w:autoSpaceDE/>
        <w:autoSpaceDN/>
        <w:bidi w:val="0"/>
        <w:adjustRightInd/>
        <w:snapToGrid w:val="0"/>
        <w:spacing w:line="360" w:lineRule="auto"/>
        <w:ind w:firstLine="44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10"/>
          <w:sz w:val="24"/>
          <w:szCs w:val="24"/>
        </w:rPr>
        <w:t>根据最大落地浓度估算结果，运营期</w:t>
      </w:r>
      <w:r>
        <w:rPr>
          <w:rFonts w:hint="default" w:ascii="Times New Roman" w:hAnsi="Times New Roman" w:eastAsia="宋体" w:cs="Times New Roman"/>
          <w:color w:val="auto"/>
          <w:sz w:val="24"/>
          <w:szCs w:val="24"/>
        </w:rPr>
        <w:t>无组织恶臭气体排放满足《恶臭污染物排放标准》（GB14554-93）表1中新改扩二级标准，即厂界NH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：1.5mg/m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S：0.06mg/m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无组织排放的TSP、</w:t>
      </w:r>
      <w:r>
        <w:rPr>
          <w:rFonts w:hint="default" w:ascii="Times New Roman" w:hAnsi="Times New Roman" w:eastAsia="宋体" w:cs="Times New Roman"/>
          <w:bCs/>
          <w:color w:val="auto"/>
          <w:sz w:val="24"/>
          <w:szCs w:val="24"/>
        </w:rPr>
        <w:t>SO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、NO</w:t>
      </w:r>
      <w:r>
        <w:rPr>
          <w:rFonts w:hint="default" w:ascii="Times New Roman" w:hAnsi="Times New Roman" w:eastAsia="宋体" w:cs="Times New Roman"/>
          <w:bCs/>
          <w:color w:val="auto"/>
          <w:sz w:val="24"/>
          <w:szCs w:val="24"/>
          <w:vertAlign w:val="subscript"/>
        </w:rPr>
        <w:t>x</w:t>
      </w:r>
      <w:r>
        <w:rPr>
          <w:rFonts w:hint="default" w:ascii="Times New Roman" w:hAnsi="Times New Roman" w:eastAsia="宋体" w:cs="Times New Roman"/>
          <w:bCs/>
          <w:color w:val="auto"/>
          <w:sz w:val="24"/>
          <w:szCs w:val="24"/>
          <w:vertAlign w:val="baseline"/>
          <w:lang w:val="en-US" w:eastAsia="zh-CN"/>
        </w:rPr>
        <w:t>满足</w:t>
      </w:r>
      <w:r>
        <w:rPr>
          <w:rFonts w:hint="default" w:ascii="Times New Roman" w:hAnsi="Times New Roman" w:eastAsia="宋体" w:cs="Times New Roman"/>
          <w:bCs/>
          <w:color w:val="auto"/>
          <w:sz w:val="24"/>
          <w:szCs w:val="24"/>
        </w:rPr>
        <w:t>《大气污染物综合排放标准》（GB16297-1996）表2中无组织排放标准。</w:t>
      </w:r>
      <w:r>
        <w:rPr>
          <w:rFonts w:hint="default" w:ascii="Times New Roman" w:hAnsi="Times New Roman" w:eastAsia="宋体" w:cs="Times New Roman"/>
          <w:color w:val="auto"/>
          <w:sz w:val="24"/>
          <w:szCs w:val="24"/>
        </w:rPr>
        <w:t>即厂界</w:t>
      </w:r>
      <w:r>
        <w:rPr>
          <w:rFonts w:hint="default" w:ascii="Times New Roman" w:hAnsi="Times New Roman" w:eastAsia="宋体" w:cs="Times New Roman"/>
          <w:bCs/>
          <w:color w:val="auto"/>
          <w:sz w:val="24"/>
          <w:szCs w:val="24"/>
        </w:rPr>
        <w:t>SO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0.4</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z w:val="24"/>
          <w:szCs w:val="24"/>
        </w:rPr>
        <w:t>NO</w:t>
      </w:r>
      <w:r>
        <w:rPr>
          <w:rFonts w:hint="default" w:ascii="Times New Roman" w:hAnsi="Times New Roman" w:eastAsia="宋体" w:cs="Times New Roman"/>
          <w:bCs/>
          <w:color w:val="auto"/>
          <w:sz w:val="24"/>
          <w:szCs w:val="24"/>
          <w:vertAlign w:val="subscript"/>
        </w:rPr>
        <w:t>x</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0.12</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vertAlign w:val="baseline"/>
          <w:lang w:val="en-US" w:eastAsia="zh-CN"/>
        </w:rPr>
        <w:t>TSP：1.0</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项目运营期对周边环境影响较小。</w:t>
      </w:r>
    </w:p>
    <w:p w14:paraId="1F6F21D7">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5.2.1.2大气防护距离</w:t>
      </w:r>
    </w:p>
    <w:p w14:paraId="4D046BAE">
      <w:pPr>
        <w:widowControl/>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 大气环境》（HJ2.2-2018）要求，“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根据估算模式结果，项目区无组织排放源无超标点，故本项目</w:t>
      </w:r>
      <w:r>
        <w:rPr>
          <w:rFonts w:hint="default" w:ascii="Times New Roman" w:hAnsi="Times New Roman" w:cs="Times New Roman"/>
          <w:color w:val="auto"/>
          <w:sz w:val="24"/>
          <w:lang w:val="en-US" w:eastAsia="zh-CN"/>
        </w:rPr>
        <w:t>无</w:t>
      </w:r>
      <w:r>
        <w:rPr>
          <w:rFonts w:hint="default" w:ascii="Times New Roman" w:hAnsi="Times New Roman" w:cs="Times New Roman"/>
          <w:color w:val="auto"/>
          <w:sz w:val="24"/>
        </w:rPr>
        <w:t>需设大气环境防护距离。</w:t>
      </w:r>
    </w:p>
    <w:p w14:paraId="343B45F0">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5.2.1.3臭气浓度分析</w:t>
      </w:r>
    </w:p>
    <w:p w14:paraId="6DE62AD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考虑到公众对恶臭类物质较为敏感，本次评价采用日本的臭气强度6 级分级法对项目的臭气进行分析，恶臭强度分级详见下表。</w:t>
      </w:r>
    </w:p>
    <w:p w14:paraId="1071E819">
      <w:pPr>
        <w:adjustRightInd w:val="0"/>
        <w:snapToGrid w:val="0"/>
        <w:ind w:firstLine="422" w:firstLineChars="20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表5.2.1-</w:t>
      </w:r>
      <w:r>
        <w:rPr>
          <w:rFonts w:hint="default" w:ascii="Times New Roman" w:hAnsi="Times New Roman" w:cs="Times New Roman"/>
          <w:b/>
          <w:color w:val="auto"/>
          <w:szCs w:val="21"/>
          <w:highlight w:val="none"/>
          <w:lang w:val="en-US" w:eastAsia="zh-CN"/>
        </w:rPr>
        <w:t xml:space="preserve">6 </w:t>
      </w:r>
      <w:r>
        <w:rPr>
          <w:rFonts w:hint="default" w:ascii="Times New Roman" w:hAnsi="Times New Roman" w:cs="Times New Roman"/>
          <w:b/>
          <w:color w:val="auto"/>
          <w:szCs w:val="21"/>
          <w:highlight w:val="none"/>
        </w:rPr>
        <w:t xml:space="preserve"> 臭气强度分级</w:t>
      </w:r>
    </w:p>
    <w:tbl>
      <w:tblPr>
        <w:tblStyle w:val="23"/>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1"/>
        <w:gridCol w:w="4674"/>
      </w:tblGrid>
      <w:tr w14:paraId="4066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21" w:type="dxa"/>
            <w:shd w:val="clear" w:color="auto" w:fill="auto"/>
            <w:vAlign w:val="center"/>
          </w:tcPr>
          <w:p w14:paraId="7D13DFA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臭气强度分级</w:t>
            </w:r>
          </w:p>
        </w:tc>
        <w:tc>
          <w:tcPr>
            <w:tcW w:w="4674" w:type="dxa"/>
            <w:shd w:val="clear" w:color="auto" w:fill="auto"/>
            <w:vAlign w:val="center"/>
          </w:tcPr>
          <w:p w14:paraId="3A9B1B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臭气感觉强度</w:t>
            </w:r>
          </w:p>
        </w:tc>
      </w:tr>
      <w:tr w14:paraId="2EB1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21" w:type="dxa"/>
            <w:shd w:val="clear" w:color="auto" w:fill="auto"/>
            <w:vAlign w:val="center"/>
          </w:tcPr>
          <w:p w14:paraId="4E92187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4674" w:type="dxa"/>
            <w:shd w:val="clear" w:color="auto" w:fill="auto"/>
            <w:vAlign w:val="center"/>
          </w:tcPr>
          <w:p w14:paraId="3E0EC7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无臭</w:t>
            </w:r>
          </w:p>
        </w:tc>
      </w:tr>
      <w:tr w14:paraId="7FA2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21" w:type="dxa"/>
            <w:shd w:val="clear" w:color="auto" w:fill="auto"/>
            <w:vAlign w:val="center"/>
          </w:tcPr>
          <w:p w14:paraId="3C9341F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4674" w:type="dxa"/>
            <w:shd w:val="clear" w:color="auto" w:fill="auto"/>
            <w:vAlign w:val="center"/>
          </w:tcPr>
          <w:p w14:paraId="503D60F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勉强能感觉到轻微臭味（感觉阈值浓度水平）</w:t>
            </w:r>
          </w:p>
        </w:tc>
      </w:tr>
      <w:tr w14:paraId="629B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21" w:type="dxa"/>
            <w:shd w:val="clear" w:color="auto" w:fill="auto"/>
            <w:vAlign w:val="center"/>
          </w:tcPr>
          <w:p w14:paraId="382C572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c>
          <w:tcPr>
            <w:tcW w:w="4674" w:type="dxa"/>
            <w:shd w:val="clear" w:color="auto" w:fill="auto"/>
            <w:vAlign w:val="center"/>
          </w:tcPr>
          <w:p w14:paraId="5284E0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容易感到轻微臭味（识别阈值浓度水平）</w:t>
            </w:r>
          </w:p>
        </w:tc>
      </w:tr>
      <w:tr w14:paraId="4F64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21" w:type="dxa"/>
            <w:shd w:val="clear" w:color="auto" w:fill="auto"/>
            <w:vAlign w:val="center"/>
          </w:tcPr>
          <w:p w14:paraId="5AA9429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2.5</w:t>
            </w:r>
          </w:p>
        </w:tc>
        <w:tc>
          <w:tcPr>
            <w:tcW w:w="4674" w:type="dxa"/>
            <w:vMerge w:val="restart"/>
            <w:shd w:val="clear" w:color="auto" w:fill="auto"/>
            <w:vAlign w:val="center"/>
          </w:tcPr>
          <w:p w14:paraId="2D05536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明显感到臭味</w:t>
            </w:r>
          </w:p>
        </w:tc>
      </w:tr>
      <w:tr w14:paraId="16DF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21" w:type="dxa"/>
            <w:shd w:val="clear" w:color="auto" w:fill="auto"/>
            <w:vAlign w:val="center"/>
          </w:tcPr>
          <w:p w14:paraId="051A187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w:t>
            </w:r>
          </w:p>
        </w:tc>
        <w:tc>
          <w:tcPr>
            <w:tcW w:w="4674" w:type="dxa"/>
            <w:vMerge w:val="continue"/>
            <w:shd w:val="clear" w:color="auto" w:fill="auto"/>
            <w:vAlign w:val="center"/>
          </w:tcPr>
          <w:p w14:paraId="71DB9C4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520A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21" w:type="dxa"/>
            <w:shd w:val="clear" w:color="auto" w:fill="auto"/>
            <w:vAlign w:val="center"/>
          </w:tcPr>
          <w:p w14:paraId="34D8ED7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3.5</w:t>
            </w:r>
          </w:p>
        </w:tc>
        <w:tc>
          <w:tcPr>
            <w:tcW w:w="4674" w:type="dxa"/>
            <w:vMerge w:val="continue"/>
            <w:shd w:val="clear" w:color="auto" w:fill="auto"/>
            <w:vAlign w:val="center"/>
          </w:tcPr>
          <w:p w14:paraId="5C646B9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2FEB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21" w:type="dxa"/>
            <w:shd w:val="clear" w:color="auto" w:fill="auto"/>
            <w:vAlign w:val="center"/>
          </w:tcPr>
          <w:p w14:paraId="2C584E6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w:t>
            </w:r>
          </w:p>
        </w:tc>
        <w:tc>
          <w:tcPr>
            <w:tcW w:w="4674" w:type="dxa"/>
            <w:shd w:val="clear" w:color="auto" w:fill="auto"/>
            <w:vAlign w:val="center"/>
          </w:tcPr>
          <w:p w14:paraId="18E3CE6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强烈臭味</w:t>
            </w:r>
          </w:p>
        </w:tc>
      </w:tr>
      <w:tr w14:paraId="65AC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21" w:type="dxa"/>
            <w:shd w:val="clear" w:color="auto" w:fill="auto"/>
            <w:vAlign w:val="center"/>
          </w:tcPr>
          <w:p w14:paraId="2335E0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w:t>
            </w:r>
          </w:p>
        </w:tc>
        <w:tc>
          <w:tcPr>
            <w:tcW w:w="4674" w:type="dxa"/>
            <w:shd w:val="clear" w:color="auto" w:fill="auto"/>
            <w:vAlign w:val="center"/>
          </w:tcPr>
          <w:p w14:paraId="0EAF741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无法忍受的极强气味</w:t>
            </w:r>
          </w:p>
        </w:tc>
      </w:tr>
    </w:tbl>
    <w:p w14:paraId="06FAA922">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臭气污染物浓度与强度的关系详见表5.2.1-</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w:t>
      </w:r>
    </w:p>
    <w:p w14:paraId="588BD798">
      <w:pPr>
        <w:adjustRightInd w:val="0"/>
        <w:snapToGrid w:val="0"/>
        <w:ind w:firstLine="422" w:firstLineChars="200"/>
        <w:jc w:val="center"/>
        <w:rPr>
          <w:rFonts w:hint="default" w:ascii="Times New Roman" w:hAnsi="Times New Roman" w:cs="Times New Roman"/>
          <w:b/>
          <w:color w:val="auto"/>
          <w:sz w:val="23"/>
          <w:szCs w:val="23"/>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bCs/>
          <w:color w:val="auto"/>
          <w:szCs w:val="21"/>
          <w:highlight w:val="none"/>
        </w:rPr>
        <w:t>5.2.1-</w:t>
      </w:r>
      <w:r>
        <w:rPr>
          <w:rFonts w:hint="default" w:ascii="Times New Roman" w:hAnsi="Times New Roman" w:cs="Times New Roman"/>
          <w:b/>
          <w:bCs/>
          <w:color w:val="auto"/>
          <w:szCs w:val="21"/>
          <w:highlight w:val="none"/>
          <w:lang w:val="en-US" w:eastAsia="zh-CN"/>
        </w:rPr>
        <w:t>7</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color w:val="auto"/>
          <w:szCs w:val="21"/>
          <w:highlight w:val="none"/>
        </w:rPr>
        <w:t>臭气体积与强度的关系（</w:t>
      </w:r>
      <w:r>
        <w:rPr>
          <w:rFonts w:hint="default" w:ascii="Times New Roman" w:hAnsi="Times New Roman" w:cs="Times New Roman"/>
          <w:b/>
          <w:bCs/>
          <w:color w:val="auto"/>
          <w:szCs w:val="21"/>
          <w:highlight w:val="none"/>
        </w:rPr>
        <w:t>ppm</w:t>
      </w:r>
      <w:r>
        <w:rPr>
          <w:rFonts w:hint="default" w:ascii="Times New Roman" w:hAnsi="Times New Roman" w:cs="Times New Roman"/>
          <w:b/>
          <w:color w:val="auto"/>
          <w:szCs w:val="21"/>
          <w:highlight w:val="none"/>
        </w:rPr>
        <w:t>）</w:t>
      </w:r>
    </w:p>
    <w:tbl>
      <w:tblPr>
        <w:tblStyle w:val="23"/>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099"/>
        <w:gridCol w:w="1099"/>
        <w:gridCol w:w="1099"/>
        <w:gridCol w:w="1099"/>
        <w:gridCol w:w="1100"/>
        <w:gridCol w:w="1100"/>
        <w:gridCol w:w="1100"/>
      </w:tblGrid>
      <w:tr w14:paraId="4C51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9" w:type="dxa"/>
            <w:vMerge w:val="restart"/>
            <w:shd w:val="clear" w:color="auto" w:fill="auto"/>
            <w:vAlign w:val="center"/>
          </w:tcPr>
          <w:p w14:paraId="1FA7891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恶臭物质</w:t>
            </w:r>
          </w:p>
        </w:tc>
        <w:tc>
          <w:tcPr>
            <w:tcW w:w="7696" w:type="dxa"/>
            <w:gridSpan w:val="7"/>
            <w:shd w:val="clear" w:color="auto" w:fill="auto"/>
            <w:vAlign w:val="center"/>
          </w:tcPr>
          <w:p w14:paraId="18648E3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臭气强度分级</w:t>
            </w:r>
          </w:p>
        </w:tc>
      </w:tr>
      <w:tr w14:paraId="5D64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9" w:type="dxa"/>
            <w:vMerge w:val="continue"/>
            <w:shd w:val="clear" w:color="auto" w:fill="auto"/>
            <w:vAlign w:val="center"/>
          </w:tcPr>
          <w:p w14:paraId="594040B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p>
        </w:tc>
        <w:tc>
          <w:tcPr>
            <w:tcW w:w="1099" w:type="dxa"/>
            <w:shd w:val="clear" w:color="auto" w:fill="auto"/>
            <w:vAlign w:val="center"/>
          </w:tcPr>
          <w:p w14:paraId="59B160E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1</w:t>
            </w:r>
          </w:p>
        </w:tc>
        <w:tc>
          <w:tcPr>
            <w:tcW w:w="1099" w:type="dxa"/>
            <w:shd w:val="clear" w:color="auto" w:fill="auto"/>
            <w:vAlign w:val="center"/>
          </w:tcPr>
          <w:p w14:paraId="2F2E304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2</w:t>
            </w:r>
          </w:p>
        </w:tc>
        <w:tc>
          <w:tcPr>
            <w:tcW w:w="1099" w:type="dxa"/>
            <w:shd w:val="clear" w:color="auto" w:fill="auto"/>
            <w:vAlign w:val="center"/>
          </w:tcPr>
          <w:p w14:paraId="02A3050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2.5</w:t>
            </w:r>
          </w:p>
        </w:tc>
        <w:tc>
          <w:tcPr>
            <w:tcW w:w="1099" w:type="dxa"/>
            <w:shd w:val="clear" w:color="auto" w:fill="auto"/>
            <w:vAlign w:val="center"/>
          </w:tcPr>
          <w:p w14:paraId="6E8ABC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3</w:t>
            </w:r>
          </w:p>
        </w:tc>
        <w:tc>
          <w:tcPr>
            <w:tcW w:w="1100" w:type="dxa"/>
            <w:shd w:val="clear" w:color="auto" w:fill="auto"/>
            <w:vAlign w:val="center"/>
          </w:tcPr>
          <w:p w14:paraId="6DC1E3E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3.5</w:t>
            </w:r>
          </w:p>
        </w:tc>
        <w:tc>
          <w:tcPr>
            <w:tcW w:w="1100" w:type="dxa"/>
            <w:shd w:val="clear" w:color="auto" w:fill="auto"/>
            <w:vAlign w:val="center"/>
          </w:tcPr>
          <w:p w14:paraId="1CE9945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4</w:t>
            </w:r>
          </w:p>
        </w:tc>
        <w:tc>
          <w:tcPr>
            <w:tcW w:w="1100" w:type="dxa"/>
            <w:shd w:val="clear" w:color="auto" w:fill="auto"/>
            <w:vAlign w:val="center"/>
          </w:tcPr>
          <w:p w14:paraId="3BE261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5</w:t>
            </w:r>
          </w:p>
        </w:tc>
      </w:tr>
      <w:tr w14:paraId="179A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9" w:type="dxa"/>
            <w:shd w:val="clear" w:color="auto" w:fill="auto"/>
            <w:vAlign w:val="center"/>
          </w:tcPr>
          <w:p w14:paraId="1D2B69B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p>
        </w:tc>
        <w:tc>
          <w:tcPr>
            <w:tcW w:w="1099" w:type="dxa"/>
            <w:shd w:val="clear" w:color="auto" w:fill="auto"/>
            <w:vAlign w:val="center"/>
          </w:tcPr>
          <w:p w14:paraId="3A420AA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1099" w:type="dxa"/>
            <w:shd w:val="clear" w:color="auto" w:fill="auto"/>
            <w:vAlign w:val="center"/>
          </w:tcPr>
          <w:p w14:paraId="249E2A8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0.6</w:t>
            </w:r>
          </w:p>
        </w:tc>
        <w:tc>
          <w:tcPr>
            <w:tcW w:w="1099" w:type="dxa"/>
            <w:shd w:val="clear" w:color="auto" w:fill="auto"/>
            <w:vAlign w:val="center"/>
          </w:tcPr>
          <w:p w14:paraId="56ECB7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1099" w:type="dxa"/>
            <w:shd w:val="clear" w:color="auto" w:fill="auto"/>
            <w:vAlign w:val="center"/>
          </w:tcPr>
          <w:p w14:paraId="22F4F86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w:t>
            </w:r>
          </w:p>
        </w:tc>
        <w:tc>
          <w:tcPr>
            <w:tcW w:w="1100" w:type="dxa"/>
            <w:shd w:val="clear" w:color="auto" w:fill="auto"/>
            <w:vAlign w:val="center"/>
          </w:tcPr>
          <w:p w14:paraId="04B14BC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5.0</w:t>
            </w:r>
          </w:p>
        </w:tc>
        <w:tc>
          <w:tcPr>
            <w:tcW w:w="1100" w:type="dxa"/>
            <w:shd w:val="clear" w:color="auto" w:fill="auto"/>
            <w:vAlign w:val="center"/>
          </w:tcPr>
          <w:p w14:paraId="52CD4A1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10.0</w:t>
            </w:r>
          </w:p>
        </w:tc>
        <w:tc>
          <w:tcPr>
            <w:tcW w:w="1100" w:type="dxa"/>
            <w:shd w:val="clear" w:color="auto" w:fill="auto"/>
            <w:vAlign w:val="center"/>
          </w:tcPr>
          <w:p w14:paraId="6ECEC40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40.0</w:t>
            </w:r>
          </w:p>
        </w:tc>
      </w:tr>
      <w:tr w14:paraId="727F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9" w:type="dxa"/>
            <w:shd w:val="clear" w:color="auto" w:fill="auto"/>
            <w:vAlign w:val="center"/>
          </w:tcPr>
          <w:p w14:paraId="768D977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t>
            </w:r>
            <w:r>
              <w:rPr>
                <w:rFonts w:hint="default" w:ascii="Times New Roman" w:hAnsi="Times New Roman" w:cs="Times New Roman"/>
                <w:color w:val="auto"/>
                <w:sz w:val="18"/>
                <w:szCs w:val="18"/>
                <w:highlight w:val="none"/>
                <w:vertAlign w:val="subscript"/>
              </w:rPr>
              <w:t>2</w:t>
            </w:r>
            <w:r>
              <w:rPr>
                <w:rFonts w:hint="default" w:ascii="Times New Roman" w:hAnsi="Times New Roman" w:cs="Times New Roman"/>
                <w:color w:val="auto"/>
                <w:sz w:val="18"/>
                <w:szCs w:val="18"/>
                <w:highlight w:val="none"/>
              </w:rPr>
              <w:t>S</w:t>
            </w:r>
          </w:p>
        </w:tc>
        <w:tc>
          <w:tcPr>
            <w:tcW w:w="1099" w:type="dxa"/>
            <w:shd w:val="clear" w:color="auto" w:fill="auto"/>
            <w:vAlign w:val="center"/>
          </w:tcPr>
          <w:p w14:paraId="69F7703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0.0005</w:t>
            </w:r>
          </w:p>
        </w:tc>
        <w:tc>
          <w:tcPr>
            <w:tcW w:w="1099" w:type="dxa"/>
            <w:shd w:val="clear" w:color="auto" w:fill="auto"/>
            <w:vAlign w:val="center"/>
          </w:tcPr>
          <w:p w14:paraId="16F3CA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0.006</w:t>
            </w:r>
          </w:p>
        </w:tc>
        <w:tc>
          <w:tcPr>
            <w:tcW w:w="1099" w:type="dxa"/>
            <w:shd w:val="clear" w:color="auto" w:fill="auto"/>
            <w:vAlign w:val="center"/>
          </w:tcPr>
          <w:p w14:paraId="73D3082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0.02</w:t>
            </w:r>
          </w:p>
        </w:tc>
        <w:tc>
          <w:tcPr>
            <w:tcW w:w="1099" w:type="dxa"/>
            <w:shd w:val="clear" w:color="auto" w:fill="auto"/>
            <w:vAlign w:val="center"/>
          </w:tcPr>
          <w:p w14:paraId="2443CFD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0.06</w:t>
            </w:r>
          </w:p>
        </w:tc>
        <w:tc>
          <w:tcPr>
            <w:tcW w:w="1100" w:type="dxa"/>
            <w:shd w:val="clear" w:color="auto" w:fill="auto"/>
            <w:vAlign w:val="center"/>
          </w:tcPr>
          <w:p w14:paraId="38D051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0.2</w:t>
            </w:r>
          </w:p>
        </w:tc>
        <w:tc>
          <w:tcPr>
            <w:tcW w:w="1100" w:type="dxa"/>
            <w:shd w:val="clear" w:color="auto" w:fill="auto"/>
            <w:vAlign w:val="center"/>
          </w:tcPr>
          <w:p w14:paraId="44AFCCD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0.7</w:t>
            </w:r>
          </w:p>
        </w:tc>
        <w:tc>
          <w:tcPr>
            <w:tcW w:w="1100" w:type="dxa"/>
            <w:shd w:val="clear" w:color="auto" w:fill="auto"/>
            <w:vAlign w:val="center"/>
          </w:tcPr>
          <w:p w14:paraId="6AF5705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3.0</w:t>
            </w:r>
          </w:p>
        </w:tc>
      </w:tr>
    </w:tbl>
    <w:p w14:paraId="6754583F">
      <w:pPr>
        <w:autoSpaceDE w:val="0"/>
        <w:autoSpaceDN w:val="0"/>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污染物浓度与ppm的换算关系如下：</w:t>
      </w:r>
    </w:p>
    <w:p w14:paraId="34B9EBDE">
      <w:pPr>
        <w:autoSpaceDE w:val="0"/>
        <w:autoSpaceDN w:val="0"/>
        <w:adjustRightInd w:val="0"/>
        <w:snapToGrid w:val="0"/>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X=M×C/22.4×[273/(273+T)]*（Ba/101325）</w:t>
      </w:r>
    </w:p>
    <w:p w14:paraId="24D00843">
      <w:pPr>
        <w:autoSpaceDE w:val="0"/>
        <w:autoSpaceDN w:val="0"/>
        <w:adjustRightInd w:val="0"/>
        <w:snapToGrid w:val="0"/>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C=22.4X/M</w:t>
      </w:r>
    </w:p>
    <w:p w14:paraId="5794080A">
      <w:pPr>
        <w:autoSpaceDE w:val="0"/>
        <w:autoSpaceDN w:val="0"/>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式中：X—污染物以每立方米的毫克数表示的浓度值；</w:t>
      </w:r>
    </w:p>
    <w:p w14:paraId="028B9C90">
      <w:pPr>
        <w:autoSpaceDE w:val="0"/>
        <w:autoSpaceDN w:val="0"/>
        <w:adjustRightInd w:val="0"/>
        <w:snapToGrid w:val="0"/>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C—污染物以ppm 表示的浓度值；</w:t>
      </w:r>
    </w:p>
    <w:p w14:paraId="468A9253">
      <w:pPr>
        <w:autoSpaceDE w:val="0"/>
        <w:autoSpaceDN w:val="0"/>
        <w:adjustRightInd w:val="0"/>
        <w:snapToGrid w:val="0"/>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M—污染物的分子量；</w:t>
      </w:r>
    </w:p>
    <w:p w14:paraId="5664F76B">
      <w:pPr>
        <w:autoSpaceDE w:val="0"/>
        <w:autoSpaceDN w:val="0"/>
        <w:adjustRightInd w:val="0"/>
        <w:snapToGrid w:val="0"/>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T—温度；</w:t>
      </w:r>
    </w:p>
    <w:p w14:paraId="16CCEC9C">
      <w:pPr>
        <w:autoSpaceDE w:val="0"/>
        <w:autoSpaceDN w:val="0"/>
        <w:adjustRightInd w:val="0"/>
        <w:snapToGrid w:val="0"/>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Ba—压力。</w:t>
      </w:r>
    </w:p>
    <w:p w14:paraId="6DBFC13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根据上式可折算出常温常压下（T=25℃、Ba=101325帕）NH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S以ppm表示的浓度，再根据表5.2.1-</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对应的分级得出臭气强度，具体表5.2.1-</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w:t>
      </w:r>
    </w:p>
    <w:p w14:paraId="301E7A71">
      <w:pPr>
        <w:autoSpaceDE w:val="0"/>
        <w:autoSpaceDN w:val="0"/>
        <w:adjustRightInd w:val="0"/>
        <w:snapToGrid w:val="0"/>
        <w:ind w:firstLine="422" w:firstLineChars="20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bCs/>
          <w:color w:val="auto"/>
          <w:szCs w:val="21"/>
          <w:highlight w:val="none"/>
        </w:rPr>
        <w:t>5.2.1-</w:t>
      </w:r>
      <w:r>
        <w:rPr>
          <w:rFonts w:hint="default" w:ascii="Times New Roman" w:hAnsi="Times New Roman" w:cs="Times New Roman"/>
          <w:b/>
          <w:bCs/>
          <w:color w:val="auto"/>
          <w:szCs w:val="21"/>
          <w:highlight w:val="none"/>
          <w:lang w:val="en-US" w:eastAsia="zh-CN"/>
        </w:rPr>
        <w:t>8</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color w:val="auto"/>
          <w:szCs w:val="21"/>
          <w:highlight w:val="none"/>
        </w:rPr>
        <w:t>臭气可嗅阈值换算结果</w:t>
      </w:r>
    </w:p>
    <w:tbl>
      <w:tblPr>
        <w:tblStyle w:val="23"/>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328"/>
        <w:gridCol w:w="1275"/>
        <w:gridCol w:w="1124"/>
        <w:gridCol w:w="1230"/>
        <w:gridCol w:w="1142"/>
        <w:gridCol w:w="1079"/>
      </w:tblGrid>
      <w:tr w14:paraId="1676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302" w:type="dxa"/>
            <w:gridSpan w:val="7"/>
            <w:shd w:val="clear" w:color="auto" w:fill="auto"/>
            <w:vAlign w:val="center"/>
          </w:tcPr>
          <w:p w14:paraId="36EA5CD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正常排放</w:t>
            </w:r>
          </w:p>
        </w:tc>
      </w:tr>
      <w:tr w14:paraId="19DC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24" w:type="dxa"/>
            <w:shd w:val="clear" w:color="auto" w:fill="auto"/>
            <w:vAlign w:val="center"/>
          </w:tcPr>
          <w:p w14:paraId="4167009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监控点位</w:t>
            </w:r>
          </w:p>
        </w:tc>
        <w:tc>
          <w:tcPr>
            <w:tcW w:w="1328" w:type="dxa"/>
            <w:shd w:val="clear" w:color="auto" w:fill="auto"/>
            <w:vAlign w:val="center"/>
          </w:tcPr>
          <w:p w14:paraId="7544245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lang w:val="zh-CN"/>
              </w:rPr>
              <w:t>最大贡献浓度（mg/m</w:t>
            </w:r>
            <w:r>
              <w:rPr>
                <w:rFonts w:hint="default" w:ascii="Times New Roman" w:hAnsi="Times New Roman" w:cs="Times New Roman"/>
                <w:color w:val="auto"/>
                <w:sz w:val="18"/>
                <w:szCs w:val="18"/>
                <w:highlight w:val="none"/>
                <w:vertAlign w:val="superscript"/>
                <w:lang w:val="zh-CN"/>
              </w:rPr>
              <w:t>3</w:t>
            </w:r>
            <w:r>
              <w:rPr>
                <w:rFonts w:hint="default" w:ascii="Times New Roman" w:hAnsi="Times New Roman" w:cs="Times New Roman"/>
                <w:color w:val="auto"/>
                <w:sz w:val="18"/>
                <w:szCs w:val="18"/>
                <w:highlight w:val="none"/>
                <w:lang w:val="zh-CN"/>
              </w:rPr>
              <w:t>）</w:t>
            </w:r>
          </w:p>
        </w:tc>
        <w:tc>
          <w:tcPr>
            <w:tcW w:w="1275" w:type="dxa"/>
            <w:shd w:val="clear" w:color="auto" w:fill="auto"/>
            <w:vAlign w:val="center"/>
          </w:tcPr>
          <w:p w14:paraId="370AC17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lang w:val="zh-CN"/>
              </w:rPr>
              <w:t>最大贡献浓度（ppm）</w:t>
            </w:r>
          </w:p>
        </w:tc>
        <w:tc>
          <w:tcPr>
            <w:tcW w:w="1124" w:type="dxa"/>
            <w:shd w:val="clear" w:color="auto" w:fill="auto"/>
            <w:vAlign w:val="center"/>
          </w:tcPr>
          <w:p w14:paraId="518F71D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臭气强度（Y）</w:t>
            </w:r>
          </w:p>
        </w:tc>
        <w:tc>
          <w:tcPr>
            <w:tcW w:w="1230" w:type="dxa"/>
            <w:shd w:val="clear" w:color="auto" w:fill="auto"/>
            <w:vAlign w:val="center"/>
          </w:tcPr>
          <w:p w14:paraId="6D8AD08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t>
            </w:r>
            <w:r>
              <w:rPr>
                <w:rFonts w:hint="default" w:ascii="Times New Roman" w:hAnsi="Times New Roman" w:cs="Times New Roman"/>
                <w:color w:val="auto"/>
                <w:sz w:val="18"/>
                <w:szCs w:val="18"/>
                <w:highlight w:val="none"/>
                <w:vertAlign w:val="subscript"/>
              </w:rPr>
              <w:t>2</w:t>
            </w:r>
            <w:r>
              <w:rPr>
                <w:rFonts w:hint="default" w:ascii="Times New Roman" w:hAnsi="Times New Roman" w:cs="Times New Roman"/>
                <w:color w:val="auto"/>
                <w:sz w:val="18"/>
                <w:szCs w:val="18"/>
                <w:highlight w:val="none"/>
              </w:rPr>
              <w:t>S</w:t>
            </w:r>
            <w:r>
              <w:rPr>
                <w:rFonts w:hint="default" w:ascii="Times New Roman" w:hAnsi="Times New Roman" w:cs="Times New Roman"/>
                <w:color w:val="auto"/>
                <w:sz w:val="18"/>
                <w:szCs w:val="18"/>
                <w:highlight w:val="none"/>
                <w:lang w:val="zh-CN"/>
              </w:rPr>
              <w:t>最大贡献浓度（mg/m</w:t>
            </w:r>
            <w:r>
              <w:rPr>
                <w:rFonts w:hint="default" w:ascii="Times New Roman" w:hAnsi="Times New Roman" w:cs="Times New Roman"/>
                <w:color w:val="auto"/>
                <w:sz w:val="18"/>
                <w:szCs w:val="18"/>
                <w:highlight w:val="none"/>
                <w:vertAlign w:val="superscript"/>
                <w:lang w:val="zh-CN"/>
              </w:rPr>
              <w:t>3</w:t>
            </w:r>
            <w:r>
              <w:rPr>
                <w:rFonts w:hint="default" w:ascii="Times New Roman" w:hAnsi="Times New Roman" w:cs="Times New Roman"/>
                <w:color w:val="auto"/>
                <w:sz w:val="18"/>
                <w:szCs w:val="18"/>
                <w:highlight w:val="none"/>
                <w:lang w:val="zh-CN"/>
              </w:rPr>
              <w:t>）</w:t>
            </w:r>
          </w:p>
        </w:tc>
        <w:tc>
          <w:tcPr>
            <w:tcW w:w="1142" w:type="dxa"/>
            <w:shd w:val="clear" w:color="auto" w:fill="auto"/>
            <w:vAlign w:val="center"/>
          </w:tcPr>
          <w:p w14:paraId="069372A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t>
            </w:r>
            <w:r>
              <w:rPr>
                <w:rFonts w:hint="default" w:ascii="Times New Roman" w:hAnsi="Times New Roman" w:cs="Times New Roman"/>
                <w:color w:val="auto"/>
                <w:sz w:val="18"/>
                <w:szCs w:val="18"/>
                <w:highlight w:val="none"/>
                <w:vertAlign w:val="subscript"/>
              </w:rPr>
              <w:t>2</w:t>
            </w:r>
            <w:r>
              <w:rPr>
                <w:rFonts w:hint="default" w:ascii="Times New Roman" w:hAnsi="Times New Roman" w:cs="Times New Roman"/>
                <w:color w:val="auto"/>
                <w:sz w:val="18"/>
                <w:szCs w:val="18"/>
                <w:highlight w:val="none"/>
              </w:rPr>
              <w:t>S</w:t>
            </w:r>
            <w:r>
              <w:rPr>
                <w:rFonts w:hint="default" w:ascii="Times New Roman" w:hAnsi="Times New Roman" w:cs="Times New Roman"/>
                <w:color w:val="auto"/>
                <w:sz w:val="18"/>
                <w:szCs w:val="18"/>
                <w:highlight w:val="none"/>
                <w:lang w:val="zh-CN"/>
              </w:rPr>
              <w:t>最大贡献浓度（ppm）</w:t>
            </w:r>
          </w:p>
        </w:tc>
        <w:tc>
          <w:tcPr>
            <w:tcW w:w="1079" w:type="dxa"/>
            <w:shd w:val="clear" w:color="auto" w:fill="auto"/>
            <w:vAlign w:val="center"/>
          </w:tcPr>
          <w:p w14:paraId="45AF3FB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臭气强度（Y）</w:t>
            </w:r>
          </w:p>
        </w:tc>
      </w:tr>
      <w:tr w14:paraId="118E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24" w:type="dxa"/>
            <w:shd w:val="clear" w:color="auto" w:fill="auto"/>
            <w:vAlign w:val="center"/>
          </w:tcPr>
          <w:p w14:paraId="166F041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厂界外最大值</w:t>
            </w:r>
          </w:p>
        </w:tc>
        <w:tc>
          <w:tcPr>
            <w:tcW w:w="1328" w:type="dxa"/>
            <w:shd w:val="clear" w:color="auto" w:fill="auto"/>
            <w:vAlign w:val="center"/>
          </w:tcPr>
          <w:p w14:paraId="2A2D0B7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2.84E-03</w:t>
            </w:r>
          </w:p>
        </w:tc>
        <w:tc>
          <w:tcPr>
            <w:tcW w:w="1275" w:type="dxa"/>
            <w:shd w:val="clear" w:color="auto" w:fill="auto"/>
            <w:vAlign w:val="center"/>
          </w:tcPr>
          <w:p w14:paraId="28E8EA0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0.0037</w:t>
            </w:r>
          </w:p>
        </w:tc>
        <w:tc>
          <w:tcPr>
            <w:tcW w:w="1124" w:type="dxa"/>
            <w:shd w:val="clear" w:color="auto" w:fill="auto"/>
            <w:vAlign w:val="center"/>
          </w:tcPr>
          <w:p w14:paraId="1E0498C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1230" w:type="dxa"/>
            <w:shd w:val="clear" w:color="auto" w:fill="auto"/>
            <w:vAlign w:val="center"/>
          </w:tcPr>
          <w:p w14:paraId="45E3D17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6.01E-04</w:t>
            </w:r>
          </w:p>
        </w:tc>
        <w:tc>
          <w:tcPr>
            <w:tcW w:w="1142" w:type="dxa"/>
            <w:shd w:val="clear" w:color="auto" w:fill="auto"/>
            <w:vAlign w:val="center"/>
          </w:tcPr>
          <w:p w14:paraId="24AE72D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039</w:t>
            </w:r>
          </w:p>
        </w:tc>
        <w:tc>
          <w:tcPr>
            <w:tcW w:w="1079" w:type="dxa"/>
            <w:shd w:val="clear" w:color="auto" w:fill="auto"/>
            <w:vAlign w:val="center"/>
          </w:tcPr>
          <w:p w14:paraId="1DCCCAE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r>
    </w:tbl>
    <w:p w14:paraId="482B605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根据上表可以看出，项目区厂界氨、硫化氢最大落地浓度点臭气强度为1级，属于“勉强能感觉到轻微臭味（感觉阈值浓度水平）”。</w:t>
      </w:r>
    </w:p>
    <w:p w14:paraId="38F355B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按照最大臭气强度（Y=1）计算恶臭浓度，参考“《恶臭污染物排放标准（征求意见稿）》编制说明（2018年11月）”，恶臭污染物浓度与人的嗅觉刺激程度的关系遵循韦伯-费希纳公式，据此通过臭气强度测试建立的臭气浓度的对数与臭气强度的对应关系式为：</w:t>
      </w:r>
    </w:p>
    <w:p w14:paraId="049F4521">
      <w:pPr>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Y=1.341X-0.74</w:t>
      </w:r>
    </w:p>
    <w:p w14:paraId="00E3367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式中：Y：臭气强度；</w:t>
      </w:r>
    </w:p>
    <w:p w14:paraId="67B099E3">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X：lgC，C为物质浓度（单位为ppm）或臭气浓度。</w:t>
      </w:r>
    </w:p>
    <w:p w14:paraId="64CC73A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根据上式计算得到Y=1时，臭气浓度值C=19.84（无量纲）。因此，项目区厂界臭气浓度值满足《畜禽养殖业污染物排放标准》（GB18596-2001）表7标准，即臭气浓度70（无量纲）要求。</w:t>
      </w:r>
    </w:p>
    <w:p w14:paraId="65BE3DFA">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5.2.1.4卫生防护距离</w:t>
      </w:r>
    </w:p>
    <w:p w14:paraId="1C1C08C4">
      <w:pPr>
        <w:bidi w:val="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（1）特征大气有害物质选取</w:t>
      </w:r>
    </w:p>
    <w:p w14:paraId="75DA3945">
      <w:pPr>
        <w:widowControl/>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大气有害物质无组织排放卫生防护距离推导技术导则》（GB/T39499-2020）第4节：选取特征大气有害物质时，应首先考虑其对人体健康损害毒性的特点，并根据目标行业企业的产品产量及原辅材料、工艺特征、中间产物、产排污特点等具体情况，确定单个大气有害物质的无组织排放量及等标排放量（Q</w:t>
      </w:r>
      <w:r>
        <w:rPr>
          <w:rFonts w:hint="default" w:ascii="Times New Roman" w:hAnsi="Times New Roman" w:cs="Times New Roman"/>
          <w:color w:val="auto"/>
          <w:sz w:val="24"/>
          <w:szCs w:val="24"/>
          <w:vertAlign w:val="subscript"/>
        </w:rPr>
        <w:t>c</w:t>
      </w: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vertAlign w:val="subscript"/>
        </w:rPr>
        <w:t>m</w:t>
      </w:r>
      <w:r>
        <w:rPr>
          <w:rFonts w:hint="default" w:ascii="Times New Roman" w:hAnsi="Times New Roman" w:cs="Times New Roman"/>
          <w:color w:val="auto"/>
          <w:sz w:val="24"/>
          <w:szCs w:val="24"/>
        </w:rPr>
        <w:t>），最终确定卫生防护距离相关的主要特征大气有害物质1种~2种。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w:t>
      </w:r>
    </w:p>
    <w:p w14:paraId="5500B101">
      <w:pPr>
        <w:widowControl/>
        <w:snapToGrid w:val="0"/>
        <w:spacing w:line="360" w:lineRule="auto"/>
        <w:ind w:firstLine="480" w:firstLineChars="200"/>
        <w:rPr>
          <w:rFonts w:hint="default" w:ascii="Times New Roman" w:hAnsi="Times New Roman" w:cs="Times New Roman"/>
          <w:bCs/>
          <w:iCs/>
          <w:color w:val="auto"/>
          <w:sz w:val="24"/>
          <w:szCs w:val="24"/>
        </w:rPr>
      </w:pPr>
      <w:r>
        <w:rPr>
          <w:rFonts w:hint="default" w:ascii="Times New Roman" w:hAnsi="Times New Roman" w:cs="Times New Roman"/>
          <w:color w:val="auto"/>
          <w:sz w:val="24"/>
          <w:szCs w:val="24"/>
        </w:rPr>
        <w:t>项目属于规模化生猪养殖，根据项目污染物排放特点，</w:t>
      </w:r>
      <w:r>
        <w:rPr>
          <w:rFonts w:hint="default" w:ascii="Times New Roman" w:hAnsi="Times New Roman" w:cs="Times New Roman"/>
          <w:color w:val="auto"/>
          <w:sz w:val="24"/>
          <w:szCs w:val="24"/>
          <w:lang w:val="en-US" w:eastAsia="zh-CN"/>
        </w:rPr>
        <w:t>运营期主要大气污染物为</w:t>
      </w:r>
      <w:r>
        <w:rPr>
          <w:rFonts w:hint="default" w:ascii="Times New Roman" w:hAnsi="Times New Roman" w:cs="Times New Roman"/>
          <w:iCs/>
          <w:color w:val="auto"/>
          <w:sz w:val="24"/>
          <w:szCs w:val="24"/>
        </w:rPr>
        <w:t>猪舍、</w:t>
      </w:r>
      <w:r>
        <w:rPr>
          <w:rFonts w:hint="default" w:ascii="Times New Roman" w:hAnsi="Times New Roman" w:cs="Times New Roman"/>
          <w:iCs/>
          <w:color w:val="auto"/>
          <w:sz w:val="24"/>
          <w:szCs w:val="24"/>
          <w:lang w:val="en-US" w:eastAsia="zh-CN"/>
        </w:rPr>
        <w:t>废水收集池</w:t>
      </w:r>
      <w:r>
        <w:rPr>
          <w:rFonts w:hint="default" w:ascii="Times New Roman" w:hAnsi="Times New Roman" w:cs="Times New Roman"/>
          <w:iCs/>
          <w:color w:val="auto"/>
          <w:sz w:val="24"/>
          <w:szCs w:val="24"/>
        </w:rPr>
        <w:t>、堆粪棚等无组织排放的NH</w:t>
      </w:r>
      <w:r>
        <w:rPr>
          <w:rFonts w:hint="default" w:ascii="Times New Roman" w:hAnsi="Times New Roman" w:cs="Times New Roman"/>
          <w:iCs/>
          <w:color w:val="auto"/>
          <w:sz w:val="24"/>
          <w:szCs w:val="24"/>
          <w:vertAlign w:val="subscript"/>
        </w:rPr>
        <w:t>3</w:t>
      </w:r>
      <w:r>
        <w:rPr>
          <w:rFonts w:hint="default" w:ascii="Times New Roman" w:hAnsi="Times New Roman" w:cs="Times New Roman"/>
          <w:iCs/>
          <w:color w:val="auto"/>
          <w:sz w:val="24"/>
          <w:szCs w:val="24"/>
        </w:rPr>
        <w:t>、H</w:t>
      </w:r>
      <w:r>
        <w:rPr>
          <w:rFonts w:hint="default" w:ascii="Times New Roman" w:hAnsi="Times New Roman" w:cs="Times New Roman"/>
          <w:iCs/>
          <w:color w:val="auto"/>
          <w:sz w:val="24"/>
          <w:szCs w:val="24"/>
          <w:vertAlign w:val="subscript"/>
        </w:rPr>
        <w:t>2</w:t>
      </w:r>
      <w:r>
        <w:rPr>
          <w:rFonts w:hint="default" w:ascii="Times New Roman" w:hAnsi="Times New Roman" w:cs="Times New Roman"/>
          <w:iCs/>
          <w:color w:val="auto"/>
          <w:sz w:val="24"/>
          <w:szCs w:val="24"/>
        </w:rPr>
        <w:t>S；</w:t>
      </w:r>
      <w:r>
        <w:rPr>
          <w:rFonts w:hint="default" w:ascii="Times New Roman" w:hAnsi="Times New Roman" w:cs="Times New Roman"/>
          <w:bCs/>
          <w:iCs/>
          <w:color w:val="auto"/>
          <w:sz w:val="24"/>
          <w:szCs w:val="24"/>
        </w:rPr>
        <w:t>其等标排放量见</w:t>
      </w:r>
      <w:r>
        <w:rPr>
          <w:rFonts w:hint="default" w:ascii="Times New Roman" w:hAnsi="Times New Roman" w:eastAsia="宋体" w:cs="Times New Roman"/>
          <w:bCs/>
          <w:iCs/>
          <w:color w:val="auto"/>
          <w:sz w:val="24"/>
          <w:szCs w:val="24"/>
        </w:rPr>
        <w:t>表5.2.1-</w:t>
      </w:r>
      <w:r>
        <w:rPr>
          <w:rFonts w:hint="default" w:ascii="Times New Roman" w:hAnsi="Times New Roman" w:eastAsia="宋体" w:cs="Times New Roman"/>
          <w:bCs/>
          <w:iCs/>
          <w:color w:val="auto"/>
          <w:sz w:val="24"/>
          <w:szCs w:val="24"/>
          <w:lang w:val="en-US" w:eastAsia="zh-CN"/>
        </w:rPr>
        <w:t>9</w:t>
      </w:r>
      <w:r>
        <w:rPr>
          <w:rFonts w:hint="default" w:ascii="Times New Roman" w:hAnsi="Times New Roman" w:cs="Times New Roman"/>
          <w:bCs/>
          <w:iCs/>
          <w:color w:val="auto"/>
          <w:sz w:val="24"/>
          <w:szCs w:val="24"/>
        </w:rPr>
        <w:t>。</w:t>
      </w:r>
    </w:p>
    <w:p w14:paraId="17CCDB66">
      <w:pPr>
        <w:spacing w:line="360" w:lineRule="auto"/>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表5.2.1-</w:t>
      </w:r>
      <w:r>
        <w:rPr>
          <w:rFonts w:hint="default" w:ascii="Times New Roman" w:hAnsi="Times New Roman" w:cs="Times New Roman"/>
          <w:b/>
          <w:color w:val="auto"/>
          <w:sz w:val="24"/>
          <w:szCs w:val="24"/>
          <w:lang w:val="en-US" w:eastAsia="zh-CN"/>
        </w:rPr>
        <w:t>9</w:t>
      </w:r>
      <w:r>
        <w:rPr>
          <w:rFonts w:hint="default" w:ascii="Times New Roman" w:hAnsi="Times New Roman" w:cs="Times New Roman"/>
          <w:b/>
          <w:color w:val="auto"/>
          <w:sz w:val="24"/>
          <w:szCs w:val="24"/>
        </w:rPr>
        <w:t xml:space="preserve">  无组织废气等标排放量表</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268"/>
        <w:gridCol w:w="2692"/>
        <w:gridCol w:w="1742"/>
      </w:tblGrid>
      <w:tr w14:paraId="25F9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Merge w:val="restart"/>
            <w:vAlign w:val="center"/>
          </w:tcPr>
          <w:p w14:paraId="6037A5A1">
            <w:pPr>
              <w:snapToGrid w:val="0"/>
              <w:spacing w:line="240" w:lineRule="auto"/>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污染物</w:t>
            </w:r>
          </w:p>
        </w:tc>
        <w:tc>
          <w:tcPr>
            <w:tcW w:w="2268" w:type="dxa"/>
            <w:vMerge w:val="restart"/>
            <w:vAlign w:val="center"/>
          </w:tcPr>
          <w:p w14:paraId="06B48455">
            <w:pPr>
              <w:snapToGrid w:val="0"/>
              <w:spacing w:line="240" w:lineRule="auto"/>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排放速率（kg/h）</w:t>
            </w:r>
          </w:p>
        </w:tc>
        <w:tc>
          <w:tcPr>
            <w:tcW w:w="2692" w:type="dxa"/>
            <w:vMerge w:val="restart"/>
            <w:vAlign w:val="center"/>
          </w:tcPr>
          <w:p w14:paraId="2E3343C9">
            <w:pPr>
              <w:snapToGrid w:val="0"/>
              <w:spacing w:line="240" w:lineRule="auto"/>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标准限值（mg/m</w:t>
            </w:r>
            <w:r>
              <w:rPr>
                <w:rFonts w:hint="default" w:ascii="Times New Roman" w:hAnsi="Times New Roman" w:cs="Times New Roman"/>
                <w:b/>
                <w:color w:val="auto"/>
                <w:sz w:val="18"/>
                <w:szCs w:val="18"/>
                <w:vertAlign w:val="superscript"/>
              </w:rPr>
              <w:t>3</w:t>
            </w:r>
            <w:r>
              <w:rPr>
                <w:rFonts w:hint="default" w:ascii="Times New Roman" w:hAnsi="Times New Roman" w:cs="Times New Roman"/>
                <w:b/>
                <w:color w:val="auto"/>
                <w:sz w:val="18"/>
                <w:szCs w:val="18"/>
              </w:rPr>
              <w:t>）</w:t>
            </w:r>
          </w:p>
        </w:tc>
        <w:tc>
          <w:tcPr>
            <w:tcW w:w="1742" w:type="dxa"/>
            <w:vMerge w:val="restart"/>
            <w:vAlign w:val="center"/>
          </w:tcPr>
          <w:p w14:paraId="4FF64014">
            <w:pPr>
              <w:snapToGrid w:val="0"/>
              <w:spacing w:line="240" w:lineRule="auto"/>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等标排放量</w:t>
            </w:r>
          </w:p>
        </w:tc>
      </w:tr>
      <w:tr w14:paraId="4B0E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93" w:type="dxa"/>
            <w:vMerge w:val="continue"/>
            <w:vAlign w:val="center"/>
          </w:tcPr>
          <w:p w14:paraId="3810C96A">
            <w:pPr>
              <w:snapToGrid w:val="0"/>
              <w:spacing w:line="240" w:lineRule="auto"/>
              <w:jc w:val="center"/>
              <w:rPr>
                <w:rFonts w:hint="default" w:ascii="Times New Roman" w:hAnsi="Times New Roman" w:cs="Times New Roman"/>
                <w:color w:val="auto"/>
                <w:sz w:val="18"/>
                <w:szCs w:val="18"/>
              </w:rPr>
            </w:pPr>
          </w:p>
        </w:tc>
        <w:tc>
          <w:tcPr>
            <w:tcW w:w="2268" w:type="dxa"/>
            <w:vMerge w:val="continue"/>
            <w:vAlign w:val="center"/>
          </w:tcPr>
          <w:p w14:paraId="10E54608">
            <w:pPr>
              <w:snapToGrid w:val="0"/>
              <w:spacing w:line="240" w:lineRule="auto"/>
              <w:jc w:val="center"/>
              <w:rPr>
                <w:rFonts w:hint="default" w:ascii="Times New Roman" w:hAnsi="Times New Roman" w:cs="Times New Roman"/>
                <w:color w:val="auto"/>
                <w:sz w:val="18"/>
                <w:szCs w:val="18"/>
              </w:rPr>
            </w:pPr>
          </w:p>
        </w:tc>
        <w:tc>
          <w:tcPr>
            <w:tcW w:w="2692" w:type="dxa"/>
            <w:vMerge w:val="continue"/>
            <w:vAlign w:val="center"/>
          </w:tcPr>
          <w:p w14:paraId="3F85A782">
            <w:pPr>
              <w:snapToGrid w:val="0"/>
              <w:spacing w:line="240" w:lineRule="auto"/>
              <w:jc w:val="center"/>
              <w:rPr>
                <w:rFonts w:hint="default" w:ascii="Times New Roman" w:hAnsi="Times New Roman" w:cs="Times New Roman"/>
                <w:color w:val="auto"/>
                <w:sz w:val="18"/>
                <w:szCs w:val="18"/>
              </w:rPr>
            </w:pPr>
          </w:p>
        </w:tc>
        <w:tc>
          <w:tcPr>
            <w:tcW w:w="1742" w:type="dxa"/>
            <w:vMerge w:val="continue"/>
            <w:vAlign w:val="center"/>
          </w:tcPr>
          <w:p w14:paraId="512B628D">
            <w:pPr>
              <w:snapToGrid w:val="0"/>
              <w:spacing w:line="240" w:lineRule="auto"/>
              <w:jc w:val="center"/>
              <w:rPr>
                <w:rFonts w:hint="default" w:ascii="Times New Roman" w:hAnsi="Times New Roman" w:cs="Times New Roman"/>
                <w:color w:val="auto"/>
                <w:sz w:val="18"/>
                <w:szCs w:val="18"/>
              </w:rPr>
            </w:pPr>
          </w:p>
        </w:tc>
      </w:tr>
      <w:tr w14:paraId="51C7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tcBorders>
              <w:bottom w:val="single" w:color="auto" w:sz="4" w:space="0"/>
            </w:tcBorders>
            <w:vAlign w:val="center"/>
          </w:tcPr>
          <w:p w14:paraId="720A7400">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NH</w:t>
            </w:r>
            <w:r>
              <w:rPr>
                <w:rFonts w:hint="default" w:ascii="Times New Roman" w:hAnsi="Times New Roman" w:cs="Times New Roman"/>
                <w:color w:val="auto"/>
                <w:kern w:val="0"/>
                <w:sz w:val="18"/>
                <w:szCs w:val="18"/>
                <w:vertAlign w:val="subscript"/>
              </w:rPr>
              <w:t>3</w:t>
            </w:r>
          </w:p>
        </w:tc>
        <w:tc>
          <w:tcPr>
            <w:tcW w:w="2268" w:type="dxa"/>
            <w:tcBorders>
              <w:bottom w:val="single" w:color="auto" w:sz="4" w:space="0"/>
            </w:tcBorders>
            <w:shd w:val="clear" w:color="auto" w:fill="auto"/>
            <w:vAlign w:val="center"/>
          </w:tcPr>
          <w:p w14:paraId="34C12E8C">
            <w:pPr>
              <w:keepNext w:val="0"/>
              <w:keepLines w:val="0"/>
              <w:widowControl/>
              <w:suppressLineNumbers w:val="0"/>
              <w:jc w:val="right"/>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0.006037</w:t>
            </w:r>
          </w:p>
        </w:tc>
        <w:tc>
          <w:tcPr>
            <w:tcW w:w="2692" w:type="dxa"/>
            <w:tcBorders>
              <w:bottom w:val="single" w:color="auto" w:sz="4" w:space="0"/>
            </w:tcBorders>
            <w:vAlign w:val="center"/>
          </w:tcPr>
          <w:p w14:paraId="15D954CB">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742" w:type="dxa"/>
            <w:tcBorders>
              <w:bottom w:val="single" w:color="auto" w:sz="4" w:space="0"/>
            </w:tcBorders>
            <w:vAlign w:val="center"/>
          </w:tcPr>
          <w:p w14:paraId="26E80B91">
            <w:pPr>
              <w:keepNext w:val="0"/>
              <w:keepLines w:val="0"/>
              <w:widowControl/>
              <w:suppressLineNumbers w:val="0"/>
              <w:jc w:val="right"/>
              <w:textAlignment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0.006037*10</w:t>
            </w:r>
            <w:r>
              <w:rPr>
                <w:rFonts w:hint="default" w:ascii="Times New Roman" w:hAnsi="Times New Roman" w:eastAsia="宋体" w:cs="Times New Roman"/>
                <w:i w:val="0"/>
                <w:iCs w:val="0"/>
                <w:color w:val="auto"/>
                <w:kern w:val="0"/>
                <w:sz w:val="18"/>
                <w:szCs w:val="18"/>
                <w:u w:val="none"/>
                <w:vertAlign w:val="superscript"/>
                <w:lang w:val="en-US" w:eastAsia="zh-CN" w:bidi="ar"/>
              </w:rPr>
              <w:t>-3</w:t>
            </w:r>
          </w:p>
        </w:tc>
      </w:tr>
      <w:tr w14:paraId="6489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tcBorders>
              <w:bottom w:val="single" w:color="auto" w:sz="4" w:space="0"/>
            </w:tcBorders>
            <w:vAlign w:val="center"/>
          </w:tcPr>
          <w:p w14:paraId="3F3031D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H</w:t>
            </w:r>
            <w:r>
              <w:rPr>
                <w:rFonts w:hint="default" w:ascii="Times New Roman" w:hAnsi="Times New Roman" w:cs="Times New Roman"/>
                <w:color w:val="auto"/>
                <w:kern w:val="0"/>
                <w:sz w:val="18"/>
                <w:szCs w:val="18"/>
                <w:vertAlign w:val="subscript"/>
              </w:rPr>
              <w:t>2</w:t>
            </w:r>
            <w:r>
              <w:rPr>
                <w:rFonts w:hint="default" w:ascii="Times New Roman" w:hAnsi="Times New Roman" w:cs="Times New Roman"/>
                <w:color w:val="auto"/>
                <w:kern w:val="0"/>
                <w:sz w:val="18"/>
                <w:szCs w:val="18"/>
              </w:rPr>
              <w:t>S</w:t>
            </w:r>
          </w:p>
        </w:tc>
        <w:tc>
          <w:tcPr>
            <w:tcW w:w="2268" w:type="dxa"/>
            <w:tcBorders>
              <w:bottom w:val="single" w:color="auto" w:sz="4" w:space="0"/>
            </w:tcBorders>
            <w:shd w:val="clear" w:color="auto" w:fill="auto"/>
            <w:vAlign w:val="center"/>
          </w:tcPr>
          <w:p w14:paraId="2908269C">
            <w:pPr>
              <w:keepNext w:val="0"/>
              <w:keepLines w:val="0"/>
              <w:widowControl/>
              <w:suppressLineNumbers w:val="0"/>
              <w:jc w:val="right"/>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0.0012755</w:t>
            </w:r>
          </w:p>
        </w:tc>
        <w:tc>
          <w:tcPr>
            <w:tcW w:w="2692" w:type="dxa"/>
            <w:tcBorders>
              <w:bottom w:val="single" w:color="auto" w:sz="4" w:space="0"/>
            </w:tcBorders>
            <w:vAlign w:val="center"/>
          </w:tcPr>
          <w:p w14:paraId="45FDA9DD">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0.0</w:t>
            </w:r>
            <w:r>
              <w:rPr>
                <w:rFonts w:hint="default" w:ascii="Times New Roman" w:hAnsi="Times New Roman" w:cs="Times New Roman"/>
                <w:color w:val="auto"/>
                <w:sz w:val="18"/>
                <w:szCs w:val="18"/>
                <w:lang w:val="en-US" w:eastAsia="zh-CN"/>
              </w:rPr>
              <w:t>3</w:t>
            </w:r>
          </w:p>
        </w:tc>
        <w:tc>
          <w:tcPr>
            <w:tcW w:w="1742" w:type="dxa"/>
            <w:tcBorders>
              <w:bottom w:val="single" w:color="auto" w:sz="4" w:space="0"/>
            </w:tcBorders>
            <w:shd w:val="clear" w:color="auto" w:fill="auto"/>
            <w:vAlign w:val="center"/>
          </w:tcPr>
          <w:p w14:paraId="47D885C1">
            <w:pPr>
              <w:keepNext w:val="0"/>
              <w:keepLines w:val="0"/>
              <w:widowControl/>
              <w:suppressLineNumbers w:val="0"/>
              <w:jc w:val="right"/>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w:t>
            </w:r>
            <w:r>
              <w:rPr>
                <w:rFonts w:hint="default" w:ascii="Times New Roman" w:hAnsi="Times New Roman"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42516667*10</w:t>
            </w:r>
            <w:r>
              <w:rPr>
                <w:rFonts w:hint="default" w:ascii="Times New Roman" w:hAnsi="Times New Roman" w:eastAsia="宋体" w:cs="Times New Roman"/>
                <w:i w:val="0"/>
                <w:iCs w:val="0"/>
                <w:color w:val="auto"/>
                <w:kern w:val="0"/>
                <w:sz w:val="18"/>
                <w:szCs w:val="18"/>
                <w:u w:val="none"/>
                <w:vertAlign w:val="superscript"/>
                <w:lang w:val="en-US" w:eastAsia="zh-CN" w:bidi="ar"/>
              </w:rPr>
              <w:t>-</w:t>
            </w:r>
            <w:r>
              <w:rPr>
                <w:rFonts w:hint="default" w:ascii="Times New Roman" w:hAnsi="Times New Roman" w:cs="Times New Roman"/>
                <w:i w:val="0"/>
                <w:iCs w:val="0"/>
                <w:color w:val="auto"/>
                <w:kern w:val="0"/>
                <w:sz w:val="18"/>
                <w:szCs w:val="18"/>
                <w:u w:val="none"/>
                <w:vertAlign w:val="superscript"/>
                <w:lang w:val="en-US" w:eastAsia="zh-CN" w:bidi="ar"/>
              </w:rPr>
              <w:t>4</w:t>
            </w:r>
          </w:p>
        </w:tc>
      </w:tr>
    </w:tbl>
    <w:p w14:paraId="4792C322">
      <w:pPr>
        <w:widowControl/>
        <w:snapToGrid w:val="0"/>
        <w:spacing w:line="360" w:lineRule="auto"/>
        <w:rPr>
          <w:rFonts w:hint="default" w:ascii="Times New Roman" w:hAnsi="Times New Roman" w:cs="Times New Roman"/>
          <w:color w:val="auto"/>
          <w:szCs w:val="20"/>
        </w:rPr>
      </w:pPr>
      <w:r>
        <w:rPr>
          <w:rFonts w:hint="default" w:ascii="Times New Roman" w:hAnsi="Times New Roman" w:cs="Times New Roman"/>
          <w:color w:val="auto"/>
          <w:sz w:val="21"/>
          <w:szCs w:val="21"/>
        </w:rPr>
        <w:t>注：根据《大气有害物质无组织排放卫生防护距离推导技术导则》（GB/T39499-2020）5.2.2节，恶臭类污染物标准限值取GB14554中规定的臭气浓度</w:t>
      </w:r>
      <w:r>
        <w:rPr>
          <w:rFonts w:hint="default" w:ascii="Times New Roman" w:hAnsi="Times New Roman" w:cs="Times New Roman"/>
          <w:color w:val="auto"/>
          <w:sz w:val="21"/>
          <w:szCs w:val="21"/>
          <w:lang w:val="en-US" w:eastAsia="zh-CN"/>
        </w:rPr>
        <w:t>一级标准值</w:t>
      </w:r>
      <w:r>
        <w:rPr>
          <w:rFonts w:hint="default" w:ascii="Times New Roman" w:hAnsi="Times New Roman" w:cs="Times New Roman"/>
          <w:color w:val="auto"/>
          <w:sz w:val="21"/>
          <w:szCs w:val="21"/>
        </w:rPr>
        <w:t>。</w:t>
      </w:r>
    </w:p>
    <w:p w14:paraId="38F145D1">
      <w:pPr>
        <w:pStyle w:val="15"/>
        <w:spacing w:after="0" w:line="360" w:lineRule="auto"/>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szCs w:val="20"/>
        </w:rPr>
        <w:t>根据上表，项目氨、硫化氢等标排放量</w:t>
      </w:r>
      <w:r>
        <w:rPr>
          <w:rFonts w:hint="default" w:ascii="Times New Roman" w:hAnsi="Times New Roman" w:cs="Times New Roman"/>
          <w:bCs/>
          <w:iCs/>
          <w:color w:val="auto"/>
          <w:szCs w:val="20"/>
        </w:rPr>
        <w:t>相差＞10%，因此项目</w:t>
      </w:r>
      <w:r>
        <w:rPr>
          <w:rFonts w:hint="default" w:ascii="Times New Roman" w:hAnsi="Times New Roman" w:cs="Times New Roman"/>
          <w:iCs/>
          <w:color w:val="auto"/>
          <w:szCs w:val="20"/>
        </w:rPr>
        <w:t>选择等标排放量最大的污染物</w:t>
      </w:r>
      <w:r>
        <w:rPr>
          <w:rFonts w:hint="default" w:ascii="Times New Roman" w:hAnsi="Times New Roman" w:cs="Times New Roman"/>
          <w:iCs/>
          <w:color w:val="auto"/>
          <w:szCs w:val="20"/>
          <w:lang w:eastAsia="zh-CN"/>
        </w:rPr>
        <w:t>（</w:t>
      </w:r>
      <w:r>
        <w:rPr>
          <w:rFonts w:hint="default" w:ascii="Times New Roman" w:hAnsi="Times New Roman" w:cs="Times New Roman"/>
          <w:iCs/>
          <w:color w:val="auto"/>
          <w:szCs w:val="20"/>
        </w:rPr>
        <w:t>硫化氢</w:t>
      </w:r>
      <w:r>
        <w:rPr>
          <w:rFonts w:hint="default" w:ascii="Times New Roman" w:hAnsi="Times New Roman" w:cs="Times New Roman"/>
          <w:iCs/>
          <w:color w:val="auto"/>
          <w:szCs w:val="20"/>
          <w:lang w:eastAsia="zh-CN"/>
        </w:rPr>
        <w:t>）</w:t>
      </w:r>
      <w:r>
        <w:rPr>
          <w:rFonts w:hint="default" w:ascii="Times New Roman" w:hAnsi="Times New Roman" w:cs="Times New Roman"/>
          <w:bCs/>
          <w:iCs/>
          <w:color w:val="auto"/>
          <w:szCs w:val="20"/>
        </w:rPr>
        <w:t>计算卫生防护距离初值。</w:t>
      </w:r>
    </w:p>
    <w:p w14:paraId="161B8448">
      <w:pPr>
        <w:pStyle w:val="15"/>
        <w:spacing w:after="0" w:line="360" w:lineRule="auto"/>
        <w:ind w:left="0" w:leftChars="0"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（2）卫生防护距离初值计算</w:t>
      </w:r>
    </w:p>
    <w:p w14:paraId="605F2A21">
      <w:pPr>
        <w:pStyle w:val="15"/>
        <w:spacing w:after="0" w:line="360" w:lineRule="auto"/>
        <w:ind w:left="0" w:leftChars="0"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计算公式如下：</w:t>
      </w:r>
    </w:p>
    <w:p w14:paraId="5FEBE1DB">
      <w:pPr>
        <w:pStyle w:val="15"/>
        <w:spacing w:after="0" w:line="360" w:lineRule="auto"/>
        <w:ind w:left="0" w:leftChars="0"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drawing>
          <wp:inline distT="0" distB="0" distL="114300" distR="114300">
            <wp:extent cx="1875790" cy="478790"/>
            <wp:effectExtent l="0" t="0" r="10160" b="1651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55"/>
                    <a:stretch>
                      <a:fillRect/>
                    </a:stretch>
                  </pic:blipFill>
                  <pic:spPr>
                    <a:xfrm>
                      <a:off x="0" y="0"/>
                      <a:ext cx="1875790" cy="478790"/>
                    </a:xfrm>
                    <a:prstGeom prst="rect">
                      <a:avLst/>
                    </a:prstGeom>
                    <a:noFill/>
                    <a:ln>
                      <a:noFill/>
                    </a:ln>
                  </pic:spPr>
                </pic:pic>
              </a:graphicData>
            </a:graphic>
          </wp:inline>
        </w:drawing>
      </w:r>
    </w:p>
    <w:p w14:paraId="122EC637">
      <w:pPr>
        <w:pStyle w:val="15"/>
        <w:spacing w:after="0" w:line="360" w:lineRule="auto"/>
        <w:ind w:left="0" w:leftChars="0"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式中：</w:t>
      </w:r>
    </w:p>
    <w:p w14:paraId="3BDA7F4B">
      <w:pPr>
        <w:pStyle w:val="15"/>
        <w:spacing w:after="0" w:line="360" w:lineRule="auto"/>
        <w:ind w:left="0" w:leftChars="0"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Qc—大气有害物质的无组织排放量，kg/h。</w:t>
      </w:r>
    </w:p>
    <w:p w14:paraId="39BA0C94">
      <w:pPr>
        <w:pStyle w:val="15"/>
        <w:spacing w:after="0" w:line="360" w:lineRule="auto"/>
        <w:ind w:left="0" w:leftChars="0"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Cm—大气有害物质环境空气质量的标准限值，mg/m3；</w:t>
      </w:r>
    </w:p>
    <w:p w14:paraId="3D9C0978">
      <w:pPr>
        <w:pStyle w:val="15"/>
        <w:spacing w:after="0" w:line="360" w:lineRule="auto"/>
        <w:ind w:left="0" w:leftChars="0"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L—大气有害物质卫生防护距离，m；</w:t>
      </w:r>
    </w:p>
    <w:p w14:paraId="1CAA66B6">
      <w:pPr>
        <w:pStyle w:val="15"/>
        <w:spacing w:after="0" w:line="360" w:lineRule="auto"/>
        <w:ind w:left="0" w:leftChars="0"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r—大气有害气体无组织排放源所在生产单元的等效半径，m；</w:t>
      </w:r>
    </w:p>
    <w:p w14:paraId="4047140F">
      <w:pPr>
        <w:pStyle w:val="15"/>
        <w:spacing w:after="0" w:line="360" w:lineRule="auto"/>
        <w:ind w:left="0" w:leftChars="0"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A、B、C、D—卫生防护距离初值计算系数，无因次，根据工业企业所在地区近五年平均风速及工业企业大气污染源构成类别从表查取。</w:t>
      </w:r>
    </w:p>
    <w:p w14:paraId="64ECE122">
      <w:pPr>
        <w:autoSpaceDE w:val="0"/>
        <w:autoSpaceDN w:val="0"/>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表</w:t>
      </w:r>
      <w:r>
        <w:rPr>
          <w:rFonts w:hint="default" w:ascii="Times New Roman" w:hAnsi="Times New Roman" w:cs="Times New Roman"/>
          <w:b/>
          <w:color w:val="auto"/>
          <w:sz w:val="24"/>
          <w:szCs w:val="24"/>
        </w:rPr>
        <w:t>5.2.1-</w:t>
      </w:r>
      <w:r>
        <w:rPr>
          <w:rFonts w:hint="default" w:ascii="Times New Roman" w:hAnsi="Times New Roman" w:cs="Times New Roman"/>
          <w:b/>
          <w:color w:val="auto"/>
          <w:sz w:val="24"/>
          <w:szCs w:val="24"/>
          <w:lang w:val="en-US" w:eastAsia="zh-CN"/>
        </w:rPr>
        <w:t>10</w:t>
      </w:r>
      <w:r>
        <w:rPr>
          <w:rFonts w:hint="default" w:ascii="Times New Roman" w:hAnsi="Times New Roman" w:cs="Times New Roman"/>
          <w:b/>
          <w:color w:val="auto"/>
          <w:sz w:val="21"/>
          <w:szCs w:val="21"/>
          <w:lang w:bidi="ar"/>
        </w:rPr>
        <w:t xml:space="preserve">   卫生防护距离计算系数</w:t>
      </w:r>
    </w:p>
    <w:tbl>
      <w:tblPr>
        <w:tblStyle w:val="23"/>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603"/>
        <w:gridCol w:w="720"/>
        <w:gridCol w:w="720"/>
        <w:gridCol w:w="725"/>
        <w:gridCol w:w="720"/>
        <w:gridCol w:w="720"/>
        <w:gridCol w:w="724"/>
        <w:gridCol w:w="720"/>
        <w:gridCol w:w="720"/>
        <w:gridCol w:w="772"/>
      </w:tblGrid>
      <w:tr w14:paraId="56CF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1" w:type="dxa"/>
            <w:vMerge w:val="restart"/>
            <w:tcBorders>
              <w:top w:val="single" w:color="auto" w:sz="4" w:space="0"/>
              <w:left w:val="single" w:color="auto" w:sz="4" w:space="0"/>
              <w:bottom w:val="single" w:color="auto" w:sz="4" w:space="0"/>
              <w:right w:val="single" w:color="auto" w:sz="4" w:space="0"/>
            </w:tcBorders>
            <w:vAlign w:val="center"/>
          </w:tcPr>
          <w:p w14:paraId="1E5AE002">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计算系数</w:t>
            </w:r>
          </w:p>
        </w:tc>
        <w:tc>
          <w:tcPr>
            <w:tcW w:w="1603" w:type="dxa"/>
            <w:vMerge w:val="restart"/>
            <w:tcBorders>
              <w:top w:val="single" w:color="auto" w:sz="4" w:space="0"/>
              <w:left w:val="single" w:color="auto" w:sz="4" w:space="0"/>
              <w:bottom w:val="single" w:color="auto" w:sz="4" w:space="0"/>
              <w:right w:val="single" w:color="auto" w:sz="4" w:space="0"/>
            </w:tcBorders>
            <w:vAlign w:val="center"/>
          </w:tcPr>
          <w:p w14:paraId="11BAAEC3">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工业企业所在地区近五年平均风速m/s</w:t>
            </w:r>
          </w:p>
        </w:tc>
        <w:tc>
          <w:tcPr>
            <w:tcW w:w="6541" w:type="dxa"/>
            <w:gridSpan w:val="9"/>
            <w:tcBorders>
              <w:top w:val="single" w:color="auto" w:sz="4" w:space="0"/>
              <w:left w:val="single" w:color="auto" w:sz="4" w:space="0"/>
              <w:bottom w:val="single" w:color="auto" w:sz="4" w:space="0"/>
              <w:right w:val="single" w:color="auto" w:sz="4" w:space="0"/>
            </w:tcBorders>
            <w:vAlign w:val="center"/>
          </w:tcPr>
          <w:p w14:paraId="5D6D107E">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卫生防护距离L，m</w:t>
            </w:r>
          </w:p>
        </w:tc>
      </w:tr>
      <w:tr w14:paraId="6DF8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Merge w:val="continue"/>
            <w:tcBorders>
              <w:top w:val="single" w:color="auto" w:sz="4" w:space="0"/>
              <w:left w:val="single" w:color="auto" w:sz="4" w:space="0"/>
              <w:bottom w:val="single" w:color="auto" w:sz="4" w:space="0"/>
              <w:right w:val="single" w:color="auto" w:sz="4" w:space="0"/>
            </w:tcBorders>
            <w:vAlign w:val="center"/>
          </w:tcPr>
          <w:p w14:paraId="5DBDCC5D">
            <w:pPr>
              <w:spacing w:line="240" w:lineRule="auto"/>
              <w:rPr>
                <w:rFonts w:hint="default" w:ascii="Times New Roman" w:hAnsi="Times New Roman" w:cs="Times New Roman"/>
                <w:color w:val="auto"/>
                <w:sz w:val="21"/>
                <w:szCs w:val="21"/>
              </w:rPr>
            </w:pPr>
          </w:p>
        </w:tc>
        <w:tc>
          <w:tcPr>
            <w:tcW w:w="1603" w:type="dxa"/>
            <w:vMerge w:val="continue"/>
            <w:tcBorders>
              <w:top w:val="single" w:color="auto" w:sz="4" w:space="0"/>
              <w:left w:val="single" w:color="auto" w:sz="4" w:space="0"/>
              <w:bottom w:val="single" w:color="auto" w:sz="4" w:space="0"/>
              <w:right w:val="single" w:color="auto" w:sz="4" w:space="0"/>
            </w:tcBorders>
            <w:vAlign w:val="center"/>
          </w:tcPr>
          <w:p w14:paraId="71E6A9C2">
            <w:pPr>
              <w:spacing w:line="240" w:lineRule="auto"/>
              <w:rPr>
                <w:rFonts w:hint="default" w:ascii="Times New Roman" w:hAnsi="Times New Roman" w:cs="Times New Roman"/>
                <w:color w:val="auto"/>
                <w:sz w:val="21"/>
                <w:szCs w:val="21"/>
              </w:rPr>
            </w:pPr>
          </w:p>
        </w:tc>
        <w:tc>
          <w:tcPr>
            <w:tcW w:w="2165" w:type="dxa"/>
            <w:gridSpan w:val="3"/>
            <w:tcBorders>
              <w:top w:val="single" w:color="auto" w:sz="4" w:space="0"/>
              <w:left w:val="single" w:color="auto" w:sz="4" w:space="0"/>
              <w:bottom w:val="single" w:color="auto" w:sz="4" w:space="0"/>
              <w:right w:val="single" w:color="auto" w:sz="4" w:space="0"/>
            </w:tcBorders>
            <w:vAlign w:val="center"/>
          </w:tcPr>
          <w:p w14:paraId="266E9496">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L≤1000</w:t>
            </w:r>
          </w:p>
        </w:tc>
        <w:tc>
          <w:tcPr>
            <w:tcW w:w="2164" w:type="dxa"/>
            <w:gridSpan w:val="3"/>
            <w:tcBorders>
              <w:top w:val="single" w:color="auto" w:sz="4" w:space="0"/>
              <w:left w:val="single" w:color="auto" w:sz="4" w:space="0"/>
              <w:bottom w:val="single" w:color="auto" w:sz="4" w:space="0"/>
              <w:right w:val="single" w:color="auto" w:sz="4" w:space="0"/>
            </w:tcBorders>
            <w:vAlign w:val="center"/>
          </w:tcPr>
          <w:p w14:paraId="7641BDDC">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1000&lt;L≤2000</w:t>
            </w:r>
          </w:p>
        </w:tc>
        <w:tc>
          <w:tcPr>
            <w:tcW w:w="2212" w:type="dxa"/>
            <w:gridSpan w:val="3"/>
            <w:tcBorders>
              <w:top w:val="single" w:color="auto" w:sz="4" w:space="0"/>
              <w:left w:val="single" w:color="auto" w:sz="4" w:space="0"/>
              <w:bottom w:val="single" w:color="auto" w:sz="4" w:space="0"/>
              <w:right w:val="single" w:color="auto" w:sz="4" w:space="0"/>
            </w:tcBorders>
            <w:vAlign w:val="center"/>
          </w:tcPr>
          <w:p w14:paraId="2D5BECB2">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L&gt;2000</w:t>
            </w:r>
          </w:p>
        </w:tc>
      </w:tr>
      <w:tr w14:paraId="0A5E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Merge w:val="continue"/>
            <w:tcBorders>
              <w:top w:val="single" w:color="auto" w:sz="4" w:space="0"/>
              <w:left w:val="single" w:color="auto" w:sz="4" w:space="0"/>
              <w:bottom w:val="single" w:color="auto" w:sz="4" w:space="0"/>
              <w:right w:val="single" w:color="auto" w:sz="4" w:space="0"/>
            </w:tcBorders>
            <w:vAlign w:val="center"/>
          </w:tcPr>
          <w:p w14:paraId="3F171BCF">
            <w:pPr>
              <w:spacing w:line="240" w:lineRule="auto"/>
              <w:rPr>
                <w:rFonts w:hint="default" w:ascii="Times New Roman" w:hAnsi="Times New Roman" w:cs="Times New Roman"/>
                <w:color w:val="auto"/>
                <w:sz w:val="21"/>
                <w:szCs w:val="21"/>
              </w:rPr>
            </w:pPr>
          </w:p>
        </w:tc>
        <w:tc>
          <w:tcPr>
            <w:tcW w:w="1603" w:type="dxa"/>
            <w:vMerge w:val="continue"/>
            <w:tcBorders>
              <w:top w:val="single" w:color="auto" w:sz="4" w:space="0"/>
              <w:left w:val="single" w:color="auto" w:sz="4" w:space="0"/>
              <w:bottom w:val="single" w:color="auto" w:sz="4" w:space="0"/>
              <w:right w:val="single" w:color="auto" w:sz="4" w:space="0"/>
            </w:tcBorders>
            <w:vAlign w:val="center"/>
          </w:tcPr>
          <w:p w14:paraId="36808F88">
            <w:pPr>
              <w:spacing w:line="240" w:lineRule="auto"/>
              <w:rPr>
                <w:rFonts w:hint="default" w:ascii="Times New Roman" w:hAnsi="Times New Roman" w:cs="Times New Roman"/>
                <w:color w:val="auto"/>
                <w:sz w:val="21"/>
                <w:szCs w:val="21"/>
              </w:rPr>
            </w:pPr>
          </w:p>
        </w:tc>
        <w:tc>
          <w:tcPr>
            <w:tcW w:w="6541" w:type="dxa"/>
            <w:gridSpan w:val="9"/>
            <w:tcBorders>
              <w:top w:val="single" w:color="auto" w:sz="4" w:space="0"/>
              <w:left w:val="single" w:color="auto" w:sz="4" w:space="0"/>
              <w:bottom w:val="single" w:color="auto" w:sz="4" w:space="0"/>
              <w:right w:val="single" w:color="auto" w:sz="4" w:space="0"/>
            </w:tcBorders>
            <w:vAlign w:val="center"/>
          </w:tcPr>
          <w:p w14:paraId="0CDDE2AC">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工业企业大气污染源构成类别</w:t>
            </w:r>
          </w:p>
        </w:tc>
      </w:tr>
      <w:tr w14:paraId="408F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Merge w:val="continue"/>
            <w:tcBorders>
              <w:top w:val="single" w:color="auto" w:sz="4" w:space="0"/>
              <w:left w:val="single" w:color="auto" w:sz="4" w:space="0"/>
              <w:bottom w:val="single" w:color="auto" w:sz="4" w:space="0"/>
              <w:right w:val="single" w:color="auto" w:sz="4" w:space="0"/>
            </w:tcBorders>
            <w:vAlign w:val="center"/>
          </w:tcPr>
          <w:p w14:paraId="7A0301FD">
            <w:pPr>
              <w:spacing w:line="240" w:lineRule="auto"/>
              <w:rPr>
                <w:rFonts w:hint="default" w:ascii="Times New Roman" w:hAnsi="Times New Roman" w:cs="Times New Roman"/>
                <w:color w:val="auto"/>
                <w:sz w:val="21"/>
                <w:szCs w:val="21"/>
              </w:rPr>
            </w:pPr>
          </w:p>
        </w:tc>
        <w:tc>
          <w:tcPr>
            <w:tcW w:w="1603" w:type="dxa"/>
            <w:vMerge w:val="continue"/>
            <w:tcBorders>
              <w:top w:val="single" w:color="auto" w:sz="4" w:space="0"/>
              <w:left w:val="single" w:color="auto" w:sz="4" w:space="0"/>
              <w:bottom w:val="single" w:color="auto" w:sz="4" w:space="0"/>
              <w:right w:val="single" w:color="auto" w:sz="4" w:space="0"/>
            </w:tcBorders>
            <w:vAlign w:val="center"/>
          </w:tcPr>
          <w:p w14:paraId="76875C00">
            <w:pPr>
              <w:spacing w:line="240" w:lineRule="auto"/>
              <w:rPr>
                <w:rFonts w:hint="default" w:ascii="Times New Roman" w:hAnsi="Times New Roman" w:cs="Times New Roman"/>
                <w:color w:val="auto"/>
                <w:sz w:val="21"/>
                <w:szCs w:val="21"/>
              </w:rPr>
            </w:pPr>
          </w:p>
        </w:tc>
        <w:tc>
          <w:tcPr>
            <w:tcW w:w="720" w:type="dxa"/>
            <w:tcBorders>
              <w:top w:val="single" w:color="auto" w:sz="4" w:space="0"/>
              <w:left w:val="single" w:color="auto" w:sz="4" w:space="0"/>
              <w:bottom w:val="single" w:color="auto" w:sz="4" w:space="0"/>
              <w:right w:val="single" w:color="auto" w:sz="4" w:space="0"/>
            </w:tcBorders>
            <w:vAlign w:val="center"/>
          </w:tcPr>
          <w:p w14:paraId="35C99920">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I</w:t>
            </w:r>
          </w:p>
        </w:tc>
        <w:tc>
          <w:tcPr>
            <w:tcW w:w="720" w:type="dxa"/>
            <w:tcBorders>
              <w:top w:val="single" w:color="auto" w:sz="4" w:space="0"/>
              <w:left w:val="single" w:color="auto" w:sz="4" w:space="0"/>
              <w:bottom w:val="single" w:color="auto" w:sz="4" w:space="0"/>
              <w:right w:val="single" w:color="auto" w:sz="4" w:space="0"/>
            </w:tcBorders>
            <w:vAlign w:val="center"/>
          </w:tcPr>
          <w:p w14:paraId="0291D75A">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II</w:t>
            </w:r>
          </w:p>
        </w:tc>
        <w:tc>
          <w:tcPr>
            <w:tcW w:w="725" w:type="dxa"/>
            <w:tcBorders>
              <w:top w:val="single" w:color="auto" w:sz="4" w:space="0"/>
              <w:left w:val="single" w:color="auto" w:sz="4" w:space="0"/>
              <w:bottom w:val="single" w:color="auto" w:sz="4" w:space="0"/>
              <w:right w:val="single" w:color="auto" w:sz="4" w:space="0"/>
            </w:tcBorders>
            <w:vAlign w:val="center"/>
          </w:tcPr>
          <w:p w14:paraId="3C66217B">
            <w:pPr>
              <w:autoSpaceDE w:val="0"/>
              <w:autoSpaceDN w:val="0"/>
              <w:adjustRightInd w:val="0"/>
              <w:spacing w:line="240" w:lineRule="auto"/>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lang w:eastAsia="zh-CN" w:bidi="ar"/>
              </w:rPr>
              <w:t>Ⅲ</w:t>
            </w:r>
          </w:p>
        </w:tc>
        <w:tc>
          <w:tcPr>
            <w:tcW w:w="720" w:type="dxa"/>
            <w:tcBorders>
              <w:top w:val="single" w:color="auto" w:sz="4" w:space="0"/>
              <w:left w:val="single" w:color="auto" w:sz="4" w:space="0"/>
              <w:bottom w:val="single" w:color="auto" w:sz="4" w:space="0"/>
              <w:right w:val="single" w:color="auto" w:sz="4" w:space="0"/>
            </w:tcBorders>
            <w:vAlign w:val="center"/>
          </w:tcPr>
          <w:p w14:paraId="057E8FBE">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I</w:t>
            </w:r>
          </w:p>
        </w:tc>
        <w:tc>
          <w:tcPr>
            <w:tcW w:w="720" w:type="dxa"/>
            <w:tcBorders>
              <w:top w:val="single" w:color="auto" w:sz="4" w:space="0"/>
              <w:left w:val="single" w:color="auto" w:sz="4" w:space="0"/>
              <w:bottom w:val="single" w:color="auto" w:sz="4" w:space="0"/>
              <w:right w:val="single" w:color="auto" w:sz="4" w:space="0"/>
            </w:tcBorders>
            <w:vAlign w:val="center"/>
          </w:tcPr>
          <w:p w14:paraId="6BACDF1C">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II</w:t>
            </w:r>
          </w:p>
        </w:tc>
        <w:tc>
          <w:tcPr>
            <w:tcW w:w="724" w:type="dxa"/>
            <w:tcBorders>
              <w:top w:val="single" w:color="auto" w:sz="4" w:space="0"/>
              <w:left w:val="single" w:color="auto" w:sz="4" w:space="0"/>
              <w:bottom w:val="single" w:color="auto" w:sz="4" w:space="0"/>
              <w:right w:val="single" w:color="auto" w:sz="4" w:space="0"/>
            </w:tcBorders>
            <w:vAlign w:val="center"/>
          </w:tcPr>
          <w:p w14:paraId="60DBEEB4">
            <w:pPr>
              <w:autoSpaceDE w:val="0"/>
              <w:autoSpaceDN w:val="0"/>
              <w:adjustRightInd w:val="0"/>
              <w:spacing w:line="240" w:lineRule="auto"/>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lang w:eastAsia="zh-CN" w:bidi="ar"/>
              </w:rPr>
              <w:t>Ⅲ</w:t>
            </w:r>
          </w:p>
        </w:tc>
        <w:tc>
          <w:tcPr>
            <w:tcW w:w="720" w:type="dxa"/>
            <w:tcBorders>
              <w:top w:val="single" w:color="auto" w:sz="4" w:space="0"/>
              <w:left w:val="single" w:color="auto" w:sz="4" w:space="0"/>
              <w:bottom w:val="single" w:color="auto" w:sz="4" w:space="0"/>
              <w:right w:val="single" w:color="auto" w:sz="4" w:space="0"/>
            </w:tcBorders>
            <w:vAlign w:val="center"/>
          </w:tcPr>
          <w:p w14:paraId="0A0796F0">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I</w:t>
            </w:r>
          </w:p>
        </w:tc>
        <w:tc>
          <w:tcPr>
            <w:tcW w:w="720" w:type="dxa"/>
            <w:tcBorders>
              <w:top w:val="single" w:color="auto" w:sz="4" w:space="0"/>
              <w:left w:val="single" w:color="auto" w:sz="4" w:space="0"/>
              <w:bottom w:val="single" w:color="auto" w:sz="4" w:space="0"/>
              <w:right w:val="single" w:color="auto" w:sz="4" w:space="0"/>
            </w:tcBorders>
            <w:vAlign w:val="center"/>
          </w:tcPr>
          <w:p w14:paraId="1367EDE6">
            <w:pPr>
              <w:autoSpaceDE w:val="0"/>
              <w:autoSpaceDN w:val="0"/>
              <w:adjustRightIn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II</w:t>
            </w:r>
          </w:p>
        </w:tc>
        <w:tc>
          <w:tcPr>
            <w:tcW w:w="772" w:type="dxa"/>
            <w:tcBorders>
              <w:top w:val="single" w:color="auto" w:sz="4" w:space="0"/>
              <w:left w:val="single" w:color="auto" w:sz="4" w:space="0"/>
              <w:bottom w:val="single" w:color="auto" w:sz="4" w:space="0"/>
              <w:right w:val="single" w:color="auto" w:sz="4" w:space="0"/>
            </w:tcBorders>
            <w:vAlign w:val="center"/>
          </w:tcPr>
          <w:p w14:paraId="100849FB">
            <w:pPr>
              <w:autoSpaceDE w:val="0"/>
              <w:autoSpaceDN w:val="0"/>
              <w:adjustRightInd w:val="0"/>
              <w:spacing w:line="240" w:lineRule="auto"/>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lang w:eastAsia="zh-CN" w:bidi="ar"/>
              </w:rPr>
              <w:t>Ⅲ</w:t>
            </w:r>
          </w:p>
        </w:tc>
      </w:tr>
      <w:tr w14:paraId="44A5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Merge w:val="restart"/>
            <w:tcBorders>
              <w:top w:val="single" w:color="auto" w:sz="4" w:space="0"/>
              <w:left w:val="single" w:color="auto" w:sz="4" w:space="0"/>
              <w:bottom w:val="single" w:color="auto" w:sz="4" w:space="0"/>
              <w:right w:val="single" w:color="auto" w:sz="4" w:space="0"/>
            </w:tcBorders>
            <w:vAlign w:val="center"/>
          </w:tcPr>
          <w:p w14:paraId="138423FA">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A</w:t>
            </w:r>
          </w:p>
        </w:tc>
        <w:tc>
          <w:tcPr>
            <w:tcW w:w="1603" w:type="dxa"/>
            <w:tcBorders>
              <w:top w:val="single" w:color="auto" w:sz="4" w:space="0"/>
              <w:left w:val="single" w:color="auto" w:sz="4" w:space="0"/>
              <w:bottom w:val="single" w:color="auto" w:sz="4" w:space="0"/>
              <w:right w:val="single" w:color="auto" w:sz="4" w:space="0"/>
            </w:tcBorders>
            <w:vAlign w:val="center"/>
          </w:tcPr>
          <w:p w14:paraId="783A1CAB">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&lt;2</w:t>
            </w:r>
          </w:p>
        </w:tc>
        <w:tc>
          <w:tcPr>
            <w:tcW w:w="720" w:type="dxa"/>
            <w:tcBorders>
              <w:top w:val="single" w:color="auto" w:sz="4" w:space="0"/>
              <w:left w:val="single" w:color="auto" w:sz="4" w:space="0"/>
              <w:bottom w:val="single" w:color="auto" w:sz="4" w:space="0"/>
              <w:right w:val="single" w:color="auto" w:sz="4" w:space="0"/>
            </w:tcBorders>
            <w:vAlign w:val="center"/>
          </w:tcPr>
          <w:p w14:paraId="05A640D4">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400</w:t>
            </w:r>
          </w:p>
        </w:tc>
        <w:tc>
          <w:tcPr>
            <w:tcW w:w="720" w:type="dxa"/>
            <w:tcBorders>
              <w:top w:val="single" w:color="auto" w:sz="4" w:space="0"/>
              <w:left w:val="single" w:color="auto" w:sz="4" w:space="0"/>
              <w:bottom w:val="single" w:color="auto" w:sz="4" w:space="0"/>
              <w:right w:val="single" w:color="auto" w:sz="4" w:space="0"/>
            </w:tcBorders>
            <w:vAlign w:val="center"/>
          </w:tcPr>
          <w:p w14:paraId="3F6C504C">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400</w:t>
            </w:r>
          </w:p>
        </w:tc>
        <w:tc>
          <w:tcPr>
            <w:tcW w:w="725" w:type="dxa"/>
            <w:tcBorders>
              <w:top w:val="single" w:color="auto" w:sz="4" w:space="0"/>
              <w:left w:val="single" w:color="auto" w:sz="4" w:space="0"/>
              <w:bottom w:val="single" w:color="auto" w:sz="4" w:space="0"/>
              <w:right w:val="single" w:color="auto" w:sz="4" w:space="0"/>
            </w:tcBorders>
            <w:vAlign w:val="center"/>
          </w:tcPr>
          <w:p w14:paraId="20B95AD1">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400</w:t>
            </w:r>
          </w:p>
        </w:tc>
        <w:tc>
          <w:tcPr>
            <w:tcW w:w="720" w:type="dxa"/>
            <w:tcBorders>
              <w:top w:val="single" w:color="auto" w:sz="4" w:space="0"/>
              <w:left w:val="single" w:color="auto" w:sz="4" w:space="0"/>
              <w:bottom w:val="single" w:color="auto" w:sz="4" w:space="0"/>
              <w:right w:val="single" w:color="auto" w:sz="4" w:space="0"/>
            </w:tcBorders>
            <w:vAlign w:val="center"/>
          </w:tcPr>
          <w:p w14:paraId="2A34E655">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400</w:t>
            </w:r>
          </w:p>
        </w:tc>
        <w:tc>
          <w:tcPr>
            <w:tcW w:w="720" w:type="dxa"/>
            <w:tcBorders>
              <w:top w:val="single" w:color="auto" w:sz="4" w:space="0"/>
              <w:left w:val="single" w:color="auto" w:sz="4" w:space="0"/>
              <w:bottom w:val="single" w:color="auto" w:sz="4" w:space="0"/>
              <w:right w:val="single" w:color="auto" w:sz="4" w:space="0"/>
            </w:tcBorders>
            <w:vAlign w:val="center"/>
          </w:tcPr>
          <w:p w14:paraId="72460A01">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400</w:t>
            </w:r>
          </w:p>
        </w:tc>
        <w:tc>
          <w:tcPr>
            <w:tcW w:w="724" w:type="dxa"/>
            <w:tcBorders>
              <w:top w:val="single" w:color="auto" w:sz="4" w:space="0"/>
              <w:left w:val="single" w:color="auto" w:sz="4" w:space="0"/>
              <w:bottom w:val="single" w:color="auto" w:sz="4" w:space="0"/>
              <w:right w:val="single" w:color="auto" w:sz="4" w:space="0"/>
            </w:tcBorders>
            <w:vAlign w:val="center"/>
          </w:tcPr>
          <w:p w14:paraId="54EE6FB8">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400</w:t>
            </w:r>
          </w:p>
        </w:tc>
        <w:tc>
          <w:tcPr>
            <w:tcW w:w="720" w:type="dxa"/>
            <w:tcBorders>
              <w:top w:val="single" w:color="auto" w:sz="4" w:space="0"/>
              <w:left w:val="single" w:color="auto" w:sz="4" w:space="0"/>
              <w:bottom w:val="single" w:color="auto" w:sz="4" w:space="0"/>
              <w:right w:val="single" w:color="auto" w:sz="4" w:space="0"/>
            </w:tcBorders>
            <w:vAlign w:val="center"/>
          </w:tcPr>
          <w:p w14:paraId="35AE9D3F">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80</w:t>
            </w:r>
          </w:p>
        </w:tc>
        <w:tc>
          <w:tcPr>
            <w:tcW w:w="720" w:type="dxa"/>
            <w:tcBorders>
              <w:top w:val="single" w:color="auto" w:sz="4" w:space="0"/>
              <w:left w:val="single" w:color="auto" w:sz="4" w:space="0"/>
              <w:bottom w:val="single" w:color="auto" w:sz="4" w:space="0"/>
              <w:right w:val="single" w:color="auto" w:sz="4" w:space="0"/>
            </w:tcBorders>
            <w:vAlign w:val="center"/>
          </w:tcPr>
          <w:p w14:paraId="420F7BC9">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80</w:t>
            </w:r>
          </w:p>
        </w:tc>
        <w:tc>
          <w:tcPr>
            <w:tcW w:w="772" w:type="dxa"/>
            <w:tcBorders>
              <w:top w:val="single" w:color="auto" w:sz="4" w:space="0"/>
              <w:left w:val="single" w:color="auto" w:sz="4" w:space="0"/>
              <w:bottom w:val="single" w:color="auto" w:sz="4" w:space="0"/>
              <w:right w:val="single" w:color="auto" w:sz="4" w:space="0"/>
            </w:tcBorders>
            <w:vAlign w:val="center"/>
          </w:tcPr>
          <w:p w14:paraId="21938463">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80</w:t>
            </w:r>
          </w:p>
        </w:tc>
      </w:tr>
      <w:tr w14:paraId="3F48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Merge w:val="continue"/>
            <w:tcBorders>
              <w:top w:val="single" w:color="auto" w:sz="4" w:space="0"/>
              <w:left w:val="single" w:color="auto" w:sz="4" w:space="0"/>
              <w:bottom w:val="single" w:color="auto" w:sz="4" w:space="0"/>
              <w:right w:val="single" w:color="auto" w:sz="4" w:space="0"/>
            </w:tcBorders>
            <w:vAlign w:val="center"/>
          </w:tcPr>
          <w:p w14:paraId="4EA72982">
            <w:pPr>
              <w:spacing w:line="240" w:lineRule="auto"/>
              <w:rPr>
                <w:rFonts w:hint="default" w:ascii="Times New Roman" w:hAnsi="Times New Roman" w:cs="Times New Roman"/>
                <w:color w:val="auto"/>
                <w:sz w:val="21"/>
                <w:szCs w:val="21"/>
              </w:rPr>
            </w:pPr>
          </w:p>
        </w:tc>
        <w:tc>
          <w:tcPr>
            <w:tcW w:w="1603" w:type="dxa"/>
            <w:tcBorders>
              <w:top w:val="single" w:color="auto" w:sz="4" w:space="0"/>
              <w:left w:val="single" w:color="auto" w:sz="4" w:space="0"/>
              <w:bottom w:val="single" w:color="auto" w:sz="4" w:space="0"/>
              <w:right w:val="single" w:color="auto" w:sz="4" w:space="0"/>
            </w:tcBorders>
            <w:vAlign w:val="center"/>
          </w:tcPr>
          <w:p w14:paraId="3571B966">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2~4</w:t>
            </w:r>
          </w:p>
        </w:tc>
        <w:tc>
          <w:tcPr>
            <w:tcW w:w="720" w:type="dxa"/>
            <w:tcBorders>
              <w:top w:val="single" w:color="auto" w:sz="4" w:space="0"/>
              <w:left w:val="single" w:color="auto" w:sz="4" w:space="0"/>
              <w:bottom w:val="single" w:color="auto" w:sz="4" w:space="0"/>
              <w:right w:val="single" w:color="auto" w:sz="4" w:space="0"/>
            </w:tcBorders>
            <w:vAlign w:val="center"/>
          </w:tcPr>
          <w:p w14:paraId="0C9711E4">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700</w:t>
            </w:r>
          </w:p>
        </w:tc>
        <w:tc>
          <w:tcPr>
            <w:tcW w:w="720" w:type="dxa"/>
            <w:tcBorders>
              <w:top w:val="single" w:color="auto" w:sz="4" w:space="0"/>
              <w:left w:val="single" w:color="auto" w:sz="4" w:space="0"/>
              <w:bottom w:val="single" w:color="auto" w:sz="4" w:space="0"/>
              <w:right w:val="single" w:color="auto" w:sz="4" w:space="0"/>
            </w:tcBorders>
            <w:vAlign w:val="center"/>
          </w:tcPr>
          <w:p w14:paraId="13D7421E">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470</w:t>
            </w:r>
          </w:p>
        </w:tc>
        <w:tc>
          <w:tcPr>
            <w:tcW w:w="725" w:type="dxa"/>
            <w:tcBorders>
              <w:top w:val="single" w:color="auto" w:sz="4" w:space="0"/>
              <w:left w:val="single" w:color="auto" w:sz="4" w:space="0"/>
              <w:bottom w:val="single" w:color="auto" w:sz="4" w:space="0"/>
              <w:right w:val="single" w:color="auto" w:sz="4" w:space="0"/>
            </w:tcBorders>
            <w:vAlign w:val="center"/>
          </w:tcPr>
          <w:p w14:paraId="111462B3">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350</w:t>
            </w:r>
          </w:p>
        </w:tc>
        <w:tc>
          <w:tcPr>
            <w:tcW w:w="720" w:type="dxa"/>
            <w:tcBorders>
              <w:top w:val="single" w:color="auto" w:sz="4" w:space="0"/>
              <w:left w:val="single" w:color="auto" w:sz="4" w:space="0"/>
              <w:bottom w:val="single" w:color="auto" w:sz="4" w:space="0"/>
              <w:right w:val="single" w:color="auto" w:sz="4" w:space="0"/>
            </w:tcBorders>
            <w:vAlign w:val="center"/>
          </w:tcPr>
          <w:p w14:paraId="1388ED4B">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700</w:t>
            </w:r>
          </w:p>
        </w:tc>
        <w:tc>
          <w:tcPr>
            <w:tcW w:w="720" w:type="dxa"/>
            <w:tcBorders>
              <w:top w:val="single" w:color="auto" w:sz="4" w:space="0"/>
              <w:left w:val="single" w:color="auto" w:sz="4" w:space="0"/>
              <w:bottom w:val="single" w:color="auto" w:sz="4" w:space="0"/>
              <w:right w:val="single" w:color="auto" w:sz="4" w:space="0"/>
            </w:tcBorders>
            <w:vAlign w:val="center"/>
          </w:tcPr>
          <w:p w14:paraId="29D7DB0A">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470</w:t>
            </w:r>
          </w:p>
        </w:tc>
        <w:tc>
          <w:tcPr>
            <w:tcW w:w="724" w:type="dxa"/>
            <w:tcBorders>
              <w:top w:val="single" w:color="auto" w:sz="4" w:space="0"/>
              <w:left w:val="single" w:color="auto" w:sz="4" w:space="0"/>
              <w:bottom w:val="single" w:color="auto" w:sz="4" w:space="0"/>
              <w:right w:val="single" w:color="auto" w:sz="4" w:space="0"/>
            </w:tcBorders>
            <w:vAlign w:val="center"/>
          </w:tcPr>
          <w:p w14:paraId="79C2365B">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350</w:t>
            </w:r>
          </w:p>
        </w:tc>
        <w:tc>
          <w:tcPr>
            <w:tcW w:w="720" w:type="dxa"/>
            <w:tcBorders>
              <w:top w:val="single" w:color="auto" w:sz="4" w:space="0"/>
              <w:left w:val="single" w:color="auto" w:sz="4" w:space="0"/>
              <w:bottom w:val="single" w:color="auto" w:sz="4" w:space="0"/>
              <w:right w:val="single" w:color="auto" w:sz="4" w:space="0"/>
            </w:tcBorders>
            <w:vAlign w:val="center"/>
          </w:tcPr>
          <w:p w14:paraId="18E6C0BF">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380</w:t>
            </w:r>
          </w:p>
        </w:tc>
        <w:tc>
          <w:tcPr>
            <w:tcW w:w="720" w:type="dxa"/>
            <w:tcBorders>
              <w:top w:val="single" w:color="auto" w:sz="4" w:space="0"/>
              <w:left w:val="single" w:color="auto" w:sz="4" w:space="0"/>
              <w:bottom w:val="single" w:color="auto" w:sz="4" w:space="0"/>
              <w:right w:val="single" w:color="auto" w:sz="4" w:space="0"/>
            </w:tcBorders>
            <w:vAlign w:val="center"/>
          </w:tcPr>
          <w:p w14:paraId="2AFBD19E">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250</w:t>
            </w:r>
          </w:p>
        </w:tc>
        <w:tc>
          <w:tcPr>
            <w:tcW w:w="772" w:type="dxa"/>
            <w:tcBorders>
              <w:top w:val="single" w:color="auto" w:sz="4" w:space="0"/>
              <w:left w:val="single" w:color="auto" w:sz="4" w:space="0"/>
              <w:bottom w:val="single" w:color="auto" w:sz="4" w:space="0"/>
              <w:right w:val="single" w:color="auto" w:sz="4" w:space="0"/>
            </w:tcBorders>
            <w:vAlign w:val="center"/>
          </w:tcPr>
          <w:p w14:paraId="5C9E180B">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190</w:t>
            </w:r>
          </w:p>
        </w:tc>
      </w:tr>
      <w:tr w14:paraId="27A0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Merge w:val="continue"/>
            <w:tcBorders>
              <w:top w:val="single" w:color="auto" w:sz="4" w:space="0"/>
              <w:left w:val="single" w:color="auto" w:sz="4" w:space="0"/>
              <w:bottom w:val="single" w:color="auto" w:sz="4" w:space="0"/>
              <w:right w:val="single" w:color="auto" w:sz="4" w:space="0"/>
            </w:tcBorders>
            <w:vAlign w:val="center"/>
          </w:tcPr>
          <w:p w14:paraId="01AEDC69">
            <w:pPr>
              <w:spacing w:line="240" w:lineRule="auto"/>
              <w:rPr>
                <w:rFonts w:hint="default" w:ascii="Times New Roman" w:hAnsi="Times New Roman" w:cs="Times New Roman"/>
                <w:color w:val="auto"/>
                <w:sz w:val="21"/>
                <w:szCs w:val="21"/>
              </w:rPr>
            </w:pPr>
          </w:p>
        </w:tc>
        <w:tc>
          <w:tcPr>
            <w:tcW w:w="1603" w:type="dxa"/>
            <w:tcBorders>
              <w:top w:val="single" w:color="auto" w:sz="4" w:space="0"/>
              <w:left w:val="single" w:color="auto" w:sz="4" w:space="0"/>
              <w:bottom w:val="single" w:color="auto" w:sz="4" w:space="0"/>
              <w:right w:val="single" w:color="auto" w:sz="4" w:space="0"/>
            </w:tcBorders>
            <w:vAlign w:val="center"/>
          </w:tcPr>
          <w:p w14:paraId="48840637">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&gt;4</w:t>
            </w:r>
          </w:p>
        </w:tc>
        <w:tc>
          <w:tcPr>
            <w:tcW w:w="720" w:type="dxa"/>
            <w:tcBorders>
              <w:top w:val="single" w:color="auto" w:sz="4" w:space="0"/>
              <w:left w:val="single" w:color="auto" w:sz="4" w:space="0"/>
              <w:bottom w:val="single" w:color="auto" w:sz="4" w:space="0"/>
              <w:right w:val="single" w:color="auto" w:sz="4" w:space="0"/>
            </w:tcBorders>
            <w:vAlign w:val="center"/>
          </w:tcPr>
          <w:p w14:paraId="3AE62BD2">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530</w:t>
            </w:r>
          </w:p>
        </w:tc>
        <w:tc>
          <w:tcPr>
            <w:tcW w:w="720" w:type="dxa"/>
            <w:tcBorders>
              <w:top w:val="single" w:color="auto" w:sz="4" w:space="0"/>
              <w:left w:val="single" w:color="auto" w:sz="4" w:space="0"/>
              <w:bottom w:val="single" w:color="auto" w:sz="4" w:space="0"/>
              <w:right w:val="single" w:color="auto" w:sz="4" w:space="0"/>
            </w:tcBorders>
            <w:vAlign w:val="center"/>
          </w:tcPr>
          <w:p w14:paraId="413BA7B7">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350</w:t>
            </w:r>
          </w:p>
        </w:tc>
        <w:tc>
          <w:tcPr>
            <w:tcW w:w="725" w:type="dxa"/>
            <w:tcBorders>
              <w:top w:val="single" w:color="auto" w:sz="4" w:space="0"/>
              <w:left w:val="single" w:color="auto" w:sz="4" w:space="0"/>
              <w:bottom w:val="single" w:color="auto" w:sz="4" w:space="0"/>
              <w:right w:val="single" w:color="auto" w:sz="4" w:space="0"/>
            </w:tcBorders>
            <w:vAlign w:val="center"/>
          </w:tcPr>
          <w:p w14:paraId="3EB8DA9B">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260</w:t>
            </w:r>
          </w:p>
        </w:tc>
        <w:tc>
          <w:tcPr>
            <w:tcW w:w="720" w:type="dxa"/>
            <w:tcBorders>
              <w:top w:val="single" w:color="auto" w:sz="4" w:space="0"/>
              <w:left w:val="single" w:color="auto" w:sz="4" w:space="0"/>
              <w:bottom w:val="single" w:color="auto" w:sz="4" w:space="0"/>
              <w:right w:val="single" w:color="auto" w:sz="4" w:space="0"/>
            </w:tcBorders>
            <w:vAlign w:val="center"/>
          </w:tcPr>
          <w:p w14:paraId="4CAFCF39">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530</w:t>
            </w:r>
          </w:p>
        </w:tc>
        <w:tc>
          <w:tcPr>
            <w:tcW w:w="720" w:type="dxa"/>
            <w:tcBorders>
              <w:top w:val="single" w:color="auto" w:sz="4" w:space="0"/>
              <w:left w:val="single" w:color="auto" w:sz="4" w:space="0"/>
              <w:bottom w:val="single" w:color="auto" w:sz="4" w:space="0"/>
              <w:right w:val="single" w:color="auto" w:sz="4" w:space="0"/>
            </w:tcBorders>
            <w:vAlign w:val="center"/>
          </w:tcPr>
          <w:p w14:paraId="13A0100D">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350</w:t>
            </w:r>
          </w:p>
        </w:tc>
        <w:tc>
          <w:tcPr>
            <w:tcW w:w="724" w:type="dxa"/>
            <w:tcBorders>
              <w:top w:val="single" w:color="auto" w:sz="4" w:space="0"/>
              <w:left w:val="single" w:color="auto" w:sz="4" w:space="0"/>
              <w:bottom w:val="single" w:color="auto" w:sz="4" w:space="0"/>
              <w:right w:val="single" w:color="auto" w:sz="4" w:space="0"/>
            </w:tcBorders>
            <w:vAlign w:val="center"/>
          </w:tcPr>
          <w:p w14:paraId="0A50022F">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260</w:t>
            </w:r>
          </w:p>
        </w:tc>
        <w:tc>
          <w:tcPr>
            <w:tcW w:w="720" w:type="dxa"/>
            <w:tcBorders>
              <w:top w:val="single" w:color="auto" w:sz="4" w:space="0"/>
              <w:left w:val="single" w:color="auto" w:sz="4" w:space="0"/>
              <w:bottom w:val="single" w:color="auto" w:sz="4" w:space="0"/>
              <w:right w:val="single" w:color="auto" w:sz="4" w:space="0"/>
            </w:tcBorders>
            <w:vAlign w:val="center"/>
          </w:tcPr>
          <w:p w14:paraId="16D3CC77">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290</w:t>
            </w:r>
          </w:p>
        </w:tc>
        <w:tc>
          <w:tcPr>
            <w:tcW w:w="720" w:type="dxa"/>
            <w:tcBorders>
              <w:top w:val="single" w:color="auto" w:sz="4" w:space="0"/>
              <w:left w:val="single" w:color="auto" w:sz="4" w:space="0"/>
              <w:bottom w:val="single" w:color="auto" w:sz="4" w:space="0"/>
              <w:right w:val="single" w:color="auto" w:sz="4" w:space="0"/>
            </w:tcBorders>
            <w:vAlign w:val="center"/>
          </w:tcPr>
          <w:p w14:paraId="4F7C9688">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190</w:t>
            </w:r>
          </w:p>
        </w:tc>
        <w:tc>
          <w:tcPr>
            <w:tcW w:w="772" w:type="dxa"/>
            <w:tcBorders>
              <w:top w:val="single" w:color="auto" w:sz="4" w:space="0"/>
              <w:left w:val="single" w:color="auto" w:sz="4" w:space="0"/>
              <w:bottom w:val="single" w:color="auto" w:sz="4" w:space="0"/>
              <w:right w:val="single" w:color="auto" w:sz="4" w:space="0"/>
            </w:tcBorders>
            <w:vAlign w:val="center"/>
          </w:tcPr>
          <w:p w14:paraId="4E2D274B">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140</w:t>
            </w:r>
          </w:p>
        </w:tc>
      </w:tr>
      <w:tr w14:paraId="65CE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Merge w:val="restart"/>
            <w:tcBorders>
              <w:top w:val="single" w:color="auto" w:sz="4" w:space="0"/>
              <w:left w:val="single" w:color="auto" w:sz="4" w:space="0"/>
              <w:bottom w:val="single" w:color="auto" w:sz="4" w:space="0"/>
              <w:right w:val="single" w:color="auto" w:sz="4" w:space="0"/>
            </w:tcBorders>
            <w:vAlign w:val="center"/>
          </w:tcPr>
          <w:p w14:paraId="5B5E2964">
            <w:pPr>
              <w:autoSpaceDE w:val="0"/>
              <w:autoSpaceDN w:val="0"/>
              <w:adjustRightInd w:val="0"/>
              <w:spacing w:before="120" w:beforeLines="50"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B</w:t>
            </w:r>
          </w:p>
        </w:tc>
        <w:tc>
          <w:tcPr>
            <w:tcW w:w="1603" w:type="dxa"/>
            <w:tcBorders>
              <w:top w:val="single" w:color="auto" w:sz="4" w:space="0"/>
              <w:left w:val="single" w:color="auto" w:sz="4" w:space="0"/>
              <w:bottom w:val="single" w:color="auto" w:sz="4" w:space="0"/>
              <w:right w:val="single" w:color="auto" w:sz="4" w:space="0"/>
            </w:tcBorders>
            <w:vAlign w:val="center"/>
          </w:tcPr>
          <w:p w14:paraId="34FF1BBB">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&lt;2</w:t>
            </w:r>
          </w:p>
        </w:tc>
        <w:tc>
          <w:tcPr>
            <w:tcW w:w="2165" w:type="dxa"/>
            <w:gridSpan w:val="3"/>
            <w:tcBorders>
              <w:top w:val="single" w:color="auto" w:sz="4" w:space="0"/>
              <w:left w:val="single" w:color="auto" w:sz="4" w:space="0"/>
              <w:bottom w:val="single" w:color="auto" w:sz="4" w:space="0"/>
              <w:right w:val="single" w:color="auto" w:sz="4" w:space="0"/>
            </w:tcBorders>
            <w:vAlign w:val="center"/>
          </w:tcPr>
          <w:p w14:paraId="60DA8025">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0.01</w:t>
            </w:r>
          </w:p>
        </w:tc>
        <w:tc>
          <w:tcPr>
            <w:tcW w:w="2164" w:type="dxa"/>
            <w:gridSpan w:val="3"/>
            <w:tcBorders>
              <w:top w:val="single" w:color="auto" w:sz="4" w:space="0"/>
              <w:left w:val="single" w:color="auto" w:sz="4" w:space="0"/>
              <w:bottom w:val="single" w:color="auto" w:sz="4" w:space="0"/>
              <w:right w:val="single" w:color="auto" w:sz="4" w:space="0"/>
            </w:tcBorders>
            <w:vAlign w:val="center"/>
          </w:tcPr>
          <w:p w14:paraId="6E01B002">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0.015</w:t>
            </w:r>
          </w:p>
        </w:tc>
        <w:tc>
          <w:tcPr>
            <w:tcW w:w="2212" w:type="dxa"/>
            <w:gridSpan w:val="3"/>
            <w:tcBorders>
              <w:top w:val="single" w:color="auto" w:sz="4" w:space="0"/>
              <w:left w:val="single" w:color="auto" w:sz="4" w:space="0"/>
              <w:bottom w:val="single" w:color="auto" w:sz="4" w:space="0"/>
              <w:right w:val="single" w:color="auto" w:sz="4" w:space="0"/>
            </w:tcBorders>
            <w:vAlign w:val="center"/>
          </w:tcPr>
          <w:p w14:paraId="00ECEC7E">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0.015</w:t>
            </w:r>
          </w:p>
        </w:tc>
      </w:tr>
      <w:tr w14:paraId="78DD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Merge w:val="continue"/>
            <w:tcBorders>
              <w:top w:val="single" w:color="auto" w:sz="4" w:space="0"/>
              <w:left w:val="single" w:color="auto" w:sz="4" w:space="0"/>
              <w:bottom w:val="single" w:color="auto" w:sz="4" w:space="0"/>
              <w:right w:val="single" w:color="auto" w:sz="4" w:space="0"/>
            </w:tcBorders>
            <w:vAlign w:val="center"/>
          </w:tcPr>
          <w:p w14:paraId="4B4FA665">
            <w:pPr>
              <w:spacing w:line="240" w:lineRule="auto"/>
              <w:rPr>
                <w:rFonts w:hint="default" w:ascii="Times New Roman" w:hAnsi="Times New Roman" w:cs="Times New Roman"/>
                <w:color w:val="auto"/>
                <w:sz w:val="21"/>
                <w:szCs w:val="21"/>
              </w:rPr>
            </w:pPr>
          </w:p>
        </w:tc>
        <w:tc>
          <w:tcPr>
            <w:tcW w:w="1603" w:type="dxa"/>
            <w:tcBorders>
              <w:top w:val="single" w:color="auto" w:sz="4" w:space="0"/>
              <w:left w:val="single" w:color="auto" w:sz="4" w:space="0"/>
              <w:bottom w:val="single" w:color="auto" w:sz="4" w:space="0"/>
              <w:right w:val="single" w:color="auto" w:sz="4" w:space="0"/>
            </w:tcBorders>
            <w:vAlign w:val="center"/>
          </w:tcPr>
          <w:p w14:paraId="5847A6EF">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&gt;2</w:t>
            </w:r>
          </w:p>
        </w:tc>
        <w:tc>
          <w:tcPr>
            <w:tcW w:w="2165" w:type="dxa"/>
            <w:gridSpan w:val="3"/>
            <w:tcBorders>
              <w:top w:val="single" w:color="auto" w:sz="4" w:space="0"/>
              <w:left w:val="single" w:color="auto" w:sz="4" w:space="0"/>
              <w:bottom w:val="single" w:color="auto" w:sz="4" w:space="0"/>
              <w:right w:val="single" w:color="auto" w:sz="4" w:space="0"/>
            </w:tcBorders>
            <w:vAlign w:val="center"/>
          </w:tcPr>
          <w:p w14:paraId="057728D2">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0.021</w:t>
            </w:r>
          </w:p>
        </w:tc>
        <w:tc>
          <w:tcPr>
            <w:tcW w:w="2164" w:type="dxa"/>
            <w:gridSpan w:val="3"/>
            <w:tcBorders>
              <w:top w:val="single" w:color="auto" w:sz="4" w:space="0"/>
              <w:left w:val="single" w:color="auto" w:sz="4" w:space="0"/>
              <w:bottom w:val="single" w:color="auto" w:sz="4" w:space="0"/>
              <w:right w:val="single" w:color="auto" w:sz="4" w:space="0"/>
            </w:tcBorders>
            <w:vAlign w:val="center"/>
          </w:tcPr>
          <w:p w14:paraId="43DD30BC">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0.036</w:t>
            </w:r>
          </w:p>
        </w:tc>
        <w:tc>
          <w:tcPr>
            <w:tcW w:w="2212" w:type="dxa"/>
            <w:gridSpan w:val="3"/>
            <w:tcBorders>
              <w:top w:val="single" w:color="auto" w:sz="4" w:space="0"/>
              <w:left w:val="single" w:color="auto" w:sz="4" w:space="0"/>
              <w:bottom w:val="single" w:color="auto" w:sz="4" w:space="0"/>
              <w:right w:val="single" w:color="auto" w:sz="4" w:space="0"/>
            </w:tcBorders>
            <w:vAlign w:val="center"/>
          </w:tcPr>
          <w:p w14:paraId="383A6C38">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0.036</w:t>
            </w:r>
          </w:p>
        </w:tc>
      </w:tr>
      <w:tr w14:paraId="2C0D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Merge w:val="restart"/>
            <w:tcBorders>
              <w:top w:val="single" w:color="auto" w:sz="4" w:space="0"/>
              <w:left w:val="single" w:color="auto" w:sz="4" w:space="0"/>
              <w:bottom w:val="single" w:color="auto" w:sz="4" w:space="0"/>
              <w:right w:val="single" w:color="auto" w:sz="4" w:space="0"/>
            </w:tcBorders>
            <w:vAlign w:val="center"/>
          </w:tcPr>
          <w:p w14:paraId="241B519A">
            <w:pPr>
              <w:autoSpaceDE w:val="0"/>
              <w:autoSpaceDN w:val="0"/>
              <w:adjustRightInd w:val="0"/>
              <w:spacing w:before="120" w:beforeLines="50"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C</w:t>
            </w:r>
          </w:p>
        </w:tc>
        <w:tc>
          <w:tcPr>
            <w:tcW w:w="1603" w:type="dxa"/>
            <w:tcBorders>
              <w:top w:val="single" w:color="auto" w:sz="4" w:space="0"/>
              <w:left w:val="single" w:color="auto" w:sz="4" w:space="0"/>
              <w:bottom w:val="single" w:color="auto" w:sz="4" w:space="0"/>
              <w:right w:val="single" w:color="auto" w:sz="4" w:space="0"/>
            </w:tcBorders>
            <w:vAlign w:val="center"/>
          </w:tcPr>
          <w:p w14:paraId="7B79B333">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&lt;2</w:t>
            </w:r>
          </w:p>
        </w:tc>
        <w:tc>
          <w:tcPr>
            <w:tcW w:w="2165" w:type="dxa"/>
            <w:gridSpan w:val="3"/>
            <w:tcBorders>
              <w:top w:val="single" w:color="auto" w:sz="4" w:space="0"/>
              <w:left w:val="single" w:color="auto" w:sz="4" w:space="0"/>
              <w:bottom w:val="single" w:color="auto" w:sz="4" w:space="0"/>
              <w:right w:val="single" w:color="auto" w:sz="4" w:space="0"/>
            </w:tcBorders>
            <w:vAlign w:val="center"/>
          </w:tcPr>
          <w:p w14:paraId="00E8F746">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1.85</w:t>
            </w:r>
          </w:p>
        </w:tc>
        <w:tc>
          <w:tcPr>
            <w:tcW w:w="2164" w:type="dxa"/>
            <w:gridSpan w:val="3"/>
            <w:tcBorders>
              <w:top w:val="single" w:color="auto" w:sz="4" w:space="0"/>
              <w:left w:val="single" w:color="auto" w:sz="4" w:space="0"/>
              <w:bottom w:val="single" w:color="auto" w:sz="4" w:space="0"/>
              <w:right w:val="single" w:color="auto" w:sz="4" w:space="0"/>
            </w:tcBorders>
            <w:vAlign w:val="center"/>
          </w:tcPr>
          <w:p w14:paraId="0E3973C6">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1.79</w:t>
            </w:r>
          </w:p>
        </w:tc>
        <w:tc>
          <w:tcPr>
            <w:tcW w:w="2212" w:type="dxa"/>
            <w:gridSpan w:val="3"/>
            <w:tcBorders>
              <w:top w:val="single" w:color="auto" w:sz="4" w:space="0"/>
              <w:left w:val="single" w:color="auto" w:sz="4" w:space="0"/>
              <w:bottom w:val="single" w:color="auto" w:sz="4" w:space="0"/>
              <w:right w:val="single" w:color="auto" w:sz="4" w:space="0"/>
            </w:tcBorders>
            <w:vAlign w:val="center"/>
          </w:tcPr>
          <w:p w14:paraId="190D5B82">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1.79</w:t>
            </w:r>
          </w:p>
        </w:tc>
      </w:tr>
      <w:tr w14:paraId="5509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Merge w:val="continue"/>
            <w:tcBorders>
              <w:top w:val="single" w:color="auto" w:sz="4" w:space="0"/>
              <w:left w:val="single" w:color="auto" w:sz="4" w:space="0"/>
              <w:bottom w:val="single" w:color="auto" w:sz="4" w:space="0"/>
              <w:right w:val="single" w:color="auto" w:sz="4" w:space="0"/>
            </w:tcBorders>
            <w:vAlign w:val="center"/>
          </w:tcPr>
          <w:p w14:paraId="22E3AA2A">
            <w:pPr>
              <w:spacing w:line="240" w:lineRule="auto"/>
              <w:rPr>
                <w:rFonts w:hint="default" w:ascii="Times New Roman" w:hAnsi="Times New Roman" w:cs="Times New Roman"/>
                <w:color w:val="auto"/>
                <w:sz w:val="21"/>
                <w:szCs w:val="21"/>
              </w:rPr>
            </w:pPr>
          </w:p>
        </w:tc>
        <w:tc>
          <w:tcPr>
            <w:tcW w:w="1603" w:type="dxa"/>
            <w:tcBorders>
              <w:top w:val="single" w:color="auto" w:sz="4" w:space="0"/>
              <w:left w:val="single" w:color="auto" w:sz="4" w:space="0"/>
              <w:bottom w:val="single" w:color="auto" w:sz="4" w:space="0"/>
              <w:right w:val="single" w:color="auto" w:sz="4" w:space="0"/>
            </w:tcBorders>
            <w:vAlign w:val="center"/>
          </w:tcPr>
          <w:p w14:paraId="4E61F5CC">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&gt;2</w:t>
            </w:r>
          </w:p>
        </w:tc>
        <w:tc>
          <w:tcPr>
            <w:tcW w:w="2165" w:type="dxa"/>
            <w:gridSpan w:val="3"/>
            <w:tcBorders>
              <w:top w:val="single" w:color="auto" w:sz="4" w:space="0"/>
              <w:left w:val="single" w:color="auto" w:sz="4" w:space="0"/>
              <w:bottom w:val="single" w:color="auto" w:sz="4" w:space="0"/>
              <w:right w:val="single" w:color="auto" w:sz="4" w:space="0"/>
            </w:tcBorders>
            <w:vAlign w:val="center"/>
          </w:tcPr>
          <w:p w14:paraId="59432762">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1.85</w:t>
            </w:r>
          </w:p>
        </w:tc>
        <w:tc>
          <w:tcPr>
            <w:tcW w:w="2164" w:type="dxa"/>
            <w:gridSpan w:val="3"/>
            <w:tcBorders>
              <w:top w:val="single" w:color="auto" w:sz="4" w:space="0"/>
              <w:left w:val="single" w:color="auto" w:sz="4" w:space="0"/>
              <w:bottom w:val="single" w:color="auto" w:sz="4" w:space="0"/>
              <w:right w:val="single" w:color="auto" w:sz="4" w:space="0"/>
            </w:tcBorders>
            <w:vAlign w:val="center"/>
          </w:tcPr>
          <w:p w14:paraId="75D80527">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1.77</w:t>
            </w:r>
          </w:p>
        </w:tc>
        <w:tc>
          <w:tcPr>
            <w:tcW w:w="2212" w:type="dxa"/>
            <w:gridSpan w:val="3"/>
            <w:tcBorders>
              <w:top w:val="single" w:color="auto" w:sz="4" w:space="0"/>
              <w:left w:val="single" w:color="auto" w:sz="4" w:space="0"/>
              <w:bottom w:val="single" w:color="auto" w:sz="4" w:space="0"/>
              <w:right w:val="single" w:color="auto" w:sz="4" w:space="0"/>
            </w:tcBorders>
            <w:vAlign w:val="center"/>
          </w:tcPr>
          <w:p w14:paraId="13024356">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1.77</w:t>
            </w:r>
          </w:p>
        </w:tc>
      </w:tr>
      <w:tr w14:paraId="710D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Merge w:val="restart"/>
            <w:tcBorders>
              <w:top w:val="single" w:color="auto" w:sz="4" w:space="0"/>
              <w:left w:val="single" w:color="auto" w:sz="4" w:space="0"/>
              <w:bottom w:val="single" w:color="auto" w:sz="4" w:space="0"/>
              <w:right w:val="single" w:color="auto" w:sz="4" w:space="0"/>
            </w:tcBorders>
            <w:vAlign w:val="center"/>
          </w:tcPr>
          <w:p w14:paraId="402A2D89">
            <w:pPr>
              <w:autoSpaceDE w:val="0"/>
              <w:autoSpaceDN w:val="0"/>
              <w:adjustRightInd w:val="0"/>
              <w:spacing w:before="120" w:beforeLines="50"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D</w:t>
            </w:r>
          </w:p>
        </w:tc>
        <w:tc>
          <w:tcPr>
            <w:tcW w:w="1603" w:type="dxa"/>
            <w:tcBorders>
              <w:top w:val="single" w:color="auto" w:sz="4" w:space="0"/>
              <w:left w:val="single" w:color="auto" w:sz="4" w:space="0"/>
              <w:bottom w:val="single" w:color="auto" w:sz="4" w:space="0"/>
              <w:right w:val="single" w:color="auto" w:sz="4" w:space="0"/>
            </w:tcBorders>
            <w:vAlign w:val="center"/>
          </w:tcPr>
          <w:p w14:paraId="60463019">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&lt;2</w:t>
            </w:r>
          </w:p>
        </w:tc>
        <w:tc>
          <w:tcPr>
            <w:tcW w:w="2165" w:type="dxa"/>
            <w:gridSpan w:val="3"/>
            <w:tcBorders>
              <w:top w:val="single" w:color="auto" w:sz="4" w:space="0"/>
              <w:left w:val="single" w:color="auto" w:sz="4" w:space="0"/>
              <w:bottom w:val="single" w:color="auto" w:sz="4" w:space="0"/>
              <w:right w:val="single" w:color="auto" w:sz="4" w:space="0"/>
            </w:tcBorders>
            <w:vAlign w:val="center"/>
          </w:tcPr>
          <w:p w14:paraId="0945EE19">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0.78</w:t>
            </w:r>
          </w:p>
        </w:tc>
        <w:tc>
          <w:tcPr>
            <w:tcW w:w="2164" w:type="dxa"/>
            <w:gridSpan w:val="3"/>
            <w:tcBorders>
              <w:top w:val="single" w:color="auto" w:sz="4" w:space="0"/>
              <w:left w:val="single" w:color="auto" w:sz="4" w:space="0"/>
              <w:bottom w:val="single" w:color="auto" w:sz="4" w:space="0"/>
              <w:right w:val="single" w:color="auto" w:sz="4" w:space="0"/>
            </w:tcBorders>
            <w:vAlign w:val="center"/>
          </w:tcPr>
          <w:p w14:paraId="22BF7929">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0.78</w:t>
            </w:r>
          </w:p>
        </w:tc>
        <w:tc>
          <w:tcPr>
            <w:tcW w:w="2212" w:type="dxa"/>
            <w:gridSpan w:val="3"/>
            <w:tcBorders>
              <w:top w:val="single" w:color="auto" w:sz="4" w:space="0"/>
              <w:left w:val="single" w:color="auto" w:sz="4" w:space="0"/>
              <w:bottom w:val="single" w:color="auto" w:sz="4" w:space="0"/>
              <w:right w:val="single" w:color="auto" w:sz="4" w:space="0"/>
            </w:tcBorders>
            <w:vAlign w:val="center"/>
          </w:tcPr>
          <w:p w14:paraId="42A317FE">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0.57</w:t>
            </w:r>
          </w:p>
        </w:tc>
      </w:tr>
      <w:tr w14:paraId="480A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vMerge w:val="continue"/>
            <w:tcBorders>
              <w:top w:val="single" w:color="auto" w:sz="4" w:space="0"/>
              <w:left w:val="single" w:color="auto" w:sz="4" w:space="0"/>
              <w:bottom w:val="single" w:color="auto" w:sz="4" w:space="0"/>
              <w:right w:val="single" w:color="auto" w:sz="4" w:space="0"/>
            </w:tcBorders>
            <w:vAlign w:val="center"/>
          </w:tcPr>
          <w:p w14:paraId="00BE08E4">
            <w:pPr>
              <w:spacing w:line="240" w:lineRule="auto"/>
              <w:rPr>
                <w:rFonts w:hint="default" w:ascii="Times New Roman" w:hAnsi="Times New Roman" w:cs="Times New Roman"/>
                <w:color w:val="auto"/>
                <w:sz w:val="21"/>
                <w:szCs w:val="21"/>
              </w:rPr>
            </w:pPr>
          </w:p>
        </w:tc>
        <w:tc>
          <w:tcPr>
            <w:tcW w:w="1603" w:type="dxa"/>
            <w:tcBorders>
              <w:top w:val="single" w:color="auto" w:sz="4" w:space="0"/>
              <w:left w:val="single" w:color="auto" w:sz="4" w:space="0"/>
              <w:bottom w:val="single" w:color="auto" w:sz="4" w:space="0"/>
              <w:right w:val="single" w:color="auto" w:sz="4" w:space="0"/>
            </w:tcBorders>
            <w:vAlign w:val="center"/>
          </w:tcPr>
          <w:p w14:paraId="1E648996">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&gt;2</w:t>
            </w:r>
          </w:p>
        </w:tc>
        <w:tc>
          <w:tcPr>
            <w:tcW w:w="2165" w:type="dxa"/>
            <w:gridSpan w:val="3"/>
            <w:tcBorders>
              <w:top w:val="single" w:color="auto" w:sz="4" w:space="0"/>
              <w:left w:val="single" w:color="auto" w:sz="4" w:space="0"/>
              <w:bottom w:val="single" w:color="auto" w:sz="4" w:space="0"/>
              <w:right w:val="single" w:color="auto" w:sz="4" w:space="0"/>
            </w:tcBorders>
            <w:vAlign w:val="center"/>
          </w:tcPr>
          <w:p w14:paraId="7277E017">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0.84</w:t>
            </w:r>
          </w:p>
        </w:tc>
        <w:tc>
          <w:tcPr>
            <w:tcW w:w="2164" w:type="dxa"/>
            <w:gridSpan w:val="3"/>
            <w:tcBorders>
              <w:top w:val="single" w:color="auto" w:sz="4" w:space="0"/>
              <w:left w:val="single" w:color="auto" w:sz="4" w:space="0"/>
              <w:bottom w:val="single" w:color="auto" w:sz="4" w:space="0"/>
              <w:right w:val="single" w:color="auto" w:sz="4" w:space="0"/>
            </w:tcBorders>
            <w:vAlign w:val="center"/>
          </w:tcPr>
          <w:p w14:paraId="404F33E9">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0.84</w:t>
            </w:r>
          </w:p>
        </w:tc>
        <w:tc>
          <w:tcPr>
            <w:tcW w:w="2212" w:type="dxa"/>
            <w:gridSpan w:val="3"/>
            <w:tcBorders>
              <w:top w:val="single" w:color="auto" w:sz="4" w:space="0"/>
              <w:left w:val="single" w:color="auto" w:sz="4" w:space="0"/>
              <w:bottom w:val="single" w:color="auto" w:sz="4" w:space="0"/>
              <w:right w:val="single" w:color="auto" w:sz="4" w:space="0"/>
            </w:tcBorders>
            <w:vAlign w:val="center"/>
          </w:tcPr>
          <w:p w14:paraId="62271DFC">
            <w:pPr>
              <w:autoSpaceDE w:val="0"/>
              <w:autoSpaceDN w:val="0"/>
              <w:adjustRightIn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0.76</w:t>
            </w:r>
          </w:p>
        </w:tc>
      </w:tr>
      <w:tr w14:paraId="3BC0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5" w:type="dxa"/>
            <w:gridSpan w:val="11"/>
            <w:tcBorders>
              <w:top w:val="single" w:color="auto" w:sz="4" w:space="0"/>
              <w:left w:val="single" w:color="auto" w:sz="4" w:space="0"/>
              <w:bottom w:val="single" w:color="auto" w:sz="4" w:space="0"/>
              <w:right w:val="single" w:color="auto" w:sz="4" w:space="0"/>
            </w:tcBorders>
            <w:vAlign w:val="center"/>
          </w:tcPr>
          <w:p w14:paraId="7E585469">
            <w:pPr>
              <w:autoSpaceDE w:val="0"/>
              <w:autoSpaceDN w:val="0"/>
              <w:adjustRightInd w:val="0"/>
              <w:spacing w:line="240" w:lineRule="auto"/>
              <w:ind w:left="315" w:hanging="315" w:hangingChars="15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注：Ⅰ类：与无组织排放源共存的排放同种有害气体的排气筒的排放量，大于标准规定的允许排放量的三分之一者；</w:t>
            </w:r>
          </w:p>
          <w:p w14:paraId="4D8120DB">
            <w:pPr>
              <w:autoSpaceDE w:val="0"/>
              <w:autoSpaceDN w:val="0"/>
              <w:adjustRightInd w:val="0"/>
              <w:spacing w:line="240" w:lineRule="auto"/>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类：与无组织排放源共存的排放同种有害气体的排气筒的排放量，小于标准规定的允许排放量的三分之一，或者无排放同种大气污染物之排气筒共存，但无组织排放的有害物质的容许浓度已按急性反应指标确定者；</w:t>
            </w:r>
          </w:p>
          <w:p w14:paraId="1F51FB26">
            <w:pPr>
              <w:autoSpaceDE w:val="0"/>
              <w:autoSpaceDN w:val="0"/>
              <w:adjustRightInd w:val="0"/>
              <w:spacing w:line="240" w:lineRule="auto"/>
              <w:ind w:firstLine="420" w:firstLineChars="200"/>
              <w:jc w:val="left"/>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rPr>
              <w:t>Ⅲ类：无排放同种有害气体的排气筒与无组织排放源共存，且无组织排放的有害物质的容许浓度已按慢性反应指标确定者。</w:t>
            </w:r>
          </w:p>
        </w:tc>
      </w:tr>
    </w:tbl>
    <w:p w14:paraId="3E79543A">
      <w:pPr>
        <w:snapToGrid w:val="0"/>
        <w:spacing w:before="120" w:beforeLines="50"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项目卫生防护距离初值计算结果见</w:t>
      </w:r>
      <w:r>
        <w:rPr>
          <w:rFonts w:hint="default" w:ascii="Times New Roman" w:hAnsi="Times New Roman" w:cs="Times New Roman"/>
          <w:color w:val="auto"/>
          <w:sz w:val="24"/>
          <w:szCs w:val="24"/>
          <w:lang w:val="en-US" w:eastAsia="zh-CN"/>
        </w:rPr>
        <w:t>表</w:t>
      </w:r>
      <w:r>
        <w:rPr>
          <w:rFonts w:hint="default" w:ascii="Times New Roman" w:hAnsi="Times New Roman" w:cs="Times New Roman"/>
          <w:b/>
          <w:color w:val="auto"/>
          <w:sz w:val="24"/>
          <w:szCs w:val="24"/>
        </w:rPr>
        <w:t>5.2.1-</w:t>
      </w:r>
      <w:r>
        <w:rPr>
          <w:rFonts w:hint="default" w:ascii="Times New Roman" w:hAnsi="Times New Roman" w:cs="Times New Roman"/>
          <w:b/>
          <w:color w:val="auto"/>
          <w:sz w:val="24"/>
          <w:szCs w:val="24"/>
          <w:lang w:val="en-US" w:eastAsia="zh-CN"/>
        </w:rPr>
        <w:t>11</w:t>
      </w:r>
      <w:r>
        <w:rPr>
          <w:rFonts w:hint="default" w:ascii="Times New Roman" w:hAnsi="Times New Roman" w:cs="Times New Roman"/>
          <w:color w:val="auto"/>
          <w:sz w:val="24"/>
          <w:szCs w:val="24"/>
        </w:rPr>
        <w:t>。</w:t>
      </w:r>
    </w:p>
    <w:p w14:paraId="72C876DA">
      <w:pPr>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color w:val="auto"/>
          <w:sz w:val="24"/>
          <w:szCs w:val="24"/>
        </w:rPr>
        <w:t>5.2.1-</w:t>
      </w:r>
      <w:r>
        <w:rPr>
          <w:rFonts w:hint="default" w:ascii="Times New Roman" w:hAnsi="Times New Roman" w:cs="Times New Roman"/>
          <w:b/>
          <w:color w:val="auto"/>
          <w:sz w:val="24"/>
          <w:szCs w:val="24"/>
          <w:lang w:val="en-US" w:eastAsia="zh-CN"/>
        </w:rPr>
        <w:t>11</w:t>
      </w:r>
      <w:r>
        <w:rPr>
          <w:rFonts w:hint="default" w:ascii="Times New Roman" w:hAnsi="Times New Roman" w:cs="Times New Roman"/>
          <w:b/>
          <w:bCs/>
          <w:color w:val="auto"/>
          <w:sz w:val="21"/>
          <w:szCs w:val="21"/>
        </w:rPr>
        <w:t xml:space="preserve">  卫生防护距离初值计算结果</w:t>
      </w:r>
    </w:p>
    <w:tbl>
      <w:tblPr>
        <w:tblStyle w:val="23"/>
        <w:tblW w:w="87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42"/>
        <w:gridCol w:w="968"/>
        <w:gridCol w:w="1388"/>
        <w:gridCol w:w="1022"/>
        <w:gridCol w:w="1134"/>
        <w:gridCol w:w="1134"/>
        <w:gridCol w:w="1071"/>
        <w:gridCol w:w="636"/>
      </w:tblGrid>
      <w:tr w14:paraId="06AF1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0" w:hRule="atLeast"/>
          <w:jc w:val="center"/>
        </w:trPr>
        <w:tc>
          <w:tcPr>
            <w:tcW w:w="1442" w:type="dxa"/>
            <w:vMerge w:val="restart"/>
            <w:vAlign w:val="center"/>
          </w:tcPr>
          <w:p w14:paraId="347B2492">
            <w:pPr>
              <w:pStyle w:val="42"/>
              <w:kinsoku w:val="0"/>
              <w:overflowPunct w:val="0"/>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无组织位置</w:t>
            </w:r>
          </w:p>
        </w:tc>
        <w:tc>
          <w:tcPr>
            <w:tcW w:w="968" w:type="dxa"/>
            <w:vMerge w:val="restart"/>
            <w:vAlign w:val="center"/>
          </w:tcPr>
          <w:p w14:paraId="47C27104">
            <w:pPr>
              <w:pStyle w:val="42"/>
              <w:kinsoku w:val="0"/>
              <w:overflowPunct w:val="0"/>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w:t>
            </w:r>
          </w:p>
        </w:tc>
        <w:tc>
          <w:tcPr>
            <w:tcW w:w="1388" w:type="dxa"/>
            <w:vMerge w:val="restart"/>
            <w:vAlign w:val="center"/>
          </w:tcPr>
          <w:p w14:paraId="66F4C908">
            <w:pPr>
              <w:pStyle w:val="42"/>
              <w:kinsoku w:val="0"/>
              <w:overflowPunct w:val="0"/>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排放速率</w:t>
            </w:r>
          </w:p>
          <w:p w14:paraId="47FBEED1">
            <w:pPr>
              <w:pStyle w:val="42"/>
              <w:kinsoku w:val="0"/>
              <w:overflowPunct w:val="0"/>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（kg/h）</w:t>
            </w:r>
          </w:p>
        </w:tc>
        <w:tc>
          <w:tcPr>
            <w:tcW w:w="1022" w:type="dxa"/>
            <w:vMerge w:val="restart"/>
            <w:vAlign w:val="center"/>
          </w:tcPr>
          <w:p w14:paraId="6735BA7F">
            <w:pPr>
              <w:pStyle w:val="42"/>
              <w:kinsoku w:val="0"/>
              <w:overflowPunct w:val="0"/>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面源等效半径（m）</w:t>
            </w:r>
          </w:p>
        </w:tc>
        <w:tc>
          <w:tcPr>
            <w:tcW w:w="1134" w:type="dxa"/>
            <w:vMerge w:val="restart"/>
            <w:vAlign w:val="center"/>
          </w:tcPr>
          <w:p w14:paraId="6EEAD5A5">
            <w:pPr>
              <w:pStyle w:val="42"/>
              <w:kinsoku w:val="0"/>
              <w:overflowPunct w:val="0"/>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平均风速（m/s）</w:t>
            </w:r>
          </w:p>
        </w:tc>
        <w:tc>
          <w:tcPr>
            <w:tcW w:w="1134" w:type="dxa"/>
            <w:vMerge w:val="restart"/>
            <w:vAlign w:val="center"/>
          </w:tcPr>
          <w:p w14:paraId="1E8E2E88">
            <w:pPr>
              <w:pStyle w:val="42"/>
              <w:kinsoku w:val="0"/>
              <w:overflowPunct w:val="0"/>
              <w:spacing w:line="36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标准限值</w:t>
            </w:r>
            <w:r>
              <w:rPr>
                <w:rFonts w:hint="default" w:ascii="Times New Roman" w:hAnsi="Times New Roman" w:cs="Times New Roman"/>
                <w:b/>
                <w:bCs/>
                <w:color w:val="auto"/>
                <w:sz w:val="18"/>
                <w:szCs w:val="18"/>
                <w:lang w:eastAsia="zh-CN"/>
              </w:rPr>
              <w:t>m</w:t>
            </w:r>
            <w:r>
              <w:rPr>
                <w:rFonts w:hint="default" w:ascii="Times New Roman" w:hAnsi="Times New Roman" w:cs="Times New Roman"/>
                <w:b/>
                <w:bCs/>
                <w:color w:val="auto"/>
                <w:sz w:val="18"/>
                <w:szCs w:val="18"/>
              </w:rPr>
              <w:t>g/m</w:t>
            </w:r>
            <w:r>
              <w:rPr>
                <w:rFonts w:hint="default" w:ascii="Times New Roman" w:hAnsi="Times New Roman" w:cs="Times New Roman"/>
                <w:b/>
                <w:bCs/>
                <w:color w:val="auto"/>
                <w:sz w:val="18"/>
                <w:szCs w:val="18"/>
                <w:vertAlign w:val="superscript"/>
              </w:rPr>
              <w:t>3</w:t>
            </w:r>
          </w:p>
        </w:tc>
        <w:tc>
          <w:tcPr>
            <w:tcW w:w="1707" w:type="dxa"/>
            <w:gridSpan w:val="2"/>
            <w:vAlign w:val="center"/>
          </w:tcPr>
          <w:p w14:paraId="58D7C510">
            <w:pPr>
              <w:pStyle w:val="42"/>
              <w:kinsoku w:val="0"/>
              <w:overflowPunct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初值（m）</w:t>
            </w:r>
          </w:p>
        </w:tc>
      </w:tr>
      <w:tr w14:paraId="5C1A1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0" w:hRule="atLeast"/>
          <w:jc w:val="center"/>
        </w:trPr>
        <w:tc>
          <w:tcPr>
            <w:tcW w:w="1442" w:type="dxa"/>
            <w:vMerge w:val="continue"/>
            <w:vAlign w:val="center"/>
          </w:tcPr>
          <w:p w14:paraId="40BE22DA">
            <w:pPr>
              <w:pStyle w:val="42"/>
              <w:kinsoku w:val="0"/>
              <w:overflowPunct w:val="0"/>
              <w:spacing w:line="360" w:lineRule="auto"/>
              <w:jc w:val="center"/>
              <w:rPr>
                <w:rFonts w:hint="default" w:ascii="Times New Roman" w:hAnsi="Times New Roman" w:cs="Times New Roman"/>
                <w:color w:val="auto"/>
                <w:sz w:val="18"/>
                <w:szCs w:val="18"/>
              </w:rPr>
            </w:pPr>
          </w:p>
        </w:tc>
        <w:tc>
          <w:tcPr>
            <w:tcW w:w="968" w:type="dxa"/>
            <w:vMerge w:val="continue"/>
            <w:vAlign w:val="center"/>
          </w:tcPr>
          <w:p w14:paraId="17215559">
            <w:pPr>
              <w:pStyle w:val="42"/>
              <w:kinsoku w:val="0"/>
              <w:overflowPunct w:val="0"/>
              <w:spacing w:line="360" w:lineRule="auto"/>
              <w:jc w:val="center"/>
              <w:rPr>
                <w:rFonts w:hint="default" w:ascii="Times New Roman" w:hAnsi="Times New Roman" w:cs="Times New Roman"/>
                <w:color w:val="auto"/>
                <w:sz w:val="18"/>
                <w:szCs w:val="18"/>
              </w:rPr>
            </w:pPr>
          </w:p>
        </w:tc>
        <w:tc>
          <w:tcPr>
            <w:tcW w:w="1388" w:type="dxa"/>
            <w:vMerge w:val="continue"/>
            <w:vAlign w:val="center"/>
          </w:tcPr>
          <w:p w14:paraId="0E97D97A">
            <w:pPr>
              <w:pStyle w:val="42"/>
              <w:kinsoku w:val="0"/>
              <w:overflowPunct w:val="0"/>
              <w:spacing w:line="360" w:lineRule="auto"/>
              <w:jc w:val="center"/>
              <w:rPr>
                <w:rFonts w:hint="default" w:ascii="Times New Roman" w:hAnsi="Times New Roman" w:cs="Times New Roman"/>
                <w:color w:val="auto"/>
                <w:sz w:val="18"/>
                <w:szCs w:val="18"/>
              </w:rPr>
            </w:pPr>
          </w:p>
        </w:tc>
        <w:tc>
          <w:tcPr>
            <w:tcW w:w="1022" w:type="dxa"/>
            <w:vMerge w:val="continue"/>
            <w:vAlign w:val="center"/>
          </w:tcPr>
          <w:p w14:paraId="650A9B92">
            <w:pPr>
              <w:pStyle w:val="42"/>
              <w:kinsoku w:val="0"/>
              <w:overflowPunct w:val="0"/>
              <w:spacing w:line="360" w:lineRule="auto"/>
              <w:jc w:val="center"/>
              <w:rPr>
                <w:rFonts w:hint="default" w:ascii="Times New Roman" w:hAnsi="Times New Roman" w:cs="Times New Roman"/>
                <w:color w:val="auto"/>
                <w:sz w:val="18"/>
                <w:szCs w:val="18"/>
              </w:rPr>
            </w:pPr>
          </w:p>
        </w:tc>
        <w:tc>
          <w:tcPr>
            <w:tcW w:w="1134" w:type="dxa"/>
            <w:vMerge w:val="continue"/>
            <w:vAlign w:val="center"/>
          </w:tcPr>
          <w:p w14:paraId="66C72DB5">
            <w:pPr>
              <w:pStyle w:val="42"/>
              <w:kinsoku w:val="0"/>
              <w:overflowPunct w:val="0"/>
              <w:spacing w:line="360" w:lineRule="auto"/>
              <w:jc w:val="center"/>
              <w:rPr>
                <w:rFonts w:hint="default" w:ascii="Times New Roman" w:hAnsi="Times New Roman" w:cs="Times New Roman"/>
                <w:color w:val="auto"/>
                <w:sz w:val="18"/>
                <w:szCs w:val="18"/>
              </w:rPr>
            </w:pPr>
          </w:p>
        </w:tc>
        <w:tc>
          <w:tcPr>
            <w:tcW w:w="1134" w:type="dxa"/>
            <w:vMerge w:val="continue"/>
            <w:tcBorders>
              <w:bottom w:val="single" w:color="auto" w:sz="4" w:space="0"/>
            </w:tcBorders>
            <w:vAlign w:val="center"/>
          </w:tcPr>
          <w:p w14:paraId="066B5887">
            <w:pPr>
              <w:pStyle w:val="42"/>
              <w:kinsoku w:val="0"/>
              <w:overflowPunct w:val="0"/>
              <w:spacing w:line="360" w:lineRule="auto"/>
              <w:jc w:val="center"/>
              <w:rPr>
                <w:rFonts w:hint="default" w:ascii="Times New Roman" w:hAnsi="Times New Roman" w:cs="Times New Roman"/>
                <w:color w:val="auto"/>
                <w:sz w:val="18"/>
                <w:szCs w:val="18"/>
              </w:rPr>
            </w:pPr>
          </w:p>
        </w:tc>
        <w:tc>
          <w:tcPr>
            <w:tcW w:w="1071" w:type="dxa"/>
            <w:tcBorders>
              <w:bottom w:val="single" w:color="auto" w:sz="4" w:space="0"/>
            </w:tcBorders>
            <w:vAlign w:val="center"/>
          </w:tcPr>
          <w:p w14:paraId="3F303F95">
            <w:pPr>
              <w:pStyle w:val="42"/>
              <w:kinsoku w:val="0"/>
              <w:overflowPunct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计算结果</w:t>
            </w:r>
          </w:p>
        </w:tc>
        <w:tc>
          <w:tcPr>
            <w:tcW w:w="636" w:type="dxa"/>
            <w:tcBorders>
              <w:bottom w:val="single" w:color="auto" w:sz="4" w:space="0"/>
            </w:tcBorders>
            <w:vAlign w:val="center"/>
          </w:tcPr>
          <w:p w14:paraId="7183CC2F">
            <w:pPr>
              <w:pStyle w:val="42"/>
              <w:kinsoku w:val="0"/>
              <w:overflowPunct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取值</w:t>
            </w:r>
          </w:p>
        </w:tc>
      </w:tr>
      <w:tr w14:paraId="67BA7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73" w:hRule="atLeast"/>
          <w:jc w:val="center"/>
        </w:trPr>
        <w:tc>
          <w:tcPr>
            <w:tcW w:w="1442" w:type="dxa"/>
            <w:vAlign w:val="center"/>
          </w:tcPr>
          <w:p w14:paraId="0511D72D">
            <w:pPr>
              <w:pStyle w:val="42"/>
              <w:kinsoku w:val="0"/>
              <w:overflowPunct w:val="0"/>
              <w:spacing w:line="360" w:lineRule="auto"/>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猪舍、</w:t>
            </w:r>
            <w:r>
              <w:rPr>
                <w:rFonts w:hint="eastAsia" w:cs="Times New Roman"/>
                <w:color w:val="auto"/>
                <w:sz w:val="18"/>
                <w:szCs w:val="18"/>
                <w:lang w:val="en-US" w:eastAsia="zh-CN"/>
              </w:rPr>
              <w:t>废水收集池</w:t>
            </w:r>
            <w:r>
              <w:rPr>
                <w:rFonts w:hint="default" w:ascii="Times New Roman" w:hAnsi="Times New Roman" w:cs="Times New Roman"/>
                <w:color w:val="auto"/>
                <w:sz w:val="18"/>
                <w:szCs w:val="18"/>
                <w:lang w:eastAsia="zh-CN"/>
              </w:rPr>
              <w:t>、堆粪棚</w:t>
            </w:r>
          </w:p>
        </w:tc>
        <w:tc>
          <w:tcPr>
            <w:tcW w:w="968" w:type="dxa"/>
            <w:vAlign w:val="center"/>
          </w:tcPr>
          <w:p w14:paraId="0B1A880B">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H</w:t>
            </w:r>
            <w:r>
              <w:rPr>
                <w:rFonts w:hint="default" w:ascii="Times New Roman" w:hAnsi="Times New Roman" w:cs="Times New Roman"/>
                <w:bCs/>
                <w:color w:val="auto"/>
                <w:sz w:val="18"/>
                <w:szCs w:val="18"/>
                <w:vertAlign w:val="subscript"/>
              </w:rPr>
              <w:t>2</w:t>
            </w:r>
            <w:r>
              <w:rPr>
                <w:rFonts w:hint="default" w:ascii="Times New Roman" w:hAnsi="Times New Roman" w:cs="Times New Roman"/>
                <w:bCs/>
                <w:color w:val="auto"/>
                <w:sz w:val="18"/>
                <w:szCs w:val="18"/>
              </w:rPr>
              <w:t>S</w:t>
            </w:r>
          </w:p>
        </w:tc>
        <w:tc>
          <w:tcPr>
            <w:tcW w:w="1388" w:type="dxa"/>
            <w:vAlign w:val="center"/>
          </w:tcPr>
          <w:p w14:paraId="2E9C7358">
            <w:pPr>
              <w:spacing w:line="360" w:lineRule="auto"/>
              <w:jc w:val="center"/>
              <w:rPr>
                <w:rFonts w:hint="default" w:ascii="Times New Roman" w:hAnsi="Times New Roman"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0.0012755</w:t>
            </w:r>
          </w:p>
        </w:tc>
        <w:tc>
          <w:tcPr>
            <w:tcW w:w="1022" w:type="dxa"/>
            <w:vAlign w:val="center"/>
          </w:tcPr>
          <w:p w14:paraId="53DBEB3D">
            <w:pPr>
              <w:pStyle w:val="42"/>
              <w:kinsoku w:val="0"/>
              <w:overflowPunct w:val="0"/>
              <w:spacing w:line="36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highlight w:val="none"/>
                <w:lang w:val="en-US" w:eastAsia="zh-CN"/>
              </w:rPr>
              <w:t>45.49</w:t>
            </w:r>
          </w:p>
        </w:tc>
        <w:tc>
          <w:tcPr>
            <w:tcW w:w="1134" w:type="dxa"/>
            <w:vAlign w:val="center"/>
          </w:tcPr>
          <w:p w14:paraId="77D326AB">
            <w:pPr>
              <w:pStyle w:val="42"/>
              <w:kinsoku w:val="0"/>
              <w:overflowPunct w:val="0"/>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1.6</w:t>
            </w:r>
          </w:p>
        </w:tc>
        <w:tc>
          <w:tcPr>
            <w:tcW w:w="1134" w:type="dxa"/>
            <w:vAlign w:val="center"/>
          </w:tcPr>
          <w:p w14:paraId="1E0916FC">
            <w:pPr>
              <w:pStyle w:val="42"/>
              <w:kinsoku w:val="0"/>
              <w:overflowPunct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w:t>
            </w:r>
            <w:r>
              <w:rPr>
                <w:rFonts w:hint="default" w:ascii="Times New Roman" w:hAnsi="Times New Roman" w:cs="Times New Roman"/>
                <w:color w:val="auto"/>
                <w:sz w:val="18"/>
                <w:szCs w:val="18"/>
                <w:lang w:val="en-US" w:eastAsia="zh-CN"/>
              </w:rPr>
              <w:t>3</w:t>
            </w:r>
          </w:p>
        </w:tc>
        <w:tc>
          <w:tcPr>
            <w:tcW w:w="1071" w:type="dxa"/>
            <w:vAlign w:val="center"/>
          </w:tcPr>
          <w:p w14:paraId="29630FBE">
            <w:pPr>
              <w:kinsoku w:val="0"/>
              <w:overflowPunct w:val="0"/>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 xml:space="preserve"> 0.689</w:t>
            </w:r>
          </w:p>
        </w:tc>
        <w:tc>
          <w:tcPr>
            <w:tcW w:w="636" w:type="dxa"/>
            <w:vAlign w:val="center"/>
          </w:tcPr>
          <w:p w14:paraId="0ACEAF85">
            <w:pPr>
              <w:pStyle w:val="42"/>
              <w:kinsoku w:val="0"/>
              <w:overflowPunct w:val="0"/>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r>
    </w:tbl>
    <w:p w14:paraId="3CC415D3">
      <w:pPr>
        <w:snapToGrid w:val="0"/>
        <w:spacing w:before="120" w:beforeLines="5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根据《大气有害物质无组织排放卫生防护距离推导技术导则》（GB/T39499-2020）6.1.1，卫生防护距离初值小于50m时，级差为50m。本项目计算初值小于50m，卫生防护距离终值取</w:t>
      </w:r>
      <w:r>
        <w:rPr>
          <w:rFonts w:hint="default" w:ascii="Times New Roman" w:hAnsi="Times New Roman" w:cs="Times New Roman"/>
          <w:color w:val="auto"/>
          <w:sz w:val="24"/>
          <w:szCs w:val="24"/>
          <w:lang w:val="en-US" w:eastAsia="zh-CN"/>
        </w:rPr>
        <w:t>项目区（养殖猪舍、废水收集池、堆粪棚）边界外50m。</w:t>
      </w:r>
    </w:p>
    <w:p w14:paraId="5B81E9D3">
      <w:pPr>
        <w:snapToGri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根据现场踏勘，项目区卫生防护距离内无敏感点，综上，本次环评建议建设单位应该正式行文至</w:t>
      </w:r>
      <w:r>
        <w:rPr>
          <w:rFonts w:hint="default" w:ascii="Times New Roman" w:hAnsi="Times New Roman" w:cs="Times New Roman"/>
          <w:color w:val="auto"/>
          <w:sz w:val="24"/>
          <w:szCs w:val="24"/>
          <w:lang w:val="en-US" w:eastAsia="zh-CN"/>
        </w:rPr>
        <w:t>弥勒市</w:t>
      </w:r>
      <w:r>
        <w:rPr>
          <w:rFonts w:hint="default" w:ascii="Times New Roman" w:hAnsi="Times New Roman" w:cs="Times New Roman"/>
          <w:color w:val="auto"/>
          <w:sz w:val="24"/>
          <w:szCs w:val="24"/>
        </w:rPr>
        <w:t>及</w:t>
      </w:r>
      <w:r>
        <w:rPr>
          <w:rFonts w:hint="default" w:ascii="Times New Roman" w:hAnsi="Times New Roman" w:cs="Times New Roman"/>
          <w:color w:val="auto"/>
          <w:sz w:val="24"/>
          <w:szCs w:val="24"/>
          <w:lang w:val="en-US" w:eastAsia="zh-CN"/>
        </w:rPr>
        <w:t>新哨</w:t>
      </w:r>
      <w:r>
        <w:rPr>
          <w:rFonts w:hint="default" w:ascii="Times New Roman" w:hAnsi="Times New Roman" w:cs="Times New Roman"/>
          <w:color w:val="auto"/>
          <w:sz w:val="24"/>
          <w:szCs w:val="24"/>
        </w:rPr>
        <w:t>镇规划部门，在项目区卫生防护距离范围内不得建设居民点、学校、医院等敏感目标。项目厂区卫生防护距离包络线见下图</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p>
    <w:p w14:paraId="58291DBF">
      <w:pPr>
        <w:rPr>
          <w:rFonts w:hint="default" w:ascii="Times New Roman" w:hAnsi="Times New Roman" w:eastAsia="宋体" w:cs="Times New Roman"/>
          <w:color w:val="auto"/>
          <w:szCs w:val="20"/>
          <w:lang w:eastAsia="zh-CN"/>
        </w:rPr>
      </w:pPr>
      <w:r>
        <w:rPr>
          <w:rFonts w:hint="default" w:ascii="Times New Roman" w:hAnsi="Times New Roman" w:eastAsia="宋体" w:cs="Times New Roman"/>
          <w:color w:val="auto"/>
          <w:szCs w:val="20"/>
          <w:lang w:eastAsia="zh-CN"/>
        </w:rPr>
        <w:drawing>
          <wp:inline distT="0" distB="0" distL="114300" distR="114300">
            <wp:extent cx="5544820" cy="4925060"/>
            <wp:effectExtent l="0" t="0" r="17780" b="8890"/>
            <wp:docPr id="11" name="图片 11" descr="17480660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48066006245"/>
                    <pic:cNvPicPr>
                      <a:picLocks noChangeAspect="1"/>
                    </pic:cNvPicPr>
                  </pic:nvPicPr>
                  <pic:blipFill>
                    <a:blip r:embed="rId56"/>
                    <a:stretch>
                      <a:fillRect/>
                    </a:stretch>
                  </pic:blipFill>
                  <pic:spPr>
                    <a:xfrm>
                      <a:off x="0" y="0"/>
                      <a:ext cx="5544820" cy="4925060"/>
                    </a:xfrm>
                    <a:prstGeom prst="rect">
                      <a:avLst/>
                    </a:prstGeom>
                  </pic:spPr>
                </pic:pic>
              </a:graphicData>
            </a:graphic>
          </wp:inline>
        </w:drawing>
      </w:r>
    </w:p>
    <w:p w14:paraId="4BC3F3F1">
      <w:pPr>
        <w:snapToGrid w:val="0"/>
        <w:jc w:val="center"/>
        <w:rPr>
          <w:rFonts w:hint="default" w:ascii="Times New Roman" w:hAnsi="Times New Roman" w:cs="Times New Roman"/>
          <w:color w:val="auto"/>
          <w:szCs w:val="20"/>
          <w:highlight w:val="none"/>
        </w:rPr>
      </w:pPr>
      <w:r>
        <w:rPr>
          <w:rFonts w:hint="default" w:ascii="Times New Roman" w:hAnsi="Times New Roman" w:cs="Times New Roman"/>
          <w:b/>
          <w:bCs/>
          <w:color w:val="auto"/>
          <w:sz w:val="21"/>
          <w:szCs w:val="21"/>
          <w:highlight w:val="none"/>
        </w:rPr>
        <w:t>图</w:t>
      </w:r>
      <w:r>
        <w:rPr>
          <w:rFonts w:hint="default"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.2-</w:t>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 xml:space="preserve">  卫生防护距离包络线图</w:t>
      </w:r>
    </w:p>
    <w:p w14:paraId="0D213658">
      <w:pPr>
        <w:pStyle w:val="4"/>
        <w:spacing w:before="120" w:beforeLines="50"/>
        <w:rPr>
          <w:rFonts w:hint="default" w:ascii="Times New Roman" w:hAnsi="Times New Roman" w:cs="Times New Roman"/>
          <w:color w:val="auto"/>
          <w:szCs w:val="22"/>
        </w:rPr>
        <w:sectPr>
          <w:headerReference r:id="rId18" w:type="default"/>
          <w:footerReference r:id="rId19" w:type="default"/>
          <w:pgSz w:w="11907" w:h="16840"/>
          <w:pgMar w:top="1531" w:right="1797" w:bottom="1440"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068EB3B">
      <w:pPr>
        <w:snapToGrid w:val="0"/>
        <w:spacing w:before="156" w:beforeLines="50"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5.2.1.</w:t>
      </w:r>
      <w:r>
        <w:rPr>
          <w:rFonts w:hint="default" w:ascii="Times New Roman" w:hAnsi="Times New Roman" w:cs="Times New Roman"/>
          <w:b/>
          <w:bCs/>
          <w:color w:val="auto"/>
          <w:sz w:val="24"/>
          <w:highlight w:val="none"/>
          <w:lang w:val="en-US" w:eastAsia="zh-CN"/>
        </w:rPr>
        <w:t>5</w:t>
      </w:r>
      <w:r>
        <w:rPr>
          <w:rFonts w:hint="default" w:ascii="Times New Roman" w:hAnsi="Times New Roman" w:cs="Times New Roman"/>
          <w:b/>
          <w:bCs/>
          <w:color w:val="auto"/>
          <w:sz w:val="24"/>
          <w:highlight w:val="none"/>
        </w:rPr>
        <w:t>食堂油烟影响分析</w:t>
      </w:r>
    </w:p>
    <w:p w14:paraId="47E1C1FE">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根据工程分析可知，员工食堂产生的油烟经抽油烟机抽吸后，油烟排放量为0.00</w:t>
      </w:r>
      <w:r>
        <w:rPr>
          <w:rFonts w:hint="default" w:ascii="Times New Roman" w:hAnsi="Times New Roman" w:cs="Times New Roman"/>
          <w:color w:val="auto"/>
          <w:sz w:val="24"/>
          <w:highlight w:val="none"/>
          <w:lang w:val="en-US" w:eastAsia="zh-CN"/>
        </w:rPr>
        <w:t>26</w:t>
      </w:r>
      <w:r>
        <w:rPr>
          <w:rFonts w:hint="default" w:ascii="Times New Roman" w:hAnsi="Times New Roman" w:cs="Times New Roman"/>
          <w:color w:val="auto"/>
          <w:sz w:val="24"/>
          <w:highlight w:val="none"/>
        </w:rPr>
        <w:t>t/a，排放速率0.001</w:t>
      </w:r>
      <w:r>
        <w:rPr>
          <w:rFonts w:hint="default" w:ascii="Times New Roman" w:hAnsi="Times New Roman" w:cs="Times New Roman"/>
          <w:color w:val="auto"/>
          <w:sz w:val="24"/>
          <w:highlight w:val="none"/>
          <w:lang w:val="en-US" w:eastAsia="zh-CN"/>
        </w:rPr>
        <w:t>18</w:t>
      </w:r>
      <w:r>
        <w:rPr>
          <w:rFonts w:hint="default" w:ascii="Times New Roman" w:hAnsi="Times New Roman" w:cs="Times New Roman"/>
          <w:color w:val="auto"/>
          <w:sz w:val="24"/>
          <w:highlight w:val="none"/>
        </w:rPr>
        <w:t>kg/h，排放浓度为0.</w:t>
      </w:r>
      <w:r>
        <w:rPr>
          <w:rFonts w:hint="default" w:ascii="Times New Roman" w:hAnsi="Times New Roman" w:cs="Times New Roman"/>
          <w:color w:val="auto"/>
          <w:sz w:val="24"/>
          <w:highlight w:val="none"/>
          <w:lang w:val="en-US" w:eastAsia="zh-CN"/>
        </w:rPr>
        <w:t>59</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，能够达到《饮食业油烟排放标准（试行）》（GB18483-2001）中“小型”规模标准允许排放的浓度，即油烟排放浓度≤2mg/m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。油烟通过高于食堂楼顶1.5m的排气筒进入大气环境，并经大气稀释扩散后，对周围环境影响小。</w:t>
      </w:r>
    </w:p>
    <w:p w14:paraId="394CC9C1">
      <w:pPr>
        <w:snapToGrid w:val="0"/>
        <w:spacing w:before="156" w:beforeLines="50"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5.2.1.</w:t>
      </w:r>
      <w:r>
        <w:rPr>
          <w:rFonts w:hint="default" w:ascii="Times New Roman" w:hAnsi="Times New Roman" w:cs="Times New Roman"/>
          <w:b/>
          <w:bCs/>
          <w:color w:val="auto"/>
          <w:sz w:val="24"/>
          <w:highlight w:val="none"/>
          <w:lang w:val="en-US" w:eastAsia="zh-CN"/>
        </w:rPr>
        <w:t>6</w:t>
      </w:r>
      <w:r>
        <w:rPr>
          <w:rFonts w:hint="default" w:ascii="Times New Roman" w:hAnsi="Times New Roman" w:cs="Times New Roman"/>
          <w:b/>
          <w:bCs/>
          <w:color w:val="auto"/>
          <w:sz w:val="24"/>
          <w:highlight w:val="none"/>
          <w:lang w:eastAsia="zh-CN"/>
        </w:rPr>
        <w:t>备用发电机</w:t>
      </w:r>
      <w:r>
        <w:rPr>
          <w:rFonts w:hint="default" w:ascii="Times New Roman" w:hAnsi="Times New Roman" w:cs="Times New Roman"/>
          <w:b/>
          <w:bCs/>
          <w:color w:val="auto"/>
          <w:sz w:val="24"/>
          <w:highlight w:val="none"/>
        </w:rPr>
        <w:t>影响分析</w:t>
      </w:r>
    </w:p>
    <w:p w14:paraId="7D46310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lang w:val="en-US" w:eastAsia="zh-CN"/>
        </w:rPr>
        <w:t>项目配备发电机1台，作为备用电源，采用柴油作为燃料，工作时产生废气主要为CO和NOx，由于备用发电机仅在停电时使用，使用时间不长，使用频率不高，发电时产生的废气量较小，经排气扇外排入周边大气环境后经过大气扩散稀释及周边绿化植被吸收后，备用发电机废气对项目周边环境的影响较小。</w:t>
      </w:r>
    </w:p>
    <w:p w14:paraId="051F9932">
      <w:pPr>
        <w:snapToGrid w:val="0"/>
        <w:spacing w:before="156" w:beforeLines="50"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5.2.1.</w:t>
      </w:r>
      <w:r>
        <w:rPr>
          <w:rFonts w:hint="default" w:ascii="Times New Roman" w:hAnsi="Times New Roman" w:cs="Times New Roman"/>
          <w:b/>
          <w:bCs/>
          <w:color w:val="auto"/>
          <w:sz w:val="24"/>
          <w:highlight w:val="none"/>
          <w:lang w:val="en-US" w:eastAsia="zh-CN"/>
        </w:rPr>
        <w:t>7</w:t>
      </w:r>
      <w:r>
        <w:rPr>
          <w:rFonts w:hint="default" w:ascii="Times New Roman" w:hAnsi="Times New Roman" w:cs="Times New Roman"/>
          <w:b/>
          <w:bCs/>
          <w:color w:val="auto"/>
          <w:sz w:val="24"/>
          <w:highlight w:val="none"/>
        </w:rPr>
        <w:t>大气污染物排放量核算</w:t>
      </w:r>
    </w:p>
    <w:p w14:paraId="33A76FD2">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本项目大气污染物排放量</w:t>
      </w:r>
      <w:r>
        <w:rPr>
          <w:rFonts w:hint="default" w:ascii="Times New Roman" w:hAnsi="Times New Roman" w:cs="Times New Roman"/>
          <w:color w:val="auto"/>
          <w:sz w:val="24"/>
          <w:highlight w:val="none"/>
          <w:lang w:eastAsia="zh-CN"/>
        </w:rPr>
        <w:t>核算</w:t>
      </w:r>
      <w:r>
        <w:rPr>
          <w:rFonts w:hint="default" w:ascii="Times New Roman" w:hAnsi="Times New Roman" w:cs="Times New Roman"/>
          <w:color w:val="auto"/>
          <w:sz w:val="24"/>
          <w:highlight w:val="none"/>
        </w:rPr>
        <w:t>见下表。</w:t>
      </w:r>
    </w:p>
    <w:p w14:paraId="71CC94DA">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表5.2.1-</w:t>
      </w:r>
      <w:r>
        <w:rPr>
          <w:rFonts w:hint="default" w:ascii="Times New Roman" w:hAnsi="Times New Roman" w:cs="Times New Roman"/>
          <w:b/>
          <w:color w:val="auto"/>
          <w:szCs w:val="21"/>
          <w:highlight w:val="none"/>
          <w:lang w:val="en-US" w:eastAsia="zh-CN"/>
        </w:rPr>
        <w:t>12</w:t>
      </w:r>
      <w:r>
        <w:rPr>
          <w:rFonts w:hint="default" w:ascii="Times New Roman" w:hAnsi="Times New Roman" w:cs="Times New Roman"/>
          <w:b/>
          <w:color w:val="auto"/>
          <w:szCs w:val="21"/>
          <w:highlight w:val="none"/>
        </w:rPr>
        <w:t xml:space="preserve">  大气污染物无组织排放量核算表</w:t>
      </w:r>
    </w:p>
    <w:tbl>
      <w:tblPr>
        <w:tblStyle w:val="23"/>
        <w:tblW w:w="8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424"/>
        <w:gridCol w:w="426"/>
        <w:gridCol w:w="809"/>
        <w:gridCol w:w="900"/>
        <w:gridCol w:w="2124"/>
        <w:gridCol w:w="1432"/>
        <w:gridCol w:w="1200"/>
        <w:gridCol w:w="1207"/>
      </w:tblGrid>
      <w:tr w14:paraId="6F8F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23" w:type="dxa"/>
            <w:vMerge w:val="restart"/>
            <w:vAlign w:val="center"/>
          </w:tcPr>
          <w:p w14:paraId="74D13932">
            <w:pPr>
              <w:spacing w:before="31" w:after="31" w:line="240" w:lineRule="auto"/>
              <w:jc w:val="center"/>
              <w:rPr>
                <w:rFonts w:hint="default" w:ascii="Times New Roman" w:hAnsi="Times New Roman" w:cs="Times New Roman"/>
                <w:b/>
                <w:bCs/>
                <w:color w:val="auto"/>
                <w:kern w:val="44"/>
                <w:sz w:val="18"/>
                <w:szCs w:val="18"/>
              </w:rPr>
            </w:pPr>
            <w:r>
              <w:rPr>
                <w:rFonts w:hint="default" w:ascii="Times New Roman" w:hAnsi="Times New Roman" w:cs="Times New Roman"/>
                <w:b/>
                <w:bCs/>
                <w:color w:val="auto"/>
                <w:kern w:val="44"/>
                <w:sz w:val="18"/>
                <w:szCs w:val="18"/>
              </w:rPr>
              <w:t>序号</w:t>
            </w:r>
          </w:p>
        </w:tc>
        <w:tc>
          <w:tcPr>
            <w:tcW w:w="424" w:type="dxa"/>
            <w:vMerge w:val="restart"/>
            <w:vAlign w:val="center"/>
          </w:tcPr>
          <w:p w14:paraId="0B9C5A4F">
            <w:pPr>
              <w:spacing w:before="31" w:after="31" w:line="240" w:lineRule="auto"/>
              <w:jc w:val="center"/>
              <w:rPr>
                <w:rFonts w:hint="default" w:ascii="Times New Roman" w:hAnsi="Times New Roman" w:cs="Times New Roman"/>
                <w:b/>
                <w:bCs/>
                <w:color w:val="auto"/>
                <w:kern w:val="44"/>
                <w:sz w:val="18"/>
                <w:szCs w:val="18"/>
              </w:rPr>
            </w:pPr>
            <w:r>
              <w:rPr>
                <w:rFonts w:hint="default" w:ascii="Times New Roman" w:hAnsi="Times New Roman" w:cs="Times New Roman"/>
                <w:b/>
                <w:bCs/>
                <w:color w:val="auto"/>
                <w:kern w:val="44"/>
                <w:sz w:val="18"/>
                <w:szCs w:val="18"/>
              </w:rPr>
              <w:t>排放口编号</w:t>
            </w:r>
          </w:p>
        </w:tc>
        <w:tc>
          <w:tcPr>
            <w:tcW w:w="426" w:type="dxa"/>
            <w:vMerge w:val="restart"/>
            <w:vAlign w:val="center"/>
          </w:tcPr>
          <w:p w14:paraId="15037AED">
            <w:pPr>
              <w:spacing w:before="31" w:after="31" w:line="240" w:lineRule="auto"/>
              <w:jc w:val="center"/>
              <w:rPr>
                <w:rFonts w:hint="default" w:ascii="Times New Roman" w:hAnsi="Times New Roman" w:cs="Times New Roman"/>
                <w:b/>
                <w:bCs/>
                <w:color w:val="auto"/>
                <w:kern w:val="44"/>
                <w:sz w:val="18"/>
                <w:szCs w:val="18"/>
              </w:rPr>
            </w:pPr>
            <w:r>
              <w:rPr>
                <w:rFonts w:hint="default" w:ascii="Times New Roman" w:hAnsi="Times New Roman" w:cs="Times New Roman"/>
                <w:b/>
                <w:bCs/>
                <w:color w:val="auto"/>
                <w:kern w:val="44"/>
                <w:sz w:val="18"/>
                <w:szCs w:val="18"/>
              </w:rPr>
              <w:t>排放口类型</w:t>
            </w:r>
          </w:p>
        </w:tc>
        <w:tc>
          <w:tcPr>
            <w:tcW w:w="809" w:type="dxa"/>
            <w:vMerge w:val="restart"/>
            <w:vAlign w:val="center"/>
          </w:tcPr>
          <w:p w14:paraId="1CEE006C">
            <w:pPr>
              <w:spacing w:before="31" w:after="31" w:line="240" w:lineRule="auto"/>
              <w:jc w:val="center"/>
              <w:rPr>
                <w:rFonts w:hint="default" w:ascii="Times New Roman" w:hAnsi="Times New Roman" w:cs="Times New Roman"/>
                <w:b/>
                <w:bCs/>
                <w:color w:val="auto"/>
                <w:kern w:val="44"/>
                <w:sz w:val="18"/>
                <w:szCs w:val="18"/>
              </w:rPr>
            </w:pPr>
            <w:r>
              <w:rPr>
                <w:rFonts w:hint="default" w:ascii="Times New Roman" w:hAnsi="Times New Roman" w:cs="Times New Roman"/>
                <w:b/>
                <w:bCs/>
                <w:color w:val="auto"/>
                <w:kern w:val="44"/>
                <w:sz w:val="18"/>
                <w:szCs w:val="18"/>
              </w:rPr>
              <w:t>产污</w:t>
            </w:r>
          </w:p>
          <w:p w14:paraId="664C5284">
            <w:pPr>
              <w:spacing w:before="31" w:after="31" w:line="240" w:lineRule="auto"/>
              <w:jc w:val="center"/>
              <w:rPr>
                <w:rFonts w:hint="default" w:ascii="Times New Roman" w:hAnsi="Times New Roman" w:cs="Times New Roman"/>
                <w:b/>
                <w:bCs/>
                <w:color w:val="auto"/>
                <w:kern w:val="44"/>
                <w:sz w:val="18"/>
                <w:szCs w:val="18"/>
              </w:rPr>
            </w:pPr>
            <w:r>
              <w:rPr>
                <w:rFonts w:hint="default" w:ascii="Times New Roman" w:hAnsi="Times New Roman" w:cs="Times New Roman"/>
                <w:b/>
                <w:bCs/>
                <w:color w:val="auto"/>
                <w:kern w:val="44"/>
                <w:sz w:val="18"/>
                <w:szCs w:val="18"/>
              </w:rPr>
              <w:t>环节</w:t>
            </w:r>
          </w:p>
        </w:tc>
        <w:tc>
          <w:tcPr>
            <w:tcW w:w="900" w:type="dxa"/>
            <w:vMerge w:val="restart"/>
            <w:vAlign w:val="center"/>
          </w:tcPr>
          <w:p w14:paraId="2F81CFBC">
            <w:pPr>
              <w:spacing w:before="31" w:after="31" w:line="240" w:lineRule="auto"/>
              <w:jc w:val="center"/>
              <w:rPr>
                <w:rFonts w:hint="default" w:ascii="Times New Roman" w:hAnsi="Times New Roman" w:cs="Times New Roman"/>
                <w:b/>
                <w:bCs/>
                <w:color w:val="auto"/>
                <w:kern w:val="44"/>
                <w:sz w:val="18"/>
                <w:szCs w:val="18"/>
              </w:rPr>
            </w:pPr>
            <w:r>
              <w:rPr>
                <w:rFonts w:hint="default" w:ascii="Times New Roman" w:hAnsi="Times New Roman" w:cs="Times New Roman"/>
                <w:b/>
                <w:bCs/>
                <w:color w:val="auto"/>
                <w:kern w:val="44"/>
                <w:sz w:val="18"/>
                <w:szCs w:val="18"/>
              </w:rPr>
              <w:t>污染物</w:t>
            </w:r>
          </w:p>
        </w:tc>
        <w:tc>
          <w:tcPr>
            <w:tcW w:w="2124" w:type="dxa"/>
            <w:vMerge w:val="restart"/>
            <w:vAlign w:val="center"/>
          </w:tcPr>
          <w:p w14:paraId="7E24F115">
            <w:pPr>
              <w:spacing w:before="31" w:after="31" w:line="240" w:lineRule="auto"/>
              <w:jc w:val="center"/>
              <w:rPr>
                <w:rFonts w:hint="default" w:ascii="Times New Roman" w:hAnsi="Times New Roman" w:cs="Times New Roman"/>
                <w:b/>
                <w:bCs/>
                <w:color w:val="auto"/>
                <w:kern w:val="44"/>
                <w:sz w:val="18"/>
                <w:szCs w:val="18"/>
              </w:rPr>
            </w:pPr>
            <w:r>
              <w:rPr>
                <w:rFonts w:hint="default" w:ascii="Times New Roman" w:hAnsi="Times New Roman" w:cs="Times New Roman"/>
                <w:b/>
                <w:bCs/>
                <w:color w:val="auto"/>
                <w:kern w:val="44"/>
                <w:sz w:val="18"/>
                <w:szCs w:val="18"/>
              </w:rPr>
              <w:t>主要污染防治措施</w:t>
            </w:r>
          </w:p>
        </w:tc>
        <w:tc>
          <w:tcPr>
            <w:tcW w:w="2632" w:type="dxa"/>
            <w:gridSpan w:val="2"/>
            <w:vAlign w:val="center"/>
          </w:tcPr>
          <w:p w14:paraId="512187BE">
            <w:pPr>
              <w:spacing w:before="31" w:after="31" w:line="240" w:lineRule="auto"/>
              <w:jc w:val="center"/>
              <w:rPr>
                <w:rFonts w:hint="default" w:ascii="Times New Roman" w:hAnsi="Times New Roman" w:cs="Times New Roman"/>
                <w:b/>
                <w:bCs/>
                <w:color w:val="auto"/>
                <w:kern w:val="44"/>
                <w:sz w:val="18"/>
                <w:szCs w:val="18"/>
              </w:rPr>
            </w:pPr>
            <w:r>
              <w:rPr>
                <w:rFonts w:hint="default" w:ascii="Times New Roman" w:hAnsi="Times New Roman" w:cs="Times New Roman"/>
                <w:b/>
                <w:bCs/>
                <w:color w:val="auto"/>
                <w:kern w:val="44"/>
                <w:sz w:val="18"/>
                <w:szCs w:val="18"/>
              </w:rPr>
              <w:t>国家或地方污染物排放标准</w:t>
            </w:r>
          </w:p>
        </w:tc>
        <w:tc>
          <w:tcPr>
            <w:tcW w:w="1207" w:type="dxa"/>
            <w:vMerge w:val="restart"/>
            <w:vAlign w:val="center"/>
          </w:tcPr>
          <w:p w14:paraId="17DDB0E0">
            <w:pPr>
              <w:spacing w:before="31" w:after="31" w:line="240" w:lineRule="auto"/>
              <w:jc w:val="center"/>
              <w:rPr>
                <w:rFonts w:hint="default" w:ascii="Times New Roman" w:hAnsi="Times New Roman" w:cs="Times New Roman"/>
                <w:b/>
                <w:bCs/>
                <w:color w:val="auto"/>
                <w:kern w:val="44"/>
                <w:sz w:val="18"/>
                <w:szCs w:val="18"/>
              </w:rPr>
            </w:pPr>
            <w:r>
              <w:rPr>
                <w:rFonts w:hint="default" w:ascii="Times New Roman" w:hAnsi="Times New Roman" w:cs="Times New Roman"/>
                <w:b/>
                <w:bCs/>
                <w:color w:val="auto"/>
                <w:kern w:val="44"/>
                <w:sz w:val="18"/>
                <w:szCs w:val="18"/>
              </w:rPr>
              <w:t>核算年排放量</w:t>
            </w:r>
          </w:p>
          <w:p w14:paraId="78B20EB7">
            <w:pPr>
              <w:spacing w:before="31" w:after="31" w:line="240" w:lineRule="auto"/>
              <w:jc w:val="center"/>
              <w:rPr>
                <w:rFonts w:hint="default" w:ascii="Times New Roman" w:hAnsi="Times New Roman" w:cs="Times New Roman"/>
                <w:b/>
                <w:bCs/>
                <w:color w:val="auto"/>
                <w:kern w:val="44"/>
                <w:sz w:val="18"/>
                <w:szCs w:val="18"/>
              </w:rPr>
            </w:pPr>
            <w:r>
              <w:rPr>
                <w:rFonts w:hint="default" w:ascii="Times New Roman" w:hAnsi="Times New Roman" w:cs="Times New Roman"/>
                <w:b/>
                <w:bCs/>
                <w:color w:val="auto"/>
                <w:kern w:val="44"/>
                <w:sz w:val="18"/>
                <w:szCs w:val="18"/>
              </w:rPr>
              <w:t>（t/a）</w:t>
            </w:r>
          </w:p>
        </w:tc>
      </w:tr>
      <w:tr w14:paraId="7A6E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23" w:type="dxa"/>
            <w:vMerge w:val="continue"/>
            <w:vAlign w:val="center"/>
          </w:tcPr>
          <w:p w14:paraId="5BE1FA71">
            <w:pPr>
              <w:spacing w:before="31" w:after="31" w:line="240" w:lineRule="auto"/>
              <w:jc w:val="center"/>
              <w:rPr>
                <w:rFonts w:hint="default" w:ascii="Times New Roman" w:hAnsi="Times New Roman" w:cs="Times New Roman"/>
                <w:color w:val="auto"/>
                <w:kern w:val="44"/>
                <w:sz w:val="18"/>
                <w:szCs w:val="18"/>
              </w:rPr>
            </w:pPr>
          </w:p>
        </w:tc>
        <w:tc>
          <w:tcPr>
            <w:tcW w:w="424" w:type="dxa"/>
            <w:vMerge w:val="continue"/>
            <w:vAlign w:val="center"/>
          </w:tcPr>
          <w:p w14:paraId="6D1C3AA2">
            <w:pPr>
              <w:spacing w:before="31" w:after="31" w:line="240" w:lineRule="auto"/>
              <w:jc w:val="center"/>
              <w:rPr>
                <w:rFonts w:hint="default" w:ascii="Times New Roman" w:hAnsi="Times New Roman" w:cs="Times New Roman"/>
                <w:color w:val="auto"/>
                <w:kern w:val="44"/>
                <w:sz w:val="18"/>
                <w:szCs w:val="18"/>
              </w:rPr>
            </w:pPr>
          </w:p>
        </w:tc>
        <w:tc>
          <w:tcPr>
            <w:tcW w:w="426" w:type="dxa"/>
            <w:vMerge w:val="continue"/>
            <w:vAlign w:val="center"/>
          </w:tcPr>
          <w:p w14:paraId="0E3E8D14">
            <w:pPr>
              <w:spacing w:before="31" w:after="31" w:line="240" w:lineRule="auto"/>
              <w:jc w:val="center"/>
              <w:rPr>
                <w:rFonts w:hint="default" w:ascii="Times New Roman" w:hAnsi="Times New Roman" w:cs="Times New Roman"/>
                <w:color w:val="auto"/>
                <w:kern w:val="44"/>
                <w:sz w:val="18"/>
                <w:szCs w:val="18"/>
              </w:rPr>
            </w:pPr>
          </w:p>
        </w:tc>
        <w:tc>
          <w:tcPr>
            <w:tcW w:w="809" w:type="dxa"/>
            <w:vMerge w:val="continue"/>
            <w:vAlign w:val="center"/>
          </w:tcPr>
          <w:p w14:paraId="43E90E0F">
            <w:pPr>
              <w:spacing w:before="31" w:after="31" w:line="240" w:lineRule="auto"/>
              <w:jc w:val="center"/>
              <w:rPr>
                <w:rFonts w:hint="default" w:ascii="Times New Roman" w:hAnsi="Times New Roman" w:cs="Times New Roman"/>
                <w:color w:val="auto"/>
                <w:kern w:val="44"/>
                <w:sz w:val="18"/>
                <w:szCs w:val="18"/>
              </w:rPr>
            </w:pPr>
          </w:p>
        </w:tc>
        <w:tc>
          <w:tcPr>
            <w:tcW w:w="900" w:type="dxa"/>
            <w:vMerge w:val="continue"/>
            <w:vAlign w:val="center"/>
          </w:tcPr>
          <w:p w14:paraId="1B5D93A5">
            <w:pPr>
              <w:spacing w:before="31" w:after="31" w:line="240" w:lineRule="auto"/>
              <w:jc w:val="center"/>
              <w:rPr>
                <w:rFonts w:hint="default" w:ascii="Times New Roman" w:hAnsi="Times New Roman" w:cs="Times New Roman"/>
                <w:color w:val="auto"/>
                <w:kern w:val="44"/>
                <w:sz w:val="18"/>
                <w:szCs w:val="18"/>
              </w:rPr>
            </w:pPr>
          </w:p>
        </w:tc>
        <w:tc>
          <w:tcPr>
            <w:tcW w:w="2124" w:type="dxa"/>
            <w:vMerge w:val="continue"/>
            <w:vAlign w:val="center"/>
          </w:tcPr>
          <w:p w14:paraId="4D4E3B63">
            <w:pPr>
              <w:spacing w:before="31" w:after="31" w:line="240" w:lineRule="auto"/>
              <w:jc w:val="center"/>
              <w:rPr>
                <w:rFonts w:hint="default" w:ascii="Times New Roman" w:hAnsi="Times New Roman" w:cs="Times New Roman"/>
                <w:color w:val="auto"/>
                <w:kern w:val="44"/>
                <w:sz w:val="18"/>
                <w:szCs w:val="18"/>
              </w:rPr>
            </w:pPr>
          </w:p>
        </w:tc>
        <w:tc>
          <w:tcPr>
            <w:tcW w:w="1432" w:type="dxa"/>
            <w:vAlign w:val="center"/>
          </w:tcPr>
          <w:p w14:paraId="7B5E2AE6">
            <w:pPr>
              <w:spacing w:before="31" w:after="31" w:line="240" w:lineRule="auto"/>
              <w:jc w:val="center"/>
              <w:rPr>
                <w:rFonts w:hint="default" w:ascii="Times New Roman" w:hAnsi="Times New Roman" w:cs="Times New Roman"/>
                <w:b/>
                <w:bCs/>
                <w:color w:val="auto"/>
                <w:kern w:val="44"/>
                <w:sz w:val="18"/>
                <w:szCs w:val="18"/>
              </w:rPr>
            </w:pPr>
            <w:r>
              <w:rPr>
                <w:rFonts w:hint="default" w:ascii="Times New Roman" w:hAnsi="Times New Roman" w:cs="Times New Roman"/>
                <w:b/>
                <w:bCs/>
                <w:color w:val="auto"/>
                <w:kern w:val="44"/>
                <w:sz w:val="18"/>
                <w:szCs w:val="18"/>
              </w:rPr>
              <w:t>标准名称</w:t>
            </w:r>
          </w:p>
        </w:tc>
        <w:tc>
          <w:tcPr>
            <w:tcW w:w="1200" w:type="dxa"/>
            <w:vAlign w:val="center"/>
          </w:tcPr>
          <w:p w14:paraId="6CDAA4CE">
            <w:pPr>
              <w:spacing w:before="31" w:after="31" w:line="240" w:lineRule="auto"/>
              <w:jc w:val="center"/>
              <w:rPr>
                <w:rFonts w:hint="default" w:ascii="Times New Roman" w:hAnsi="Times New Roman" w:cs="Times New Roman"/>
                <w:b/>
                <w:bCs/>
                <w:color w:val="auto"/>
                <w:kern w:val="44"/>
                <w:sz w:val="18"/>
                <w:szCs w:val="18"/>
              </w:rPr>
            </w:pPr>
            <w:r>
              <w:rPr>
                <w:rFonts w:hint="default" w:ascii="Times New Roman" w:hAnsi="Times New Roman" w:cs="Times New Roman"/>
                <w:b/>
                <w:bCs/>
                <w:color w:val="auto"/>
                <w:kern w:val="44"/>
                <w:sz w:val="18"/>
                <w:szCs w:val="18"/>
              </w:rPr>
              <w:t>厂界浓度限值（mg/m</w:t>
            </w:r>
            <w:r>
              <w:rPr>
                <w:rFonts w:hint="default" w:ascii="Times New Roman" w:hAnsi="Times New Roman" w:cs="Times New Roman"/>
                <w:b/>
                <w:bCs/>
                <w:color w:val="auto"/>
                <w:kern w:val="44"/>
                <w:sz w:val="18"/>
                <w:szCs w:val="18"/>
                <w:vertAlign w:val="superscript"/>
              </w:rPr>
              <w:t>3</w:t>
            </w:r>
            <w:r>
              <w:rPr>
                <w:rFonts w:hint="default" w:ascii="Times New Roman" w:hAnsi="Times New Roman" w:cs="Times New Roman"/>
                <w:b/>
                <w:bCs/>
                <w:color w:val="auto"/>
                <w:kern w:val="44"/>
                <w:sz w:val="18"/>
                <w:szCs w:val="18"/>
              </w:rPr>
              <w:t>）</w:t>
            </w:r>
          </w:p>
        </w:tc>
        <w:tc>
          <w:tcPr>
            <w:tcW w:w="1207" w:type="dxa"/>
            <w:vMerge w:val="continue"/>
            <w:vAlign w:val="top"/>
          </w:tcPr>
          <w:p w14:paraId="05C7FA07">
            <w:pPr>
              <w:spacing w:before="31" w:after="31" w:line="240" w:lineRule="auto"/>
              <w:jc w:val="center"/>
              <w:rPr>
                <w:rFonts w:hint="default" w:ascii="Times New Roman" w:hAnsi="Times New Roman" w:cs="Times New Roman"/>
                <w:color w:val="auto"/>
                <w:kern w:val="44"/>
                <w:sz w:val="18"/>
                <w:szCs w:val="18"/>
              </w:rPr>
            </w:pPr>
          </w:p>
        </w:tc>
      </w:tr>
      <w:tr w14:paraId="5AC1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23" w:type="dxa"/>
            <w:vMerge w:val="restart"/>
            <w:vAlign w:val="center"/>
          </w:tcPr>
          <w:p w14:paraId="384D9D95">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kern w:val="44"/>
                <w:sz w:val="18"/>
                <w:szCs w:val="18"/>
              </w:rPr>
              <w:t>1</w:t>
            </w:r>
          </w:p>
        </w:tc>
        <w:tc>
          <w:tcPr>
            <w:tcW w:w="424" w:type="dxa"/>
            <w:vMerge w:val="restart"/>
            <w:vAlign w:val="center"/>
          </w:tcPr>
          <w:p w14:paraId="1F79284C">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kern w:val="44"/>
                <w:sz w:val="18"/>
                <w:szCs w:val="18"/>
              </w:rPr>
              <w:t>/</w:t>
            </w:r>
          </w:p>
        </w:tc>
        <w:tc>
          <w:tcPr>
            <w:tcW w:w="426" w:type="dxa"/>
            <w:vMerge w:val="restart"/>
            <w:vAlign w:val="center"/>
          </w:tcPr>
          <w:p w14:paraId="28072308">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kern w:val="44"/>
                <w:sz w:val="18"/>
                <w:szCs w:val="18"/>
              </w:rPr>
              <w:t>/</w:t>
            </w:r>
          </w:p>
        </w:tc>
        <w:tc>
          <w:tcPr>
            <w:tcW w:w="809" w:type="dxa"/>
            <w:vMerge w:val="restart"/>
            <w:vAlign w:val="center"/>
          </w:tcPr>
          <w:p w14:paraId="42D72FB8">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sz w:val="18"/>
                <w:szCs w:val="18"/>
              </w:rPr>
              <w:t>猪舍</w:t>
            </w:r>
          </w:p>
        </w:tc>
        <w:tc>
          <w:tcPr>
            <w:tcW w:w="900" w:type="dxa"/>
            <w:vAlign w:val="center"/>
          </w:tcPr>
          <w:p w14:paraId="35905EEE">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NH</w:t>
            </w:r>
            <w:r>
              <w:rPr>
                <w:rFonts w:hint="default" w:ascii="Times New Roman" w:hAnsi="Times New Roman" w:cs="Times New Roman"/>
                <w:color w:val="auto"/>
                <w:kern w:val="0"/>
                <w:sz w:val="18"/>
                <w:szCs w:val="18"/>
                <w:vertAlign w:val="subscript"/>
              </w:rPr>
              <w:t>3</w:t>
            </w:r>
          </w:p>
        </w:tc>
        <w:tc>
          <w:tcPr>
            <w:tcW w:w="2124" w:type="dxa"/>
            <w:vMerge w:val="restart"/>
            <w:vAlign w:val="center"/>
          </w:tcPr>
          <w:p w14:paraId="12AA28D7">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sz w:val="18"/>
                <w:szCs w:val="18"/>
              </w:rPr>
              <w:t>日粮中投放益生菌、EM活菌剂等，猪舍进行喷洒微生物除臭剂，猪舍周边种植绿化树</w:t>
            </w:r>
          </w:p>
        </w:tc>
        <w:tc>
          <w:tcPr>
            <w:tcW w:w="1432" w:type="dxa"/>
            <w:vMerge w:val="restart"/>
            <w:vAlign w:val="center"/>
          </w:tcPr>
          <w:p w14:paraId="18B87CC2">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sz w:val="18"/>
                <w:szCs w:val="18"/>
              </w:rPr>
              <w:t>《恶臭污染物排放标准》（GB14554-93）表1中新改扩二级标准</w:t>
            </w:r>
          </w:p>
        </w:tc>
        <w:tc>
          <w:tcPr>
            <w:tcW w:w="1200" w:type="dxa"/>
            <w:vAlign w:val="center"/>
          </w:tcPr>
          <w:p w14:paraId="3AA0199A">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kern w:val="44"/>
                <w:sz w:val="18"/>
                <w:szCs w:val="18"/>
              </w:rPr>
              <w:t>1.5</w:t>
            </w:r>
          </w:p>
        </w:tc>
        <w:tc>
          <w:tcPr>
            <w:tcW w:w="1207" w:type="dxa"/>
            <w:vAlign w:val="center"/>
          </w:tcPr>
          <w:p w14:paraId="2FACDA1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44"/>
                <w:sz w:val="18"/>
                <w:szCs w:val="18"/>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24</w:t>
            </w:r>
          </w:p>
        </w:tc>
      </w:tr>
      <w:tr w14:paraId="0F47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23" w:type="dxa"/>
            <w:vMerge w:val="continue"/>
            <w:vAlign w:val="center"/>
          </w:tcPr>
          <w:p w14:paraId="158FF41B">
            <w:pPr>
              <w:spacing w:before="31" w:after="31" w:line="240" w:lineRule="auto"/>
              <w:jc w:val="center"/>
              <w:rPr>
                <w:rFonts w:hint="default" w:ascii="Times New Roman" w:hAnsi="Times New Roman" w:cs="Times New Roman"/>
                <w:color w:val="auto"/>
                <w:kern w:val="44"/>
                <w:sz w:val="18"/>
                <w:szCs w:val="18"/>
              </w:rPr>
            </w:pPr>
          </w:p>
        </w:tc>
        <w:tc>
          <w:tcPr>
            <w:tcW w:w="424" w:type="dxa"/>
            <w:vMerge w:val="continue"/>
            <w:vAlign w:val="center"/>
          </w:tcPr>
          <w:p w14:paraId="21030DB5">
            <w:pPr>
              <w:spacing w:before="31" w:after="31" w:line="240" w:lineRule="auto"/>
              <w:jc w:val="center"/>
              <w:rPr>
                <w:rFonts w:hint="default" w:ascii="Times New Roman" w:hAnsi="Times New Roman" w:cs="Times New Roman"/>
                <w:color w:val="auto"/>
                <w:kern w:val="44"/>
                <w:sz w:val="18"/>
                <w:szCs w:val="18"/>
              </w:rPr>
            </w:pPr>
          </w:p>
        </w:tc>
        <w:tc>
          <w:tcPr>
            <w:tcW w:w="426" w:type="dxa"/>
            <w:vMerge w:val="continue"/>
            <w:vAlign w:val="center"/>
          </w:tcPr>
          <w:p w14:paraId="5C3668D2">
            <w:pPr>
              <w:spacing w:before="31" w:after="31" w:line="240" w:lineRule="auto"/>
              <w:jc w:val="center"/>
              <w:rPr>
                <w:rFonts w:hint="default" w:ascii="Times New Roman" w:hAnsi="Times New Roman" w:cs="Times New Roman"/>
                <w:color w:val="auto"/>
                <w:kern w:val="44"/>
                <w:sz w:val="18"/>
                <w:szCs w:val="18"/>
              </w:rPr>
            </w:pPr>
          </w:p>
        </w:tc>
        <w:tc>
          <w:tcPr>
            <w:tcW w:w="809" w:type="dxa"/>
            <w:vMerge w:val="continue"/>
            <w:vAlign w:val="center"/>
          </w:tcPr>
          <w:p w14:paraId="35233575">
            <w:pPr>
              <w:spacing w:before="31" w:after="31" w:line="240" w:lineRule="auto"/>
              <w:jc w:val="center"/>
              <w:rPr>
                <w:rFonts w:hint="default" w:ascii="Times New Roman" w:hAnsi="Times New Roman" w:cs="Times New Roman"/>
                <w:color w:val="auto"/>
                <w:kern w:val="44"/>
                <w:sz w:val="18"/>
                <w:szCs w:val="18"/>
              </w:rPr>
            </w:pPr>
          </w:p>
        </w:tc>
        <w:tc>
          <w:tcPr>
            <w:tcW w:w="900" w:type="dxa"/>
            <w:vAlign w:val="center"/>
          </w:tcPr>
          <w:p w14:paraId="0E1BE55F">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H</w:t>
            </w:r>
            <w:r>
              <w:rPr>
                <w:rFonts w:hint="default" w:ascii="Times New Roman" w:hAnsi="Times New Roman" w:cs="Times New Roman"/>
                <w:color w:val="auto"/>
                <w:kern w:val="0"/>
                <w:sz w:val="18"/>
                <w:szCs w:val="18"/>
                <w:vertAlign w:val="subscript"/>
              </w:rPr>
              <w:t>2</w:t>
            </w:r>
            <w:r>
              <w:rPr>
                <w:rFonts w:hint="default" w:ascii="Times New Roman" w:hAnsi="Times New Roman" w:cs="Times New Roman"/>
                <w:color w:val="auto"/>
                <w:kern w:val="0"/>
                <w:sz w:val="18"/>
                <w:szCs w:val="18"/>
              </w:rPr>
              <w:t>S</w:t>
            </w:r>
          </w:p>
        </w:tc>
        <w:tc>
          <w:tcPr>
            <w:tcW w:w="2124" w:type="dxa"/>
            <w:vMerge w:val="continue"/>
            <w:vAlign w:val="center"/>
          </w:tcPr>
          <w:p w14:paraId="6F1A1E32">
            <w:pPr>
              <w:spacing w:before="31" w:after="31" w:line="240" w:lineRule="auto"/>
              <w:jc w:val="center"/>
              <w:rPr>
                <w:rFonts w:hint="default" w:ascii="Times New Roman" w:hAnsi="Times New Roman" w:cs="Times New Roman"/>
                <w:color w:val="auto"/>
                <w:kern w:val="44"/>
                <w:sz w:val="18"/>
                <w:szCs w:val="18"/>
              </w:rPr>
            </w:pPr>
          </w:p>
        </w:tc>
        <w:tc>
          <w:tcPr>
            <w:tcW w:w="1432" w:type="dxa"/>
            <w:vMerge w:val="continue"/>
            <w:vAlign w:val="center"/>
          </w:tcPr>
          <w:p w14:paraId="21DB5EEB">
            <w:pPr>
              <w:spacing w:before="31" w:after="31" w:line="240" w:lineRule="auto"/>
              <w:jc w:val="center"/>
              <w:rPr>
                <w:rFonts w:hint="default" w:ascii="Times New Roman" w:hAnsi="Times New Roman" w:cs="Times New Roman"/>
                <w:color w:val="auto"/>
                <w:kern w:val="44"/>
                <w:sz w:val="18"/>
                <w:szCs w:val="18"/>
              </w:rPr>
            </w:pPr>
          </w:p>
        </w:tc>
        <w:tc>
          <w:tcPr>
            <w:tcW w:w="1200" w:type="dxa"/>
            <w:vAlign w:val="center"/>
          </w:tcPr>
          <w:p w14:paraId="7CF4FF63">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kern w:val="44"/>
                <w:sz w:val="18"/>
                <w:szCs w:val="18"/>
              </w:rPr>
              <w:t>0.06</w:t>
            </w:r>
          </w:p>
        </w:tc>
        <w:tc>
          <w:tcPr>
            <w:tcW w:w="1207" w:type="dxa"/>
            <w:vAlign w:val="center"/>
          </w:tcPr>
          <w:p w14:paraId="081D949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44"/>
                <w:sz w:val="18"/>
                <w:szCs w:val="18"/>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361</w:t>
            </w:r>
          </w:p>
        </w:tc>
      </w:tr>
      <w:tr w14:paraId="32AA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23" w:type="dxa"/>
            <w:vMerge w:val="restart"/>
            <w:vAlign w:val="center"/>
          </w:tcPr>
          <w:p w14:paraId="6360C256">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kern w:val="44"/>
                <w:sz w:val="18"/>
                <w:szCs w:val="18"/>
              </w:rPr>
              <w:t>2</w:t>
            </w:r>
          </w:p>
        </w:tc>
        <w:tc>
          <w:tcPr>
            <w:tcW w:w="424" w:type="dxa"/>
            <w:vMerge w:val="restart"/>
            <w:vAlign w:val="center"/>
          </w:tcPr>
          <w:p w14:paraId="09A3FC48">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kern w:val="44"/>
                <w:sz w:val="18"/>
                <w:szCs w:val="18"/>
              </w:rPr>
              <w:t>/</w:t>
            </w:r>
          </w:p>
        </w:tc>
        <w:tc>
          <w:tcPr>
            <w:tcW w:w="426" w:type="dxa"/>
            <w:vMerge w:val="restart"/>
            <w:vAlign w:val="center"/>
          </w:tcPr>
          <w:p w14:paraId="18F616B7">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kern w:val="44"/>
                <w:sz w:val="18"/>
                <w:szCs w:val="18"/>
              </w:rPr>
              <w:t>/</w:t>
            </w:r>
          </w:p>
        </w:tc>
        <w:tc>
          <w:tcPr>
            <w:tcW w:w="809" w:type="dxa"/>
            <w:vMerge w:val="restart"/>
            <w:vAlign w:val="center"/>
          </w:tcPr>
          <w:p w14:paraId="3E9C3B06">
            <w:pPr>
              <w:spacing w:before="31" w:after="31" w:line="240" w:lineRule="auto"/>
              <w:jc w:val="center"/>
              <w:rPr>
                <w:rFonts w:hint="default" w:ascii="Times New Roman" w:hAnsi="Times New Roman" w:eastAsia="宋体" w:cs="Times New Roman"/>
                <w:color w:val="auto"/>
                <w:kern w:val="44"/>
                <w:sz w:val="18"/>
                <w:szCs w:val="18"/>
                <w:lang w:val="en-US" w:eastAsia="zh-CN"/>
              </w:rPr>
            </w:pPr>
            <w:r>
              <w:rPr>
                <w:rFonts w:hint="default" w:ascii="Times New Roman" w:hAnsi="Times New Roman" w:eastAsia="宋体" w:cs="Times New Roman"/>
                <w:color w:val="auto"/>
                <w:kern w:val="44"/>
                <w:sz w:val="18"/>
                <w:szCs w:val="18"/>
                <w:lang w:val="en-US" w:eastAsia="zh-CN"/>
              </w:rPr>
              <w:t>废水收集池</w:t>
            </w:r>
          </w:p>
        </w:tc>
        <w:tc>
          <w:tcPr>
            <w:tcW w:w="900" w:type="dxa"/>
            <w:vAlign w:val="center"/>
          </w:tcPr>
          <w:p w14:paraId="513783DD">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NH</w:t>
            </w:r>
            <w:r>
              <w:rPr>
                <w:rFonts w:hint="default" w:ascii="Times New Roman" w:hAnsi="Times New Roman" w:cs="Times New Roman"/>
                <w:color w:val="auto"/>
                <w:kern w:val="0"/>
                <w:sz w:val="18"/>
                <w:szCs w:val="18"/>
                <w:vertAlign w:val="subscript"/>
              </w:rPr>
              <w:t>3</w:t>
            </w:r>
          </w:p>
        </w:tc>
        <w:tc>
          <w:tcPr>
            <w:tcW w:w="2124" w:type="dxa"/>
            <w:vMerge w:val="restart"/>
            <w:vAlign w:val="center"/>
          </w:tcPr>
          <w:p w14:paraId="3454541F">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sz w:val="18"/>
                <w:szCs w:val="18"/>
                <w:lang w:val="en-US" w:eastAsia="zh-CN"/>
              </w:rPr>
              <w:t>盖板封闭，</w:t>
            </w:r>
            <w:r>
              <w:rPr>
                <w:rFonts w:hint="default" w:ascii="Times New Roman" w:hAnsi="Times New Roman" w:cs="Times New Roman"/>
                <w:color w:val="auto"/>
                <w:sz w:val="18"/>
                <w:szCs w:val="18"/>
              </w:rPr>
              <w:t>周围加强绿化，加强生物除臭剂的喷洒</w:t>
            </w:r>
          </w:p>
        </w:tc>
        <w:tc>
          <w:tcPr>
            <w:tcW w:w="1432" w:type="dxa"/>
            <w:vMerge w:val="continue"/>
            <w:vAlign w:val="center"/>
          </w:tcPr>
          <w:p w14:paraId="32F4D5AD">
            <w:pPr>
              <w:spacing w:before="31" w:after="31" w:line="240" w:lineRule="auto"/>
              <w:jc w:val="center"/>
              <w:rPr>
                <w:rFonts w:hint="default" w:ascii="Times New Roman" w:hAnsi="Times New Roman" w:cs="Times New Roman"/>
                <w:color w:val="auto"/>
                <w:kern w:val="44"/>
                <w:sz w:val="18"/>
                <w:szCs w:val="18"/>
              </w:rPr>
            </w:pPr>
          </w:p>
        </w:tc>
        <w:tc>
          <w:tcPr>
            <w:tcW w:w="1200" w:type="dxa"/>
            <w:vAlign w:val="center"/>
          </w:tcPr>
          <w:p w14:paraId="582C59B1">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kern w:val="44"/>
                <w:sz w:val="18"/>
                <w:szCs w:val="18"/>
              </w:rPr>
              <w:t>1.5</w:t>
            </w:r>
          </w:p>
        </w:tc>
        <w:tc>
          <w:tcPr>
            <w:tcW w:w="1207" w:type="dxa"/>
            <w:vAlign w:val="center"/>
          </w:tcPr>
          <w:p w14:paraId="1A78FB3C">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44"/>
                <w:sz w:val="18"/>
                <w:szCs w:val="18"/>
                <w:lang w:val="en-US"/>
              </w:rPr>
            </w:pPr>
            <w:r>
              <w:rPr>
                <w:rFonts w:hint="default" w:ascii="Times New Roman" w:hAnsi="Times New Roman" w:cs="Times New Roman"/>
                <w:color w:val="auto"/>
                <w:kern w:val="0"/>
                <w:sz w:val="18"/>
                <w:szCs w:val="18"/>
                <w:highlight w:val="none"/>
              </w:rPr>
              <w:t>0.0</w:t>
            </w:r>
            <w:r>
              <w:rPr>
                <w:rFonts w:hint="default" w:ascii="Times New Roman" w:hAnsi="Times New Roman" w:cs="Times New Roman"/>
                <w:color w:val="auto"/>
                <w:kern w:val="0"/>
                <w:sz w:val="18"/>
                <w:szCs w:val="18"/>
                <w:highlight w:val="none"/>
                <w:lang w:val="en-US" w:eastAsia="zh-CN"/>
              </w:rPr>
              <w:t>074</w:t>
            </w:r>
          </w:p>
        </w:tc>
      </w:tr>
      <w:tr w14:paraId="6A41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23" w:type="dxa"/>
            <w:vMerge w:val="continue"/>
            <w:vAlign w:val="center"/>
          </w:tcPr>
          <w:p w14:paraId="657E9F04">
            <w:pPr>
              <w:spacing w:before="31" w:after="31" w:line="240" w:lineRule="auto"/>
              <w:jc w:val="center"/>
              <w:rPr>
                <w:rFonts w:hint="default" w:ascii="Times New Roman" w:hAnsi="Times New Roman" w:cs="Times New Roman"/>
                <w:color w:val="auto"/>
                <w:kern w:val="44"/>
                <w:sz w:val="18"/>
                <w:szCs w:val="18"/>
              </w:rPr>
            </w:pPr>
          </w:p>
        </w:tc>
        <w:tc>
          <w:tcPr>
            <w:tcW w:w="424" w:type="dxa"/>
            <w:vMerge w:val="continue"/>
            <w:vAlign w:val="center"/>
          </w:tcPr>
          <w:p w14:paraId="576A842C">
            <w:pPr>
              <w:spacing w:before="31" w:after="31" w:line="240" w:lineRule="auto"/>
              <w:jc w:val="center"/>
              <w:rPr>
                <w:rFonts w:hint="default" w:ascii="Times New Roman" w:hAnsi="Times New Roman" w:cs="Times New Roman"/>
                <w:color w:val="auto"/>
                <w:kern w:val="44"/>
                <w:sz w:val="18"/>
                <w:szCs w:val="18"/>
              </w:rPr>
            </w:pPr>
          </w:p>
        </w:tc>
        <w:tc>
          <w:tcPr>
            <w:tcW w:w="426" w:type="dxa"/>
            <w:vMerge w:val="continue"/>
            <w:vAlign w:val="center"/>
          </w:tcPr>
          <w:p w14:paraId="4F583751">
            <w:pPr>
              <w:spacing w:before="31" w:after="31" w:line="240" w:lineRule="auto"/>
              <w:jc w:val="center"/>
              <w:rPr>
                <w:rFonts w:hint="default" w:ascii="Times New Roman" w:hAnsi="Times New Roman" w:cs="Times New Roman"/>
                <w:color w:val="auto"/>
                <w:kern w:val="44"/>
                <w:sz w:val="18"/>
                <w:szCs w:val="18"/>
              </w:rPr>
            </w:pPr>
          </w:p>
        </w:tc>
        <w:tc>
          <w:tcPr>
            <w:tcW w:w="809" w:type="dxa"/>
            <w:vMerge w:val="continue"/>
            <w:vAlign w:val="center"/>
          </w:tcPr>
          <w:p w14:paraId="08AEA8A5">
            <w:pPr>
              <w:spacing w:before="31" w:after="31" w:line="240" w:lineRule="auto"/>
              <w:jc w:val="center"/>
              <w:rPr>
                <w:rFonts w:hint="default" w:ascii="Times New Roman" w:hAnsi="Times New Roman" w:cs="Times New Roman"/>
                <w:color w:val="auto"/>
                <w:kern w:val="44"/>
                <w:sz w:val="18"/>
                <w:szCs w:val="18"/>
              </w:rPr>
            </w:pPr>
          </w:p>
        </w:tc>
        <w:tc>
          <w:tcPr>
            <w:tcW w:w="900" w:type="dxa"/>
            <w:vAlign w:val="center"/>
          </w:tcPr>
          <w:p w14:paraId="44265006">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H</w:t>
            </w:r>
            <w:r>
              <w:rPr>
                <w:rFonts w:hint="default" w:ascii="Times New Roman" w:hAnsi="Times New Roman" w:cs="Times New Roman"/>
                <w:color w:val="auto"/>
                <w:kern w:val="0"/>
                <w:sz w:val="18"/>
                <w:szCs w:val="18"/>
                <w:vertAlign w:val="subscript"/>
              </w:rPr>
              <w:t>2</w:t>
            </w:r>
            <w:r>
              <w:rPr>
                <w:rFonts w:hint="default" w:ascii="Times New Roman" w:hAnsi="Times New Roman" w:cs="Times New Roman"/>
                <w:color w:val="auto"/>
                <w:kern w:val="0"/>
                <w:sz w:val="18"/>
                <w:szCs w:val="18"/>
              </w:rPr>
              <w:t>S</w:t>
            </w:r>
          </w:p>
        </w:tc>
        <w:tc>
          <w:tcPr>
            <w:tcW w:w="2124" w:type="dxa"/>
            <w:vMerge w:val="continue"/>
            <w:vAlign w:val="center"/>
          </w:tcPr>
          <w:p w14:paraId="4CAFAE6F">
            <w:pPr>
              <w:spacing w:before="31" w:after="31" w:line="240" w:lineRule="auto"/>
              <w:jc w:val="center"/>
              <w:rPr>
                <w:rFonts w:hint="default" w:ascii="Times New Roman" w:hAnsi="Times New Roman" w:cs="Times New Roman"/>
                <w:color w:val="auto"/>
                <w:kern w:val="44"/>
                <w:sz w:val="18"/>
                <w:szCs w:val="18"/>
              </w:rPr>
            </w:pPr>
          </w:p>
        </w:tc>
        <w:tc>
          <w:tcPr>
            <w:tcW w:w="1432" w:type="dxa"/>
            <w:vMerge w:val="continue"/>
            <w:vAlign w:val="center"/>
          </w:tcPr>
          <w:p w14:paraId="0CF15B18">
            <w:pPr>
              <w:spacing w:before="31" w:after="31" w:line="240" w:lineRule="auto"/>
              <w:jc w:val="center"/>
              <w:rPr>
                <w:rFonts w:hint="default" w:ascii="Times New Roman" w:hAnsi="Times New Roman" w:cs="Times New Roman"/>
                <w:color w:val="auto"/>
                <w:kern w:val="44"/>
                <w:sz w:val="18"/>
                <w:szCs w:val="18"/>
              </w:rPr>
            </w:pPr>
          </w:p>
        </w:tc>
        <w:tc>
          <w:tcPr>
            <w:tcW w:w="1200" w:type="dxa"/>
            <w:vAlign w:val="center"/>
          </w:tcPr>
          <w:p w14:paraId="5A1BA65E">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kern w:val="44"/>
                <w:sz w:val="18"/>
                <w:szCs w:val="18"/>
              </w:rPr>
              <w:t>0.06</w:t>
            </w:r>
          </w:p>
        </w:tc>
        <w:tc>
          <w:tcPr>
            <w:tcW w:w="1207" w:type="dxa"/>
            <w:vAlign w:val="center"/>
          </w:tcPr>
          <w:p w14:paraId="729C46F0">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44"/>
                <w:sz w:val="18"/>
                <w:szCs w:val="18"/>
              </w:rPr>
            </w:pPr>
            <w:r>
              <w:rPr>
                <w:rFonts w:hint="default" w:ascii="Times New Roman" w:hAnsi="Times New Roman" w:cs="Times New Roman"/>
                <w:color w:val="auto"/>
                <w:kern w:val="0"/>
                <w:sz w:val="18"/>
                <w:szCs w:val="18"/>
                <w:highlight w:val="none"/>
              </w:rPr>
              <w:t>0.00</w:t>
            </w:r>
            <w:r>
              <w:rPr>
                <w:rFonts w:hint="default" w:ascii="Times New Roman" w:hAnsi="Times New Roman" w:cs="Times New Roman"/>
                <w:color w:val="auto"/>
                <w:kern w:val="0"/>
                <w:sz w:val="18"/>
                <w:szCs w:val="18"/>
                <w:highlight w:val="none"/>
                <w:lang w:val="en-US" w:eastAsia="zh-CN"/>
              </w:rPr>
              <w:t>028</w:t>
            </w:r>
          </w:p>
        </w:tc>
      </w:tr>
      <w:tr w14:paraId="67D4D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23" w:type="dxa"/>
            <w:vMerge w:val="restart"/>
            <w:vAlign w:val="center"/>
          </w:tcPr>
          <w:p w14:paraId="65D75B56">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kern w:val="44"/>
                <w:sz w:val="18"/>
                <w:szCs w:val="18"/>
              </w:rPr>
              <w:t>3</w:t>
            </w:r>
          </w:p>
        </w:tc>
        <w:tc>
          <w:tcPr>
            <w:tcW w:w="424" w:type="dxa"/>
            <w:vMerge w:val="restart"/>
            <w:vAlign w:val="center"/>
          </w:tcPr>
          <w:p w14:paraId="42B2C0AA">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kern w:val="44"/>
                <w:sz w:val="18"/>
                <w:szCs w:val="18"/>
              </w:rPr>
              <w:t>/</w:t>
            </w:r>
          </w:p>
        </w:tc>
        <w:tc>
          <w:tcPr>
            <w:tcW w:w="426" w:type="dxa"/>
            <w:vMerge w:val="restart"/>
            <w:vAlign w:val="center"/>
          </w:tcPr>
          <w:p w14:paraId="153EB1A9">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kern w:val="44"/>
                <w:sz w:val="18"/>
                <w:szCs w:val="18"/>
              </w:rPr>
              <w:t>/</w:t>
            </w:r>
          </w:p>
        </w:tc>
        <w:tc>
          <w:tcPr>
            <w:tcW w:w="809" w:type="dxa"/>
            <w:vMerge w:val="restart"/>
            <w:vAlign w:val="center"/>
          </w:tcPr>
          <w:p w14:paraId="102189EA">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sz w:val="18"/>
                <w:szCs w:val="18"/>
              </w:rPr>
              <w:t>堆粪棚</w:t>
            </w:r>
          </w:p>
        </w:tc>
        <w:tc>
          <w:tcPr>
            <w:tcW w:w="900" w:type="dxa"/>
            <w:vAlign w:val="center"/>
          </w:tcPr>
          <w:p w14:paraId="183CD8A9">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NH</w:t>
            </w:r>
            <w:r>
              <w:rPr>
                <w:rFonts w:hint="default" w:ascii="Times New Roman" w:hAnsi="Times New Roman" w:cs="Times New Roman"/>
                <w:color w:val="auto"/>
                <w:kern w:val="0"/>
                <w:sz w:val="18"/>
                <w:szCs w:val="18"/>
                <w:vertAlign w:val="subscript"/>
              </w:rPr>
              <w:t>3</w:t>
            </w:r>
          </w:p>
        </w:tc>
        <w:tc>
          <w:tcPr>
            <w:tcW w:w="2124" w:type="dxa"/>
            <w:vMerge w:val="restart"/>
            <w:vAlign w:val="center"/>
          </w:tcPr>
          <w:p w14:paraId="4AD945EA">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sz w:val="18"/>
                <w:szCs w:val="18"/>
              </w:rPr>
              <w:t>堆粪棚采用半封闭式，三面墙体，并设顶棚，堆粪棚周围进行植被绿化，同时建设单位在堆粪过程喷洒肥料发酵菌剂以加快堆粪棚内粪渣的腐熟程度，堆粪棚、固液分离设备区域以及车间进出口定期喷洒微生物除臭剂</w:t>
            </w:r>
          </w:p>
        </w:tc>
        <w:tc>
          <w:tcPr>
            <w:tcW w:w="1432" w:type="dxa"/>
            <w:vMerge w:val="continue"/>
            <w:vAlign w:val="center"/>
          </w:tcPr>
          <w:p w14:paraId="1F5ECAFD">
            <w:pPr>
              <w:spacing w:before="31" w:after="31" w:line="240" w:lineRule="auto"/>
              <w:jc w:val="center"/>
              <w:rPr>
                <w:rFonts w:hint="default" w:ascii="Times New Roman" w:hAnsi="Times New Roman" w:cs="Times New Roman"/>
                <w:color w:val="auto"/>
                <w:kern w:val="44"/>
                <w:sz w:val="18"/>
                <w:szCs w:val="18"/>
              </w:rPr>
            </w:pPr>
          </w:p>
        </w:tc>
        <w:tc>
          <w:tcPr>
            <w:tcW w:w="1200" w:type="dxa"/>
            <w:vAlign w:val="center"/>
          </w:tcPr>
          <w:p w14:paraId="1E90A3D6">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kern w:val="44"/>
                <w:sz w:val="18"/>
                <w:szCs w:val="18"/>
              </w:rPr>
              <w:t>1.5</w:t>
            </w:r>
          </w:p>
        </w:tc>
        <w:tc>
          <w:tcPr>
            <w:tcW w:w="1207" w:type="dxa"/>
            <w:vAlign w:val="center"/>
          </w:tcPr>
          <w:p w14:paraId="3773E16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44"/>
                <w:sz w:val="18"/>
                <w:szCs w:val="18"/>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147</w:t>
            </w:r>
          </w:p>
        </w:tc>
      </w:tr>
      <w:tr w14:paraId="3A95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23" w:type="dxa"/>
            <w:vMerge w:val="continue"/>
            <w:vAlign w:val="center"/>
          </w:tcPr>
          <w:p w14:paraId="7DB58822">
            <w:pPr>
              <w:spacing w:before="31" w:after="31" w:line="240" w:lineRule="auto"/>
              <w:jc w:val="center"/>
              <w:rPr>
                <w:rFonts w:hint="default" w:ascii="Times New Roman" w:hAnsi="Times New Roman" w:cs="Times New Roman"/>
                <w:color w:val="auto"/>
                <w:kern w:val="44"/>
                <w:sz w:val="18"/>
                <w:szCs w:val="18"/>
              </w:rPr>
            </w:pPr>
          </w:p>
        </w:tc>
        <w:tc>
          <w:tcPr>
            <w:tcW w:w="424" w:type="dxa"/>
            <w:vMerge w:val="continue"/>
            <w:vAlign w:val="center"/>
          </w:tcPr>
          <w:p w14:paraId="1B43DDE0">
            <w:pPr>
              <w:spacing w:before="31" w:after="31" w:line="240" w:lineRule="auto"/>
              <w:jc w:val="center"/>
              <w:rPr>
                <w:rFonts w:hint="default" w:ascii="Times New Roman" w:hAnsi="Times New Roman" w:cs="Times New Roman"/>
                <w:color w:val="auto"/>
                <w:kern w:val="44"/>
                <w:sz w:val="18"/>
                <w:szCs w:val="18"/>
              </w:rPr>
            </w:pPr>
          </w:p>
        </w:tc>
        <w:tc>
          <w:tcPr>
            <w:tcW w:w="426" w:type="dxa"/>
            <w:vMerge w:val="continue"/>
            <w:vAlign w:val="center"/>
          </w:tcPr>
          <w:p w14:paraId="21B31A95">
            <w:pPr>
              <w:spacing w:before="31" w:after="31" w:line="240" w:lineRule="auto"/>
              <w:jc w:val="center"/>
              <w:rPr>
                <w:rFonts w:hint="default" w:ascii="Times New Roman" w:hAnsi="Times New Roman" w:cs="Times New Roman"/>
                <w:color w:val="auto"/>
                <w:kern w:val="44"/>
                <w:sz w:val="18"/>
                <w:szCs w:val="18"/>
              </w:rPr>
            </w:pPr>
          </w:p>
        </w:tc>
        <w:tc>
          <w:tcPr>
            <w:tcW w:w="809" w:type="dxa"/>
            <w:vMerge w:val="continue"/>
            <w:vAlign w:val="center"/>
          </w:tcPr>
          <w:p w14:paraId="3BF13DDA">
            <w:pPr>
              <w:spacing w:before="31" w:after="31" w:line="240" w:lineRule="auto"/>
              <w:jc w:val="center"/>
              <w:rPr>
                <w:rFonts w:hint="default" w:ascii="Times New Roman" w:hAnsi="Times New Roman" w:cs="Times New Roman"/>
                <w:color w:val="auto"/>
                <w:kern w:val="0"/>
                <w:sz w:val="18"/>
                <w:szCs w:val="18"/>
              </w:rPr>
            </w:pPr>
          </w:p>
        </w:tc>
        <w:tc>
          <w:tcPr>
            <w:tcW w:w="900" w:type="dxa"/>
            <w:vAlign w:val="center"/>
          </w:tcPr>
          <w:p w14:paraId="1E0F2B01">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H</w:t>
            </w:r>
            <w:r>
              <w:rPr>
                <w:rFonts w:hint="default" w:ascii="Times New Roman" w:hAnsi="Times New Roman" w:cs="Times New Roman"/>
                <w:color w:val="auto"/>
                <w:kern w:val="0"/>
                <w:sz w:val="18"/>
                <w:szCs w:val="18"/>
                <w:vertAlign w:val="subscript"/>
              </w:rPr>
              <w:t>2</w:t>
            </w:r>
            <w:r>
              <w:rPr>
                <w:rFonts w:hint="default" w:ascii="Times New Roman" w:hAnsi="Times New Roman" w:cs="Times New Roman"/>
                <w:color w:val="auto"/>
                <w:kern w:val="0"/>
                <w:sz w:val="18"/>
                <w:szCs w:val="18"/>
              </w:rPr>
              <w:t>S</w:t>
            </w:r>
          </w:p>
        </w:tc>
        <w:tc>
          <w:tcPr>
            <w:tcW w:w="2124" w:type="dxa"/>
            <w:vMerge w:val="continue"/>
            <w:vAlign w:val="center"/>
          </w:tcPr>
          <w:p w14:paraId="677028A4">
            <w:pPr>
              <w:spacing w:before="31" w:after="31" w:line="240" w:lineRule="auto"/>
              <w:jc w:val="center"/>
              <w:rPr>
                <w:rFonts w:hint="default" w:ascii="Times New Roman" w:hAnsi="Times New Roman" w:cs="Times New Roman"/>
                <w:color w:val="auto"/>
                <w:kern w:val="44"/>
                <w:sz w:val="18"/>
                <w:szCs w:val="18"/>
              </w:rPr>
            </w:pPr>
          </w:p>
        </w:tc>
        <w:tc>
          <w:tcPr>
            <w:tcW w:w="1432" w:type="dxa"/>
            <w:vMerge w:val="continue"/>
            <w:vAlign w:val="center"/>
          </w:tcPr>
          <w:p w14:paraId="47A894A1">
            <w:pPr>
              <w:spacing w:before="31" w:after="31" w:line="240" w:lineRule="auto"/>
              <w:jc w:val="center"/>
              <w:rPr>
                <w:rFonts w:hint="default" w:ascii="Times New Roman" w:hAnsi="Times New Roman" w:cs="Times New Roman"/>
                <w:color w:val="auto"/>
                <w:kern w:val="44"/>
                <w:sz w:val="18"/>
                <w:szCs w:val="18"/>
              </w:rPr>
            </w:pPr>
          </w:p>
        </w:tc>
        <w:tc>
          <w:tcPr>
            <w:tcW w:w="1200" w:type="dxa"/>
            <w:vAlign w:val="center"/>
          </w:tcPr>
          <w:p w14:paraId="1DDDA8C0">
            <w:pPr>
              <w:spacing w:before="31" w:after="31" w:line="240" w:lineRule="auto"/>
              <w:jc w:val="center"/>
              <w:rPr>
                <w:rFonts w:hint="default" w:ascii="Times New Roman" w:hAnsi="Times New Roman" w:cs="Times New Roman"/>
                <w:color w:val="auto"/>
                <w:kern w:val="44"/>
                <w:sz w:val="18"/>
                <w:szCs w:val="18"/>
              </w:rPr>
            </w:pPr>
            <w:r>
              <w:rPr>
                <w:rFonts w:hint="default" w:ascii="Times New Roman" w:hAnsi="Times New Roman" w:cs="Times New Roman"/>
                <w:color w:val="auto"/>
                <w:kern w:val="44"/>
                <w:sz w:val="18"/>
                <w:szCs w:val="18"/>
              </w:rPr>
              <w:t>0.06</w:t>
            </w:r>
          </w:p>
        </w:tc>
        <w:tc>
          <w:tcPr>
            <w:tcW w:w="1207" w:type="dxa"/>
            <w:vAlign w:val="center"/>
          </w:tcPr>
          <w:p w14:paraId="76FA1CB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44"/>
                <w:sz w:val="18"/>
                <w:szCs w:val="18"/>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059</w:t>
            </w:r>
          </w:p>
        </w:tc>
      </w:tr>
      <w:tr w14:paraId="3F88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23" w:type="dxa"/>
            <w:vMerge w:val="restart"/>
            <w:vAlign w:val="center"/>
          </w:tcPr>
          <w:p w14:paraId="36EB8AFE">
            <w:pPr>
              <w:spacing w:before="31" w:after="31"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424" w:type="dxa"/>
            <w:vMerge w:val="restart"/>
            <w:vAlign w:val="center"/>
          </w:tcPr>
          <w:p w14:paraId="69F7D97E">
            <w:pPr>
              <w:spacing w:before="31" w:after="31" w:line="240" w:lineRule="auto"/>
              <w:jc w:val="center"/>
              <w:rPr>
                <w:rFonts w:hint="default" w:ascii="Times New Roman" w:hAnsi="Times New Roman" w:cs="Times New Roman"/>
                <w:color w:val="auto"/>
                <w:kern w:val="44"/>
                <w:sz w:val="18"/>
                <w:szCs w:val="18"/>
                <w:lang w:val="en-US" w:eastAsia="zh-CN" w:bidi="ar-SA"/>
              </w:rPr>
            </w:pPr>
            <w:r>
              <w:rPr>
                <w:rFonts w:hint="default" w:ascii="Times New Roman" w:hAnsi="Times New Roman" w:cs="Times New Roman"/>
                <w:color w:val="auto"/>
                <w:kern w:val="44"/>
                <w:sz w:val="18"/>
                <w:szCs w:val="18"/>
              </w:rPr>
              <w:t>/</w:t>
            </w:r>
          </w:p>
        </w:tc>
        <w:tc>
          <w:tcPr>
            <w:tcW w:w="426" w:type="dxa"/>
            <w:vMerge w:val="restart"/>
            <w:vAlign w:val="center"/>
          </w:tcPr>
          <w:p w14:paraId="5FD02D6A">
            <w:pPr>
              <w:spacing w:before="31" w:after="31" w:line="240" w:lineRule="auto"/>
              <w:jc w:val="center"/>
              <w:rPr>
                <w:rFonts w:hint="default" w:ascii="Times New Roman" w:hAnsi="Times New Roman" w:cs="Times New Roman"/>
                <w:color w:val="auto"/>
                <w:kern w:val="44"/>
                <w:sz w:val="18"/>
                <w:szCs w:val="18"/>
                <w:lang w:val="en-US" w:eastAsia="zh-CN" w:bidi="ar-SA"/>
              </w:rPr>
            </w:pPr>
            <w:r>
              <w:rPr>
                <w:rFonts w:hint="default" w:ascii="Times New Roman" w:hAnsi="Times New Roman" w:cs="Times New Roman"/>
                <w:color w:val="auto"/>
                <w:kern w:val="44"/>
                <w:sz w:val="18"/>
                <w:szCs w:val="18"/>
              </w:rPr>
              <w:t>/</w:t>
            </w:r>
          </w:p>
        </w:tc>
        <w:tc>
          <w:tcPr>
            <w:tcW w:w="809" w:type="dxa"/>
            <w:vMerge w:val="restart"/>
            <w:vAlign w:val="center"/>
          </w:tcPr>
          <w:p w14:paraId="4874ACF0">
            <w:pPr>
              <w:spacing w:before="31" w:after="31"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天然气燃烧器</w:t>
            </w:r>
          </w:p>
        </w:tc>
        <w:tc>
          <w:tcPr>
            <w:tcW w:w="900" w:type="dxa"/>
            <w:vAlign w:val="center"/>
          </w:tcPr>
          <w:p w14:paraId="567F32B7">
            <w:pPr>
              <w:adjustRightInd w:val="0"/>
              <w:spacing w:line="240" w:lineRule="auto"/>
              <w:jc w:val="center"/>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bCs/>
                <w:color w:val="auto"/>
                <w:sz w:val="18"/>
                <w:szCs w:val="18"/>
              </w:rPr>
              <w:t>SO</w:t>
            </w:r>
            <w:r>
              <w:rPr>
                <w:rFonts w:hint="default" w:ascii="Times New Roman" w:hAnsi="Times New Roman" w:cs="Times New Roman"/>
                <w:bCs/>
                <w:color w:val="auto"/>
                <w:sz w:val="18"/>
                <w:szCs w:val="18"/>
                <w:vertAlign w:val="subscript"/>
              </w:rPr>
              <w:t>2</w:t>
            </w:r>
          </w:p>
        </w:tc>
        <w:tc>
          <w:tcPr>
            <w:tcW w:w="2124" w:type="dxa"/>
            <w:vMerge w:val="restart"/>
            <w:vAlign w:val="center"/>
          </w:tcPr>
          <w:p w14:paraId="16FF672B">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低氮燃烧</w:t>
            </w:r>
          </w:p>
        </w:tc>
        <w:tc>
          <w:tcPr>
            <w:tcW w:w="1432" w:type="dxa"/>
            <w:vMerge w:val="restart"/>
            <w:vAlign w:val="center"/>
          </w:tcPr>
          <w:p w14:paraId="2492ED56">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eastAsia="宋体" w:cs="Times New Roman"/>
                <w:bCs/>
                <w:color w:val="auto"/>
                <w:sz w:val="18"/>
                <w:szCs w:val="18"/>
              </w:rPr>
            </w:pPr>
            <w:r>
              <w:rPr>
                <w:rFonts w:hint="default" w:ascii="Times New Roman" w:hAnsi="Times New Roman" w:cs="Times New Roman"/>
                <w:b w:val="0"/>
                <w:bCs/>
                <w:color w:val="auto"/>
                <w:sz w:val="18"/>
                <w:szCs w:val="18"/>
                <w:highlight w:val="none"/>
                <w:lang w:val="en-US" w:eastAsia="zh-CN"/>
              </w:rPr>
              <w:t>《大气污染物综合排放标准》（GB16297-1996）</w:t>
            </w:r>
          </w:p>
        </w:tc>
        <w:tc>
          <w:tcPr>
            <w:tcW w:w="1200" w:type="dxa"/>
            <w:vAlign w:val="center"/>
          </w:tcPr>
          <w:p w14:paraId="2C5F4292">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rPr>
              <w:t>0.5</w:t>
            </w:r>
          </w:p>
        </w:tc>
        <w:tc>
          <w:tcPr>
            <w:tcW w:w="1207" w:type="dxa"/>
            <w:vAlign w:val="center"/>
          </w:tcPr>
          <w:p w14:paraId="693A709B">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18"/>
                <w:szCs w:val="18"/>
              </w:rPr>
            </w:pPr>
            <w:r>
              <w:rPr>
                <w:rFonts w:hint="default" w:ascii="Times New Roman" w:hAnsi="Times New Roman" w:cs="Times New Roman"/>
                <w:color w:val="auto"/>
                <w:sz w:val="18"/>
                <w:szCs w:val="18"/>
                <w:highlight w:val="none"/>
                <w:lang w:val="en-US" w:eastAsia="zh-CN"/>
              </w:rPr>
              <w:t>0.0306</w:t>
            </w:r>
          </w:p>
        </w:tc>
      </w:tr>
      <w:tr w14:paraId="2A07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23" w:type="dxa"/>
            <w:vMerge w:val="continue"/>
            <w:vAlign w:val="center"/>
          </w:tcPr>
          <w:p w14:paraId="3AA69CC9">
            <w:pPr>
              <w:spacing w:before="31" w:after="31" w:line="240" w:lineRule="auto"/>
              <w:jc w:val="center"/>
              <w:rPr>
                <w:rFonts w:hint="default" w:ascii="Times New Roman" w:hAnsi="Times New Roman" w:eastAsia="宋体" w:cs="Times New Roman"/>
                <w:color w:val="auto"/>
                <w:sz w:val="18"/>
                <w:szCs w:val="18"/>
                <w:lang w:val="en-US" w:eastAsia="zh-CN"/>
              </w:rPr>
            </w:pPr>
          </w:p>
        </w:tc>
        <w:tc>
          <w:tcPr>
            <w:tcW w:w="424" w:type="dxa"/>
            <w:vMerge w:val="continue"/>
            <w:vAlign w:val="center"/>
          </w:tcPr>
          <w:p w14:paraId="2A6159C7">
            <w:pPr>
              <w:spacing w:before="31" w:after="31" w:line="240" w:lineRule="auto"/>
              <w:jc w:val="center"/>
              <w:rPr>
                <w:rFonts w:hint="default" w:ascii="Times New Roman" w:hAnsi="Times New Roman" w:eastAsia="宋体" w:cs="Times New Roman"/>
                <w:color w:val="auto"/>
                <w:sz w:val="18"/>
                <w:szCs w:val="18"/>
              </w:rPr>
            </w:pPr>
          </w:p>
        </w:tc>
        <w:tc>
          <w:tcPr>
            <w:tcW w:w="426" w:type="dxa"/>
            <w:vMerge w:val="continue"/>
            <w:vAlign w:val="center"/>
          </w:tcPr>
          <w:p w14:paraId="6DF18EDA">
            <w:pPr>
              <w:spacing w:before="31" w:after="31" w:line="240" w:lineRule="auto"/>
              <w:jc w:val="center"/>
              <w:rPr>
                <w:rFonts w:hint="default" w:ascii="Times New Roman" w:hAnsi="Times New Roman" w:eastAsia="宋体" w:cs="Times New Roman"/>
                <w:color w:val="auto"/>
                <w:sz w:val="18"/>
                <w:szCs w:val="18"/>
              </w:rPr>
            </w:pPr>
          </w:p>
        </w:tc>
        <w:tc>
          <w:tcPr>
            <w:tcW w:w="809" w:type="dxa"/>
            <w:vMerge w:val="continue"/>
            <w:vAlign w:val="center"/>
          </w:tcPr>
          <w:p w14:paraId="5F210552">
            <w:pPr>
              <w:spacing w:before="31" w:after="31" w:line="240" w:lineRule="auto"/>
              <w:jc w:val="center"/>
              <w:rPr>
                <w:rFonts w:hint="default" w:ascii="Times New Roman" w:hAnsi="Times New Roman" w:eastAsia="宋体" w:cs="Times New Roman"/>
                <w:color w:val="auto"/>
                <w:sz w:val="18"/>
                <w:szCs w:val="18"/>
              </w:rPr>
            </w:pPr>
          </w:p>
        </w:tc>
        <w:tc>
          <w:tcPr>
            <w:tcW w:w="900" w:type="dxa"/>
            <w:vAlign w:val="center"/>
          </w:tcPr>
          <w:p w14:paraId="3DE46F5C">
            <w:pPr>
              <w:adjustRightInd w:val="0"/>
              <w:spacing w:line="240" w:lineRule="auto"/>
              <w:jc w:val="center"/>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bCs/>
                <w:color w:val="auto"/>
                <w:sz w:val="18"/>
                <w:szCs w:val="18"/>
              </w:rPr>
              <w:t>NO</w:t>
            </w:r>
            <w:r>
              <w:rPr>
                <w:rFonts w:hint="default" w:ascii="Times New Roman" w:hAnsi="Times New Roman" w:cs="Times New Roman"/>
                <w:bCs/>
                <w:color w:val="auto"/>
                <w:sz w:val="18"/>
                <w:szCs w:val="18"/>
                <w:vertAlign w:val="subscript"/>
              </w:rPr>
              <w:t>x</w:t>
            </w:r>
          </w:p>
        </w:tc>
        <w:tc>
          <w:tcPr>
            <w:tcW w:w="2124" w:type="dxa"/>
            <w:vMerge w:val="continue"/>
            <w:vAlign w:val="center"/>
          </w:tcPr>
          <w:p w14:paraId="213CB2BC">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eastAsia="宋体" w:cs="Times New Roman"/>
                <w:bCs/>
                <w:color w:val="auto"/>
                <w:sz w:val="18"/>
                <w:szCs w:val="18"/>
              </w:rPr>
            </w:pPr>
          </w:p>
        </w:tc>
        <w:tc>
          <w:tcPr>
            <w:tcW w:w="1432" w:type="dxa"/>
            <w:vMerge w:val="continue"/>
            <w:vAlign w:val="center"/>
          </w:tcPr>
          <w:p w14:paraId="091C3147">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eastAsia="宋体" w:cs="Times New Roman"/>
                <w:bCs/>
                <w:color w:val="auto"/>
                <w:sz w:val="18"/>
                <w:szCs w:val="18"/>
              </w:rPr>
            </w:pPr>
          </w:p>
        </w:tc>
        <w:tc>
          <w:tcPr>
            <w:tcW w:w="1200" w:type="dxa"/>
            <w:vAlign w:val="center"/>
          </w:tcPr>
          <w:p w14:paraId="3C24E732">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rPr>
              <w:t>0.15</w:t>
            </w:r>
          </w:p>
        </w:tc>
        <w:tc>
          <w:tcPr>
            <w:tcW w:w="1207" w:type="dxa"/>
            <w:vAlign w:val="center"/>
          </w:tcPr>
          <w:p w14:paraId="4C367328">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color w:val="auto"/>
                <w:sz w:val="18"/>
                <w:szCs w:val="18"/>
                <w:highlight w:val="none"/>
                <w:vertAlign w:val="baseline"/>
                <w:lang w:val="en-US" w:eastAsia="zh-CN"/>
              </w:rPr>
              <w:t>0.234</w:t>
            </w:r>
          </w:p>
        </w:tc>
      </w:tr>
      <w:tr w14:paraId="3CD2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23" w:type="dxa"/>
            <w:vMerge w:val="continue"/>
            <w:vAlign w:val="center"/>
          </w:tcPr>
          <w:p w14:paraId="30C8C1E5">
            <w:pPr>
              <w:spacing w:before="31" w:after="31" w:line="240" w:lineRule="auto"/>
              <w:jc w:val="center"/>
              <w:rPr>
                <w:rFonts w:hint="default" w:ascii="Times New Roman" w:hAnsi="Times New Roman" w:eastAsia="宋体" w:cs="Times New Roman"/>
                <w:color w:val="auto"/>
                <w:sz w:val="18"/>
                <w:szCs w:val="18"/>
                <w:lang w:val="en-US" w:eastAsia="zh-CN"/>
              </w:rPr>
            </w:pPr>
          </w:p>
        </w:tc>
        <w:tc>
          <w:tcPr>
            <w:tcW w:w="424" w:type="dxa"/>
            <w:vMerge w:val="continue"/>
            <w:vAlign w:val="center"/>
          </w:tcPr>
          <w:p w14:paraId="0191B9F3">
            <w:pPr>
              <w:spacing w:before="31" w:after="31" w:line="240" w:lineRule="auto"/>
              <w:jc w:val="center"/>
              <w:rPr>
                <w:rFonts w:hint="default" w:ascii="Times New Roman" w:hAnsi="Times New Roman" w:eastAsia="宋体" w:cs="Times New Roman"/>
                <w:color w:val="auto"/>
                <w:sz w:val="18"/>
                <w:szCs w:val="18"/>
              </w:rPr>
            </w:pPr>
          </w:p>
        </w:tc>
        <w:tc>
          <w:tcPr>
            <w:tcW w:w="426" w:type="dxa"/>
            <w:vMerge w:val="continue"/>
            <w:vAlign w:val="center"/>
          </w:tcPr>
          <w:p w14:paraId="678A2F5A">
            <w:pPr>
              <w:spacing w:before="31" w:after="31" w:line="240" w:lineRule="auto"/>
              <w:jc w:val="center"/>
              <w:rPr>
                <w:rFonts w:hint="default" w:ascii="Times New Roman" w:hAnsi="Times New Roman" w:eastAsia="宋体" w:cs="Times New Roman"/>
                <w:color w:val="auto"/>
                <w:sz w:val="18"/>
                <w:szCs w:val="18"/>
              </w:rPr>
            </w:pPr>
          </w:p>
        </w:tc>
        <w:tc>
          <w:tcPr>
            <w:tcW w:w="809" w:type="dxa"/>
            <w:vMerge w:val="continue"/>
            <w:vAlign w:val="center"/>
          </w:tcPr>
          <w:p w14:paraId="6F0D667E">
            <w:pPr>
              <w:spacing w:before="31" w:after="31" w:line="240" w:lineRule="auto"/>
              <w:jc w:val="center"/>
              <w:rPr>
                <w:rFonts w:hint="default" w:ascii="Times New Roman" w:hAnsi="Times New Roman" w:eastAsia="宋体" w:cs="Times New Roman"/>
                <w:color w:val="auto"/>
                <w:sz w:val="18"/>
                <w:szCs w:val="18"/>
              </w:rPr>
            </w:pPr>
          </w:p>
        </w:tc>
        <w:tc>
          <w:tcPr>
            <w:tcW w:w="900" w:type="dxa"/>
            <w:vAlign w:val="center"/>
          </w:tcPr>
          <w:p w14:paraId="2D28F698">
            <w:pPr>
              <w:adjustRightInd w:val="0"/>
              <w:spacing w:line="240" w:lineRule="auto"/>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TSP</w:t>
            </w:r>
          </w:p>
        </w:tc>
        <w:tc>
          <w:tcPr>
            <w:tcW w:w="2124" w:type="dxa"/>
            <w:vMerge w:val="continue"/>
            <w:vAlign w:val="center"/>
          </w:tcPr>
          <w:p w14:paraId="62F38CBE">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eastAsia="宋体" w:cs="Times New Roman"/>
                <w:bCs/>
                <w:color w:val="auto"/>
                <w:sz w:val="18"/>
                <w:szCs w:val="18"/>
              </w:rPr>
            </w:pPr>
          </w:p>
        </w:tc>
        <w:tc>
          <w:tcPr>
            <w:tcW w:w="1432" w:type="dxa"/>
            <w:vMerge w:val="continue"/>
            <w:vAlign w:val="center"/>
          </w:tcPr>
          <w:p w14:paraId="55569FA9">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eastAsia="宋体" w:cs="Times New Roman"/>
                <w:bCs/>
                <w:color w:val="auto"/>
                <w:sz w:val="18"/>
                <w:szCs w:val="18"/>
              </w:rPr>
            </w:pPr>
          </w:p>
        </w:tc>
        <w:tc>
          <w:tcPr>
            <w:tcW w:w="1200" w:type="dxa"/>
            <w:vAlign w:val="center"/>
          </w:tcPr>
          <w:p w14:paraId="1F26A10E">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1.0</w:t>
            </w:r>
          </w:p>
        </w:tc>
        <w:tc>
          <w:tcPr>
            <w:tcW w:w="1207" w:type="dxa"/>
            <w:vAlign w:val="center"/>
          </w:tcPr>
          <w:p w14:paraId="7D6CDA82">
            <w:pPr>
              <w:snapToGrid w:val="0"/>
              <w:spacing w:line="240" w:lineRule="auto"/>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color w:val="auto"/>
                <w:sz w:val="18"/>
                <w:szCs w:val="18"/>
                <w:highlight w:val="none"/>
                <w:lang w:val="en-US" w:eastAsia="zh-CN"/>
              </w:rPr>
              <w:t>0.107</w:t>
            </w:r>
          </w:p>
        </w:tc>
      </w:tr>
      <w:tr w14:paraId="1C12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8945" w:type="dxa"/>
            <w:gridSpan w:val="9"/>
            <w:vAlign w:val="center"/>
          </w:tcPr>
          <w:p w14:paraId="38D45FB0">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b/>
                <w:bCs/>
                <w:color w:val="auto"/>
                <w:kern w:val="0"/>
                <w:sz w:val="18"/>
                <w:szCs w:val="18"/>
              </w:rPr>
              <w:t>无组织排放总计</w:t>
            </w:r>
          </w:p>
        </w:tc>
      </w:tr>
      <w:tr w14:paraId="590C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82" w:type="dxa"/>
            <w:gridSpan w:val="5"/>
            <w:vMerge w:val="restart"/>
            <w:vAlign w:val="center"/>
          </w:tcPr>
          <w:p w14:paraId="3CEA6956">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无组织排放总计</w:t>
            </w:r>
          </w:p>
        </w:tc>
        <w:tc>
          <w:tcPr>
            <w:tcW w:w="3556" w:type="dxa"/>
            <w:gridSpan w:val="2"/>
            <w:vAlign w:val="center"/>
          </w:tcPr>
          <w:p w14:paraId="359D2D08">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NH</w:t>
            </w:r>
            <w:r>
              <w:rPr>
                <w:rFonts w:hint="default" w:ascii="Times New Roman" w:hAnsi="Times New Roman" w:cs="Times New Roman"/>
                <w:color w:val="auto"/>
                <w:kern w:val="0"/>
                <w:sz w:val="18"/>
                <w:szCs w:val="18"/>
                <w:vertAlign w:val="subscript"/>
              </w:rPr>
              <w:t>3</w:t>
            </w:r>
          </w:p>
        </w:tc>
        <w:tc>
          <w:tcPr>
            <w:tcW w:w="2407" w:type="dxa"/>
            <w:gridSpan w:val="2"/>
            <w:shd w:val="clear" w:color="auto" w:fill="auto"/>
            <w:vAlign w:val="center"/>
          </w:tcPr>
          <w:p w14:paraId="50D0FC0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0.0461</w:t>
            </w:r>
          </w:p>
        </w:tc>
      </w:tr>
      <w:tr w14:paraId="6A9A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82" w:type="dxa"/>
            <w:gridSpan w:val="5"/>
            <w:vMerge w:val="continue"/>
            <w:vAlign w:val="center"/>
          </w:tcPr>
          <w:p w14:paraId="155C0A40">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cs="Times New Roman"/>
                <w:color w:val="auto"/>
                <w:kern w:val="0"/>
                <w:sz w:val="18"/>
                <w:szCs w:val="18"/>
              </w:rPr>
            </w:pPr>
          </w:p>
        </w:tc>
        <w:tc>
          <w:tcPr>
            <w:tcW w:w="3556" w:type="dxa"/>
            <w:gridSpan w:val="2"/>
            <w:vAlign w:val="center"/>
          </w:tcPr>
          <w:p w14:paraId="12D520D2">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H</w:t>
            </w:r>
            <w:r>
              <w:rPr>
                <w:rFonts w:hint="default" w:ascii="Times New Roman" w:hAnsi="Times New Roman" w:cs="Times New Roman"/>
                <w:color w:val="auto"/>
                <w:kern w:val="0"/>
                <w:sz w:val="18"/>
                <w:szCs w:val="18"/>
                <w:vertAlign w:val="subscript"/>
              </w:rPr>
              <w:t>2</w:t>
            </w:r>
            <w:r>
              <w:rPr>
                <w:rFonts w:hint="default" w:ascii="Times New Roman" w:hAnsi="Times New Roman" w:cs="Times New Roman"/>
                <w:color w:val="auto"/>
                <w:kern w:val="0"/>
                <w:sz w:val="18"/>
                <w:szCs w:val="18"/>
              </w:rPr>
              <w:t>S</w:t>
            </w:r>
          </w:p>
        </w:tc>
        <w:tc>
          <w:tcPr>
            <w:tcW w:w="2407" w:type="dxa"/>
            <w:gridSpan w:val="2"/>
            <w:shd w:val="clear" w:color="auto" w:fill="auto"/>
            <w:vAlign w:val="center"/>
          </w:tcPr>
          <w:p w14:paraId="191C322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0.00979</w:t>
            </w:r>
          </w:p>
        </w:tc>
      </w:tr>
      <w:tr w14:paraId="7BBB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82" w:type="dxa"/>
            <w:gridSpan w:val="5"/>
            <w:vMerge w:val="continue"/>
            <w:vAlign w:val="center"/>
          </w:tcPr>
          <w:p w14:paraId="1FBDAA72">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cs="Times New Roman"/>
                <w:color w:val="auto"/>
                <w:kern w:val="0"/>
                <w:sz w:val="18"/>
                <w:szCs w:val="18"/>
              </w:rPr>
            </w:pPr>
          </w:p>
        </w:tc>
        <w:tc>
          <w:tcPr>
            <w:tcW w:w="3556" w:type="dxa"/>
            <w:gridSpan w:val="2"/>
            <w:vAlign w:val="center"/>
          </w:tcPr>
          <w:p w14:paraId="37C9D981">
            <w:pPr>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bCs/>
                <w:color w:val="auto"/>
                <w:sz w:val="18"/>
                <w:szCs w:val="18"/>
              </w:rPr>
              <w:t>SO</w:t>
            </w:r>
            <w:r>
              <w:rPr>
                <w:rFonts w:hint="default" w:ascii="Times New Roman" w:hAnsi="Times New Roman" w:cs="Times New Roman"/>
                <w:bCs/>
                <w:color w:val="auto"/>
                <w:sz w:val="18"/>
                <w:szCs w:val="18"/>
                <w:vertAlign w:val="subscript"/>
              </w:rPr>
              <w:t>2</w:t>
            </w:r>
          </w:p>
        </w:tc>
        <w:tc>
          <w:tcPr>
            <w:tcW w:w="2407" w:type="dxa"/>
            <w:gridSpan w:val="2"/>
            <w:vAlign w:val="center"/>
          </w:tcPr>
          <w:p w14:paraId="28797208">
            <w:pPr>
              <w:snapToGrid w:val="0"/>
              <w:spacing w:line="240" w:lineRule="auto"/>
              <w:jc w:val="center"/>
              <w:rPr>
                <w:rFonts w:hint="default" w:ascii="Times New Roman" w:hAnsi="Times New Roman" w:eastAsia="宋体" w:cs="Times New Roman"/>
                <w:b w:val="0"/>
                <w:bCs w:val="0"/>
                <w:color w:val="auto"/>
                <w:kern w:val="0"/>
                <w:sz w:val="18"/>
                <w:szCs w:val="18"/>
                <w:vertAlign w:val="baseline"/>
                <w:lang w:val="en-US" w:eastAsia="zh-CN" w:bidi="ar"/>
              </w:rPr>
            </w:pPr>
            <w:r>
              <w:rPr>
                <w:rFonts w:hint="default" w:ascii="Times New Roman" w:hAnsi="Times New Roman" w:cs="Times New Roman"/>
                <w:color w:val="auto"/>
                <w:sz w:val="18"/>
                <w:szCs w:val="18"/>
                <w:highlight w:val="none"/>
                <w:lang w:val="en-US" w:eastAsia="zh-CN"/>
              </w:rPr>
              <w:t>0.0306</w:t>
            </w:r>
          </w:p>
        </w:tc>
      </w:tr>
      <w:tr w14:paraId="5B2F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82" w:type="dxa"/>
            <w:gridSpan w:val="5"/>
            <w:vMerge w:val="continue"/>
            <w:vAlign w:val="center"/>
          </w:tcPr>
          <w:p w14:paraId="2D78FEFE">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cs="Times New Roman"/>
                <w:color w:val="auto"/>
                <w:kern w:val="0"/>
                <w:sz w:val="18"/>
                <w:szCs w:val="18"/>
              </w:rPr>
            </w:pPr>
          </w:p>
        </w:tc>
        <w:tc>
          <w:tcPr>
            <w:tcW w:w="3556" w:type="dxa"/>
            <w:gridSpan w:val="2"/>
            <w:vAlign w:val="center"/>
          </w:tcPr>
          <w:p w14:paraId="5363AF97">
            <w:pPr>
              <w:adjustRightInd w:val="0"/>
              <w:spacing w:line="240" w:lineRule="auto"/>
              <w:jc w:val="center"/>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bCs/>
                <w:color w:val="auto"/>
                <w:sz w:val="18"/>
                <w:szCs w:val="18"/>
              </w:rPr>
              <w:t>NO</w:t>
            </w:r>
            <w:r>
              <w:rPr>
                <w:rFonts w:hint="default" w:ascii="Times New Roman" w:hAnsi="Times New Roman" w:cs="Times New Roman"/>
                <w:bCs/>
                <w:color w:val="auto"/>
                <w:sz w:val="18"/>
                <w:szCs w:val="18"/>
                <w:vertAlign w:val="subscript"/>
              </w:rPr>
              <w:t>x</w:t>
            </w:r>
          </w:p>
        </w:tc>
        <w:tc>
          <w:tcPr>
            <w:tcW w:w="2407" w:type="dxa"/>
            <w:gridSpan w:val="2"/>
            <w:vAlign w:val="center"/>
          </w:tcPr>
          <w:p w14:paraId="5448A6FB">
            <w:pPr>
              <w:snapToGrid w:val="0"/>
              <w:spacing w:line="240" w:lineRule="auto"/>
              <w:jc w:val="center"/>
              <w:rPr>
                <w:rFonts w:hint="default" w:ascii="Times New Roman" w:hAnsi="Times New Roman" w:eastAsia="宋体" w:cs="Times New Roman"/>
                <w:b w:val="0"/>
                <w:bCs w:val="0"/>
                <w:color w:val="auto"/>
                <w:kern w:val="0"/>
                <w:sz w:val="18"/>
                <w:szCs w:val="18"/>
                <w:vertAlign w:val="baseline"/>
                <w:lang w:val="en-US" w:eastAsia="zh-CN" w:bidi="ar"/>
              </w:rPr>
            </w:pPr>
            <w:r>
              <w:rPr>
                <w:rFonts w:hint="default" w:ascii="Times New Roman" w:hAnsi="Times New Roman" w:cs="Times New Roman"/>
                <w:color w:val="auto"/>
                <w:sz w:val="18"/>
                <w:szCs w:val="18"/>
                <w:highlight w:val="none"/>
                <w:vertAlign w:val="baseline"/>
                <w:lang w:val="en-US" w:eastAsia="zh-CN"/>
              </w:rPr>
              <w:t>0.234</w:t>
            </w:r>
          </w:p>
        </w:tc>
      </w:tr>
      <w:tr w14:paraId="5CB88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2982" w:type="dxa"/>
            <w:gridSpan w:val="5"/>
            <w:vMerge w:val="continue"/>
            <w:vAlign w:val="center"/>
          </w:tcPr>
          <w:p w14:paraId="59522FC6">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cs="Times New Roman"/>
                <w:color w:val="auto"/>
                <w:kern w:val="0"/>
                <w:sz w:val="18"/>
                <w:szCs w:val="18"/>
              </w:rPr>
            </w:pPr>
          </w:p>
        </w:tc>
        <w:tc>
          <w:tcPr>
            <w:tcW w:w="3556" w:type="dxa"/>
            <w:gridSpan w:val="2"/>
            <w:vAlign w:val="center"/>
          </w:tcPr>
          <w:p w14:paraId="37BD2503">
            <w:pPr>
              <w:adjustRightInd w:val="0"/>
              <w:spacing w:line="240" w:lineRule="auto"/>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TSP</w:t>
            </w:r>
          </w:p>
        </w:tc>
        <w:tc>
          <w:tcPr>
            <w:tcW w:w="2407" w:type="dxa"/>
            <w:gridSpan w:val="2"/>
            <w:vAlign w:val="center"/>
          </w:tcPr>
          <w:p w14:paraId="3776EB4A">
            <w:pPr>
              <w:snapToGrid w:val="0"/>
              <w:spacing w:line="240" w:lineRule="auto"/>
              <w:jc w:val="center"/>
              <w:rPr>
                <w:rFonts w:hint="default" w:ascii="Times New Roman" w:hAnsi="Times New Roman" w:eastAsia="宋体" w:cs="Times New Roman"/>
                <w:b w:val="0"/>
                <w:bCs w:val="0"/>
                <w:color w:val="auto"/>
                <w:kern w:val="0"/>
                <w:sz w:val="18"/>
                <w:szCs w:val="18"/>
                <w:vertAlign w:val="baseline"/>
                <w:lang w:val="en-US" w:eastAsia="zh-CN" w:bidi="ar"/>
              </w:rPr>
            </w:pPr>
            <w:r>
              <w:rPr>
                <w:rFonts w:hint="default" w:ascii="Times New Roman" w:hAnsi="Times New Roman" w:cs="Times New Roman"/>
                <w:color w:val="auto"/>
                <w:sz w:val="18"/>
                <w:szCs w:val="18"/>
                <w:highlight w:val="none"/>
                <w:lang w:val="en-US" w:eastAsia="zh-CN"/>
              </w:rPr>
              <w:t>0.107</w:t>
            </w:r>
          </w:p>
        </w:tc>
      </w:tr>
    </w:tbl>
    <w:p w14:paraId="36F6F240">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表5.2.1-</w:t>
      </w:r>
      <w:r>
        <w:rPr>
          <w:rFonts w:hint="default" w:ascii="Times New Roman" w:hAnsi="Times New Roman" w:cs="Times New Roman"/>
          <w:b/>
          <w:color w:val="auto"/>
          <w:szCs w:val="21"/>
          <w:highlight w:val="none"/>
          <w:lang w:val="en-US" w:eastAsia="zh-CN"/>
        </w:rPr>
        <w:t>13</w:t>
      </w:r>
      <w:r>
        <w:rPr>
          <w:rFonts w:hint="default" w:ascii="Times New Roman" w:hAnsi="Times New Roman" w:cs="Times New Roman"/>
          <w:b/>
          <w:color w:val="auto"/>
          <w:szCs w:val="21"/>
          <w:highlight w:val="none"/>
        </w:rPr>
        <w:t xml:space="preserve">    本项目大气污染物年排放量核算表</w:t>
      </w:r>
    </w:p>
    <w:tbl>
      <w:tblPr>
        <w:tblStyle w:val="23"/>
        <w:tblW w:w="87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3775"/>
        <w:gridCol w:w="3777"/>
      </w:tblGrid>
      <w:tr w14:paraId="03DE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9" w:type="dxa"/>
            <w:vAlign w:val="center"/>
          </w:tcPr>
          <w:p w14:paraId="1AF358B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序号</w:t>
            </w:r>
          </w:p>
        </w:tc>
        <w:tc>
          <w:tcPr>
            <w:tcW w:w="3775" w:type="dxa"/>
            <w:vAlign w:val="center"/>
          </w:tcPr>
          <w:p w14:paraId="5D945694">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污染物</w:t>
            </w:r>
          </w:p>
        </w:tc>
        <w:tc>
          <w:tcPr>
            <w:tcW w:w="3777" w:type="dxa"/>
            <w:vAlign w:val="center"/>
          </w:tcPr>
          <w:p w14:paraId="676FC4B6">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年排放量（t/a）</w:t>
            </w:r>
          </w:p>
        </w:tc>
      </w:tr>
      <w:tr w14:paraId="0250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9" w:type="dxa"/>
            <w:vAlign w:val="center"/>
          </w:tcPr>
          <w:p w14:paraId="4D30E81F">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3775" w:type="dxa"/>
            <w:vAlign w:val="center"/>
          </w:tcPr>
          <w:p w14:paraId="3B0803C6">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NH</w:t>
            </w:r>
            <w:r>
              <w:rPr>
                <w:rFonts w:hint="default" w:ascii="Times New Roman" w:hAnsi="Times New Roman" w:cs="Times New Roman"/>
                <w:color w:val="auto"/>
                <w:kern w:val="0"/>
                <w:sz w:val="18"/>
                <w:szCs w:val="18"/>
                <w:vertAlign w:val="subscript"/>
              </w:rPr>
              <w:t>3</w:t>
            </w:r>
          </w:p>
        </w:tc>
        <w:tc>
          <w:tcPr>
            <w:tcW w:w="3777" w:type="dxa"/>
            <w:vAlign w:val="center"/>
          </w:tcPr>
          <w:p w14:paraId="7FC8515C">
            <w:pPr>
              <w:keepNext w:val="0"/>
              <w:keepLines w:val="0"/>
              <w:widowControl/>
              <w:suppressLineNumbers w:val="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0.0461</w:t>
            </w:r>
          </w:p>
        </w:tc>
      </w:tr>
      <w:tr w14:paraId="410D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9" w:type="dxa"/>
            <w:vAlign w:val="center"/>
          </w:tcPr>
          <w:p w14:paraId="371274C9">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3775" w:type="dxa"/>
            <w:vAlign w:val="center"/>
          </w:tcPr>
          <w:p w14:paraId="7AC75ACE">
            <w:pPr>
              <w:widowControl/>
              <w:tabs>
                <w:tab w:val="left" w:pos="540"/>
                <w:tab w:val="left" w:pos="851"/>
                <w:tab w:val="left" w:pos="994"/>
                <w:tab w:val="left" w:pos="1260"/>
                <w:tab w:val="left" w:pos="3108"/>
                <w:tab w:val="left" w:pos="3150"/>
              </w:tabs>
              <w:adjustRightIn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H</w:t>
            </w:r>
            <w:r>
              <w:rPr>
                <w:rFonts w:hint="default" w:ascii="Times New Roman" w:hAnsi="Times New Roman" w:cs="Times New Roman"/>
                <w:color w:val="auto"/>
                <w:kern w:val="0"/>
                <w:sz w:val="18"/>
                <w:szCs w:val="18"/>
                <w:vertAlign w:val="subscript"/>
              </w:rPr>
              <w:t>2</w:t>
            </w:r>
            <w:r>
              <w:rPr>
                <w:rFonts w:hint="default" w:ascii="Times New Roman" w:hAnsi="Times New Roman" w:cs="Times New Roman"/>
                <w:color w:val="auto"/>
                <w:kern w:val="0"/>
                <w:sz w:val="18"/>
                <w:szCs w:val="18"/>
              </w:rPr>
              <w:t>S</w:t>
            </w:r>
          </w:p>
        </w:tc>
        <w:tc>
          <w:tcPr>
            <w:tcW w:w="3777" w:type="dxa"/>
            <w:vAlign w:val="center"/>
          </w:tcPr>
          <w:p w14:paraId="52CD3D77">
            <w:pPr>
              <w:keepNext w:val="0"/>
              <w:keepLines w:val="0"/>
              <w:widowControl/>
              <w:suppressLineNumbers w:val="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0.00979</w:t>
            </w:r>
          </w:p>
        </w:tc>
      </w:tr>
      <w:tr w14:paraId="683B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9" w:type="dxa"/>
            <w:vAlign w:val="center"/>
          </w:tcPr>
          <w:p w14:paraId="040A8B3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3775" w:type="dxa"/>
            <w:vAlign w:val="center"/>
          </w:tcPr>
          <w:p w14:paraId="2D22FC6E">
            <w:pPr>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bCs/>
                <w:color w:val="auto"/>
                <w:sz w:val="18"/>
                <w:szCs w:val="18"/>
              </w:rPr>
              <w:t>SO</w:t>
            </w:r>
            <w:r>
              <w:rPr>
                <w:rFonts w:hint="default" w:ascii="Times New Roman" w:hAnsi="Times New Roman" w:cs="Times New Roman"/>
                <w:bCs/>
                <w:color w:val="auto"/>
                <w:sz w:val="18"/>
                <w:szCs w:val="18"/>
                <w:vertAlign w:val="subscript"/>
              </w:rPr>
              <w:t>2</w:t>
            </w:r>
          </w:p>
        </w:tc>
        <w:tc>
          <w:tcPr>
            <w:tcW w:w="3777" w:type="dxa"/>
            <w:vAlign w:val="center"/>
          </w:tcPr>
          <w:p w14:paraId="4354D9EF">
            <w:pPr>
              <w:snapToGrid w:val="0"/>
              <w:spacing w:line="240" w:lineRule="auto"/>
              <w:jc w:val="center"/>
              <w:rPr>
                <w:rFonts w:hint="default" w:ascii="Times New Roman" w:hAnsi="Times New Roman" w:eastAsia="宋体" w:cs="Times New Roman"/>
                <w:color w:val="auto"/>
                <w:kern w:val="0"/>
                <w:sz w:val="18"/>
                <w:szCs w:val="18"/>
                <w:lang w:val="en-US" w:eastAsia="zh-CN" w:bidi="en-US"/>
              </w:rPr>
            </w:pPr>
            <w:r>
              <w:rPr>
                <w:rFonts w:hint="default" w:ascii="Times New Roman" w:hAnsi="Times New Roman" w:cs="Times New Roman"/>
                <w:color w:val="auto"/>
                <w:sz w:val="18"/>
                <w:szCs w:val="18"/>
                <w:highlight w:val="none"/>
                <w:lang w:val="en-US" w:eastAsia="zh-CN"/>
              </w:rPr>
              <w:t>0.0306</w:t>
            </w:r>
          </w:p>
        </w:tc>
      </w:tr>
      <w:tr w14:paraId="3AE7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239" w:type="dxa"/>
            <w:vAlign w:val="center"/>
          </w:tcPr>
          <w:p w14:paraId="4FFCD157">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3775" w:type="dxa"/>
            <w:vAlign w:val="center"/>
          </w:tcPr>
          <w:p w14:paraId="5B340C85">
            <w:pPr>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bCs/>
                <w:color w:val="auto"/>
                <w:sz w:val="18"/>
                <w:szCs w:val="18"/>
              </w:rPr>
              <w:t>NO</w:t>
            </w:r>
            <w:r>
              <w:rPr>
                <w:rFonts w:hint="default" w:ascii="Times New Roman" w:hAnsi="Times New Roman" w:cs="Times New Roman"/>
                <w:bCs/>
                <w:color w:val="auto"/>
                <w:sz w:val="18"/>
                <w:szCs w:val="18"/>
                <w:vertAlign w:val="subscript"/>
              </w:rPr>
              <w:t>x</w:t>
            </w:r>
          </w:p>
        </w:tc>
        <w:tc>
          <w:tcPr>
            <w:tcW w:w="3777" w:type="dxa"/>
            <w:vAlign w:val="center"/>
          </w:tcPr>
          <w:p w14:paraId="4EDDCA36">
            <w:pPr>
              <w:snapToGrid w:val="0"/>
              <w:spacing w:line="240" w:lineRule="auto"/>
              <w:jc w:val="center"/>
              <w:rPr>
                <w:rFonts w:hint="default" w:ascii="Times New Roman" w:hAnsi="Times New Roman" w:eastAsia="宋体" w:cs="Times New Roman"/>
                <w:color w:val="auto"/>
                <w:kern w:val="0"/>
                <w:sz w:val="18"/>
                <w:szCs w:val="18"/>
                <w:lang w:val="en-US" w:eastAsia="zh-CN" w:bidi="en-US"/>
              </w:rPr>
            </w:pPr>
            <w:r>
              <w:rPr>
                <w:rFonts w:hint="default" w:ascii="Times New Roman" w:hAnsi="Times New Roman" w:cs="Times New Roman"/>
                <w:color w:val="auto"/>
                <w:sz w:val="18"/>
                <w:szCs w:val="18"/>
                <w:highlight w:val="none"/>
                <w:vertAlign w:val="baseline"/>
                <w:lang w:val="en-US" w:eastAsia="zh-CN"/>
              </w:rPr>
              <w:t>0.234</w:t>
            </w:r>
          </w:p>
        </w:tc>
      </w:tr>
      <w:tr w14:paraId="37FA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239" w:type="dxa"/>
            <w:vAlign w:val="center"/>
          </w:tcPr>
          <w:p w14:paraId="328FD985">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w:t>
            </w:r>
          </w:p>
        </w:tc>
        <w:tc>
          <w:tcPr>
            <w:tcW w:w="3775" w:type="dxa"/>
            <w:vAlign w:val="center"/>
          </w:tcPr>
          <w:p w14:paraId="1F3C3CE3">
            <w:pPr>
              <w:spacing w:line="240" w:lineRule="auto"/>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3777" w:type="dxa"/>
            <w:vAlign w:val="center"/>
          </w:tcPr>
          <w:p w14:paraId="1DE71703">
            <w:pPr>
              <w:snapToGrid w:val="0"/>
              <w:spacing w:line="240" w:lineRule="auto"/>
              <w:jc w:val="center"/>
              <w:rPr>
                <w:rFonts w:hint="default" w:ascii="Times New Roman" w:hAnsi="Times New Roman" w:eastAsia="宋体" w:cs="Times New Roman"/>
                <w:color w:val="auto"/>
                <w:kern w:val="0"/>
                <w:sz w:val="18"/>
                <w:szCs w:val="18"/>
                <w:lang w:val="en-US" w:eastAsia="zh-CN" w:bidi="en-US"/>
              </w:rPr>
            </w:pPr>
            <w:r>
              <w:rPr>
                <w:rFonts w:hint="default" w:ascii="Times New Roman" w:hAnsi="Times New Roman" w:cs="Times New Roman"/>
                <w:color w:val="auto"/>
                <w:sz w:val="18"/>
                <w:szCs w:val="18"/>
                <w:highlight w:val="none"/>
                <w:lang w:val="en-US" w:eastAsia="zh-CN"/>
              </w:rPr>
              <w:t>0.107</w:t>
            </w:r>
          </w:p>
        </w:tc>
      </w:tr>
    </w:tbl>
    <w:p w14:paraId="405F5C03">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5.2.1.8废气非正常排放</w:t>
      </w:r>
    </w:p>
    <w:p w14:paraId="3F4194FF">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项目特征污染物情况，非正常工况废气排放考虑厂区恶臭。事故情况下，项目区未按时喷洒除臭剂，或者除臭剂喷洒频次不够等情况，导致恶臭气体处理效率下降，场内下风向恶臭气体浓度升高，对大气环境产生影响。非正常情况下猪舍</w:t>
      </w:r>
      <w:r>
        <w:rPr>
          <w:rFonts w:hint="default" w:ascii="Times New Roman" w:hAnsi="Times New Roman" w:cs="Times New Roman"/>
          <w:color w:val="auto"/>
          <w:sz w:val="24"/>
          <w:highlight w:val="none"/>
          <w:lang w:val="en-US" w:eastAsia="zh-CN"/>
        </w:rPr>
        <w:t>、废水收集池</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堆粪棚</w:t>
      </w:r>
      <w:r>
        <w:rPr>
          <w:rFonts w:hint="default" w:ascii="Times New Roman" w:hAnsi="Times New Roman" w:cs="Times New Roman"/>
          <w:color w:val="auto"/>
          <w:sz w:val="24"/>
          <w:highlight w:val="none"/>
        </w:rPr>
        <w:t>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S去除效率按照0计</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非正常情况下应立即组织人员进行补充生物除臭剂喷洒，并加大喷洒频次和密度，喷洒效果以无明显恶臭气味为准。一般应急响应时间按照1小时考虑，非正常大气污染物排放情况见表5.2.1-</w:t>
      </w:r>
      <w:r>
        <w:rPr>
          <w:rFonts w:hint="default" w:ascii="Times New Roman" w:hAnsi="Times New Roman" w:cs="Times New Roman"/>
          <w:color w:val="auto"/>
          <w:sz w:val="24"/>
          <w:highlight w:val="none"/>
          <w:lang w:val="en-US" w:eastAsia="zh-CN"/>
        </w:rPr>
        <w:t>14</w:t>
      </w:r>
      <w:r>
        <w:rPr>
          <w:rFonts w:hint="default" w:ascii="Times New Roman" w:hAnsi="Times New Roman" w:cs="Times New Roman"/>
          <w:color w:val="auto"/>
          <w:sz w:val="24"/>
          <w:highlight w:val="none"/>
        </w:rPr>
        <w:t>。</w:t>
      </w:r>
    </w:p>
    <w:p w14:paraId="1F69F797">
      <w:pPr>
        <w:snapToGrid w:val="0"/>
        <w:ind w:firstLine="422" w:firstLineChars="20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表5.2.1-</w:t>
      </w:r>
      <w:r>
        <w:rPr>
          <w:rFonts w:hint="default" w:ascii="Times New Roman" w:hAnsi="Times New Roman" w:cs="Times New Roman"/>
          <w:b/>
          <w:color w:val="auto"/>
          <w:szCs w:val="21"/>
          <w:highlight w:val="none"/>
          <w:lang w:val="en-US" w:eastAsia="zh-CN"/>
        </w:rPr>
        <w:t>14</w:t>
      </w:r>
      <w:r>
        <w:rPr>
          <w:rFonts w:hint="default" w:ascii="Times New Roman" w:hAnsi="Times New Roman" w:cs="Times New Roman"/>
          <w:b/>
          <w:color w:val="auto"/>
          <w:szCs w:val="21"/>
          <w:highlight w:val="none"/>
        </w:rPr>
        <w:t xml:space="preserve">   本项目废气污染源非正常排放情况一览表</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643"/>
        <w:gridCol w:w="590"/>
        <w:gridCol w:w="1035"/>
        <w:gridCol w:w="950"/>
        <w:gridCol w:w="1035"/>
        <w:gridCol w:w="850"/>
        <w:gridCol w:w="567"/>
        <w:gridCol w:w="851"/>
        <w:gridCol w:w="1457"/>
      </w:tblGrid>
      <w:tr w14:paraId="2D75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17" w:type="dxa"/>
            <w:vAlign w:val="center"/>
          </w:tcPr>
          <w:p w14:paraId="07FC2B40">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装置</w:t>
            </w:r>
          </w:p>
        </w:tc>
        <w:tc>
          <w:tcPr>
            <w:tcW w:w="643" w:type="dxa"/>
            <w:vAlign w:val="center"/>
          </w:tcPr>
          <w:p w14:paraId="1C112AA6">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排放方式</w:t>
            </w:r>
          </w:p>
        </w:tc>
        <w:tc>
          <w:tcPr>
            <w:tcW w:w="590" w:type="dxa"/>
            <w:vAlign w:val="center"/>
          </w:tcPr>
          <w:p w14:paraId="58952D6E">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污染物</w:t>
            </w:r>
          </w:p>
        </w:tc>
        <w:tc>
          <w:tcPr>
            <w:tcW w:w="1035" w:type="dxa"/>
            <w:vAlign w:val="center"/>
          </w:tcPr>
          <w:p w14:paraId="10839361">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产生速率</w:t>
            </w:r>
          </w:p>
          <w:p w14:paraId="19B31DF3">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（kg/h）</w:t>
            </w:r>
          </w:p>
        </w:tc>
        <w:tc>
          <w:tcPr>
            <w:tcW w:w="950" w:type="dxa"/>
            <w:vAlign w:val="center"/>
          </w:tcPr>
          <w:p w14:paraId="4A40D015">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措施治理效率%</w:t>
            </w:r>
          </w:p>
        </w:tc>
        <w:tc>
          <w:tcPr>
            <w:tcW w:w="1035" w:type="dxa"/>
            <w:vAlign w:val="center"/>
          </w:tcPr>
          <w:p w14:paraId="32768129">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排放速率</w:t>
            </w:r>
          </w:p>
          <w:p w14:paraId="5BB7A805">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（kg/h）</w:t>
            </w:r>
          </w:p>
        </w:tc>
        <w:tc>
          <w:tcPr>
            <w:tcW w:w="850" w:type="dxa"/>
            <w:vAlign w:val="center"/>
          </w:tcPr>
          <w:p w14:paraId="54F5B771">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持续时间/h</w:t>
            </w:r>
          </w:p>
        </w:tc>
        <w:tc>
          <w:tcPr>
            <w:tcW w:w="567" w:type="dxa"/>
            <w:vAlign w:val="center"/>
          </w:tcPr>
          <w:p w14:paraId="193517C4">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频次/a</w:t>
            </w:r>
          </w:p>
        </w:tc>
        <w:tc>
          <w:tcPr>
            <w:tcW w:w="851" w:type="dxa"/>
            <w:vAlign w:val="center"/>
          </w:tcPr>
          <w:p w14:paraId="17341CD6">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年排放时间h</w:t>
            </w:r>
          </w:p>
        </w:tc>
        <w:tc>
          <w:tcPr>
            <w:tcW w:w="1457" w:type="dxa"/>
            <w:vAlign w:val="center"/>
          </w:tcPr>
          <w:p w14:paraId="499E0E96">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控制措施</w:t>
            </w:r>
          </w:p>
        </w:tc>
      </w:tr>
      <w:tr w14:paraId="1687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7" w:type="dxa"/>
            <w:vMerge w:val="restart"/>
            <w:vAlign w:val="center"/>
          </w:tcPr>
          <w:p w14:paraId="0DB4232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猪舍</w:t>
            </w:r>
          </w:p>
        </w:tc>
        <w:tc>
          <w:tcPr>
            <w:tcW w:w="643" w:type="dxa"/>
            <w:vMerge w:val="restart"/>
            <w:vAlign w:val="center"/>
          </w:tcPr>
          <w:p w14:paraId="4364EBE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无组织排放</w:t>
            </w:r>
          </w:p>
        </w:tc>
        <w:tc>
          <w:tcPr>
            <w:tcW w:w="590" w:type="dxa"/>
            <w:vAlign w:val="center"/>
          </w:tcPr>
          <w:p w14:paraId="625B3AEA">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NH</w:t>
            </w:r>
            <w:r>
              <w:rPr>
                <w:rFonts w:hint="default" w:ascii="Times New Roman" w:hAnsi="Times New Roman" w:cs="Times New Roman"/>
                <w:color w:val="auto"/>
                <w:kern w:val="0"/>
                <w:sz w:val="18"/>
                <w:szCs w:val="18"/>
                <w:highlight w:val="none"/>
                <w:vertAlign w:val="subscript"/>
              </w:rPr>
              <w:t>3</w:t>
            </w:r>
          </w:p>
        </w:tc>
        <w:tc>
          <w:tcPr>
            <w:tcW w:w="1035" w:type="dxa"/>
            <w:vAlign w:val="center"/>
          </w:tcPr>
          <w:p w14:paraId="66807B0C">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0.085</w:t>
            </w:r>
          </w:p>
        </w:tc>
        <w:tc>
          <w:tcPr>
            <w:tcW w:w="950" w:type="dxa"/>
            <w:vAlign w:val="center"/>
          </w:tcPr>
          <w:p w14:paraId="01A105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1035" w:type="dxa"/>
            <w:vAlign w:val="center"/>
          </w:tcPr>
          <w:p w14:paraId="21846CB0">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0.085</w:t>
            </w:r>
          </w:p>
        </w:tc>
        <w:tc>
          <w:tcPr>
            <w:tcW w:w="850" w:type="dxa"/>
            <w:vMerge w:val="restart"/>
            <w:vAlign w:val="center"/>
          </w:tcPr>
          <w:p w14:paraId="3D4E22C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567" w:type="dxa"/>
            <w:vMerge w:val="restart"/>
            <w:vAlign w:val="center"/>
          </w:tcPr>
          <w:p w14:paraId="17A03C11">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val="en-US" w:eastAsia="zh-CN"/>
              </w:rPr>
              <w:t>1</w:t>
            </w:r>
          </w:p>
        </w:tc>
        <w:tc>
          <w:tcPr>
            <w:tcW w:w="851" w:type="dxa"/>
            <w:vMerge w:val="restart"/>
            <w:vAlign w:val="center"/>
          </w:tcPr>
          <w:p w14:paraId="7A73F509">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val="en-US" w:eastAsia="zh-CN"/>
              </w:rPr>
              <w:t>1</w:t>
            </w:r>
          </w:p>
        </w:tc>
        <w:tc>
          <w:tcPr>
            <w:tcW w:w="1457" w:type="dxa"/>
            <w:vMerge w:val="restart"/>
            <w:vAlign w:val="center"/>
          </w:tcPr>
          <w:p w14:paraId="29E40A8E">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立即组织人员进行补充生物除臭剂喷洒，并加大喷洒频次和密度，喷洒效果以无明显恶臭气味为准</w:t>
            </w:r>
          </w:p>
        </w:tc>
      </w:tr>
      <w:tr w14:paraId="2EAD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14:paraId="17554B9E">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643" w:type="dxa"/>
            <w:vMerge w:val="continue"/>
            <w:vAlign w:val="center"/>
          </w:tcPr>
          <w:p w14:paraId="7D792262">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590" w:type="dxa"/>
            <w:vAlign w:val="center"/>
          </w:tcPr>
          <w:p w14:paraId="18236465">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H</w:t>
            </w:r>
            <w:r>
              <w:rPr>
                <w:rFonts w:hint="default" w:ascii="Times New Roman" w:hAnsi="Times New Roman" w:cs="Times New Roman"/>
                <w:color w:val="auto"/>
                <w:kern w:val="0"/>
                <w:sz w:val="18"/>
                <w:szCs w:val="18"/>
                <w:highlight w:val="none"/>
                <w:vertAlign w:val="subscript"/>
              </w:rPr>
              <w:t>2</w:t>
            </w:r>
            <w:r>
              <w:rPr>
                <w:rFonts w:hint="default" w:ascii="Times New Roman" w:hAnsi="Times New Roman" w:cs="Times New Roman"/>
                <w:color w:val="auto"/>
                <w:kern w:val="0"/>
                <w:sz w:val="18"/>
                <w:szCs w:val="18"/>
                <w:highlight w:val="none"/>
              </w:rPr>
              <w:t>S</w:t>
            </w:r>
          </w:p>
        </w:tc>
        <w:tc>
          <w:tcPr>
            <w:tcW w:w="1035" w:type="dxa"/>
            <w:vAlign w:val="center"/>
          </w:tcPr>
          <w:p w14:paraId="4B0A1498">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0854</w:t>
            </w:r>
          </w:p>
        </w:tc>
        <w:tc>
          <w:tcPr>
            <w:tcW w:w="950" w:type="dxa"/>
            <w:vAlign w:val="center"/>
          </w:tcPr>
          <w:p w14:paraId="2E5A86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1035" w:type="dxa"/>
            <w:vAlign w:val="center"/>
          </w:tcPr>
          <w:p w14:paraId="3D15B5D2">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0854</w:t>
            </w:r>
          </w:p>
        </w:tc>
        <w:tc>
          <w:tcPr>
            <w:tcW w:w="850" w:type="dxa"/>
            <w:vMerge w:val="continue"/>
            <w:vAlign w:val="center"/>
          </w:tcPr>
          <w:p w14:paraId="26D7FBC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567" w:type="dxa"/>
            <w:vMerge w:val="continue"/>
            <w:vAlign w:val="center"/>
          </w:tcPr>
          <w:p w14:paraId="09C3B32D">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851" w:type="dxa"/>
            <w:vMerge w:val="continue"/>
            <w:vAlign w:val="center"/>
          </w:tcPr>
          <w:p w14:paraId="68947CB1">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457" w:type="dxa"/>
            <w:vMerge w:val="continue"/>
            <w:vAlign w:val="center"/>
          </w:tcPr>
          <w:p w14:paraId="7943DFD9">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r>
      <w:tr w14:paraId="7CAD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17" w:type="dxa"/>
            <w:vMerge w:val="restart"/>
            <w:vAlign w:val="center"/>
          </w:tcPr>
          <w:p w14:paraId="7F1C62DB">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废水收集池</w:t>
            </w:r>
          </w:p>
        </w:tc>
        <w:tc>
          <w:tcPr>
            <w:tcW w:w="643" w:type="dxa"/>
            <w:vMerge w:val="restart"/>
            <w:vAlign w:val="center"/>
          </w:tcPr>
          <w:p w14:paraId="461E5274">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无组织排放</w:t>
            </w:r>
          </w:p>
        </w:tc>
        <w:tc>
          <w:tcPr>
            <w:tcW w:w="590" w:type="dxa"/>
            <w:vAlign w:val="center"/>
          </w:tcPr>
          <w:p w14:paraId="2A3627A4">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NH</w:t>
            </w:r>
            <w:r>
              <w:rPr>
                <w:rFonts w:hint="default" w:ascii="Times New Roman" w:hAnsi="Times New Roman" w:cs="Times New Roman"/>
                <w:color w:val="auto"/>
                <w:kern w:val="0"/>
                <w:sz w:val="18"/>
                <w:szCs w:val="18"/>
                <w:highlight w:val="none"/>
                <w:vertAlign w:val="subscript"/>
              </w:rPr>
              <w:t>3</w:t>
            </w:r>
          </w:p>
        </w:tc>
        <w:tc>
          <w:tcPr>
            <w:tcW w:w="1035" w:type="dxa"/>
            <w:vAlign w:val="center"/>
          </w:tcPr>
          <w:p w14:paraId="293C8860">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0.0</w:t>
            </w:r>
            <w:r>
              <w:rPr>
                <w:rFonts w:hint="default" w:ascii="Times New Roman" w:hAnsi="Times New Roman" w:cs="Times New Roman"/>
                <w:color w:val="auto"/>
                <w:kern w:val="0"/>
                <w:sz w:val="18"/>
                <w:szCs w:val="18"/>
                <w:highlight w:val="none"/>
                <w:lang w:val="en-US" w:eastAsia="zh-CN"/>
              </w:rPr>
              <w:t>33</w:t>
            </w:r>
          </w:p>
        </w:tc>
        <w:tc>
          <w:tcPr>
            <w:tcW w:w="950" w:type="dxa"/>
            <w:vAlign w:val="center"/>
          </w:tcPr>
          <w:p w14:paraId="20897C7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1035" w:type="dxa"/>
            <w:vAlign w:val="center"/>
          </w:tcPr>
          <w:p w14:paraId="49E16BCB">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0.0</w:t>
            </w:r>
            <w:r>
              <w:rPr>
                <w:rFonts w:hint="default" w:ascii="Times New Roman" w:hAnsi="Times New Roman" w:cs="Times New Roman"/>
                <w:color w:val="auto"/>
                <w:kern w:val="0"/>
                <w:sz w:val="18"/>
                <w:szCs w:val="18"/>
                <w:highlight w:val="none"/>
                <w:lang w:val="en-US" w:eastAsia="zh-CN"/>
              </w:rPr>
              <w:t>33</w:t>
            </w:r>
          </w:p>
        </w:tc>
        <w:tc>
          <w:tcPr>
            <w:tcW w:w="850" w:type="dxa"/>
            <w:vMerge w:val="continue"/>
            <w:vAlign w:val="center"/>
          </w:tcPr>
          <w:p w14:paraId="62FAD4C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567" w:type="dxa"/>
            <w:vMerge w:val="continue"/>
            <w:vAlign w:val="center"/>
          </w:tcPr>
          <w:p w14:paraId="24F4B42A">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851" w:type="dxa"/>
            <w:vMerge w:val="continue"/>
            <w:vAlign w:val="center"/>
          </w:tcPr>
          <w:p w14:paraId="5C86EB81">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457" w:type="dxa"/>
            <w:vMerge w:val="continue"/>
            <w:vAlign w:val="center"/>
          </w:tcPr>
          <w:p w14:paraId="4C2EBDAE">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r>
      <w:tr w14:paraId="6C35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14:paraId="3213EE2C">
            <w:pPr>
              <w:pStyle w:val="37"/>
              <w:keepNext w:val="0"/>
              <w:keepLines w:val="0"/>
              <w:suppressLineNumbers w:val="0"/>
              <w:spacing w:before="0" w:beforeAutospacing="0" w:after="0" w:afterAutospacing="0" w:line="240" w:lineRule="auto"/>
              <w:ind w:left="0" w:right="0" w:firstLine="420"/>
              <w:jc w:val="center"/>
              <w:rPr>
                <w:rFonts w:hint="default" w:ascii="Times New Roman" w:hAnsi="Times New Roman" w:cs="Times New Roman"/>
                <w:color w:val="auto"/>
                <w:kern w:val="0"/>
                <w:sz w:val="18"/>
                <w:szCs w:val="18"/>
                <w:highlight w:val="none"/>
              </w:rPr>
            </w:pPr>
          </w:p>
        </w:tc>
        <w:tc>
          <w:tcPr>
            <w:tcW w:w="643" w:type="dxa"/>
            <w:vMerge w:val="continue"/>
            <w:vAlign w:val="center"/>
          </w:tcPr>
          <w:p w14:paraId="3D11D311">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590" w:type="dxa"/>
            <w:vAlign w:val="center"/>
          </w:tcPr>
          <w:p w14:paraId="4E61B59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H</w:t>
            </w:r>
            <w:r>
              <w:rPr>
                <w:rFonts w:hint="default" w:ascii="Times New Roman" w:hAnsi="Times New Roman" w:cs="Times New Roman"/>
                <w:color w:val="auto"/>
                <w:kern w:val="0"/>
                <w:sz w:val="18"/>
                <w:szCs w:val="18"/>
                <w:highlight w:val="none"/>
                <w:vertAlign w:val="subscript"/>
              </w:rPr>
              <w:t>2</w:t>
            </w:r>
            <w:r>
              <w:rPr>
                <w:rFonts w:hint="default" w:ascii="Times New Roman" w:hAnsi="Times New Roman" w:cs="Times New Roman"/>
                <w:color w:val="auto"/>
                <w:kern w:val="0"/>
                <w:sz w:val="18"/>
                <w:szCs w:val="18"/>
                <w:highlight w:val="none"/>
              </w:rPr>
              <w:t>S</w:t>
            </w:r>
          </w:p>
        </w:tc>
        <w:tc>
          <w:tcPr>
            <w:tcW w:w="1035" w:type="dxa"/>
            <w:vAlign w:val="center"/>
          </w:tcPr>
          <w:p w14:paraId="11160B68">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0.00</w:t>
            </w:r>
            <w:r>
              <w:rPr>
                <w:rFonts w:hint="default" w:ascii="Times New Roman" w:hAnsi="Times New Roman" w:cs="Times New Roman"/>
                <w:color w:val="auto"/>
                <w:kern w:val="0"/>
                <w:sz w:val="18"/>
                <w:szCs w:val="18"/>
                <w:highlight w:val="none"/>
                <w:lang w:val="en-US" w:eastAsia="zh-CN"/>
              </w:rPr>
              <w:t>083</w:t>
            </w:r>
          </w:p>
        </w:tc>
        <w:tc>
          <w:tcPr>
            <w:tcW w:w="950" w:type="dxa"/>
            <w:vAlign w:val="center"/>
          </w:tcPr>
          <w:p w14:paraId="6B7B1AD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1035" w:type="dxa"/>
            <w:vAlign w:val="center"/>
          </w:tcPr>
          <w:p w14:paraId="677339AE">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0.00</w:t>
            </w:r>
            <w:r>
              <w:rPr>
                <w:rFonts w:hint="default" w:ascii="Times New Roman" w:hAnsi="Times New Roman" w:cs="Times New Roman"/>
                <w:color w:val="auto"/>
                <w:kern w:val="0"/>
                <w:sz w:val="18"/>
                <w:szCs w:val="18"/>
                <w:highlight w:val="none"/>
                <w:lang w:val="en-US" w:eastAsia="zh-CN"/>
              </w:rPr>
              <w:t>083</w:t>
            </w:r>
          </w:p>
        </w:tc>
        <w:tc>
          <w:tcPr>
            <w:tcW w:w="850" w:type="dxa"/>
            <w:vMerge w:val="continue"/>
            <w:vAlign w:val="center"/>
          </w:tcPr>
          <w:p w14:paraId="0D6FCD41">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567" w:type="dxa"/>
            <w:vMerge w:val="continue"/>
            <w:vAlign w:val="center"/>
          </w:tcPr>
          <w:p w14:paraId="55A3C10C">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851" w:type="dxa"/>
            <w:vMerge w:val="continue"/>
            <w:vAlign w:val="center"/>
          </w:tcPr>
          <w:p w14:paraId="185C4653">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457" w:type="dxa"/>
            <w:vMerge w:val="continue"/>
            <w:vAlign w:val="center"/>
          </w:tcPr>
          <w:p w14:paraId="1AFE645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r>
      <w:tr w14:paraId="6E0C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14:paraId="6AD374E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堆粪棚</w:t>
            </w:r>
          </w:p>
        </w:tc>
        <w:tc>
          <w:tcPr>
            <w:tcW w:w="643" w:type="dxa"/>
            <w:vMerge w:val="restart"/>
            <w:vAlign w:val="center"/>
          </w:tcPr>
          <w:p w14:paraId="7D259622">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无组织排放</w:t>
            </w:r>
          </w:p>
        </w:tc>
        <w:tc>
          <w:tcPr>
            <w:tcW w:w="590" w:type="dxa"/>
            <w:vAlign w:val="center"/>
          </w:tcPr>
          <w:p w14:paraId="248A6CB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NH</w:t>
            </w:r>
            <w:r>
              <w:rPr>
                <w:rFonts w:hint="default" w:ascii="Times New Roman" w:hAnsi="Times New Roman" w:cs="Times New Roman"/>
                <w:color w:val="auto"/>
                <w:kern w:val="0"/>
                <w:sz w:val="18"/>
                <w:szCs w:val="18"/>
                <w:highlight w:val="none"/>
                <w:vertAlign w:val="subscript"/>
              </w:rPr>
              <w:t>3</w:t>
            </w:r>
          </w:p>
        </w:tc>
        <w:tc>
          <w:tcPr>
            <w:tcW w:w="1035" w:type="dxa"/>
            <w:vAlign w:val="center"/>
          </w:tcPr>
          <w:p w14:paraId="1EDD7F55">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0.0</w:t>
            </w:r>
            <w:r>
              <w:rPr>
                <w:rFonts w:hint="default" w:ascii="Times New Roman" w:hAnsi="Times New Roman" w:cs="Times New Roman"/>
                <w:color w:val="auto"/>
                <w:kern w:val="0"/>
                <w:sz w:val="18"/>
                <w:szCs w:val="18"/>
                <w:highlight w:val="none"/>
                <w:lang w:val="en-US" w:eastAsia="zh-CN"/>
              </w:rPr>
              <w:t>65</w:t>
            </w:r>
          </w:p>
        </w:tc>
        <w:tc>
          <w:tcPr>
            <w:tcW w:w="950" w:type="dxa"/>
            <w:vAlign w:val="center"/>
          </w:tcPr>
          <w:p w14:paraId="01E28A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1035" w:type="dxa"/>
            <w:vAlign w:val="center"/>
          </w:tcPr>
          <w:p w14:paraId="27103C39">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0.0</w:t>
            </w:r>
            <w:r>
              <w:rPr>
                <w:rFonts w:hint="default" w:ascii="Times New Roman" w:hAnsi="Times New Roman" w:cs="Times New Roman"/>
                <w:color w:val="auto"/>
                <w:kern w:val="0"/>
                <w:sz w:val="18"/>
                <w:szCs w:val="18"/>
                <w:highlight w:val="none"/>
                <w:lang w:val="en-US" w:eastAsia="zh-CN"/>
              </w:rPr>
              <w:t>65</w:t>
            </w:r>
          </w:p>
        </w:tc>
        <w:tc>
          <w:tcPr>
            <w:tcW w:w="850" w:type="dxa"/>
            <w:vMerge w:val="continue"/>
            <w:vAlign w:val="center"/>
          </w:tcPr>
          <w:p w14:paraId="72220C3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567" w:type="dxa"/>
            <w:vMerge w:val="continue"/>
            <w:vAlign w:val="center"/>
          </w:tcPr>
          <w:p w14:paraId="1BE6608D">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851" w:type="dxa"/>
            <w:vMerge w:val="continue"/>
            <w:vAlign w:val="center"/>
          </w:tcPr>
          <w:p w14:paraId="6DA604FF">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457" w:type="dxa"/>
            <w:vMerge w:val="continue"/>
            <w:vAlign w:val="center"/>
          </w:tcPr>
          <w:p w14:paraId="36D624DA">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r>
      <w:tr w14:paraId="160D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14:paraId="0815A525">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643" w:type="dxa"/>
            <w:vMerge w:val="continue"/>
            <w:vAlign w:val="center"/>
          </w:tcPr>
          <w:p w14:paraId="1AFA4F18">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590" w:type="dxa"/>
            <w:vAlign w:val="center"/>
          </w:tcPr>
          <w:p w14:paraId="4258358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H</w:t>
            </w:r>
            <w:r>
              <w:rPr>
                <w:rFonts w:hint="default" w:ascii="Times New Roman" w:hAnsi="Times New Roman" w:cs="Times New Roman"/>
                <w:color w:val="auto"/>
                <w:kern w:val="0"/>
                <w:sz w:val="18"/>
                <w:szCs w:val="18"/>
                <w:highlight w:val="none"/>
                <w:vertAlign w:val="subscript"/>
              </w:rPr>
              <w:t>2</w:t>
            </w:r>
            <w:r>
              <w:rPr>
                <w:rFonts w:hint="default" w:ascii="Times New Roman" w:hAnsi="Times New Roman" w:cs="Times New Roman"/>
                <w:color w:val="auto"/>
                <w:kern w:val="0"/>
                <w:sz w:val="18"/>
                <w:szCs w:val="18"/>
                <w:highlight w:val="none"/>
              </w:rPr>
              <w:t>S</w:t>
            </w:r>
          </w:p>
        </w:tc>
        <w:tc>
          <w:tcPr>
            <w:tcW w:w="1035" w:type="dxa"/>
            <w:vAlign w:val="center"/>
          </w:tcPr>
          <w:p w14:paraId="7B0531D2">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0.0</w:t>
            </w:r>
            <w:r>
              <w:rPr>
                <w:rFonts w:hint="default" w:ascii="Times New Roman" w:hAnsi="Times New Roman" w:cs="Times New Roman"/>
                <w:color w:val="auto"/>
                <w:kern w:val="0"/>
                <w:sz w:val="18"/>
                <w:szCs w:val="18"/>
                <w:highlight w:val="none"/>
                <w:lang w:val="en-US" w:eastAsia="zh-CN"/>
              </w:rPr>
              <w:t>175</w:t>
            </w:r>
          </w:p>
        </w:tc>
        <w:tc>
          <w:tcPr>
            <w:tcW w:w="950" w:type="dxa"/>
            <w:vAlign w:val="center"/>
          </w:tcPr>
          <w:p w14:paraId="19CB8F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1035" w:type="dxa"/>
            <w:vAlign w:val="center"/>
          </w:tcPr>
          <w:p w14:paraId="24E76A15">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0.0</w:t>
            </w:r>
            <w:r>
              <w:rPr>
                <w:rFonts w:hint="default" w:ascii="Times New Roman" w:hAnsi="Times New Roman" w:cs="Times New Roman"/>
                <w:color w:val="auto"/>
                <w:kern w:val="0"/>
                <w:sz w:val="18"/>
                <w:szCs w:val="18"/>
                <w:highlight w:val="none"/>
                <w:lang w:val="en-US" w:eastAsia="zh-CN"/>
              </w:rPr>
              <w:t>175</w:t>
            </w:r>
          </w:p>
        </w:tc>
        <w:tc>
          <w:tcPr>
            <w:tcW w:w="850" w:type="dxa"/>
            <w:vMerge w:val="continue"/>
            <w:vAlign w:val="center"/>
          </w:tcPr>
          <w:p w14:paraId="0C20E38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567" w:type="dxa"/>
            <w:vMerge w:val="continue"/>
            <w:vAlign w:val="center"/>
          </w:tcPr>
          <w:p w14:paraId="2959085F">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851" w:type="dxa"/>
            <w:vMerge w:val="continue"/>
            <w:vAlign w:val="center"/>
          </w:tcPr>
          <w:p w14:paraId="685597A7">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c>
          <w:tcPr>
            <w:tcW w:w="1457" w:type="dxa"/>
            <w:vMerge w:val="continue"/>
            <w:vAlign w:val="center"/>
          </w:tcPr>
          <w:p w14:paraId="0DAFC00A">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18"/>
                <w:szCs w:val="18"/>
                <w:highlight w:val="none"/>
              </w:rPr>
            </w:pPr>
          </w:p>
        </w:tc>
      </w:tr>
    </w:tbl>
    <w:p w14:paraId="055030A5">
      <w:pPr>
        <w:pStyle w:val="11"/>
        <w:autoSpaceDE w:val="0"/>
        <w:spacing w:before="0" w:line="360" w:lineRule="auto"/>
        <w:ind w:left="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据表</w:t>
      </w:r>
      <w:r>
        <w:rPr>
          <w:rFonts w:hint="default" w:ascii="Times New Roman" w:hAnsi="Times New Roman" w:cs="Times New Roman"/>
          <w:color w:val="auto"/>
          <w:sz w:val="24"/>
          <w:highlight w:val="none"/>
        </w:rPr>
        <w:t>5.2.1-</w:t>
      </w:r>
      <w:r>
        <w:rPr>
          <w:rFonts w:hint="default" w:ascii="Times New Roman" w:hAnsi="Times New Roman" w:cs="Times New Roman"/>
          <w:color w:val="auto"/>
          <w:sz w:val="24"/>
          <w:highlight w:val="none"/>
          <w:lang w:val="en-US" w:eastAsia="zh-CN"/>
        </w:rPr>
        <w:t>14</w:t>
      </w:r>
      <w:r>
        <w:rPr>
          <w:rFonts w:hint="default" w:ascii="Times New Roman" w:hAnsi="Times New Roman" w:eastAsia="宋体" w:cs="Times New Roman"/>
          <w:b w:val="0"/>
          <w:bCs w:val="0"/>
          <w:color w:val="auto"/>
          <w:sz w:val="24"/>
          <w:szCs w:val="24"/>
          <w:lang w:val="en-US" w:eastAsia="zh-CN"/>
        </w:rPr>
        <w:t>计算</w:t>
      </w:r>
      <w:r>
        <w:rPr>
          <w:rFonts w:hint="default" w:ascii="Times New Roman" w:hAnsi="Times New Roman" w:eastAsia="宋体" w:cs="Times New Roman"/>
          <w:b w:val="0"/>
          <w:bCs w:val="0"/>
          <w:color w:val="auto"/>
          <w:sz w:val="24"/>
          <w:szCs w:val="24"/>
        </w:rPr>
        <w:t>结果可知，在未采取除臭措施，NH</w:t>
      </w:r>
      <w:r>
        <w:rPr>
          <w:rFonts w:hint="default" w:ascii="Times New Roman" w:hAnsi="Times New Roman" w:eastAsia="宋体" w:cs="Times New Roman"/>
          <w:b w:val="0"/>
          <w:bCs w:val="0"/>
          <w:color w:val="auto"/>
          <w:sz w:val="24"/>
          <w:szCs w:val="24"/>
          <w:vertAlign w:val="subscript"/>
        </w:rPr>
        <w:t>3</w:t>
      </w:r>
      <w:r>
        <w:rPr>
          <w:rFonts w:hint="default" w:ascii="Times New Roman" w:hAnsi="Times New Roman" w:eastAsia="宋体" w:cs="Times New Roman"/>
          <w:b w:val="0"/>
          <w:bCs w:val="0"/>
          <w:color w:val="auto"/>
          <w:sz w:val="24"/>
          <w:szCs w:val="24"/>
        </w:rPr>
        <w:t>、H</w:t>
      </w:r>
      <w:r>
        <w:rPr>
          <w:rFonts w:hint="default" w:ascii="Times New Roman" w:hAnsi="Times New Roman" w:eastAsia="宋体" w:cs="Times New Roman"/>
          <w:b w:val="0"/>
          <w:bCs w:val="0"/>
          <w:color w:val="auto"/>
          <w:sz w:val="24"/>
          <w:szCs w:val="24"/>
          <w:vertAlign w:val="subscript"/>
        </w:rPr>
        <w:t>2</w:t>
      </w:r>
      <w:r>
        <w:rPr>
          <w:rFonts w:hint="default" w:ascii="Times New Roman" w:hAnsi="Times New Roman" w:eastAsia="宋体" w:cs="Times New Roman"/>
          <w:b w:val="0"/>
          <w:bCs w:val="0"/>
          <w:color w:val="auto"/>
          <w:sz w:val="24"/>
          <w:szCs w:val="24"/>
        </w:rPr>
        <w:t>S非正常排放对周边环境的影响比正常排放加大</w:t>
      </w:r>
      <w:r>
        <w:rPr>
          <w:rFonts w:hint="default" w:ascii="Times New Roman" w:hAnsi="Times New Roman" w:eastAsia="宋体" w:cs="Times New Roman"/>
          <w:b w:val="0"/>
          <w:bCs w:val="0"/>
          <w:color w:val="auto"/>
          <w:sz w:val="24"/>
          <w:szCs w:val="24"/>
          <w:lang w:val="en-US" w:eastAsia="zh-CN"/>
        </w:rPr>
        <w:t>，因此，为避免废气无组织非正常排放，场区需制定严格的管理制度，对负责喷洒除臭剂的员工进行定期培训和严格考核，杜绝人为事故导致废气事故排放。</w:t>
      </w:r>
    </w:p>
    <w:p w14:paraId="4D204E0A">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5.2.1.9大气环境影响评价结论</w:t>
      </w:r>
    </w:p>
    <w:p w14:paraId="2E43F380">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项目污染物经过处理后，猪舍、</w:t>
      </w:r>
      <w:r>
        <w:rPr>
          <w:rFonts w:hint="default" w:ascii="Times New Roman" w:hAnsi="Times New Roman" w:cs="Times New Roman"/>
          <w:color w:val="auto"/>
          <w:sz w:val="24"/>
          <w:highlight w:val="none"/>
          <w:lang w:val="en-US" w:eastAsia="zh-CN"/>
        </w:rPr>
        <w:t>废水收集池</w:t>
      </w:r>
      <w:r>
        <w:rPr>
          <w:rFonts w:hint="default" w:ascii="Times New Roman" w:hAnsi="Times New Roman" w:eastAsia="宋体" w:cs="Times New Roman"/>
          <w:color w:val="auto"/>
          <w:sz w:val="24"/>
          <w:highlight w:val="none"/>
        </w:rPr>
        <w:t>、堆粪棚无组织排放的NH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、H</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S浓度均能满足《恶臭污染物排放标准》（GB14554-93）表1中恶臭污染物厂界二级标准；此外，项目采取日粮中投放益生菌、EM活菌剂等，日粮充分混合均匀后喂养；猪舍周边种植绿化树；定期喷洒微生物除臭剂</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万洁芬</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等措施，经过除臭后，臭气浓度满足《畜禽养殖业污染物排放标准》（GB18596-2001）表7中的要求：臭气浓度（无量纲）＜70。</w:t>
      </w:r>
    </w:p>
    <w:p w14:paraId="6D3E64B9">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天然气燃烧器燃烧废气</w:t>
      </w:r>
      <w:r>
        <w:rPr>
          <w:rFonts w:hint="default" w:ascii="Times New Roman" w:hAnsi="Times New Roman" w:eastAsia="宋体" w:cs="Times New Roman"/>
          <w:color w:val="auto"/>
          <w:sz w:val="24"/>
          <w:highlight w:val="none"/>
        </w:rPr>
        <w:t>排放满足《大气污染物综合排放标准》（GB16297-1996）表2中无组织排放标准。</w:t>
      </w:r>
    </w:p>
    <w:p w14:paraId="35B24FA0">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食堂餐饮油烟经抽油烟机处理后，能够达到《饮食业油烟排放标准（试行）》（GB18483-2001）中“小型”规模标准允许排放的浓度，即油烟排放浓度≤2mg/m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，对周围环境影响小。</w:t>
      </w:r>
    </w:p>
    <w:p w14:paraId="5C33CEA4">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项目区无需设置大气环境防护距离，卫生防护距离为</w:t>
      </w:r>
      <w:r>
        <w:rPr>
          <w:rFonts w:hint="default" w:ascii="Times New Roman" w:hAnsi="Times New Roman" w:eastAsia="宋体" w:cs="Times New Roman"/>
          <w:color w:val="auto"/>
          <w:sz w:val="24"/>
          <w:highlight w:val="none"/>
          <w:lang w:val="en-US" w:eastAsia="zh-CN"/>
        </w:rPr>
        <w:t>养殖猪舍、废水收集池、堆粪棚边界外50m</w:t>
      </w:r>
      <w:r>
        <w:rPr>
          <w:rFonts w:hint="default" w:ascii="Times New Roman" w:hAnsi="Times New Roman" w:eastAsia="宋体" w:cs="Times New Roman"/>
          <w:color w:val="auto"/>
          <w:sz w:val="24"/>
          <w:highlight w:val="none"/>
        </w:rPr>
        <w:t>，卫生防护距离内无敏感点。</w:t>
      </w:r>
    </w:p>
    <w:p w14:paraId="789C0518">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综上所述，在采取各项环评提出的措施后，项目正常排放的大气污染物对周围环境空气质量影响小。</w:t>
      </w:r>
    </w:p>
    <w:p w14:paraId="3D13ADB7">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建设项目大气环境影响评价自查表详见附表2。</w:t>
      </w:r>
    </w:p>
    <w:p w14:paraId="1CA17634">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rPr>
      </w:pPr>
      <w:bookmarkStart w:id="280" w:name="_Toc16998"/>
      <w:r>
        <w:rPr>
          <w:rStyle w:val="35"/>
          <w:rFonts w:hint="default" w:ascii="Times New Roman" w:hAnsi="Times New Roman" w:eastAsia="宋体" w:cs="Times New Roman"/>
          <w:color w:val="auto"/>
          <w:sz w:val="24"/>
          <w:szCs w:val="24"/>
          <w:highlight w:val="none"/>
        </w:rPr>
        <w:t>5.2.2地表水环境影响分析</w:t>
      </w:r>
      <w:bookmarkEnd w:id="280"/>
    </w:p>
    <w:p w14:paraId="76D74625">
      <w:pPr>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5.2.2.1污水排放去向</w:t>
      </w:r>
    </w:p>
    <w:p w14:paraId="20393C63">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项目区实行雨污分流，根据工程分析，项目废水主要为养殖废水及生活污水，生活污水经隔油池、化粪池处理后与养殖废水一起进入</w:t>
      </w:r>
      <w:r>
        <w:rPr>
          <w:rFonts w:hint="default" w:ascii="Times New Roman" w:hAnsi="Times New Roman" w:cs="Times New Roman"/>
          <w:color w:val="auto"/>
          <w:sz w:val="24"/>
          <w:highlight w:val="none"/>
          <w:lang w:val="en-US" w:eastAsia="zh-CN"/>
        </w:rPr>
        <w:t>废水收集</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w:t>
      </w:r>
      <w:r>
        <w:rPr>
          <w:rFonts w:hint="eastAsia" w:ascii="Times New Roman" w:hAnsi="Times New Roman" w:cs="Times New Roman"/>
          <w:color w:val="auto"/>
          <w:sz w:val="24"/>
          <w:highlight w:val="none"/>
          <w:lang w:eastAsia="zh-CN"/>
        </w:rPr>
        <w:t>依托</w:t>
      </w:r>
      <w:r>
        <w:rPr>
          <w:rFonts w:hint="default" w:ascii="Times New Roman" w:hAnsi="Times New Roman" w:eastAsia="宋体" w:cs="Times New Roman"/>
          <w:color w:val="auto"/>
          <w:sz w:val="24"/>
          <w:highlight w:val="none"/>
          <w:lang w:val="en-US" w:eastAsia="zh-CN"/>
        </w:rPr>
        <w:t>弥勒温氏畜牧有限公司新哨种猪场建设项目污水处理站处理后用于绿化及农田灌溉。</w:t>
      </w:r>
      <w:r>
        <w:rPr>
          <w:rFonts w:hint="default" w:ascii="Times New Roman" w:hAnsi="Times New Roman" w:cs="Times New Roman"/>
          <w:color w:val="auto"/>
          <w:sz w:val="24"/>
          <w:highlight w:val="none"/>
        </w:rPr>
        <w:t>本项目废水类别、污染物及污染治理设施信息见表5.2.2-1。</w:t>
      </w:r>
    </w:p>
    <w:p w14:paraId="25089A74">
      <w:pPr>
        <w:adjustRightInd w:val="0"/>
        <w:snapToGri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表5.2.2-1    废水类别、污染物及污染治理设施信息表</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756"/>
        <w:gridCol w:w="1248"/>
        <w:gridCol w:w="697"/>
        <w:gridCol w:w="736"/>
        <w:gridCol w:w="756"/>
        <w:gridCol w:w="796"/>
        <w:gridCol w:w="1835"/>
        <w:gridCol w:w="477"/>
        <w:gridCol w:w="599"/>
        <w:gridCol w:w="478"/>
      </w:tblGrid>
      <w:tr w14:paraId="76FB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17" w:type="dxa"/>
            <w:vMerge w:val="restart"/>
            <w:vAlign w:val="center"/>
          </w:tcPr>
          <w:p w14:paraId="6D0B6EC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序号</w:t>
            </w:r>
          </w:p>
        </w:tc>
        <w:tc>
          <w:tcPr>
            <w:tcW w:w="756" w:type="dxa"/>
            <w:vMerge w:val="restart"/>
            <w:vAlign w:val="center"/>
          </w:tcPr>
          <w:p w14:paraId="40410F0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废水类别</w:t>
            </w:r>
          </w:p>
        </w:tc>
        <w:tc>
          <w:tcPr>
            <w:tcW w:w="1248" w:type="dxa"/>
            <w:vMerge w:val="restart"/>
            <w:vAlign w:val="center"/>
          </w:tcPr>
          <w:p w14:paraId="732F0FB2">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污染物种类</w:t>
            </w:r>
          </w:p>
        </w:tc>
        <w:tc>
          <w:tcPr>
            <w:tcW w:w="697" w:type="dxa"/>
            <w:vMerge w:val="restart"/>
            <w:vAlign w:val="center"/>
          </w:tcPr>
          <w:p w14:paraId="0E57DB9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排放去向</w:t>
            </w:r>
          </w:p>
        </w:tc>
        <w:tc>
          <w:tcPr>
            <w:tcW w:w="736" w:type="dxa"/>
            <w:vMerge w:val="restart"/>
            <w:vAlign w:val="center"/>
          </w:tcPr>
          <w:p w14:paraId="0DC908E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排放规律</w:t>
            </w:r>
          </w:p>
        </w:tc>
        <w:tc>
          <w:tcPr>
            <w:tcW w:w="3387" w:type="dxa"/>
            <w:gridSpan w:val="3"/>
            <w:vAlign w:val="center"/>
          </w:tcPr>
          <w:p w14:paraId="4413342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污染治理设施</w:t>
            </w:r>
          </w:p>
        </w:tc>
        <w:tc>
          <w:tcPr>
            <w:tcW w:w="477" w:type="dxa"/>
            <w:vMerge w:val="restart"/>
            <w:vAlign w:val="center"/>
          </w:tcPr>
          <w:p w14:paraId="50CC558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排放口编号</w:t>
            </w:r>
          </w:p>
        </w:tc>
        <w:tc>
          <w:tcPr>
            <w:tcW w:w="599" w:type="dxa"/>
            <w:vMerge w:val="restart"/>
            <w:vAlign w:val="center"/>
          </w:tcPr>
          <w:p w14:paraId="1D2A37B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排放口设置是否符合要求</w:t>
            </w:r>
          </w:p>
        </w:tc>
        <w:tc>
          <w:tcPr>
            <w:tcW w:w="478" w:type="dxa"/>
            <w:vMerge w:val="restart"/>
            <w:vAlign w:val="center"/>
          </w:tcPr>
          <w:p w14:paraId="6E31215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排放口类型</w:t>
            </w:r>
          </w:p>
        </w:tc>
      </w:tr>
      <w:tr w14:paraId="18B5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Merge w:val="continue"/>
            <w:vAlign w:val="center"/>
          </w:tcPr>
          <w:p w14:paraId="01588C5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sz w:val="18"/>
                <w:szCs w:val="18"/>
                <w:highlight w:val="none"/>
              </w:rPr>
            </w:pPr>
          </w:p>
        </w:tc>
        <w:tc>
          <w:tcPr>
            <w:tcW w:w="756" w:type="dxa"/>
            <w:vMerge w:val="continue"/>
            <w:vAlign w:val="center"/>
          </w:tcPr>
          <w:p w14:paraId="52DD3A1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sz w:val="18"/>
                <w:szCs w:val="18"/>
                <w:highlight w:val="none"/>
              </w:rPr>
            </w:pPr>
          </w:p>
        </w:tc>
        <w:tc>
          <w:tcPr>
            <w:tcW w:w="1248" w:type="dxa"/>
            <w:vMerge w:val="continue"/>
            <w:vAlign w:val="center"/>
          </w:tcPr>
          <w:p w14:paraId="2A1B920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sz w:val="18"/>
                <w:szCs w:val="18"/>
                <w:highlight w:val="none"/>
              </w:rPr>
            </w:pPr>
          </w:p>
        </w:tc>
        <w:tc>
          <w:tcPr>
            <w:tcW w:w="697" w:type="dxa"/>
            <w:vMerge w:val="continue"/>
            <w:vAlign w:val="center"/>
          </w:tcPr>
          <w:p w14:paraId="71E7821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sz w:val="18"/>
                <w:szCs w:val="18"/>
                <w:highlight w:val="none"/>
              </w:rPr>
            </w:pPr>
          </w:p>
        </w:tc>
        <w:tc>
          <w:tcPr>
            <w:tcW w:w="736" w:type="dxa"/>
            <w:vMerge w:val="continue"/>
            <w:vAlign w:val="center"/>
          </w:tcPr>
          <w:p w14:paraId="4B12DAF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sz w:val="18"/>
                <w:szCs w:val="18"/>
                <w:highlight w:val="none"/>
              </w:rPr>
            </w:pPr>
          </w:p>
        </w:tc>
        <w:tc>
          <w:tcPr>
            <w:tcW w:w="756" w:type="dxa"/>
            <w:vAlign w:val="center"/>
          </w:tcPr>
          <w:p w14:paraId="7B3C590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编号</w:t>
            </w:r>
          </w:p>
        </w:tc>
        <w:tc>
          <w:tcPr>
            <w:tcW w:w="796" w:type="dxa"/>
            <w:vAlign w:val="center"/>
          </w:tcPr>
          <w:p w14:paraId="15B29C1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名称</w:t>
            </w:r>
          </w:p>
        </w:tc>
        <w:tc>
          <w:tcPr>
            <w:tcW w:w="1835" w:type="dxa"/>
            <w:vAlign w:val="center"/>
          </w:tcPr>
          <w:p w14:paraId="0E8D6D0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工艺</w:t>
            </w:r>
          </w:p>
        </w:tc>
        <w:tc>
          <w:tcPr>
            <w:tcW w:w="477" w:type="dxa"/>
            <w:vMerge w:val="continue"/>
            <w:vAlign w:val="center"/>
          </w:tcPr>
          <w:p w14:paraId="6B7CE95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sz w:val="18"/>
                <w:szCs w:val="18"/>
                <w:highlight w:val="none"/>
              </w:rPr>
            </w:pPr>
          </w:p>
        </w:tc>
        <w:tc>
          <w:tcPr>
            <w:tcW w:w="599" w:type="dxa"/>
            <w:vMerge w:val="continue"/>
            <w:vAlign w:val="center"/>
          </w:tcPr>
          <w:p w14:paraId="4A500B3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sz w:val="18"/>
                <w:szCs w:val="18"/>
                <w:highlight w:val="none"/>
              </w:rPr>
            </w:pPr>
          </w:p>
        </w:tc>
        <w:tc>
          <w:tcPr>
            <w:tcW w:w="478" w:type="dxa"/>
            <w:vMerge w:val="continue"/>
            <w:vAlign w:val="center"/>
          </w:tcPr>
          <w:p w14:paraId="782B4BD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sz w:val="18"/>
                <w:szCs w:val="18"/>
                <w:highlight w:val="none"/>
              </w:rPr>
            </w:pPr>
          </w:p>
        </w:tc>
      </w:tr>
      <w:tr w14:paraId="688C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dxa"/>
            <w:vAlign w:val="center"/>
          </w:tcPr>
          <w:p w14:paraId="13EFF0B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756" w:type="dxa"/>
            <w:vAlign w:val="center"/>
          </w:tcPr>
          <w:p w14:paraId="5EBB837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养殖废水、办公生活污水</w:t>
            </w:r>
          </w:p>
        </w:tc>
        <w:tc>
          <w:tcPr>
            <w:tcW w:w="1248" w:type="dxa"/>
            <w:vAlign w:val="center"/>
          </w:tcPr>
          <w:p w14:paraId="32E9951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COD、BOD</w:t>
            </w:r>
            <w:r>
              <w:rPr>
                <w:rFonts w:hint="default" w:ascii="Times New Roman" w:hAnsi="Times New Roman" w:cs="Times New Roman"/>
                <w:bCs/>
                <w:color w:val="auto"/>
                <w:sz w:val="18"/>
                <w:szCs w:val="18"/>
                <w:highlight w:val="none"/>
                <w:vertAlign w:val="subscript"/>
              </w:rPr>
              <w:t>5</w:t>
            </w:r>
            <w:r>
              <w:rPr>
                <w:rFonts w:hint="default" w:ascii="Times New Roman" w:hAnsi="Times New Roman" w:cs="Times New Roman"/>
                <w:bCs/>
                <w:color w:val="auto"/>
                <w:sz w:val="18"/>
                <w:szCs w:val="18"/>
                <w:highlight w:val="none"/>
              </w:rPr>
              <w:t>、NH</w:t>
            </w:r>
            <w:r>
              <w:rPr>
                <w:rFonts w:hint="default" w:ascii="Times New Roman" w:hAnsi="Times New Roman" w:cs="Times New Roman"/>
                <w:bCs/>
                <w:color w:val="auto"/>
                <w:sz w:val="18"/>
                <w:szCs w:val="18"/>
                <w:highlight w:val="none"/>
                <w:vertAlign w:val="subscript"/>
              </w:rPr>
              <w:t>3</w:t>
            </w:r>
            <w:r>
              <w:rPr>
                <w:rFonts w:hint="default" w:ascii="Times New Roman" w:hAnsi="Times New Roman" w:cs="Times New Roman"/>
                <w:bCs/>
                <w:color w:val="auto"/>
                <w:sz w:val="18"/>
                <w:szCs w:val="18"/>
                <w:highlight w:val="none"/>
              </w:rPr>
              <w:t>-N、SS、TP、TN、动植物油</w:t>
            </w:r>
          </w:p>
          <w:p w14:paraId="3AAD1E4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COD、SS、粪大肠菌群、蛔虫卵</w:t>
            </w:r>
          </w:p>
        </w:tc>
        <w:tc>
          <w:tcPr>
            <w:tcW w:w="697" w:type="dxa"/>
            <w:vAlign w:val="center"/>
          </w:tcPr>
          <w:p w14:paraId="69F44FA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新哨种猪场建设项目绿化及</w:t>
            </w:r>
            <w:r>
              <w:rPr>
                <w:rFonts w:hint="default" w:ascii="Times New Roman" w:hAnsi="Times New Roman" w:cs="Times New Roman"/>
                <w:color w:val="auto"/>
                <w:sz w:val="18"/>
                <w:szCs w:val="18"/>
                <w:highlight w:val="none"/>
                <w:lang w:val="en-US" w:eastAsia="zh-CN"/>
              </w:rPr>
              <w:t>农田灌溉</w:t>
            </w:r>
          </w:p>
        </w:tc>
        <w:tc>
          <w:tcPr>
            <w:tcW w:w="736" w:type="dxa"/>
            <w:vAlign w:val="center"/>
          </w:tcPr>
          <w:p w14:paraId="5EEDE7E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间断产生，流量不稳定</w:t>
            </w:r>
          </w:p>
        </w:tc>
        <w:tc>
          <w:tcPr>
            <w:tcW w:w="756" w:type="dxa"/>
            <w:vAlign w:val="center"/>
          </w:tcPr>
          <w:p w14:paraId="51F2A38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WS001</w:t>
            </w:r>
          </w:p>
        </w:tc>
        <w:tc>
          <w:tcPr>
            <w:tcW w:w="796" w:type="dxa"/>
            <w:vAlign w:val="center"/>
          </w:tcPr>
          <w:p w14:paraId="0D42F0D9">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隔油池、化粪池、</w:t>
            </w:r>
            <w:r>
              <w:rPr>
                <w:rFonts w:hint="default" w:ascii="Times New Roman" w:hAnsi="Times New Roman" w:cs="Times New Roman"/>
                <w:color w:val="auto"/>
                <w:sz w:val="18"/>
                <w:szCs w:val="18"/>
                <w:highlight w:val="none"/>
                <w:lang w:val="en-US" w:eastAsia="zh-CN"/>
              </w:rPr>
              <w:t>废水收集池</w:t>
            </w:r>
          </w:p>
        </w:tc>
        <w:tc>
          <w:tcPr>
            <w:tcW w:w="1835" w:type="dxa"/>
            <w:vAlign w:val="center"/>
          </w:tcPr>
          <w:p w14:paraId="1B5A2EA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rPr>
              <w:t>隔油、沉淀；</w:t>
            </w:r>
            <w:r>
              <w:rPr>
                <w:rFonts w:hint="default" w:ascii="Times New Roman" w:hAnsi="Times New Roman" w:cs="Times New Roman"/>
                <w:bCs/>
                <w:color w:val="auto"/>
                <w:sz w:val="18"/>
                <w:szCs w:val="18"/>
                <w:highlight w:val="none"/>
                <w:lang w:eastAsia="zh-CN"/>
              </w:rPr>
              <w:t>粪尿收集池</w:t>
            </w:r>
            <w:r>
              <w:rPr>
                <w:rFonts w:hint="default" w:ascii="Times New Roman" w:hAnsi="Times New Roman" w:cs="Times New Roman"/>
                <w:bCs/>
                <w:color w:val="auto"/>
                <w:sz w:val="18"/>
                <w:szCs w:val="18"/>
                <w:highlight w:val="none"/>
              </w:rPr>
              <w:t>+过滤+固液分离</w:t>
            </w:r>
            <w:r>
              <w:rPr>
                <w:rFonts w:hint="default" w:ascii="Times New Roman" w:hAnsi="Times New Roman" w:cs="Times New Roman"/>
                <w:bCs/>
                <w:color w:val="auto"/>
                <w:sz w:val="18"/>
                <w:szCs w:val="18"/>
                <w:highlight w:val="none"/>
                <w:lang w:val="en-US" w:eastAsia="zh-CN"/>
              </w:rPr>
              <w:t>+废水收集池暂存</w:t>
            </w:r>
            <w:r>
              <w:rPr>
                <w:rFonts w:hint="default" w:ascii="Times New Roman" w:hAnsi="Times New Roman" w:cs="Times New Roman"/>
                <w:bCs/>
                <w:color w:val="auto"/>
                <w:sz w:val="18"/>
                <w:szCs w:val="18"/>
                <w:highlight w:val="none"/>
              </w:rPr>
              <w:t>+</w:t>
            </w:r>
            <w:r>
              <w:rPr>
                <w:rFonts w:hint="default" w:ascii="Times New Roman" w:hAnsi="Times New Roman" w:eastAsia="宋体" w:cs="Times New Roman"/>
                <w:color w:val="auto"/>
                <w:sz w:val="18"/>
                <w:szCs w:val="18"/>
                <w:highlight w:val="none"/>
                <w:lang w:val="en-US" w:eastAsia="zh-CN"/>
              </w:rPr>
              <w:t>依托弥勒温氏畜牧有限公司新哨种猪场建设项目污水处理站处理</w:t>
            </w:r>
            <w:r>
              <w:rPr>
                <w:rFonts w:hint="default" w:ascii="Times New Roman" w:hAnsi="Times New Roman" w:cs="Times New Roman"/>
                <w:bCs/>
                <w:color w:val="auto"/>
                <w:sz w:val="18"/>
                <w:szCs w:val="18"/>
                <w:highlight w:val="none"/>
              </w:rPr>
              <w:t>+</w:t>
            </w:r>
            <w:r>
              <w:rPr>
                <w:rFonts w:hint="default" w:ascii="Times New Roman" w:hAnsi="Times New Roman" w:cs="Times New Roman"/>
                <w:bCs/>
                <w:color w:val="auto"/>
                <w:sz w:val="18"/>
                <w:szCs w:val="18"/>
                <w:highlight w:val="none"/>
                <w:lang w:val="en-US" w:eastAsia="zh-CN"/>
              </w:rPr>
              <w:t>回用于绿化及农田灌溉</w:t>
            </w:r>
          </w:p>
        </w:tc>
        <w:tc>
          <w:tcPr>
            <w:tcW w:w="477" w:type="dxa"/>
            <w:vAlign w:val="center"/>
          </w:tcPr>
          <w:p w14:paraId="3C4CD4B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无</w:t>
            </w:r>
          </w:p>
        </w:tc>
        <w:tc>
          <w:tcPr>
            <w:tcW w:w="599" w:type="dxa"/>
            <w:vAlign w:val="center"/>
          </w:tcPr>
          <w:p w14:paraId="48DA8916">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项目无废水排放口</w:t>
            </w:r>
          </w:p>
        </w:tc>
        <w:tc>
          <w:tcPr>
            <w:tcW w:w="478" w:type="dxa"/>
            <w:vAlign w:val="center"/>
          </w:tcPr>
          <w:p w14:paraId="540B529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bl>
    <w:p w14:paraId="6F0AC5F1">
      <w:pPr>
        <w:snapToGrid w:val="0"/>
        <w:spacing w:before="156" w:beforeLines="50" w:line="360" w:lineRule="auto"/>
        <w:ind w:firstLine="482" w:firstLineChars="200"/>
        <w:rPr>
          <w:rFonts w:hint="default" w:ascii="Times New Roman" w:hAnsi="Times New Roman" w:cs="Times New Roman"/>
          <w:b/>
          <w:color w:val="auto"/>
          <w:sz w:val="24"/>
          <w:highlight w:val="none"/>
        </w:rPr>
      </w:pPr>
    </w:p>
    <w:p w14:paraId="103B4D1F">
      <w:pPr>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5.2.2.2污水处理的可行性分析</w:t>
      </w:r>
    </w:p>
    <w:p w14:paraId="7BED2216">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（1）隔油池设置的可行性</w:t>
      </w:r>
    </w:p>
    <w:p w14:paraId="1BD5ED3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根据工程分析，项目食堂废水产生量为</w:t>
      </w:r>
      <w:r>
        <w:rPr>
          <w:rFonts w:hint="default" w:ascii="Times New Roman" w:hAnsi="Times New Roman" w:cs="Times New Roman"/>
          <w:bCs/>
          <w:color w:val="auto"/>
          <w:sz w:val="24"/>
          <w:highlight w:val="none"/>
        </w:rPr>
        <w:t>0.2</w:t>
      </w:r>
      <w:r>
        <w:rPr>
          <w:rFonts w:hint="default" w:ascii="Times New Roman" w:hAnsi="Times New Roman" w:cs="Times New Roman"/>
          <w:bCs/>
          <w:color w:val="auto"/>
          <w:sz w:val="24"/>
          <w:highlight w:val="none"/>
          <w:lang w:val="en-US" w:eastAsia="zh-CN"/>
        </w:rPr>
        <w:t>16</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/d，考虑食堂运行时间为6h，则食堂废水产生量为0.0</w:t>
      </w:r>
      <w:r>
        <w:rPr>
          <w:rFonts w:hint="default" w:ascii="Times New Roman" w:hAnsi="Times New Roman" w:cs="Times New Roman"/>
          <w:color w:val="auto"/>
          <w:sz w:val="24"/>
          <w:highlight w:val="none"/>
          <w:lang w:val="en-US" w:eastAsia="zh-CN"/>
        </w:rPr>
        <w:t>36</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根据《饮食业环境保护技术规范》（HJ554-2010），隔油池设计符合下列规定：含油污水的水力停留时间不宜小于0.5h；池内水流流速不宜大于0.005m/s；池内分格宜取两档三格。考虑1.2的剩余系数后，则隔油池理论容积应不小于0.02</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。环评提出设置一个0.05m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的隔油池，可满足食堂废水的处理需求，该措施合理可行。</w:t>
      </w:r>
    </w:p>
    <w:p w14:paraId="7FD660CA">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（2）化粪池设置的可行性</w:t>
      </w:r>
    </w:p>
    <w:p w14:paraId="1521BFDE">
      <w:pPr>
        <w:pStyle w:val="62"/>
        <w:snapToGrid/>
        <w:spacing w:line="360" w:lineRule="auto"/>
        <w:ind w:left="0" w:leftChars="0" w:firstLine="480" w:firstLineChars="200"/>
        <w:rPr>
          <w:rFonts w:hint="default" w:ascii="Times New Roman" w:hAnsi="Times New Roman" w:cs="Times New Roman"/>
          <w:bCs/>
          <w:color w:val="auto"/>
          <w:sz w:val="24"/>
          <w:szCs w:val="24"/>
        </w:rPr>
      </w:pPr>
      <w:r>
        <w:rPr>
          <w:rFonts w:hint="default" w:ascii="Times New Roman" w:hAnsi="Times New Roman" w:cs="Times New Roman"/>
          <w:color w:val="auto"/>
          <w:sz w:val="24"/>
          <w:highlight w:val="none"/>
        </w:rPr>
        <w:t>根据工程分析，进入化粪池的水主要为办公生活污水（含食堂废水及其他办公生活污水），经计算，员工办公生活污水进入化粪池的量为</w:t>
      </w:r>
      <w:r>
        <w:rPr>
          <w:rFonts w:hint="default" w:ascii="Times New Roman" w:hAnsi="Times New Roman" w:cs="Times New Roman"/>
          <w:bCs/>
          <w:color w:val="auto"/>
          <w:sz w:val="24"/>
          <w:highlight w:val="none"/>
        </w:rPr>
        <w:t>1.</w:t>
      </w:r>
      <w:r>
        <w:rPr>
          <w:rFonts w:hint="default" w:ascii="Times New Roman" w:hAnsi="Times New Roman" w:cs="Times New Roman"/>
          <w:bCs/>
          <w:color w:val="auto"/>
          <w:sz w:val="24"/>
          <w:highlight w:val="none"/>
          <w:lang w:val="en-US" w:eastAsia="zh-CN"/>
        </w:rPr>
        <w:t>08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/d，化粪池停留时间一般取12-24小时，本次评价停留时间以24h计，安全系数取1.2，则化粪池容积理论应不小于</w:t>
      </w:r>
      <w:r>
        <w:rPr>
          <w:rFonts w:hint="default" w:ascii="Times New Roman" w:hAnsi="Times New Roman" w:cs="Times New Roman"/>
          <w:color w:val="auto"/>
          <w:sz w:val="24"/>
          <w:highlight w:val="none"/>
          <w:lang w:val="en-US" w:eastAsia="zh-CN"/>
        </w:rPr>
        <w:t>1.296</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default" w:ascii="Times New Roman" w:hAnsi="Times New Roman" w:cs="Times New Roman"/>
          <w:color w:val="auto"/>
          <w:sz w:val="24"/>
          <w:szCs w:val="24"/>
          <w:lang w:bidi="zh-CN"/>
        </w:rPr>
        <w:t>综上所述，</w:t>
      </w:r>
      <w:r>
        <w:rPr>
          <w:rFonts w:hint="default" w:ascii="Times New Roman" w:hAnsi="Times New Roman" w:cs="Times New Roman"/>
          <w:bCs/>
          <w:color w:val="auto"/>
          <w:sz w:val="24"/>
          <w:szCs w:val="24"/>
        </w:rPr>
        <w:t>本项目设置1座</w:t>
      </w:r>
      <w:r>
        <w:rPr>
          <w:rFonts w:hint="default" w:ascii="Times New Roman" w:hAnsi="Times New Roman" w:cs="Times New Roman"/>
          <w:bCs/>
          <w:color w:val="auto"/>
          <w:sz w:val="24"/>
          <w:szCs w:val="24"/>
          <w:lang w:val="en-US" w:eastAsia="zh-CN"/>
        </w:rPr>
        <w:t>10</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的化粪池，可满足生活污水的处理需求，该措施合理可行。</w:t>
      </w:r>
    </w:p>
    <w:p w14:paraId="7CF82AD0">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w:t>
      </w:r>
      <w:r>
        <w:rPr>
          <w:rFonts w:hint="default" w:ascii="Times New Roman" w:hAnsi="Times New Roman" w:cs="Times New Roman"/>
          <w:b/>
          <w:color w:val="auto"/>
          <w:sz w:val="24"/>
          <w:highlight w:val="none"/>
          <w:lang w:val="en-US" w:eastAsia="zh-CN"/>
        </w:rPr>
        <w:t>废水</w:t>
      </w:r>
      <w:r>
        <w:rPr>
          <w:rFonts w:hint="default" w:ascii="Times New Roman" w:hAnsi="Times New Roman" w:cs="Times New Roman"/>
          <w:b/>
          <w:color w:val="auto"/>
          <w:sz w:val="24"/>
          <w:highlight w:val="none"/>
        </w:rPr>
        <w:t>收集池设置的可行性</w:t>
      </w:r>
    </w:p>
    <w:p w14:paraId="2C2417A4">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根据工程分析，</w:t>
      </w:r>
      <w:r>
        <w:rPr>
          <w:rFonts w:hint="default" w:ascii="Times New Roman" w:hAnsi="Times New Roman" w:cs="Times New Roman"/>
          <w:color w:val="auto"/>
          <w:sz w:val="24"/>
          <w:highlight w:val="none"/>
          <w:lang w:val="en-US" w:eastAsia="zh-CN"/>
        </w:rPr>
        <w:t>项目综合废水最大产生总量为</w:t>
      </w:r>
      <w:r>
        <w:rPr>
          <w:rFonts w:hint="default" w:ascii="Times New Roman" w:hAnsi="Times New Roman" w:cs="Times New Roman"/>
          <w:color w:val="auto"/>
          <w:sz w:val="24"/>
          <w:highlight w:val="none"/>
          <w:lang w:val="en-US" w:bidi="zh-CN"/>
        </w:rPr>
        <w:t>37.267</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lang w:val="en-US" w:eastAsia="zh-CN"/>
        </w:rPr>
        <w:t>日常产生水量为</w:t>
      </w:r>
      <w:r>
        <w:rPr>
          <w:rFonts w:hint="default" w:ascii="Times New Roman" w:hAnsi="Times New Roman" w:cs="Times New Roman"/>
          <w:color w:val="auto"/>
          <w:sz w:val="24"/>
          <w:highlight w:val="none"/>
          <w:lang w:val="en-US" w:bidi="zh-CN"/>
        </w:rPr>
        <w:t>16.019</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项目设置一个容积为1000m³的废水收集池，可满足至少60天废水收集。</w:t>
      </w:r>
      <w:r>
        <w:rPr>
          <w:rFonts w:hint="default" w:ascii="Times New Roman" w:hAnsi="Times New Roman" w:cs="Times New Roman"/>
          <w:color w:val="auto"/>
          <w:sz w:val="24"/>
          <w:highlight w:val="none"/>
        </w:rPr>
        <w:t>可满足收集要求。</w:t>
      </w:r>
    </w:p>
    <w:p w14:paraId="1D55A157">
      <w:pPr>
        <w:snapToGrid w:val="0"/>
        <w:spacing w:line="360" w:lineRule="auto"/>
        <w:ind w:firstLine="482" w:firstLineChars="200"/>
        <w:rPr>
          <w:rFonts w:hint="default" w:ascii="Times New Roman" w:hAnsi="Times New Roman" w:eastAsia="宋体" w:cs="Times New Roman"/>
          <w:b/>
          <w:color w:val="auto"/>
          <w:sz w:val="24"/>
          <w:highlight w:val="none"/>
          <w:lang w:val="en-US" w:eastAsia="zh-CN"/>
        </w:rPr>
      </w:pPr>
      <w:r>
        <w:rPr>
          <w:rFonts w:hint="default" w:ascii="Times New Roman" w:hAnsi="Times New Roman" w:cs="Times New Roman"/>
          <w:b/>
          <w:color w:val="auto"/>
          <w:sz w:val="24"/>
          <w:highlight w:val="none"/>
          <w:lang w:eastAsia="zh-CN"/>
        </w:rPr>
        <w:t>（</w:t>
      </w: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依托可行性分析</w:t>
      </w:r>
    </w:p>
    <w:p w14:paraId="295B8B7C">
      <w:pPr>
        <w:pStyle w:val="11"/>
        <w:keepNext w:val="0"/>
        <w:keepLines w:val="0"/>
        <w:pageBreakBefore w:val="0"/>
        <w:widowControl w:val="0"/>
        <w:kinsoku/>
        <w:wordWrap/>
        <w:overflowPunct/>
        <w:topLinePunct w:val="0"/>
        <w:autoSpaceDE/>
        <w:autoSpaceDN/>
        <w:bidi w:val="0"/>
        <w:adjustRightInd/>
        <w:snapToGrid/>
        <w:spacing w:after="0" w:line="360" w:lineRule="auto"/>
        <w:ind w:left="40" w:right="28" w:firstLine="476"/>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①达标可行性分析</w:t>
      </w:r>
    </w:p>
    <w:p w14:paraId="69F38E9F">
      <w:pPr>
        <w:pStyle w:val="11"/>
        <w:keepNext w:val="0"/>
        <w:keepLines w:val="0"/>
        <w:pageBreakBefore w:val="0"/>
        <w:widowControl w:val="0"/>
        <w:kinsoku/>
        <w:wordWrap/>
        <w:overflowPunct/>
        <w:topLinePunct w:val="0"/>
        <w:autoSpaceDE/>
        <w:autoSpaceDN/>
        <w:bidi w:val="0"/>
        <w:adjustRightInd/>
        <w:snapToGrid/>
        <w:spacing w:after="0" w:line="360" w:lineRule="auto"/>
        <w:ind w:left="40" w:right="28" w:firstLine="476"/>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弥勒温氏畜牧有限公司新哨种猪场建设项目</w:t>
      </w:r>
      <w:r>
        <w:rPr>
          <w:rFonts w:hint="default" w:ascii="Times New Roman" w:hAnsi="Times New Roman" w:eastAsia="宋体" w:cs="Times New Roman"/>
          <w:color w:val="auto"/>
          <w:sz w:val="24"/>
          <w:szCs w:val="24"/>
        </w:rPr>
        <w:t>污水处理站采用</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集水池+</w:t>
      </w:r>
      <w:r>
        <w:rPr>
          <w:rFonts w:hint="default" w:ascii="Times New Roman" w:hAnsi="Times New Roman" w:eastAsia="宋体" w:cs="Times New Roman"/>
          <w:color w:val="auto"/>
          <w:sz w:val="24"/>
          <w:szCs w:val="24"/>
        </w:rPr>
        <w:t>固液分离</w:t>
      </w:r>
      <w:r>
        <w:rPr>
          <w:rFonts w:hint="default" w:ascii="Times New Roman" w:hAnsi="Times New Roman" w:eastAsia="宋体" w:cs="Times New Roman"/>
          <w:color w:val="auto"/>
          <w:sz w:val="24"/>
          <w:szCs w:val="24"/>
          <w:lang w:val="en-US" w:eastAsia="zh-CN"/>
        </w:rPr>
        <w:t>+调节池</w:t>
      </w:r>
      <w:r>
        <w:rPr>
          <w:rFonts w:hint="default" w:ascii="Times New Roman" w:hAnsi="Times New Roman" w:cs="Times New Roman"/>
          <w:color w:val="auto"/>
          <w:sz w:val="24"/>
          <w:szCs w:val="24"/>
        </w:rPr>
        <w:t>+U</w:t>
      </w:r>
      <w:r>
        <w:rPr>
          <w:rFonts w:hint="default" w:ascii="Times New Roman" w:hAnsi="Times New Roman" w:cs="Times New Roman"/>
          <w:color w:val="auto"/>
          <w:spacing w:val="-1"/>
          <w:sz w:val="24"/>
          <w:szCs w:val="24"/>
        </w:rPr>
        <w:t>ASB</w:t>
      </w:r>
      <w:r>
        <w:rPr>
          <w:rFonts w:hint="default" w:ascii="Times New Roman" w:hAnsi="Times New Roman" w:eastAsia="宋体" w:cs="Times New Roman"/>
          <w:color w:val="auto"/>
          <w:spacing w:val="-1"/>
          <w:sz w:val="24"/>
          <w:szCs w:val="24"/>
        </w:rPr>
        <w:t>厌氧反</w:t>
      </w:r>
      <w:r>
        <w:rPr>
          <w:rFonts w:hint="default" w:ascii="Times New Roman" w:hAnsi="Times New Roman" w:eastAsia="宋体" w:cs="Times New Roman"/>
          <w:color w:val="auto"/>
          <w:spacing w:val="-2"/>
          <w:sz w:val="24"/>
          <w:szCs w:val="24"/>
        </w:rPr>
        <w:t>应器</w:t>
      </w:r>
      <w:r>
        <w:rPr>
          <w:rFonts w:hint="default" w:ascii="Times New Roman" w:hAnsi="Times New Roman" w:cs="Times New Roman"/>
          <w:color w:val="auto"/>
          <w:spacing w:val="-2"/>
          <w:sz w:val="24"/>
          <w:szCs w:val="24"/>
        </w:rPr>
        <w:t>+</w:t>
      </w:r>
      <w:r>
        <w:rPr>
          <w:rFonts w:hint="default" w:ascii="Times New Roman" w:hAnsi="Times New Roman" w:eastAsia="宋体" w:cs="Times New Roman"/>
          <w:color w:val="auto"/>
          <w:spacing w:val="-2"/>
          <w:sz w:val="24"/>
          <w:szCs w:val="24"/>
        </w:rPr>
        <w:t>两级</w:t>
      </w:r>
      <w:r>
        <w:rPr>
          <w:rFonts w:hint="default" w:ascii="Times New Roman" w:hAnsi="Times New Roman" w:eastAsia="宋体" w:cs="Times New Roman"/>
          <w:color w:val="auto"/>
          <w:spacing w:val="-58"/>
          <w:sz w:val="24"/>
          <w:szCs w:val="24"/>
        </w:rPr>
        <w:t xml:space="preserve"> </w:t>
      </w:r>
      <w:r>
        <w:rPr>
          <w:rFonts w:hint="default" w:ascii="Times New Roman" w:hAnsi="Times New Roman" w:cs="Times New Roman"/>
          <w:color w:val="auto"/>
          <w:spacing w:val="-2"/>
          <w:sz w:val="24"/>
          <w:szCs w:val="24"/>
        </w:rPr>
        <w:t>AO+</w:t>
      </w:r>
      <w:r>
        <w:rPr>
          <w:rFonts w:hint="default" w:ascii="Times New Roman" w:hAnsi="Times New Roman" w:eastAsia="宋体" w:cs="Times New Roman"/>
          <w:color w:val="auto"/>
          <w:spacing w:val="-2"/>
          <w:sz w:val="24"/>
          <w:szCs w:val="24"/>
        </w:rPr>
        <w:t>微电解</w:t>
      </w:r>
      <w:r>
        <w:rPr>
          <w:rFonts w:hint="default" w:ascii="Times New Roman" w:hAnsi="Times New Roman" w:cs="Times New Roman"/>
          <w:color w:val="auto"/>
          <w:spacing w:val="-2"/>
          <w:sz w:val="24"/>
          <w:szCs w:val="24"/>
        </w:rPr>
        <w:t>+</w:t>
      </w:r>
      <w:r>
        <w:rPr>
          <w:rFonts w:hint="default" w:ascii="Times New Roman" w:hAnsi="Times New Roman" w:eastAsia="宋体" w:cs="Times New Roman"/>
          <w:color w:val="auto"/>
          <w:spacing w:val="-2"/>
          <w:sz w:val="24"/>
          <w:szCs w:val="24"/>
        </w:rPr>
        <w:t>接触氧化</w:t>
      </w:r>
      <w:r>
        <w:rPr>
          <w:rFonts w:hint="default" w:ascii="Times New Roman" w:hAnsi="Times New Roman" w:cs="Times New Roman"/>
          <w:color w:val="auto"/>
          <w:spacing w:val="-2"/>
          <w:sz w:val="24"/>
          <w:szCs w:val="24"/>
        </w:rPr>
        <w:t>+</w:t>
      </w:r>
      <w:r>
        <w:rPr>
          <w:rFonts w:hint="default" w:ascii="Times New Roman" w:hAnsi="Times New Roman" w:eastAsia="宋体" w:cs="Times New Roman"/>
          <w:color w:val="auto"/>
          <w:spacing w:val="-2"/>
          <w:sz w:val="24"/>
          <w:szCs w:val="24"/>
        </w:rPr>
        <w:t>消毒</w:t>
      </w:r>
      <w:r>
        <w:rPr>
          <w:rFonts w:hint="default" w:ascii="Times New Roman" w:hAnsi="Times New Roman" w:cs="Times New Roman"/>
          <w:color w:val="auto"/>
          <w:spacing w:val="-2"/>
          <w:sz w:val="24"/>
          <w:szCs w:val="24"/>
        </w:rPr>
        <w:t>”</w:t>
      </w:r>
      <w:r>
        <w:rPr>
          <w:rFonts w:hint="default" w:ascii="Times New Roman" w:hAnsi="Times New Roman" w:eastAsia="宋体" w:cs="Times New Roman"/>
          <w:color w:val="auto"/>
          <w:spacing w:val="-2"/>
          <w:sz w:val="24"/>
          <w:szCs w:val="24"/>
        </w:rPr>
        <w:t>工艺，污水处理后达</w:t>
      </w:r>
      <w:r>
        <w:rPr>
          <w:rFonts w:hint="default" w:ascii="Times New Roman" w:hAnsi="Times New Roman" w:eastAsia="宋体" w:cs="Times New Roman"/>
          <w:color w:val="auto"/>
          <w:spacing w:val="-3"/>
          <w:sz w:val="24"/>
          <w:szCs w:val="24"/>
        </w:rPr>
        <w:t>到《城市污水再生</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pacing w:val="-3"/>
          <w:sz w:val="24"/>
          <w:szCs w:val="24"/>
        </w:rPr>
        <w:t>利用城市杂用水水质标准》（</w:t>
      </w:r>
      <w:r>
        <w:rPr>
          <w:rFonts w:hint="default" w:ascii="Times New Roman" w:hAnsi="Times New Roman" w:cs="Times New Roman"/>
          <w:color w:val="auto"/>
          <w:spacing w:val="-3"/>
          <w:sz w:val="24"/>
          <w:szCs w:val="24"/>
        </w:rPr>
        <w:t>GB/T19820-20</w:t>
      </w:r>
      <w:r>
        <w:rPr>
          <w:rFonts w:hint="default" w:ascii="Times New Roman" w:hAnsi="Times New Roman" w:cs="Times New Roman"/>
          <w:color w:val="auto"/>
          <w:spacing w:val="-3"/>
          <w:sz w:val="24"/>
          <w:szCs w:val="24"/>
          <w:lang w:val="en-US" w:eastAsia="zh-CN"/>
        </w:rPr>
        <w:t>20</w:t>
      </w:r>
      <w:r>
        <w:rPr>
          <w:rFonts w:hint="default" w:ascii="Times New Roman" w:hAnsi="Times New Roman" w:eastAsia="宋体" w:cs="Times New Roman"/>
          <w:color w:val="auto"/>
          <w:spacing w:val="-3"/>
          <w:sz w:val="24"/>
          <w:szCs w:val="24"/>
        </w:rPr>
        <w:t>）中绿化、道路广场浇洒标准。</w:t>
      </w:r>
    </w:p>
    <w:p w14:paraId="7DC79575">
      <w:pPr>
        <w:pStyle w:val="11"/>
        <w:keepNext w:val="0"/>
        <w:keepLines w:val="0"/>
        <w:pageBreakBefore w:val="0"/>
        <w:widowControl w:val="0"/>
        <w:kinsoku/>
        <w:wordWrap/>
        <w:overflowPunct/>
        <w:topLinePunct w:val="0"/>
        <w:autoSpaceDE/>
        <w:autoSpaceDN/>
        <w:bidi w:val="0"/>
        <w:adjustRightInd/>
        <w:snapToGrid/>
        <w:spacing w:after="0" w:line="360" w:lineRule="auto"/>
        <w:ind w:left="40" w:right="28" w:firstLine="476"/>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根据《弥勒温氏畜牧有限公司新哨场2024年度环境监测》（检测报告编号:YNDO-HJ-202412540，污水处理站出口废水检测结果如下：</w:t>
      </w:r>
    </w:p>
    <w:p w14:paraId="7E953663">
      <w:pPr>
        <w:pStyle w:val="11"/>
        <w:spacing w:before="37" w:line="219" w:lineRule="auto"/>
        <w:ind w:left="2190"/>
        <w:rPr>
          <w:rFonts w:hint="default" w:ascii="Times New Roman" w:hAnsi="Times New Roman" w:eastAsia="宋体" w:cs="Times New Roman"/>
          <w:color w:val="auto"/>
          <w:sz w:val="24"/>
          <w:szCs w:val="24"/>
        </w:rPr>
      </w:pPr>
      <w:r>
        <w:rPr>
          <w:rFonts w:hint="default" w:ascii="Times New Roman" w:hAnsi="Times New Roman" w:cs="Times New Roman"/>
          <w:b/>
          <w:bCs/>
          <w:color w:val="auto"/>
          <w:spacing w:val="-2"/>
          <w:sz w:val="24"/>
          <w:szCs w:val="24"/>
        </w:rPr>
        <w:t>表5.2.2-</w:t>
      </w:r>
      <w:r>
        <w:rPr>
          <w:rFonts w:hint="default" w:ascii="Times New Roman" w:hAnsi="Times New Roman" w:cs="Times New Roman"/>
          <w:b/>
          <w:bCs/>
          <w:color w:val="auto"/>
          <w:spacing w:val="-2"/>
          <w:sz w:val="24"/>
          <w:szCs w:val="24"/>
          <w:lang w:val="en-US" w:eastAsia="zh-CN"/>
        </w:rPr>
        <w:t>2</w:t>
      </w:r>
      <w:r>
        <w:rPr>
          <w:rFonts w:hint="default" w:ascii="Times New Roman" w:hAnsi="Times New Roman" w:cs="Times New Roman"/>
          <w:b/>
          <w:bCs/>
          <w:color w:val="auto"/>
          <w:spacing w:val="-2"/>
          <w:sz w:val="24"/>
          <w:szCs w:val="24"/>
        </w:rPr>
        <w:t xml:space="preserve">  </w:t>
      </w:r>
      <w:r>
        <w:rPr>
          <w:rFonts w:hint="default" w:ascii="Times New Roman" w:hAnsi="Times New Roman" w:eastAsia="宋体" w:cs="Times New Roman"/>
          <w:b/>
          <w:bCs/>
          <w:color w:val="auto"/>
          <w:spacing w:val="-2"/>
          <w:sz w:val="24"/>
          <w:szCs w:val="24"/>
        </w:rPr>
        <w:t>污水处理站</w:t>
      </w:r>
      <w:r>
        <w:rPr>
          <w:rFonts w:hint="default" w:ascii="Times New Roman" w:hAnsi="Times New Roman" w:eastAsia="宋体" w:cs="Times New Roman"/>
          <w:b/>
          <w:bCs/>
          <w:color w:val="auto"/>
          <w:spacing w:val="-2"/>
          <w:sz w:val="24"/>
          <w:szCs w:val="24"/>
          <w:lang w:val="en-US" w:eastAsia="zh-CN"/>
        </w:rPr>
        <w:t>出口废水检测结果</w:t>
      </w:r>
    </w:p>
    <w:tbl>
      <w:tblPr>
        <w:tblStyle w:val="57"/>
        <w:tblW w:w="854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8"/>
        <w:gridCol w:w="1270"/>
        <w:gridCol w:w="1130"/>
        <w:gridCol w:w="1136"/>
        <w:gridCol w:w="1854"/>
        <w:gridCol w:w="1805"/>
      </w:tblGrid>
      <w:tr w14:paraId="2BE8F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348" w:type="dxa"/>
            <w:vAlign w:val="top"/>
          </w:tcPr>
          <w:p w14:paraId="231EDAB0">
            <w:pPr>
              <w:spacing w:before="34" w:line="221" w:lineRule="auto"/>
              <w:ind w:firstLine="540" w:firstLineChars="300"/>
              <w:rPr>
                <w:rFonts w:hint="default" w:ascii="Times New Roman" w:hAnsi="Times New Roman" w:eastAsia="宋体" w:cs="Times New Roman"/>
                <w:b/>
                <w:bCs/>
                <w:color w:val="auto"/>
                <w:spacing w:val="-5"/>
                <w:sz w:val="18"/>
                <w:szCs w:val="18"/>
                <w:lang w:val="en-US" w:eastAsia="zh-CN"/>
              </w:rPr>
            </w:pPr>
            <w:r>
              <w:rPr>
                <w:rFonts w:hint="default" w:ascii="Times New Roman" w:hAnsi="Times New Roman" w:cs="Times New Roman"/>
                <w:color w:val="auto"/>
                <w:sz w:val="18"/>
                <w:szCs w:val="18"/>
              </w:rPr>
              <mc:AlternateContent>
                <mc:Choice Requires="wps">
                  <w:drawing>
                    <wp:anchor distT="0" distB="0" distL="114300" distR="114300" simplePos="0" relativeHeight="251659264" behindDoc="0" locked="0" layoutInCell="1" allowOverlap="1">
                      <wp:simplePos x="0" y="0"/>
                      <wp:positionH relativeFrom="column">
                        <wp:posOffset>-17780</wp:posOffset>
                      </wp:positionH>
                      <wp:positionV relativeFrom="paragraph">
                        <wp:posOffset>8255</wp:posOffset>
                      </wp:positionV>
                      <wp:extent cx="878840" cy="826770"/>
                      <wp:effectExtent l="4445" t="4445" r="12065" b="6985"/>
                      <wp:wrapNone/>
                      <wp:docPr id="156" name="直接连接符 156"/>
                      <wp:cNvGraphicFramePr/>
                      <a:graphic xmlns:a="http://schemas.openxmlformats.org/drawingml/2006/main">
                        <a:graphicData uri="http://schemas.microsoft.com/office/word/2010/wordprocessingShape">
                          <wps:wsp>
                            <wps:cNvCnPr/>
                            <wps:spPr>
                              <a:xfrm>
                                <a:off x="1745615" y="9184005"/>
                                <a:ext cx="878840" cy="82677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4pt;margin-top:0.65pt;height:65.1pt;width:69.2pt;z-index:251659264;mso-width-relative:page;mso-height-relative:page;" filled="f" stroked="t" coordsize="21600,21600" o:gfxdata="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PbIttcAAAAIAQAADwAAAAAAAAABACAAAAAiAAAAZHJzL2Rvd25yZXYueG1sUEsB&#10;AhQAFAAAAAgAh07iQErNEp72AQAAxgMAAA4AAAAAAAAAAQAgAAAAJgEAAGRycy9lMm9Eb2MueG1s&#10;UEsFBgAAAAAGAAYAWQEAAI4FAAAAAA==&#10;">
                      <v:fill on="f" focussize="0,0"/>
                      <v:stroke weight="1pt" color="#000000 [3213]" miterlimit="8" joinstyle="miter"/>
                      <v:imagedata o:title=""/>
                      <o:lock v:ext="edit" aspectratio="f"/>
                    </v:line>
                  </w:pict>
                </mc:Fallback>
              </mc:AlternateContent>
            </w:r>
            <w:r>
              <w:rPr>
                <w:rFonts w:hint="default" w:ascii="Times New Roman" w:hAnsi="Times New Roman" w:eastAsia="宋体" w:cs="Times New Roman"/>
                <w:b/>
                <w:bCs/>
                <w:color w:val="auto"/>
                <w:spacing w:val="-5"/>
                <w:sz w:val="18"/>
                <w:szCs w:val="18"/>
              </w:rPr>
              <w:t>项目</w:t>
            </w:r>
            <w:r>
              <w:rPr>
                <w:rFonts w:hint="default" w:ascii="Times New Roman" w:hAnsi="Times New Roman" w:eastAsia="宋体" w:cs="Times New Roman"/>
                <w:b/>
                <w:bCs/>
                <w:color w:val="auto"/>
                <w:spacing w:val="-5"/>
                <w:sz w:val="18"/>
                <w:szCs w:val="18"/>
                <w:lang w:val="en-US" w:eastAsia="zh-CN"/>
              </w:rPr>
              <w:t xml:space="preserve">            </w:t>
            </w:r>
          </w:p>
          <w:p w14:paraId="7E0BD453">
            <w:pPr>
              <w:spacing w:before="34" w:line="221" w:lineRule="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bCs/>
                <w:color w:val="auto"/>
                <w:spacing w:val="-5"/>
                <w:sz w:val="18"/>
                <w:szCs w:val="18"/>
                <w:lang w:val="en-US" w:eastAsia="zh-CN"/>
              </w:rPr>
              <w:t>编号</w:t>
            </w:r>
          </w:p>
        </w:tc>
        <w:tc>
          <w:tcPr>
            <w:tcW w:w="1270" w:type="dxa"/>
            <w:vAlign w:val="top"/>
          </w:tcPr>
          <w:p w14:paraId="2A1C58E2">
            <w:pPr>
              <w:pStyle w:val="58"/>
              <w:spacing w:before="80" w:line="187" w:lineRule="auto"/>
              <w:rPr>
                <w:rFonts w:hint="default" w:ascii="Times New Roman" w:hAnsi="Times New Roman" w:cs="Times New Roman"/>
                <w:color w:val="auto"/>
                <w:sz w:val="18"/>
                <w:szCs w:val="18"/>
              </w:rPr>
            </w:pPr>
            <w:r>
              <w:rPr>
                <w:rFonts w:hint="default" w:ascii="Times New Roman" w:hAnsi="Times New Roman" w:cs="Times New Roman"/>
                <w:b/>
                <w:bCs/>
                <w:color w:val="auto"/>
                <w:spacing w:val="-2"/>
                <w:sz w:val="18"/>
                <w:szCs w:val="18"/>
              </w:rPr>
              <w:t>202412540-FS-2-1-1</w:t>
            </w:r>
          </w:p>
        </w:tc>
        <w:tc>
          <w:tcPr>
            <w:tcW w:w="1130" w:type="dxa"/>
            <w:vAlign w:val="top"/>
          </w:tcPr>
          <w:p w14:paraId="18B371BD">
            <w:pPr>
              <w:pStyle w:val="58"/>
              <w:spacing w:before="80" w:line="187" w:lineRule="auto"/>
              <w:rPr>
                <w:rFonts w:hint="default" w:ascii="Times New Roman" w:hAnsi="Times New Roman" w:cs="Times New Roman"/>
                <w:color w:val="auto"/>
                <w:sz w:val="18"/>
                <w:szCs w:val="18"/>
              </w:rPr>
            </w:pPr>
            <w:r>
              <w:rPr>
                <w:rFonts w:hint="default" w:ascii="Times New Roman" w:hAnsi="Times New Roman" w:cs="Times New Roman"/>
                <w:b/>
                <w:bCs/>
                <w:color w:val="auto"/>
                <w:spacing w:val="-1"/>
                <w:sz w:val="18"/>
                <w:szCs w:val="18"/>
              </w:rPr>
              <w:t>202412540-FS-2-1-2</w:t>
            </w:r>
          </w:p>
        </w:tc>
        <w:tc>
          <w:tcPr>
            <w:tcW w:w="1136" w:type="dxa"/>
            <w:vAlign w:val="top"/>
          </w:tcPr>
          <w:p w14:paraId="0C89BCB5">
            <w:pPr>
              <w:pStyle w:val="58"/>
              <w:spacing w:before="80" w:line="187" w:lineRule="auto"/>
              <w:rPr>
                <w:rFonts w:hint="default" w:ascii="Times New Roman" w:hAnsi="Times New Roman" w:cs="Times New Roman"/>
                <w:color w:val="auto"/>
                <w:sz w:val="18"/>
                <w:szCs w:val="18"/>
              </w:rPr>
            </w:pPr>
            <w:r>
              <w:rPr>
                <w:rFonts w:hint="default" w:ascii="Times New Roman" w:hAnsi="Times New Roman" w:cs="Times New Roman"/>
                <w:b/>
                <w:bCs/>
                <w:color w:val="auto"/>
                <w:spacing w:val="-5"/>
                <w:sz w:val="18"/>
                <w:szCs w:val="18"/>
              </w:rPr>
              <w:t>202412540-FS-2-1-3</w:t>
            </w:r>
          </w:p>
        </w:tc>
        <w:tc>
          <w:tcPr>
            <w:tcW w:w="1854" w:type="dxa"/>
            <w:vAlign w:val="top"/>
          </w:tcPr>
          <w:p w14:paraId="519FE798">
            <w:pPr>
              <w:pStyle w:val="58"/>
              <w:spacing w:before="80" w:line="187" w:lineRule="auto"/>
              <w:rPr>
                <w:rFonts w:hint="default" w:ascii="Times New Roman" w:hAnsi="Times New Roman" w:cs="Times New Roman"/>
                <w:b/>
                <w:bCs/>
                <w:color w:val="auto"/>
                <w:spacing w:val="-5"/>
                <w:sz w:val="18"/>
                <w:szCs w:val="18"/>
              </w:rPr>
            </w:pPr>
            <w:r>
              <w:rPr>
                <w:rFonts w:hint="default" w:ascii="Times New Roman" w:hAnsi="Times New Roman" w:eastAsia="宋体" w:cs="Times New Roman"/>
                <w:color w:val="auto"/>
                <w:sz w:val="18"/>
                <w:szCs w:val="18"/>
                <w:lang w:val="en-US" w:eastAsia="zh-CN"/>
              </w:rPr>
              <w:t>《城市污水再生利用 城市杂用水水质》（GB/T18920-2020）中绿化用水标准</w:t>
            </w:r>
          </w:p>
        </w:tc>
        <w:tc>
          <w:tcPr>
            <w:tcW w:w="1805" w:type="dxa"/>
            <w:vAlign w:val="top"/>
          </w:tcPr>
          <w:p w14:paraId="62E828DE">
            <w:pPr>
              <w:pStyle w:val="58"/>
              <w:spacing w:before="80" w:line="187" w:lineRule="auto"/>
              <w:rPr>
                <w:rFonts w:hint="default" w:ascii="Times New Roman" w:hAnsi="Times New Roman" w:cs="Times New Roman"/>
                <w:b/>
                <w:bCs/>
                <w:color w:val="auto"/>
                <w:spacing w:val="-5"/>
                <w:sz w:val="18"/>
                <w:szCs w:val="18"/>
              </w:rPr>
            </w:pPr>
            <w:r>
              <w:rPr>
                <w:rFonts w:hint="default" w:ascii="Times New Roman" w:hAnsi="Times New Roman" w:eastAsia="宋体" w:cs="Times New Roman"/>
                <w:color w:val="auto"/>
                <w:kern w:val="0"/>
                <w:sz w:val="18"/>
                <w:szCs w:val="18"/>
                <w:lang w:val="en-US" w:eastAsia="zh-CN" w:bidi="ar"/>
              </w:rPr>
              <w:t>《农田灌溉水质标准》（GB5084-2021）中的“旱地作物”标准</w:t>
            </w:r>
          </w:p>
        </w:tc>
      </w:tr>
      <w:tr w14:paraId="0B001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1348" w:type="dxa"/>
            <w:vAlign w:val="top"/>
          </w:tcPr>
          <w:p w14:paraId="6392B9A2">
            <w:pPr>
              <w:spacing w:before="88" w:line="21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pH值(无量纲)</w:t>
            </w:r>
          </w:p>
        </w:tc>
        <w:tc>
          <w:tcPr>
            <w:tcW w:w="1270" w:type="dxa"/>
            <w:vAlign w:val="top"/>
          </w:tcPr>
          <w:p w14:paraId="2CC30689">
            <w:pPr>
              <w:spacing w:before="128" w:line="187" w:lineRule="auto"/>
              <w:ind w:left="35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7.1</w:t>
            </w:r>
          </w:p>
        </w:tc>
        <w:tc>
          <w:tcPr>
            <w:tcW w:w="1130" w:type="dxa"/>
            <w:vAlign w:val="top"/>
          </w:tcPr>
          <w:p w14:paraId="46BFE593">
            <w:pPr>
              <w:spacing w:before="128" w:line="187" w:lineRule="auto"/>
              <w:ind w:left="377"/>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1136" w:type="dxa"/>
            <w:vAlign w:val="top"/>
          </w:tcPr>
          <w:p w14:paraId="71BB3884">
            <w:pPr>
              <w:pStyle w:val="58"/>
              <w:spacing w:before="128" w:line="187" w:lineRule="auto"/>
              <w:ind w:left="38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5"/>
                <w:sz w:val="18"/>
                <w:szCs w:val="18"/>
                <w:lang w:val="en-US" w:eastAsia="zh-CN"/>
              </w:rPr>
              <w:t>7.0</w:t>
            </w:r>
          </w:p>
        </w:tc>
        <w:tc>
          <w:tcPr>
            <w:tcW w:w="1854" w:type="dxa"/>
            <w:vAlign w:val="top"/>
          </w:tcPr>
          <w:p w14:paraId="2C2F9781">
            <w:pPr>
              <w:pStyle w:val="58"/>
              <w:spacing w:before="128" w:line="187" w:lineRule="auto"/>
              <w:ind w:left="380"/>
              <w:rPr>
                <w:rFonts w:hint="default" w:ascii="Times New Roman" w:hAnsi="Times New Roman" w:eastAsia="宋体" w:cs="Times New Roman"/>
                <w:color w:val="auto"/>
                <w:spacing w:val="-5"/>
                <w:sz w:val="18"/>
                <w:szCs w:val="18"/>
                <w:lang w:val="en-US" w:eastAsia="zh-CN"/>
              </w:rPr>
            </w:pPr>
            <w:r>
              <w:rPr>
                <w:rFonts w:hint="default" w:ascii="Times New Roman" w:hAnsi="Times New Roman" w:eastAsia="宋体" w:cs="Times New Roman"/>
                <w:b w:val="0"/>
                <w:bCs w:val="0"/>
                <w:color w:val="auto"/>
                <w:sz w:val="18"/>
                <w:szCs w:val="18"/>
              </w:rPr>
              <w:t>6.0～9.0</w:t>
            </w:r>
          </w:p>
        </w:tc>
        <w:tc>
          <w:tcPr>
            <w:tcW w:w="1805" w:type="dxa"/>
            <w:vAlign w:val="top"/>
          </w:tcPr>
          <w:p w14:paraId="2BA9C741">
            <w:pPr>
              <w:pStyle w:val="58"/>
              <w:spacing w:before="128" w:line="187" w:lineRule="auto"/>
              <w:ind w:left="380"/>
              <w:rPr>
                <w:rFonts w:hint="default" w:ascii="Times New Roman" w:hAnsi="Times New Roman" w:eastAsia="宋体" w:cs="Times New Roman"/>
                <w:color w:val="auto"/>
                <w:spacing w:val="-5"/>
                <w:sz w:val="18"/>
                <w:szCs w:val="18"/>
                <w:lang w:val="en-US" w:eastAsia="zh-CN"/>
              </w:rPr>
            </w:pPr>
            <w:r>
              <w:rPr>
                <w:rFonts w:hint="default" w:ascii="Times New Roman" w:hAnsi="Times New Roman" w:cs="Times New Roman"/>
                <w:color w:val="auto"/>
                <w:sz w:val="18"/>
                <w:szCs w:val="18"/>
                <w:vertAlign w:val="baseline"/>
                <w:lang w:val="en-US" w:bidi="zh-CN"/>
              </w:rPr>
              <w:t>5.5~8.5</w:t>
            </w:r>
          </w:p>
        </w:tc>
      </w:tr>
      <w:tr w14:paraId="0386E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348" w:type="dxa"/>
            <w:vAlign w:val="top"/>
          </w:tcPr>
          <w:p w14:paraId="6D1C947E">
            <w:pPr>
              <w:spacing w:before="32" w:line="234"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悬浮物(mg</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L)</w:t>
            </w:r>
          </w:p>
        </w:tc>
        <w:tc>
          <w:tcPr>
            <w:tcW w:w="1270" w:type="dxa"/>
            <w:vAlign w:val="top"/>
          </w:tcPr>
          <w:p w14:paraId="32225E2D">
            <w:pPr>
              <w:spacing w:before="70" w:line="187" w:lineRule="auto"/>
              <w:ind w:left="465"/>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18</w:t>
            </w:r>
          </w:p>
        </w:tc>
        <w:tc>
          <w:tcPr>
            <w:tcW w:w="1130" w:type="dxa"/>
            <w:vAlign w:val="top"/>
          </w:tcPr>
          <w:p w14:paraId="2C8E1D47">
            <w:pPr>
              <w:spacing w:before="70" w:line="187" w:lineRule="auto"/>
              <w:ind w:left="463"/>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19</w:t>
            </w:r>
          </w:p>
        </w:tc>
        <w:tc>
          <w:tcPr>
            <w:tcW w:w="1136" w:type="dxa"/>
            <w:vAlign w:val="top"/>
          </w:tcPr>
          <w:p w14:paraId="0AA52741">
            <w:pPr>
              <w:pStyle w:val="58"/>
              <w:spacing w:before="70" w:line="187" w:lineRule="auto"/>
              <w:ind w:left="466"/>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2"/>
                <w:sz w:val="18"/>
                <w:szCs w:val="18"/>
                <w:lang w:val="en-US" w:eastAsia="zh-CN"/>
              </w:rPr>
              <w:t>20</w:t>
            </w:r>
          </w:p>
        </w:tc>
        <w:tc>
          <w:tcPr>
            <w:tcW w:w="1854" w:type="dxa"/>
            <w:vAlign w:val="top"/>
          </w:tcPr>
          <w:p w14:paraId="1F52442D">
            <w:pPr>
              <w:pStyle w:val="58"/>
              <w:spacing w:before="70" w:line="187" w:lineRule="auto"/>
              <w:ind w:left="466"/>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color w:val="auto"/>
                <w:spacing w:val="-2"/>
                <w:sz w:val="18"/>
                <w:szCs w:val="18"/>
                <w:lang w:val="en-US" w:eastAsia="zh-CN"/>
              </w:rPr>
              <w:t>/</w:t>
            </w:r>
          </w:p>
        </w:tc>
        <w:tc>
          <w:tcPr>
            <w:tcW w:w="1805" w:type="dxa"/>
            <w:vAlign w:val="top"/>
          </w:tcPr>
          <w:p w14:paraId="474E0269">
            <w:pPr>
              <w:pStyle w:val="58"/>
              <w:spacing w:before="70" w:line="187" w:lineRule="auto"/>
              <w:ind w:left="466"/>
              <w:rPr>
                <w:rFonts w:hint="default" w:ascii="Times New Roman" w:hAnsi="Times New Roman" w:eastAsia="宋体" w:cs="Times New Roman"/>
                <w:color w:val="auto"/>
                <w:spacing w:val="-2"/>
                <w:sz w:val="18"/>
                <w:szCs w:val="18"/>
                <w:lang w:val="en-US" w:eastAsia="zh-CN"/>
              </w:rPr>
            </w:pPr>
            <w:r>
              <w:rPr>
                <w:rFonts w:hint="default" w:ascii="Times New Roman" w:hAnsi="Times New Roman" w:cs="Times New Roman"/>
                <w:color w:val="auto"/>
                <w:sz w:val="18"/>
                <w:szCs w:val="18"/>
                <w:vertAlign w:val="baseline"/>
                <w:lang w:val="en-US" w:bidi="zh-CN"/>
              </w:rPr>
              <w:t>100</w:t>
            </w:r>
          </w:p>
        </w:tc>
      </w:tr>
      <w:tr w14:paraId="061A0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348" w:type="dxa"/>
            <w:vAlign w:val="top"/>
          </w:tcPr>
          <w:p w14:paraId="7C3AE86D">
            <w:pPr>
              <w:spacing w:before="91" w:line="21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化学需氧量(mg</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L)</w:t>
            </w:r>
          </w:p>
        </w:tc>
        <w:tc>
          <w:tcPr>
            <w:tcW w:w="1270" w:type="dxa"/>
            <w:vAlign w:val="top"/>
          </w:tcPr>
          <w:p w14:paraId="3F22FD58">
            <w:pPr>
              <w:spacing w:before="131" w:line="187" w:lineRule="auto"/>
              <w:ind w:left="470"/>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67</w:t>
            </w:r>
          </w:p>
        </w:tc>
        <w:tc>
          <w:tcPr>
            <w:tcW w:w="1130" w:type="dxa"/>
            <w:vAlign w:val="top"/>
          </w:tcPr>
          <w:p w14:paraId="30BD29F9">
            <w:pPr>
              <w:pStyle w:val="58"/>
              <w:spacing w:before="131" w:line="187" w:lineRule="auto"/>
              <w:ind w:left="48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6"/>
                <w:sz w:val="18"/>
                <w:szCs w:val="18"/>
                <w:lang w:val="en-US" w:eastAsia="zh-CN"/>
              </w:rPr>
              <w:t>65</w:t>
            </w:r>
          </w:p>
        </w:tc>
        <w:tc>
          <w:tcPr>
            <w:tcW w:w="1136" w:type="dxa"/>
            <w:vAlign w:val="top"/>
          </w:tcPr>
          <w:p w14:paraId="04C21A05">
            <w:pPr>
              <w:pStyle w:val="58"/>
              <w:spacing w:before="131" w:line="187" w:lineRule="auto"/>
              <w:ind w:left="461"/>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1"/>
                <w:sz w:val="18"/>
                <w:szCs w:val="18"/>
                <w:lang w:val="en-US" w:eastAsia="zh-CN"/>
              </w:rPr>
              <w:t>68</w:t>
            </w:r>
          </w:p>
        </w:tc>
        <w:tc>
          <w:tcPr>
            <w:tcW w:w="1854" w:type="dxa"/>
            <w:vAlign w:val="top"/>
          </w:tcPr>
          <w:p w14:paraId="19463C75">
            <w:pPr>
              <w:pStyle w:val="58"/>
              <w:spacing w:before="131" w:line="187" w:lineRule="auto"/>
              <w:ind w:left="461"/>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w:t>
            </w:r>
          </w:p>
        </w:tc>
        <w:tc>
          <w:tcPr>
            <w:tcW w:w="1805" w:type="dxa"/>
            <w:vAlign w:val="top"/>
          </w:tcPr>
          <w:p w14:paraId="79D0290D">
            <w:pPr>
              <w:pStyle w:val="58"/>
              <w:spacing w:before="131" w:line="187" w:lineRule="auto"/>
              <w:ind w:left="461"/>
              <w:rPr>
                <w:rFonts w:hint="default" w:ascii="Times New Roman" w:hAnsi="Times New Roman" w:eastAsia="宋体" w:cs="Times New Roman"/>
                <w:color w:val="auto"/>
                <w:spacing w:val="-1"/>
                <w:sz w:val="18"/>
                <w:szCs w:val="18"/>
                <w:lang w:val="en-US" w:eastAsia="zh-CN"/>
              </w:rPr>
            </w:pPr>
            <w:r>
              <w:rPr>
                <w:rFonts w:hint="default" w:ascii="Times New Roman" w:hAnsi="Times New Roman" w:cs="Times New Roman"/>
                <w:color w:val="auto"/>
                <w:sz w:val="18"/>
                <w:szCs w:val="18"/>
                <w:vertAlign w:val="baseline"/>
                <w:lang w:val="en-US" w:bidi="zh-CN"/>
              </w:rPr>
              <w:t>200</w:t>
            </w:r>
          </w:p>
        </w:tc>
      </w:tr>
      <w:tr w14:paraId="3608E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348" w:type="dxa"/>
            <w:vAlign w:val="top"/>
          </w:tcPr>
          <w:p w14:paraId="53090374">
            <w:pPr>
              <w:spacing w:before="91" w:line="213" w:lineRule="auto"/>
              <w:rPr>
                <w:rFonts w:hint="default" w:ascii="Times New Roman" w:hAnsi="Times New Roman" w:eastAsia="宋体" w:cs="Times New Roman"/>
                <w:color w:val="auto"/>
                <w:spacing w:val="-4"/>
                <w:sz w:val="18"/>
                <w:szCs w:val="18"/>
              </w:rPr>
            </w:pPr>
            <w:r>
              <w:rPr>
                <w:rFonts w:hint="default" w:ascii="Times New Roman" w:hAnsi="Times New Roman" w:cs="Times New Roman"/>
                <w:color w:val="auto"/>
                <w:sz w:val="18"/>
                <w:szCs w:val="18"/>
              </w:rPr>
              <w:t>五日生化需氧量(mg/L)</w:t>
            </w:r>
          </w:p>
        </w:tc>
        <w:tc>
          <w:tcPr>
            <w:tcW w:w="1270" w:type="dxa"/>
            <w:vAlign w:val="top"/>
          </w:tcPr>
          <w:p w14:paraId="5E942411">
            <w:pPr>
              <w:spacing w:before="131" w:line="187" w:lineRule="auto"/>
              <w:ind w:left="470"/>
              <w:rPr>
                <w:rFonts w:hint="default" w:ascii="Times New Roman" w:hAnsi="Times New Roman" w:cs="Times New Roman"/>
                <w:color w:val="auto"/>
                <w:spacing w:val="-3"/>
                <w:sz w:val="18"/>
                <w:szCs w:val="18"/>
              </w:rPr>
            </w:pPr>
            <w:r>
              <w:rPr>
                <w:rFonts w:hint="default" w:ascii="Times New Roman" w:hAnsi="Times New Roman" w:cs="Times New Roman"/>
                <w:color w:val="auto"/>
                <w:sz w:val="18"/>
                <w:szCs w:val="18"/>
              </w:rPr>
              <w:t>8.1</w:t>
            </w:r>
          </w:p>
        </w:tc>
        <w:tc>
          <w:tcPr>
            <w:tcW w:w="1130" w:type="dxa"/>
            <w:vAlign w:val="top"/>
          </w:tcPr>
          <w:p w14:paraId="3C9230FB">
            <w:pPr>
              <w:spacing w:before="131" w:line="187" w:lineRule="auto"/>
              <w:ind w:left="480"/>
              <w:rPr>
                <w:rFonts w:hint="default" w:ascii="Times New Roman" w:hAnsi="Times New Roman" w:cs="Times New Roman"/>
                <w:color w:val="auto"/>
                <w:spacing w:val="-6"/>
                <w:sz w:val="18"/>
                <w:szCs w:val="18"/>
              </w:rPr>
            </w:pPr>
            <w:r>
              <w:rPr>
                <w:rFonts w:hint="default" w:ascii="Times New Roman" w:hAnsi="Times New Roman" w:cs="Times New Roman"/>
                <w:color w:val="auto"/>
                <w:sz w:val="18"/>
                <w:szCs w:val="18"/>
              </w:rPr>
              <w:t>7.7</w:t>
            </w:r>
          </w:p>
        </w:tc>
        <w:tc>
          <w:tcPr>
            <w:tcW w:w="1136" w:type="dxa"/>
            <w:vAlign w:val="top"/>
          </w:tcPr>
          <w:p w14:paraId="3F8C7365">
            <w:pPr>
              <w:pStyle w:val="58"/>
              <w:spacing w:before="131" w:line="187" w:lineRule="auto"/>
              <w:ind w:left="461"/>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7.5</w:t>
            </w:r>
          </w:p>
        </w:tc>
        <w:tc>
          <w:tcPr>
            <w:tcW w:w="1854" w:type="dxa"/>
            <w:vAlign w:val="top"/>
          </w:tcPr>
          <w:p w14:paraId="1843E13D">
            <w:pPr>
              <w:pStyle w:val="58"/>
              <w:spacing w:before="131" w:line="187" w:lineRule="auto"/>
              <w:ind w:left="461"/>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b w:val="0"/>
                <w:bCs w:val="0"/>
                <w:color w:val="auto"/>
                <w:sz w:val="18"/>
                <w:szCs w:val="18"/>
              </w:rPr>
              <w:t>≤10</w:t>
            </w:r>
          </w:p>
        </w:tc>
        <w:tc>
          <w:tcPr>
            <w:tcW w:w="1805" w:type="dxa"/>
            <w:vAlign w:val="top"/>
          </w:tcPr>
          <w:p w14:paraId="729C1CD6">
            <w:pPr>
              <w:pStyle w:val="58"/>
              <w:spacing w:before="131" w:line="187" w:lineRule="auto"/>
              <w:ind w:left="461"/>
              <w:rPr>
                <w:rFonts w:hint="default" w:ascii="Times New Roman" w:hAnsi="Times New Roman" w:eastAsia="宋体" w:cs="Times New Roman"/>
                <w:color w:val="auto"/>
                <w:spacing w:val="-1"/>
                <w:sz w:val="18"/>
                <w:szCs w:val="18"/>
                <w:lang w:val="en-US" w:eastAsia="zh-CN"/>
              </w:rPr>
            </w:pPr>
            <w:r>
              <w:rPr>
                <w:rFonts w:hint="default" w:ascii="Times New Roman" w:hAnsi="Times New Roman" w:cs="Times New Roman"/>
                <w:color w:val="auto"/>
                <w:sz w:val="18"/>
                <w:szCs w:val="18"/>
                <w:vertAlign w:val="baseline"/>
                <w:lang w:val="en-US" w:bidi="zh-CN"/>
              </w:rPr>
              <w:t>100</w:t>
            </w:r>
          </w:p>
        </w:tc>
      </w:tr>
      <w:tr w14:paraId="667D7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348" w:type="dxa"/>
            <w:vAlign w:val="top"/>
          </w:tcPr>
          <w:p w14:paraId="14A254B1">
            <w:pPr>
              <w:spacing w:before="91" w:line="213" w:lineRule="auto"/>
              <w:rPr>
                <w:rFonts w:hint="default" w:ascii="Times New Roman" w:hAnsi="Times New Roman" w:eastAsia="宋体" w:cs="Times New Roman"/>
                <w:color w:val="auto"/>
                <w:spacing w:val="-4"/>
                <w:sz w:val="18"/>
                <w:szCs w:val="18"/>
              </w:rPr>
            </w:pPr>
            <w:r>
              <w:rPr>
                <w:rFonts w:hint="default" w:ascii="Times New Roman" w:hAnsi="Times New Roman" w:cs="Times New Roman"/>
                <w:color w:val="auto"/>
                <w:sz w:val="18"/>
                <w:szCs w:val="18"/>
              </w:rPr>
              <w:t>动植物油类(mg</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L)</w:t>
            </w:r>
          </w:p>
        </w:tc>
        <w:tc>
          <w:tcPr>
            <w:tcW w:w="1270" w:type="dxa"/>
            <w:vAlign w:val="top"/>
          </w:tcPr>
          <w:p w14:paraId="74C4451E">
            <w:pPr>
              <w:spacing w:before="131" w:line="187" w:lineRule="auto"/>
              <w:ind w:left="470"/>
              <w:rPr>
                <w:rFonts w:hint="default" w:ascii="Times New Roman" w:hAnsi="Times New Roman" w:cs="Times New Roman"/>
                <w:color w:val="auto"/>
                <w:spacing w:val="-3"/>
                <w:sz w:val="18"/>
                <w:szCs w:val="18"/>
              </w:rPr>
            </w:pPr>
            <w:r>
              <w:rPr>
                <w:rFonts w:hint="default" w:ascii="Times New Roman" w:hAnsi="Times New Roman" w:cs="Times New Roman"/>
                <w:color w:val="auto"/>
                <w:sz w:val="18"/>
                <w:szCs w:val="18"/>
              </w:rPr>
              <w:t>0.45</w:t>
            </w:r>
          </w:p>
        </w:tc>
        <w:tc>
          <w:tcPr>
            <w:tcW w:w="1130" w:type="dxa"/>
            <w:vAlign w:val="top"/>
          </w:tcPr>
          <w:p w14:paraId="72EA1935">
            <w:pPr>
              <w:spacing w:before="131" w:line="187" w:lineRule="auto"/>
              <w:ind w:left="480"/>
              <w:rPr>
                <w:rFonts w:hint="default" w:ascii="Times New Roman" w:hAnsi="Times New Roman" w:cs="Times New Roman"/>
                <w:color w:val="auto"/>
                <w:spacing w:val="-6"/>
                <w:sz w:val="18"/>
                <w:szCs w:val="18"/>
              </w:rPr>
            </w:pPr>
            <w:r>
              <w:rPr>
                <w:rFonts w:hint="default" w:ascii="Times New Roman" w:hAnsi="Times New Roman" w:cs="Times New Roman"/>
                <w:color w:val="auto"/>
                <w:sz w:val="18"/>
                <w:szCs w:val="18"/>
              </w:rPr>
              <w:t>0.43</w:t>
            </w:r>
          </w:p>
        </w:tc>
        <w:tc>
          <w:tcPr>
            <w:tcW w:w="1136" w:type="dxa"/>
            <w:vAlign w:val="top"/>
          </w:tcPr>
          <w:p w14:paraId="7E1D42C4">
            <w:pPr>
              <w:pStyle w:val="58"/>
              <w:spacing w:before="131" w:line="187" w:lineRule="auto"/>
              <w:ind w:left="461"/>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0.47</w:t>
            </w:r>
          </w:p>
        </w:tc>
        <w:tc>
          <w:tcPr>
            <w:tcW w:w="1854" w:type="dxa"/>
            <w:vAlign w:val="top"/>
          </w:tcPr>
          <w:p w14:paraId="0E90D83C">
            <w:pPr>
              <w:pStyle w:val="58"/>
              <w:spacing w:before="131" w:line="187" w:lineRule="auto"/>
              <w:ind w:left="461"/>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w:t>
            </w:r>
          </w:p>
        </w:tc>
        <w:tc>
          <w:tcPr>
            <w:tcW w:w="1805" w:type="dxa"/>
            <w:vAlign w:val="top"/>
          </w:tcPr>
          <w:p w14:paraId="295B8964">
            <w:pPr>
              <w:pStyle w:val="58"/>
              <w:spacing w:before="131" w:line="187" w:lineRule="auto"/>
              <w:ind w:left="461"/>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w:t>
            </w:r>
          </w:p>
        </w:tc>
      </w:tr>
      <w:tr w14:paraId="54B60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348" w:type="dxa"/>
            <w:vAlign w:val="top"/>
          </w:tcPr>
          <w:p w14:paraId="2B65E141">
            <w:pPr>
              <w:spacing w:before="91" w:line="213" w:lineRule="auto"/>
              <w:rPr>
                <w:rFonts w:hint="default" w:ascii="Times New Roman" w:hAnsi="Times New Roman" w:eastAsia="宋体" w:cs="Times New Roman"/>
                <w:color w:val="auto"/>
                <w:spacing w:val="-4"/>
                <w:sz w:val="18"/>
                <w:szCs w:val="18"/>
              </w:rPr>
            </w:pPr>
            <w:r>
              <w:rPr>
                <w:rFonts w:hint="default" w:ascii="Times New Roman" w:hAnsi="Times New Roman" w:cs="Times New Roman"/>
                <w:color w:val="auto"/>
                <w:sz w:val="18"/>
                <w:szCs w:val="18"/>
              </w:rPr>
              <w:t>氨氮(mg</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L)</w:t>
            </w:r>
          </w:p>
        </w:tc>
        <w:tc>
          <w:tcPr>
            <w:tcW w:w="1270" w:type="dxa"/>
            <w:vAlign w:val="top"/>
          </w:tcPr>
          <w:p w14:paraId="781D228C">
            <w:pPr>
              <w:spacing w:before="131" w:line="187" w:lineRule="auto"/>
              <w:ind w:left="470"/>
              <w:rPr>
                <w:rFonts w:hint="default" w:ascii="Times New Roman" w:hAnsi="Times New Roman" w:cs="Times New Roman"/>
                <w:color w:val="auto"/>
                <w:spacing w:val="-3"/>
                <w:sz w:val="18"/>
                <w:szCs w:val="18"/>
              </w:rPr>
            </w:pPr>
            <w:r>
              <w:rPr>
                <w:rFonts w:hint="default" w:ascii="Times New Roman" w:hAnsi="Times New Roman" w:cs="Times New Roman"/>
                <w:color w:val="auto"/>
                <w:sz w:val="18"/>
                <w:szCs w:val="18"/>
              </w:rPr>
              <w:t>4.43</w:t>
            </w:r>
          </w:p>
        </w:tc>
        <w:tc>
          <w:tcPr>
            <w:tcW w:w="1130" w:type="dxa"/>
            <w:vAlign w:val="top"/>
          </w:tcPr>
          <w:p w14:paraId="6708DF60">
            <w:pPr>
              <w:spacing w:before="131" w:line="187" w:lineRule="auto"/>
              <w:ind w:left="480"/>
              <w:rPr>
                <w:rFonts w:hint="default" w:ascii="Times New Roman" w:hAnsi="Times New Roman" w:cs="Times New Roman"/>
                <w:color w:val="auto"/>
                <w:spacing w:val="-6"/>
                <w:sz w:val="18"/>
                <w:szCs w:val="18"/>
              </w:rPr>
            </w:pPr>
            <w:r>
              <w:rPr>
                <w:rFonts w:hint="default" w:ascii="Times New Roman" w:hAnsi="Times New Roman" w:cs="Times New Roman"/>
                <w:color w:val="auto"/>
                <w:sz w:val="18"/>
                <w:szCs w:val="18"/>
              </w:rPr>
              <w:t>4.36</w:t>
            </w:r>
          </w:p>
        </w:tc>
        <w:tc>
          <w:tcPr>
            <w:tcW w:w="1136" w:type="dxa"/>
            <w:vAlign w:val="top"/>
          </w:tcPr>
          <w:p w14:paraId="3DD506E8">
            <w:pPr>
              <w:pStyle w:val="58"/>
              <w:spacing w:before="131" w:line="187" w:lineRule="auto"/>
              <w:ind w:left="461"/>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4.52</w:t>
            </w:r>
          </w:p>
        </w:tc>
        <w:tc>
          <w:tcPr>
            <w:tcW w:w="1854" w:type="dxa"/>
            <w:vAlign w:val="top"/>
          </w:tcPr>
          <w:p w14:paraId="6C1FB357">
            <w:pPr>
              <w:pStyle w:val="58"/>
              <w:spacing w:before="131" w:line="187" w:lineRule="auto"/>
              <w:ind w:left="461"/>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b w:val="0"/>
                <w:bCs w:val="0"/>
                <w:color w:val="auto"/>
                <w:sz w:val="18"/>
                <w:szCs w:val="18"/>
              </w:rPr>
              <w:t>≤8</w:t>
            </w:r>
          </w:p>
        </w:tc>
        <w:tc>
          <w:tcPr>
            <w:tcW w:w="1805" w:type="dxa"/>
            <w:vAlign w:val="top"/>
          </w:tcPr>
          <w:p w14:paraId="6B85C8DB">
            <w:pPr>
              <w:pStyle w:val="58"/>
              <w:spacing w:before="131" w:line="187" w:lineRule="auto"/>
              <w:ind w:left="461"/>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w:t>
            </w:r>
          </w:p>
        </w:tc>
      </w:tr>
      <w:tr w14:paraId="7073B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348" w:type="dxa"/>
            <w:vAlign w:val="top"/>
          </w:tcPr>
          <w:p w14:paraId="00C3BE37">
            <w:pPr>
              <w:spacing w:before="91" w:line="213" w:lineRule="auto"/>
              <w:rPr>
                <w:rFonts w:hint="default" w:ascii="Times New Roman" w:hAnsi="Times New Roman" w:eastAsia="宋体" w:cs="Times New Roman"/>
                <w:color w:val="auto"/>
                <w:spacing w:val="-4"/>
                <w:sz w:val="18"/>
                <w:szCs w:val="18"/>
              </w:rPr>
            </w:pPr>
            <w:r>
              <w:rPr>
                <w:rFonts w:hint="default" w:ascii="Times New Roman" w:hAnsi="Times New Roman" w:cs="Times New Roman"/>
                <w:color w:val="auto"/>
                <w:sz w:val="18"/>
                <w:szCs w:val="18"/>
              </w:rPr>
              <w:t>总磷(mg</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L)</w:t>
            </w:r>
          </w:p>
        </w:tc>
        <w:tc>
          <w:tcPr>
            <w:tcW w:w="1270" w:type="dxa"/>
            <w:vAlign w:val="top"/>
          </w:tcPr>
          <w:p w14:paraId="49E338A2">
            <w:pPr>
              <w:spacing w:before="131" w:line="187" w:lineRule="auto"/>
              <w:ind w:left="470"/>
              <w:rPr>
                <w:rFonts w:hint="default" w:ascii="Times New Roman" w:hAnsi="Times New Roman" w:cs="Times New Roman"/>
                <w:color w:val="auto"/>
                <w:spacing w:val="-3"/>
                <w:sz w:val="18"/>
                <w:szCs w:val="18"/>
              </w:rPr>
            </w:pPr>
            <w:r>
              <w:rPr>
                <w:rFonts w:hint="default" w:ascii="Times New Roman" w:hAnsi="Times New Roman" w:cs="Times New Roman"/>
                <w:color w:val="auto"/>
                <w:sz w:val="18"/>
                <w:szCs w:val="18"/>
              </w:rPr>
              <w:t>4.01</w:t>
            </w:r>
          </w:p>
        </w:tc>
        <w:tc>
          <w:tcPr>
            <w:tcW w:w="1130" w:type="dxa"/>
            <w:vAlign w:val="top"/>
          </w:tcPr>
          <w:p w14:paraId="65BC2AF6">
            <w:pPr>
              <w:spacing w:before="131" w:line="187" w:lineRule="auto"/>
              <w:ind w:left="480"/>
              <w:rPr>
                <w:rFonts w:hint="default" w:ascii="Times New Roman" w:hAnsi="Times New Roman" w:cs="Times New Roman"/>
                <w:color w:val="auto"/>
                <w:spacing w:val="-6"/>
                <w:sz w:val="18"/>
                <w:szCs w:val="18"/>
              </w:rPr>
            </w:pPr>
            <w:r>
              <w:rPr>
                <w:rFonts w:hint="default" w:ascii="Times New Roman" w:hAnsi="Times New Roman" w:cs="Times New Roman"/>
                <w:color w:val="auto"/>
                <w:sz w:val="18"/>
                <w:szCs w:val="18"/>
              </w:rPr>
              <w:t>4.04</w:t>
            </w:r>
          </w:p>
        </w:tc>
        <w:tc>
          <w:tcPr>
            <w:tcW w:w="1136" w:type="dxa"/>
            <w:vAlign w:val="top"/>
          </w:tcPr>
          <w:p w14:paraId="34205A41">
            <w:pPr>
              <w:pStyle w:val="58"/>
              <w:spacing w:before="131" w:line="187" w:lineRule="auto"/>
              <w:ind w:left="461"/>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4.02</w:t>
            </w:r>
          </w:p>
        </w:tc>
        <w:tc>
          <w:tcPr>
            <w:tcW w:w="1854" w:type="dxa"/>
            <w:vAlign w:val="top"/>
          </w:tcPr>
          <w:p w14:paraId="6E61A168">
            <w:pPr>
              <w:pStyle w:val="58"/>
              <w:spacing w:before="131" w:line="187" w:lineRule="auto"/>
              <w:ind w:left="461"/>
              <w:rPr>
                <w:rFonts w:hint="default" w:ascii="Times New Roman" w:hAnsi="Times New Roman" w:eastAsia="宋体" w:cs="Times New Roman"/>
                <w:color w:val="auto"/>
                <w:spacing w:val="-1"/>
                <w:sz w:val="18"/>
                <w:szCs w:val="18"/>
                <w:lang w:val="en-US" w:eastAsia="zh-CN"/>
              </w:rPr>
            </w:pPr>
          </w:p>
        </w:tc>
        <w:tc>
          <w:tcPr>
            <w:tcW w:w="1805" w:type="dxa"/>
            <w:vAlign w:val="top"/>
          </w:tcPr>
          <w:p w14:paraId="651C43DE">
            <w:pPr>
              <w:pStyle w:val="58"/>
              <w:spacing w:before="131" w:line="187" w:lineRule="auto"/>
              <w:ind w:left="461"/>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w:t>
            </w:r>
          </w:p>
        </w:tc>
      </w:tr>
      <w:tr w14:paraId="1DAED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348" w:type="dxa"/>
            <w:vAlign w:val="top"/>
          </w:tcPr>
          <w:p w14:paraId="6E9379AC">
            <w:pPr>
              <w:spacing w:before="91" w:line="213"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阴离子表面活性剂(mg</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L)</w:t>
            </w:r>
          </w:p>
        </w:tc>
        <w:tc>
          <w:tcPr>
            <w:tcW w:w="1270" w:type="dxa"/>
            <w:vAlign w:val="top"/>
          </w:tcPr>
          <w:p w14:paraId="2BBFC9DB">
            <w:pPr>
              <w:spacing w:before="131" w:line="187" w:lineRule="auto"/>
              <w:ind w:left="470"/>
              <w:rPr>
                <w:rFonts w:hint="default" w:ascii="Times New Roman" w:hAnsi="Times New Roman" w:cs="Times New Roman"/>
                <w:color w:val="auto"/>
                <w:spacing w:val="-3"/>
                <w:sz w:val="18"/>
                <w:szCs w:val="18"/>
              </w:rPr>
            </w:pPr>
            <w:r>
              <w:rPr>
                <w:rFonts w:hint="default" w:ascii="Times New Roman" w:hAnsi="Times New Roman" w:cs="Times New Roman"/>
                <w:color w:val="auto"/>
                <w:sz w:val="18"/>
                <w:szCs w:val="18"/>
              </w:rPr>
              <w:t>0.47</w:t>
            </w:r>
          </w:p>
        </w:tc>
        <w:tc>
          <w:tcPr>
            <w:tcW w:w="1130" w:type="dxa"/>
            <w:vAlign w:val="top"/>
          </w:tcPr>
          <w:p w14:paraId="22CC6276">
            <w:pPr>
              <w:spacing w:before="131" w:line="187" w:lineRule="auto"/>
              <w:ind w:left="480"/>
              <w:rPr>
                <w:rFonts w:hint="default" w:ascii="Times New Roman" w:hAnsi="Times New Roman" w:cs="Times New Roman"/>
                <w:color w:val="auto"/>
                <w:spacing w:val="-6"/>
                <w:sz w:val="18"/>
                <w:szCs w:val="18"/>
              </w:rPr>
            </w:pPr>
            <w:r>
              <w:rPr>
                <w:rFonts w:hint="default" w:ascii="Times New Roman" w:hAnsi="Times New Roman" w:cs="Times New Roman"/>
                <w:color w:val="auto"/>
                <w:sz w:val="18"/>
                <w:szCs w:val="18"/>
              </w:rPr>
              <w:t>0.48</w:t>
            </w:r>
          </w:p>
        </w:tc>
        <w:tc>
          <w:tcPr>
            <w:tcW w:w="1136" w:type="dxa"/>
            <w:vAlign w:val="top"/>
          </w:tcPr>
          <w:p w14:paraId="2D21F417">
            <w:pPr>
              <w:pStyle w:val="58"/>
              <w:spacing w:before="131" w:line="187" w:lineRule="auto"/>
              <w:ind w:left="461"/>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0.47</w:t>
            </w:r>
          </w:p>
        </w:tc>
        <w:tc>
          <w:tcPr>
            <w:tcW w:w="1854" w:type="dxa"/>
            <w:vAlign w:val="top"/>
          </w:tcPr>
          <w:p w14:paraId="5D551F88">
            <w:pPr>
              <w:pStyle w:val="58"/>
              <w:spacing w:before="131" w:line="187" w:lineRule="auto"/>
              <w:ind w:left="461"/>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b w:val="0"/>
                <w:bCs w:val="0"/>
                <w:color w:val="auto"/>
                <w:sz w:val="18"/>
                <w:szCs w:val="18"/>
              </w:rPr>
              <w:t>≤0.5</w:t>
            </w:r>
          </w:p>
        </w:tc>
        <w:tc>
          <w:tcPr>
            <w:tcW w:w="1805" w:type="dxa"/>
            <w:vAlign w:val="top"/>
          </w:tcPr>
          <w:p w14:paraId="3F5D9800">
            <w:pPr>
              <w:pStyle w:val="58"/>
              <w:spacing w:before="131" w:line="187" w:lineRule="auto"/>
              <w:ind w:left="461"/>
              <w:rPr>
                <w:rFonts w:hint="default" w:ascii="Times New Roman" w:hAnsi="Times New Roman" w:eastAsia="宋体" w:cs="Times New Roman"/>
                <w:color w:val="auto"/>
                <w:spacing w:val="-1"/>
                <w:sz w:val="18"/>
                <w:szCs w:val="18"/>
                <w:lang w:val="en-US" w:eastAsia="zh-CN"/>
              </w:rPr>
            </w:pPr>
            <w:r>
              <w:rPr>
                <w:rFonts w:hint="default" w:ascii="Times New Roman" w:hAnsi="Times New Roman" w:cs="Times New Roman"/>
                <w:color w:val="auto"/>
                <w:sz w:val="18"/>
                <w:szCs w:val="18"/>
                <w:vertAlign w:val="baseline"/>
                <w:lang w:val="en-US" w:bidi="zh-CN"/>
              </w:rPr>
              <w:t>8</w:t>
            </w:r>
          </w:p>
        </w:tc>
      </w:tr>
    </w:tbl>
    <w:p w14:paraId="1CE437CE">
      <w:pPr>
        <w:pStyle w:val="11"/>
        <w:spacing w:before="78" w:line="345" w:lineRule="auto"/>
        <w:ind w:right="143" w:firstLine="464"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pacing w:val="-4"/>
          <w:sz w:val="24"/>
          <w:szCs w:val="24"/>
          <w:lang w:val="en-US" w:eastAsia="zh-CN"/>
        </w:rPr>
        <w:t>根据上表检测结果，</w:t>
      </w:r>
      <w:r>
        <w:rPr>
          <w:rFonts w:hint="default" w:ascii="Times New Roman" w:hAnsi="Times New Roman" w:eastAsia="宋体" w:cs="Times New Roman"/>
          <w:color w:val="auto"/>
          <w:sz w:val="24"/>
          <w:szCs w:val="24"/>
          <w:lang w:val="en-US" w:eastAsia="zh-CN"/>
        </w:rPr>
        <w:t>弥勒温氏畜牧有限公司新哨种猪场建设项目</w:t>
      </w:r>
      <w:r>
        <w:rPr>
          <w:rFonts w:hint="default" w:ascii="Times New Roman" w:hAnsi="Times New Roman" w:eastAsia="宋体" w:cs="Times New Roman"/>
          <w:color w:val="auto"/>
          <w:spacing w:val="-4"/>
          <w:sz w:val="24"/>
          <w:szCs w:val="24"/>
        </w:rPr>
        <w:t>污水处理站</w:t>
      </w:r>
      <w:r>
        <w:rPr>
          <w:rFonts w:hint="default" w:ascii="Times New Roman" w:hAnsi="Times New Roman" w:eastAsia="宋体" w:cs="Times New Roman"/>
          <w:color w:val="auto"/>
          <w:spacing w:val="-4"/>
          <w:sz w:val="24"/>
          <w:szCs w:val="24"/>
          <w:lang w:val="en-US" w:eastAsia="zh-CN"/>
        </w:rPr>
        <w:t>出水水质</w:t>
      </w:r>
      <w:r>
        <w:rPr>
          <w:rFonts w:hint="default" w:ascii="Times New Roman" w:hAnsi="Times New Roman" w:eastAsia="宋体" w:cs="Times New Roman"/>
          <w:color w:val="auto"/>
          <w:spacing w:val="-4"/>
          <w:sz w:val="24"/>
          <w:szCs w:val="24"/>
        </w:rPr>
        <w:t>可以达到《城市污水再生利用城市杂用</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pacing w:val="-1"/>
          <w:sz w:val="24"/>
          <w:szCs w:val="24"/>
        </w:rPr>
        <w:t>水水质标准》（</w:t>
      </w:r>
      <w:r>
        <w:rPr>
          <w:rFonts w:hint="default" w:ascii="Times New Roman" w:hAnsi="Times New Roman" w:cs="Times New Roman"/>
          <w:color w:val="auto"/>
          <w:spacing w:val="-1"/>
          <w:sz w:val="24"/>
          <w:szCs w:val="24"/>
        </w:rPr>
        <w:t>GB/T19820-20</w:t>
      </w:r>
      <w:r>
        <w:rPr>
          <w:rFonts w:hint="default" w:ascii="Times New Roman" w:hAnsi="Times New Roman" w:cs="Times New Roman"/>
          <w:color w:val="auto"/>
          <w:spacing w:val="-1"/>
          <w:sz w:val="24"/>
          <w:szCs w:val="24"/>
          <w:lang w:val="en-US" w:eastAsia="zh-CN"/>
        </w:rPr>
        <w:t>20</w:t>
      </w:r>
      <w:r>
        <w:rPr>
          <w:rFonts w:hint="default" w:ascii="Times New Roman" w:hAnsi="Times New Roman" w:eastAsia="宋体" w:cs="Times New Roman"/>
          <w:color w:val="auto"/>
          <w:spacing w:val="-1"/>
          <w:sz w:val="24"/>
          <w:szCs w:val="24"/>
        </w:rPr>
        <w:t>）中绿化浇洒标准</w:t>
      </w:r>
      <w:r>
        <w:rPr>
          <w:rFonts w:hint="default" w:ascii="Times New Roman" w:hAnsi="Times New Roman" w:eastAsia="宋体" w:cs="Times New Roman"/>
          <w:color w:val="auto"/>
          <w:spacing w:val="-1"/>
          <w:sz w:val="24"/>
          <w:szCs w:val="24"/>
          <w:lang w:val="en-US" w:eastAsia="zh-CN"/>
        </w:rPr>
        <w:t>及《农田灌溉水质标准》（GB5084-2021）中的“旱地作物”标准</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z w:val="24"/>
          <w:szCs w:val="24"/>
          <w:lang w:val="en-US" w:eastAsia="zh-CN"/>
        </w:rPr>
        <w:t>本项目与弥勒温氏畜牧有限公司新哨种猪场建设项目产生污水种类一致，经调节池均质均量后，污水处理站出水能够保持稳定达标。</w:t>
      </w:r>
    </w:p>
    <w:p w14:paraId="789B2AAC">
      <w:pPr>
        <w:snapToGrid w:val="0"/>
        <w:spacing w:line="360" w:lineRule="auto"/>
        <w:ind w:firstLine="482" w:firstLineChars="200"/>
        <w:rPr>
          <w:rFonts w:hint="default" w:ascii="Times New Roman" w:hAnsi="Times New Roman" w:eastAsia="宋体"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②处理余量可行性分析</w:t>
      </w:r>
    </w:p>
    <w:p w14:paraId="38D35500">
      <w:pPr>
        <w:snapToGrid w:val="0"/>
        <w:spacing w:line="360" w:lineRule="auto"/>
        <w:ind w:firstLine="480" w:firstLineChars="200"/>
        <w:rPr>
          <w:rFonts w:hint="default" w:ascii="Times New Roman" w:hAnsi="Times New Roman" w:cs="Times New Roman"/>
          <w:color w:val="auto"/>
          <w:sz w:val="24"/>
          <w:highlight w:val="none"/>
          <w:lang w:val="en-US"/>
        </w:rPr>
      </w:pPr>
      <w:r>
        <w:rPr>
          <w:rFonts w:hint="default" w:ascii="Times New Roman" w:hAnsi="Times New Roman" w:eastAsia="宋体" w:cs="Times New Roman"/>
          <w:color w:val="auto"/>
          <w:sz w:val="24"/>
          <w:szCs w:val="24"/>
          <w:lang w:val="en-US" w:eastAsia="zh-CN"/>
        </w:rPr>
        <w:t>弥勒温氏畜牧有限公司新哨种猪场建设项目</w:t>
      </w:r>
      <w:r>
        <w:rPr>
          <w:rFonts w:hint="default" w:ascii="Times New Roman" w:hAnsi="Times New Roman" w:eastAsia="宋体" w:cs="Times New Roman"/>
          <w:color w:val="auto"/>
          <w:sz w:val="24"/>
          <w:szCs w:val="24"/>
        </w:rPr>
        <w:t>污水处理站</w:t>
      </w:r>
      <w:r>
        <w:rPr>
          <w:rFonts w:hint="default" w:ascii="Times New Roman" w:hAnsi="Times New Roman" w:eastAsia="宋体" w:cs="Times New Roman"/>
          <w:color w:val="auto"/>
          <w:sz w:val="24"/>
          <w:szCs w:val="24"/>
          <w:lang w:val="en-US" w:eastAsia="zh-CN"/>
        </w:rPr>
        <w:t>处理能力为500m³/d,根据该项目污水处理站运行台账（见附件</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），目前</w:t>
      </w:r>
      <w:r>
        <w:rPr>
          <w:rFonts w:hint="default" w:ascii="Times New Roman" w:hAnsi="Times New Roman" w:cs="Times New Roman"/>
          <w:color w:val="auto"/>
          <w:sz w:val="24"/>
          <w:szCs w:val="24"/>
          <w:lang w:val="en-US" w:eastAsia="zh-CN"/>
        </w:rPr>
        <w:t>废水最大产生量</w:t>
      </w:r>
      <w:r>
        <w:rPr>
          <w:rFonts w:hint="default" w:ascii="Times New Roman" w:hAnsi="Times New Roman" w:eastAsia="宋体" w:cs="Times New Roman"/>
          <w:color w:val="auto"/>
          <w:sz w:val="24"/>
          <w:szCs w:val="24"/>
          <w:lang w:val="en-US" w:eastAsia="zh-CN"/>
        </w:rPr>
        <w:t>为3</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0m³/d,尚有</w:t>
      </w:r>
      <w:r>
        <w:rPr>
          <w:rFonts w:hint="default" w:ascii="Times New Roman" w:hAnsi="Times New Roman" w:cs="Times New Roman"/>
          <w:color w:val="auto"/>
          <w:sz w:val="24"/>
          <w:szCs w:val="24"/>
          <w:lang w:val="en-US" w:eastAsia="zh-CN"/>
        </w:rPr>
        <w:t>180</w:t>
      </w:r>
      <w:r>
        <w:rPr>
          <w:rFonts w:hint="default" w:ascii="Times New Roman" w:hAnsi="Times New Roman" w:eastAsia="宋体" w:cs="Times New Roman"/>
          <w:color w:val="auto"/>
          <w:sz w:val="24"/>
          <w:szCs w:val="24"/>
          <w:lang w:val="en-US" w:eastAsia="zh-CN"/>
        </w:rPr>
        <w:t>m³处理余量。本项目废水日最大产生量为</w:t>
      </w:r>
      <w:r>
        <w:rPr>
          <w:rFonts w:hint="default" w:ascii="Times New Roman" w:hAnsi="Times New Roman" w:cs="Times New Roman"/>
          <w:color w:val="auto"/>
          <w:sz w:val="24"/>
          <w:highlight w:val="none"/>
          <w:lang w:val="en-US" w:bidi="zh-CN"/>
        </w:rPr>
        <w:t>37.267</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lang w:val="en-US" w:eastAsia="zh-CN"/>
        </w:rPr>
        <w:t>日常产生水量为</w:t>
      </w:r>
      <w:r>
        <w:rPr>
          <w:rFonts w:hint="default" w:ascii="Times New Roman" w:hAnsi="Times New Roman" w:cs="Times New Roman"/>
          <w:color w:val="auto"/>
          <w:sz w:val="24"/>
          <w:highlight w:val="none"/>
          <w:lang w:val="en-US" w:bidi="zh-CN"/>
        </w:rPr>
        <w:t>16.019</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同时项目设置一个容积为1000m³的废水收集池，可满足至少60天废水收集。</w:t>
      </w:r>
      <w:r>
        <w:rPr>
          <w:rFonts w:hint="default" w:ascii="Times New Roman" w:hAnsi="Times New Roman" w:eastAsia="宋体" w:cs="Times New Roman"/>
          <w:color w:val="auto"/>
          <w:sz w:val="24"/>
          <w:szCs w:val="24"/>
          <w:lang w:val="en-US" w:eastAsia="zh-CN"/>
        </w:rPr>
        <w:t>弥勒温氏畜牧有限公司新哨种猪场建设项目</w:t>
      </w:r>
      <w:r>
        <w:rPr>
          <w:rFonts w:hint="default" w:ascii="Times New Roman" w:hAnsi="Times New Roman" w:eastAsia="宋体" w:cs="Times New Roman"/>
          <w:color w:val="auto"/>
          <w:sz w:val="24"/>
          <w:szCs w:val="24"/>
        </w:rPr>
        <w:t>污水处理站</w:t>
      </w:r>
      <w:r>
        <w:rPr>
          <w:rFonts w:hint="default" w:ascii="Times New Roman" w:hAnsi="Times New Roman" w:eastAsia="宋体" w:cs="Times New Roman"/>
          <w:color w:val="auto"/>
          <w:sz w:val="24"/>
          <w:szCs w:val="24"/>
          <w:lang w:val="en-US" w:eastAsia="zh-CN"/>
        </w:rPr>
        <w:t>处理能力能够满足本项目废水处理要求。</w:t>
      </w:r>
    </w:p>
    <w:p w14:paraId="53F8B0E8">
      <w:pPr>
        <w:snapToGrid w:val="0"/>
        <w:spacing w:line="360" w:lineRule="auto"/>
        <w:ind w:firstLine="480" w:firstLineChars="200"/>
        <w:rPr>
          <w:rFonts w:hint="default" w:ascii="Times New Roman" w:hAnsi="Times New Roman" w:eastAsia="宋体" w:cs="Times New Roman"/>
          <w:b/>
          <w:color w:val="auto"/>
          <w:sz w:val="24"/>
          <w:highlight w:val="none"/>
          <w:lang w:val="en-US" w:eastAsia="zh-CN"/>
        </w:rPr>
      </w:pPr>
      <w:r>
        <w:rPr>
          <w:rFonts w:hint="default" w:ascii="Times New Roman" w:hAnsi="Times New Roman" w:cs="Times New Roman"/>
          <w:b w:val="0"/>
          <w:bCs/>
          <w:color w:val="auto"/>
          <w:sz w:val="24"/>
          <w:highlight w:val="none"/>
          <w:lang w:val="en-US" w:eastAsia="zh-CN"/>
        </w:rPr>
        <w:t>本项目与</w:t>
      </w:r>
      <w:r>
        <w:rPr>
          <w:rFonts w:hint="default" w:ascii="Times New Roman" w:hAnsi="Times New Roman" w:eastAsia="宋体" w:cs="Times New Roman"/>
          <w:b w:val="0"/>
          <w:bCs/>
          <w:color w:val="auto"/>
          <w:sz w:val="24"/>
          <w:szCs w:val="24"/>
          <w:lang w:val="en-US" w:eastAsia="zh-CN"/>
        </w:rPr>
        <w:t>弥勒</w:t>
      </w:r>
      <w:r>
        <w:rPr>
          <w:rFonts w:hint="default" w:ascii="Times New Roman" w:hAnsi="Times New Roman" w:eastAsia="宋体" w:cs="Times New Roman"/>
          <w:color w:val="auto"/>
          <w:sz w:val="24"/>
          <w:szCs w:val="24"/>
          <w:lang w:val="en-US" w:eastAsia="zh-CN"/>
        </w:rPr>
        <w:t>温氏畜牧有限公司新哨种猪场建设项目厂界相邻，本项目废水收集池</w:t>
      </w:r>
      <w:r>
        <w:rPr>
          <w:rFonts w:hint="eastAsia" w:ascii="Times New Roman" w:hAnsi="Times New Roman" w:cs="Times New Roman"/>
          <w:color w:val="auto"/>
          <w:sz w:val="24"/>
          <w:szCs w:val="24"/>
          <w:lang w:val="en-US" w:eastAsia="zh-CN"/>
        </w:rPr>
        <w:t>距</w:t>
      </w:r>
      <w:r>
        <w:rPr>
          <w:rFonts w:hint="default" w:ascii="Times New Roman" w:hAnsi="Times New Roman" w:eastAsia="宋体" w:cs="Times New Roman"/>
          <w:color w:val="auto"/>
          <w:sz w:val="24"/>
          <w:szCs w:val="24"/>
        </w:rPr>
        <w:t>污水处理站</w:t>
      </w:r>
      <w:r>
        <w:rPr>
          <w:rFonts w:hint="default" w:ascii="Times New Roman" w:hAnsi="Times New Roman" w:eastAsia="宋体" w:cs="Times New Roman"/>
          <w:color w:val="auto"/>
          <w:sz w:val="24"/>
          <w:szCs w:val="24"/>
          <w:lang w:val="en-US" w:eastAsia="zh-CN"/>
        </w:rPr>
        <w:t>直线距离150m,通过管道输送至新哨种猪场</w:t>
      </w:r>
      <w:r>
        <w:rPr>
          <w:rFonts w:hint="default" w:ascii="Times New Roman" w:hAnsi="Times New Roman" w:cs="Times New Roman"/>
          <w:color w:val="auto"/>
          <w:sz w:val="24"/>
          <w:szCs w:val="24"/>
          <w:lang w:val="en-US" w:eastAsia="zh-CN"/>
        </w:rPr>
        <w:t>500m³</w:t>
      </w:r>
      <w:r>
        <w:rPr>
          <w:rFonts w:hint="default" w:ascii="Times New Roman" w:hAnsi="Times New Roman" w:eastAsia="宋体" w:cs="Times New Roman"/>
          <w:color w:val="auto"/>
          <w:sz w:val="24"/>
          <w:szCs w:val="24"/>
          <w:lang w:val="en-US" w:eastAsia="zh-CN"/>
        </w:rPr>
        <w:t>调节池</w:t>
      </w:r>
      <w:r>
        <w:rPr>
          <w:rFonts w:hint="default" w:ascii="Times New Roman" w:hAnsi="Times New Roman" w:cs="Times New Roman"/>
          <w:color w:val="auto"/>
          <w:sz w:val="24"/>
          <w:szCs w:val="24"/>
          <w:lang w:val="en-US" w:eastAsia="zh-CN"/>
        </w:rPr>
        <w:t>，再进入后续处理工序。</w:t>
      </w:r>
    </w:p>
    <w:p w14:paraId="0C316AE7">
      <w:pPr>
        <w:snapToGrid w:val="0"/>
        <w:spacing w:line="360" w:lineRule="auto"/>
        <w:ind w:firstLine="482" w:firstLineChars="200"/>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③废水全部用于绿化及消纳区农田灌溉可行性</w:t>
      </w:r>
    </w:p>
    <w:p w14:paraId="27BC1D78">
      <w:pPr>
        <w:snapToGrid w:val="0"/>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建设单位已</w:t>
      </w:r>
      <w:r>
        <w:rPr>
          <w:rFonts w:hint="eastAsia" w:cs="Times New Roman"/>
          <w:color w:val="auto"/>
          <w:sz w:val="24"/>
          <w:szCs w:val="24"/>
          <w:lang w:val="en-US" w:eastAsia="zh-CN"/>
        </w:rPr>
        <w:t>与</w:t>
      </w:r>
      <w:r>
        <w:rPr>
          <w:rFonts w:hint="default" w:ascii="Times New Roman" w:hAnsi="Times New Roman" w:cs="Times New Roman"/>
          <w:color w:val="auto"/>
          <w:sz w:val="24"/>
          <w:szCs w:val="24"/>
          <w:lang w:val="en-US" w:eastAsia="zh-CN"/>
        </w:rPr>
        <w:t>清河村委会</w:t>
      </w:r>
      <w:r>
        <w:rPr>
          <w:rFonts w:hint="eastAsia" w:cs="Times New Roman"/>
          <w:color w:val="auto"/>
          <w:sz w:val="24"/>
          <w:szCs w:val="24"/>
          <w:lang w:val="en-US" w:eastAsia="zh-CN"/>
        </w:rPr>
        <w:t>及种植专业户</w:t>
      </w:r>
      <w:r>
        <w:rPr>
          <w:rFonts w:hint="default" w:ascii="Times New Roman" w:hAnsi="Times New Roman" w:eastAsia="宋体" w:cs="Times New Roman"/>
          <w:color w:val="auto"/>
          <w:sz w:val="24"/>
          <w:szCs w:val="24"/>
          <w:lang w:val="en-US" w:eastAsia="zh-CN"/>
        </w:rPr>
        <w:t>签订粪污消纳协议，消纳区主要种植</w:t>
      </w:r>
      <w:r>
        <w:rPr>
          <w:rFonts w:hint="default" w:ascii="Times New Roman" w:hAnsi="Times New Roman" w:cs="Times New Roman"/>
          <w:color w:val="auto"/>
          <w:sz w:val="24"/>
          <w:szCs w:val="24"/>
          <w:lang w:val="en-US" w:eastAsia="zh-CN"/>
        </w:rPr>
        <w:t>桃树10000亩、韭菜90亩</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桃树每年3-</w:t>
      </w:r>
      <w:r>
        <w:rPr>
          <w:rFonts w:hint="eastAsia" w:cs="Times New Roman"/>
          <w:color w:val="auto"/>
          <w:sz w:val="24"/>
          <w:szCs w:val="24"/>
          <w:lang w:val="en-US" w:eastAsia="zh-CN"/>
        </w:rPr>
        <w:t>10</w:t>
      </w:r>
      <w:r>
        <w:rPr>
          <w:rFonts w:hint="default" w:ascii="Times New Roman" w:hAnsi="Times New Roman" w:cs="Times New Roman"/>
          <w:color w:val="auto"/>
          <w:sz w:val="24"/>
          <w:szCs w:val="24"/>
          <w:lang w:val="en-US" w:eastAsia="zh-CN"/>
        </w:rPr>
        <w:t>月进行浇灌，韭菜集中在每年3-11月进行浇灌，11月~2月浇灌次数减少。</w:t>
      </w:r>
      <w:r>
        <w:rPr>
          <w:rFonts w:hint="default" w:ascii="Times New Roman" w:hAnsi="Times New Roman" w:cs="Times New Roman"/>
          <w:bCs/>
          <w:color w:val="auto"/>
          <w:sz w:val="24"/>
        </w:rPr>
        <w:t>根据《云南省用水定额》</w:t>
      </w:r>
      <w:r>
        <w:rPr>
          <w:rFonts w:hint="default" w:ascii="Times New Roman" w:hAnsi="Times New Roman" w:cs="Times New Roman"/>
          <w:bCs/>
          <w:color w:val="auto"/>
          <w:sz w:val="24"/>
          <w:lang w:val="en-US" w:eastAsia="zh-CN"/>
        </w:rPr>
        <w:t>（2019 年版 经云水发〔2019〕122 号发布）</w:t>
      </w:r>
      <w:r>
        <w:rPr>
          <w:rFonts w:hint="default" w:ascii="Times New Roman" w:hAnsi="Times New Roman" w:cs="Times New Roman"/>
          <w:bCs/>
          <w:color w:val="auto"/>
          <w:sz w:val="24"/>
        </w:rPr>
        <w:t>，</w:t>
      </w:r>
      <w:r>
        <w:rPr>
          <w:rFonts w:hint="default" w:ascii="Times New Roman" w:hAnsi="Times New Roman" w:cs="Times New Roman"/>
          <w:color w:val="auto"/>
          <w:sz w:val="24"/>
        </w:rPr>
        <w:t>其中</w:t>
      </w:r>
      <w:r>
        <w:rPr>
          <w:rFonts w:hint="default" w:ascii="Times New Roman" w:hAnsi="Times New Roman" w:cs="Times New Roman"/>
          <w:color w:val="auto"/>
          <w:sz w:val="24"/>
          <w:lang w:val="en-US" w:eastAsia="zh-CN"/>
        </w:rPr>
        <w:t>弥勒</w:t>
      </w:r>
      <w:r>
        <w:rPr>
          <w:rFonts w:hint="default" w:ascii="Times New Roman" w:hAnsi="Times New Roman" w:cs="Times New Roman"/>
          <w:color w:val="auto"/>
          <w:sz w:val="24"/>
        </w:rPr>
        <w:t>属于Ⅰ区（</w:t>
      </w:r>
      <w:r>
        <w:rPr>
          <w:rFonts w:hint="default" w:ascii="Times New Roman" w:hAnsi="Times New Roman" w:cs="Times New Roman"/>
          <w:color w:val="auto"/>
          <w:sz w:val="24"/>
          <w:lang w:val="en-US" w:eastAsia="zh-CN"/>
        </w:rPr>
        <w:t>滇中区</w:t>
      </w:r>
      <w:r>
        <w:rPr>
          <w:rFonts w:hint="default" w:ascii="Times New Roman" w:hAnsi="Times New Roman" w:cs="Times New Roman"/>
          <w:color w:val="auto"/>
          <w:sz w:val="24"/>
        </w:rPr>
        <w:t>），平水年（P=50%）</w:t>
      </w:r>
      <w:r>
        <w:rPr>
          <w:rFonts w:hint="default" w:ascii="Times New Roman" w:hAnsi="Times New Roman" w:cs="Times New Roman"/>
          <w:color w:val="auto"/>
          <w:sz w:val="24"/>
          <w:lang w:val="en-US" w:eastAsia="zh-CN"/>
        </w:rPr>
        <w:t>果类（木本类）</w:t>
      </w:r>
      <w:r>
        <w:rPr>
          <w:rFonts w:hint="default" w:ascii="Times New Roman" w:hAnsi="Times New Roman" w:cs="Times New Roman"/>
          <w:color w:val="auto"/>
          <w:sz w:val="24"/>
        </w:rPr>
        <w:t>的年用水灌溉定额为</w:t>
      </w:r>
      <w:r>
        <w:rPr>
          <w:rFonts w:hint="default" w:ascii="Times New Roman" w:hAnsi="Times New Roman" w:cs="Times New Roman"/>
          <w:bCs/>
          <w:color w:val="auto"/>
          <w:sz w:val="24"/>
          <w:lang w:val="en-US" w:eastAsia="zh-CN"/>
        </w:rPr>
        <w:t>1350～1500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/hm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，平水年（P=50%）</w:t>
      </w:r>
      <w:r>
        <w:rPr>
          <w:rFonts w:hint="default" w:ascii="Times New Roman" w:hAnsi="Times New Roman" w:cs="Times New Roman"/>
          <w:bCs/>
          <w:color w:val="auto"/>
          <w:sz w:val="24"/>
          <w:lang w:val="en-US" w:eastAsia="zh-CN"/>
        </w:rPr>
        <w:t>蔬菜(茎叶类)</w:t>
      </w:r>
      <w:r>
        <w:rPr>
          <w:rFonts w:hint="default" w:ascii="Times New Roman" w:hAnsi="Times New Roman" w:cs="Times New Roman"/>
          <w:bCs/>
          <w:color w:val="auto"/>
          <w:sz w:val="24"/>
        </w:rPr>
        <w:t>的年用水灌溉定额为</w:t>
      </w:r>
      <w:r>
        <w:rPr>
          <w:rFonts w:hint="default" w:ascii="Times New Roman" w:hAnsi="Times New Roman" w:cs="Times New Roman"/>
          <w:bCs/>
          <w:color w:val="auto"/>
          <w:sz w:val="24"/>
          <w:lang w:val="en-US" w:eastAsia="zh-CN"/>
        </w:rPr>
        <w:t>3975～4350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vertAlign w:val="baseline"/>
          <w:lang w:eastAsia="zh-CN"/>
        </w:rPr>
        <w:t>。</w:t>
      </w:r>
      <w:r>
        <w:rPr>
          <w:rFonts w:hint="default" w:ascii="Times New Roman" w:hAnsi="Times New Roman" w:cs="Times New Roman"/>
          <w:color w:val="auto"/>
          <w:sz w:val="24"/>
          <w:szCs w:val="24"/>
          <w:lang w:val="en-US" w:eastAsia="zh-CN"/>
        </w:rPr>
        <w:t>10000亩桃树需水量为899100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vertAlign w:val="baseline"/>
          <w:lang w:val="en-US" w:eastAsia="zh-CN"/>
        </w:rPr>
        <w:t>/a,</w:t>
      </w:r>
      <w:r>
        <w:rPr>
          <w:rFonts w:hint="default" w:ascii="Times New Roman" w:hAnsi="Times New Roman" w:cs="Times New Roman"/>
          <w:color w:val="auto"/>
          <w:sz w:val="24"/>
          <w:szCs w:val="24"/>
          <w:lang w:val="en-US" w:eastAsia="zh-CN"/>
        </w:rPr>
        <w:t>90亩韭菜需水量为23826.15</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vertAlign w:val="baseline"/>
          <w:lang w:val="en-US" w:eastAsia="zh-CN"/>
        </w:rPr>
        <w:t>/a。</w:t>
      </w:r>
      <w:r>
        <w:rPr>
          <w:rFonts w:hint="default" w:ascii="Times New Roman" w:hAnsi="Times New Roman" w:cs="Times New Roman"/>
          <w:color w:val="auto"/>
          <w:sz w:val="24"/>
          <w:szCs w:val="24"/>
          <w:lang w:val="en-US" w:eastAsia="zh-CN"/>
        </w:rPr>
        <w:t>同时，</w:t>
      </w:r>
      <w:r>
        <w:rPr>
          <w:rFonts w:hint="default" w:ascii="Times New Roman" w:hAnsi="Times New Roman" w:eastAsia="宋体" w:cs="Times New Roman"/>
          <w:color w:val="auto"/>
          <w:sz w:val="24"/>
          <w:szCs w:val="24"/>
          <w:lang w:val="en-US" w:eastAsia="zh-CN"/>
        </w:rPr>
        <w:t>弥勒温氏畜牧有限公司新哨种猪场建设项目区有绿化面积100亩，需水量</w:t>
      </w:r>
      <w:r>
        <w:rPr>
          <w:rFonts w:hint="default" w:ascii="Times New Roman" w:hAnsi="Times New Roman" w:eastAsia="宋体" w:cs="Times New Roman"/>
          <w:b w:val="0"/>
          <w:bCs w:val="0"/>
          <w:color w:val="auto"/>
          <w:sz w:val="24"/>
          <w:szCs w:val="24"/>
          <w:lang w:val="en-US" w:eastAsia="zh-CN"/>
        </w:rPr>
        <w:t>根据《云南省地方标准 用水定额》（DB53/T168-2019）相关内容，绿化用水定额为3L/（m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·d），则晴天绿化用水为</w:t>
      </w:r>
      <w:r>
        <w:rPr>
          <w:rFonts w:hint="default" w:ascii="Times New Roman" w:hAnsi="Times New Roman" w:cs="Times New Roman"/>
          <w:b w:val="0"/>
          <w:bCs w:val="0"/>
          <w:color w:val="auto"/>
          <w:sz w:val="24"/>
          <w:szCs w:val="24"/>
          <w:lang w:val="en-US" w:eastAsia="zh-CN"/>
        </w:rPr>
        <w:t>199.8</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w:t>
      </w:r>
      <w:r>
        <w:rPr>
          <w:rFonts w:hint="default" w:ascii="Times New Roman" w:hAnsi="Times New Roman" w:cs="Times New Roman"/>
          <w:b w:val="0"/>
          <w:bCs w:val="0"/>
          <w:color w:val="auto"/>
          <w:sz w:val="24"/>
          <w:szCs w:val="24"/>
          <w:lang w:val="en-US" w:eastAsia="zh-CN"/>
        </w:rPr>
        <w:t>。</w:t>
      </w:r>
    </w:p>
    <w:p w14:paraId="5C794A19">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本项目养殖废水和生活</w:t>
      </w:r>
      <w:r>
        <w:rPr>
          <w:rFonts w:hint="eastAsia" w:ascii="Times New Roman" w:hAnsi="Times New Roman" w:cs="Times New Roman"/>
          <w:color w:val="auto"/>
          <w:sz w:val="24"/>
          <w:szCs w:val="24"/>
          <w:lang w:val="en-US" w:eastAsia="zh-CN"/>
        </w:rPr>
        <w:t>污水</w:t>
      </w:r>
      <w:r>
        <w:rPr>
          <w:rFonts w:hint="default" w:ascii="Times New Roman" w:hAnsi="Times New Roman" w:eastAsia="宋体" w:cs="Times New Roman"/>
          <w:color w:val="auto"/>
          <w:sz w:val="24"/>
          <w:szCs w:val="24"/>
          <w:lang w:val="en-US" w:eastAsia="zh-CN"/>
        </w:rPr>
        <w:t>产生量为5569.32m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/a，弥勒温氏畜牧有限公司新哨种猪场建设项目废水产生量116800m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/a，合计122369.32m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/a。消纳区可完全消纳本项目及弥勒温氏畜牧有限公司新哨种猪场建设项目产生的废水。</w:t>
      </w:r>
    </w:p>
    <w:p w14:paraId="677FED6A">
      <w:pPr>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④清水池容积可行性</w:t>
      </w:r>
    </w:p>
    <w:p w14:paraId="285E8092">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本项目综合养殖废水与弥勒温氏畜牧有限公司新哨种猪场建设项目废水一起经处理达标后暂存于清水池，清水池容积4</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00m³。</w:t>
      </w:r>
    </w:p>
    <w:p w14:paraId="2D7CA6B0">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本项目养殖废水和生活</w:t>
      </w:r>
      <w:r>
        <w:rPr>
          <w:rFonts w:hint="eastAsia" w:ascii="Times New Roman" w:hAnsi="Times New Roman" w:cs="Times New Roman"/>
          <w:color w:val="auto"/>
          <w:sz w:val="24"/>
          <w:szCs w:val="24"/>
          <w:lang w:val="en-US" w:eastAsia="zh-CN"/>
        </w:rPr>
        <w:t>污水</w:t>
      </w:r>
      <w:r>
        <w:rPr>
          <w:rFonts w:hint="default" w:ascii="Times New Roman" w:hAnsi="Times New Roman" w:eastAsia="宋体" w:cs="Times New Roman"/>
          <w:color w:val="auto"/>
          <w:sz w:val="24"/>
          <w:szCs w:val="24"/>
          <w:lang w:val="en-US" w:eastAsia="zh-CN"/>
        </w:rPr>
        <w:t>产生量为5569.32m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/a。但此部分废水包含了猪舍清洗废水，项目运营期猪舍并未每天清洗一次。因此本次评价出水暂存池按照全年日平均废水量来计算，平均为</w:t>
      </w:r>
      <w:r>
        <w:rPr>
          <w:rFonts w:hint="default" w:ascii="Times New Roman" w:hAnsi="Times New Roman" w:cs="Times New Roman"/>
          <w:color w:val="auto"/>
          <w:sz w:val="24"/>
          <w:szCs w:val="24"/>
          <w:lang w:val="en-US" w:eastAsia="zh-CN"/>
        </w:rPr>
        <w:t>15.26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/d。弥勒温氏畜牧有限公司新哨种猪场建设项目废水产生量</w:t>
      </w:r>
      <w:r>
        <w:rPr>
          <w:rFonts w:hint="default" w:ascii="Times New Roman" w:hAnsi="Times New Roman" w:cs="Times New Roman"/>
          <w:color w:val="auto"/>
          <w:sz w:val="24"/>
          <w:szCs w:val="24"/>
          <w:lang w:val="en-US" w:eastAsia="zh-CN"/>
        </w:rPr>
        <w:t>320m³/d,合计335.26m³/d。清水池容积为4600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可储存13天的废水。</w:t>
      </w:r>
      <w:r>
        <w:rPr>
          <w:rFonts w:hint="default" w:ascii="Times New Roman" w:hAnsi="Times New Roman" w:cs="Times New Roman"/>
          <w:color w:val="auto"/>
          <w:sz w:val="24"/>
        </w:rPr>
        <w:t>如遇到连续多天降雨情况下，</w:t>
      </w:r>
      <w:r>
        <w:rPr>
          <w:rFonts w:hint="default" w:ascii="Times New Roman" w:hAnsi="Times New Roman" w:cs="Times New Roman"/>
          <w:color w:val="auto"/>
          <w:sz w:val="24"/>
          <w:lang w:val="en-US" w:eastAsia="zh-CN"/>
        </w:rPr>
        <w:t>可将废水</w:t>
      </w:r>
      <w:r>
        <w:rPr>
          <w:rFonts w:hint="default" w:ascii="Times New Roman" w:hAnsi="Times New Roman" w:cs="Times New Roman"/>
          <w:bCs/>
          <w:color w:val="auto"/>
          <w:sz w:val="24"/>
        </w:rPr>
        <w:t>送至周边农田</w:t>
      </w:r>
      <w:r>
        <w:rPr>
          <w:rFonts w:hint="default" w:ascii="Times New Roman" w:hAnsi="Times New Roman" w:cs="Times New Roman"/>
          <w:color w:val="auto"/>
          <w:sz w:val="24"/>
        </w:rPr>
        <w:t>旱地内农户已建有的蓄水设施内暂存</w:t>
      </w:r>
      <w:r>
        <w:rPr>
          <w:rFonts w:hint="default" w:ascii="Times New Roman" w:hAnsi="Times New Roman" w:cs="Times New Roman"/>
          <w:color w:val="auto"/>
          <w:sz w:val="24"/>
          <w:lang w:eastAsia="zh-CN"/>
        </w:rPr>
        <w:t>。</w:t>
      </w:r>
    </w:p>
    <w:p w14:paraId="59D9546D">
      <w:pPr>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⑤废水中养分供给量与废水消纳区养分需求量比对分析</w:t>
      </w:r>
    </w:p>
    <w:p w14:paraId="7921F1F9">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本项目与弥勒温氏畜牧有限公司新哨种猪场建设项目合计废水产生量</w:t>
      </w:r>
      <w:r>
        <w:rPr>
          <w:rFonts w:hint="default" w:ascii="Times New Roman" w:hAnsi="Times New Roman" w:cs="Times New Roman"/>
          <w:color w:val="auto"/>
          <w:sz w:val="24"/>
          <w:szCs w:val="24"/>
          <w:lang w:val="en-US" w:eastAsia="zh-CN"/>
        </w:rPr>
        <w:t>122369.32m³/a,</w:t>
      </w:r>
      <w:r>
        <w:rPr>
          <w:rFonts w:hint="default" w:ascii="Times New Roman" w:hAnsi="Times New Roman" w:eastAsia="宋体" w:cs="Times New Roman"/>
          <w:color w:val="auto"/>
          <w:sz w:val="24"/>
          <w:szCs w:val="24"/>
          <w:lang w:val="en-US" w:eastAsia="zh-CN"/>
        </w:rPr>
        <w:t>弥勒温氏畜牧有限公司新哨种猪场建设项目区有绿化面积100亩，需水量</w:t>
      </w:r>
      <w:r>
        <w:rPr>
          <w:rFonts w:hint="default" w:ascii="Times New Roman" w:hAnsi="Times New Roman" w:eastAsia="宋体" w:cs="Times New Roman"/>
          <w:b w:val="0"/>
          <w:bCs w:val="0"/>
          <w:color w:val="auto"/>
          <w:sz w:val="24"/>
          <w:szCs w:val="24"/>
          <w:lang w:val="en-US" w:eastAsia="zh-CN"/>
        </w:rPr>
        <w:t>根据《云南省地方标准 用水定额》（DB53/T168-2019）相关内容，绿化用水定额为3L/（m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·d），则晴天绿化用水为</w:t>
      </w:r>
      <w:r>
        <w:rPr>
          <w:rFonts w:hint="default" w:ascii="Times New Roman" w:hAnsi="Times New Roman" w:cs="Times New Roman"/>
          <w:b w:val="0"/>
          <w:bCs w:val="0"/>
          <w:color w:val="auto"/>
          <w:sz w:val="24"/>
          <w:szCs w:val="24"/>
          <w:lang w:val="en-US" w:eastAsia="zh-CN"/>
        </w:rPr>
        <w:t>199.8</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w:t>
      </w:r>
      <w:r>
        <w:rPr>
          <w:rFonts w:hint="default" w:ascii="Times New Roman" w:hAnsi="Times New Roman" w:cs="Times New Roman"/>
          <w:b w:val="0"/>
          <w:bCs w:val="0"/>
          <w:color w:val="auto"/>
          <w:sz w:val="24"/>
          <w:szCs w:val="24"/>
          <w:lang w:val="en-US" w:eastAsia="zh-CN"/>
        </w:rPr>
        <w:t>。</w:t>
      </w:r>
      <w:r>
        <w:rPr>
          <w:rFonts w:hint="default" w:ascii="Times New Roman" w:hAnsi="Times New Roman" w:cs="Times New Roman"/>
          <w:bCs/>
          <w:color w:val="auto"/>
          <w:sz w:val="24"/>
          <w:highlight w:val="none"/>
        </w:rPr>
        <w:t>根据弥勒市气象资料，弥勒市年平均降雨日以147天，非雨天以218天计，则</w:t>
      </w:r>
      <w:r>
        <w:rPr>
          <w:rFonts w:hint="default" w:ascii="Times New Roman" w:hAnsi="Times New Roman" w:cs="Times New Roman"/>
          <w:bCs/>
          <w:color w:val="auto"/>
          <w:sz w:val="24"/>
          <w:highlight w:val="none"/>
          <w:lang w:val="en-US" w:eastAsia="zh-CN"/>
        </w:rPr>
        <w:t>年</w:t>
      </w:r>
      <w:r>
        <w:rPr>
          <w:rFonts w:hint="default" w:ascii="Times New Roman" w:hAnsi="Times New Roman" w:cs="Times New Roman"/>
          <w:bCs/>
          <w:color w:val="auto"/>
          <w:sz w:val="24"/>
          <w:highlight w:val="none"/>
        </w:rPr>
        <w:t>绿化用水量为</w:t>
      </w:r>
      <w:r>
        <w:rPr>
          <w:rFonts w:hint="default" w:ascii="Times New Roman" w:hAnsi="Times New Roman" w:cs="Times New Roman"/>
          <w:bCs/>
          <w:color w:val="auto"/>
          <w:sz w:val="24"/>
          <w:highlight w:val="none"/>
          <w:lang w:val="en-US" w:eastAsia="zh-CN"/>
        </w:rPr>
        <w:t>43556.4</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/a</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剩余78812.92</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用于农田灌溉。</w:t>
      </w:r>
    </w:p>
    <w:p w14:paraId="6BC94E56">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根据前文污水处理站出口废水检测结果，计算得到污水处理站处理后的用于农灌废水中养分供给量（氮）为356.23kg，（磷）为318.40kg。根据5.2.5章节固体废物影响分析，项目粪污配套消纳土地面积可以满足轮作要求</w:t>
      </w:r>
      <w:r>
        <w:rPr>
          <w:rFonts w:hint="default" w:ascii="Times New Roman" w:hAnsi="Times New Roman" w:cs="Times New Roman"/>
          <w:color w:val="auto"/>
          <w:sz w:val="24"/>
          <w:szCs w:val="24"/>
          <w:lang w:val="en-US" w:eastAsia="zh-CN"/>
        </w:rPr>
        <w:t>。</w:t>
      </w:r>
    </w:p>
    <w:p w14:paraId="24C4CABD">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5.2.2.3废水输送方案的可行性分析</w:t>
      </w:r>
    </w:p>
    <w:p w14:paraId="5B0B0A78">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弥勒温氏畜牧有限</w:t>
      </w:r>
      <w:r>
        <w:rPr>
          <w:rFonts w:hint="default" w:ascii="Times New Roman" w:hAnsi="Times New Roman" w:eastAsia="宋体" w:cs="Times New Roman"/>
          <w:color w:val="auto"/>
          <w:sz w:val="24"/>
          <w:szCs w:val="24"/>
          <w:lang w:val="en-US" w:eastAsia="zh-CN"/>
        </w:rPr>
        <w:t>公司现已与</w:t>
      </w:r>
      <w:r>
        <w:rPr>
          <w:rFonts w:hint="default" w:ascii="Times New Roman" w:hAnsi="Times New Roman" w:cs="Times New Roman"/>
          <w:color w:val="auto"/>
          <w:sz w:val="24"/>
          <w:szCs w:val="24"/>
          <w:lang w:val="en-US" w:eastAsia="zh-CN"/>
        </w:rPr>
        <w:t>清河村委会</w:t>
      </w:r>
      <w:r>
        <w:rPr>
          <w:rFonts w:hint="eastAsia" w:cs="Times New Roman"/>
          <w:color w:val="auto"/>
          <w:sz w:val="24"/>
          <w:szCs w:val="24"/>
          <w:lang w:val="en-US" w:eastAsia="zh-CN"/>
        </w:rPr>
        <w:t>及种植专业户</w:t>
      </w:r>
      <w:r>
        <w:rPr>
          <w:rFonts w:hint="default" w:ascii="Times New Roman" w:hAnsi="Times New Roman" w:eastAsia="宋体" w:cs="Times New Roman"/>
          <w:color w:val="auto"/>
          <w:sz w:val="24"/>
          <w:szCs w:val="24"/>
          <w:lang w:val="en-US" w:eastAsia="zh-CN"/>
        </w:rPr>
        <w:t>签订了粪污</w:t>
      </w:r>
      <w:r>
        <w:rPr>
          <w:rFonts w:hint="default" w:ascii="Times New Roman" w:hAnsi="Times New Roman" w:cs="Times New Roman"/>
          <w:color w:val="auto"/>
          <w:sz w:val="24"/>
          <w:szCs w:val="24"/>
          <w:lang w:val="en-US" w:eastAsia="zh-CN"/>
        </w:rPr>
        <w:t>消纳</w:t>
      </w:r>
      <w:r>
        <w:rPr>
          <w:rFonts w:hint="default" w:ascii="Times New Roman" w:hAnsi="Times New Roman" w:eastAsia="宋体" w:cs="Times New Roman"/>
          <w:color w:val="auto"/>
          <w:sz w:val="24"/>
          <w:szCs w:val="24"/>
          <w:lang w:val="en-US" w:eastAsia="zh-CN"/>
        </w:rPr>
        <w:t>协议，消纳面积1</w:t>
      </w:r>
      <w:r>
        <w:rPr>
          <w:rFonts w:hint="default" w:ascii="Times New Roman" w:hAnsi="Times New Roman" w:cs="Times New Roman"/>
          <w:color w:val="auto"/>
          <w:sz w:val="24"/>
          <w:szCs w:val="24"/>
          <w:lang w:val="en-US" w:eastAsia="zh-CN"/>
        </w:rPr>
        <w:t>009</w:t>
      </w:r>
      <w:r>
        <w:rPr>
          <w:rFonts w:hint="default" w:ascii="Times New Roman" w:hAnsi="Times New Roman" w:eastAsia="宋体" w:cs="Times New Roman"/>
          <w:color w:val="auto"/>
          <w:sz w:val="24"/>
          <w:szCs w:val="24"/>
          <w:lang w:val="en-US" w:eastAsia="zh-CN"/>
        </w:rPr>
        <w:t>0亩。位于项目区南侧，直线距离</w:t>
      </w:r>
      <w:r>
        <w:rPr>
          <w:rFonts w:hint="eastAsia" w:ascii="Times New Roman" w:hAnsi="Times New Roman" w:cs="Times New Roman"/>
          <w:color w:val="auto"/>
          <w:sz w:val="24"/>
          <w:szCs w:val="24"/>
          <w:lang w:val="en-US" w:eastAsia="zh-CN"/>
        </w:rPr>
        <w:t>约</w:t>
      </w:r>
      <w:r>
        <w:rPr>
          <w:rFonts w:hint="eastAsia" w:cs="Times New Roman"/>
          <w:color w:val="auto"/>
          <w:sz w:val="24"/>
          <w:szCs w:val="24"/>
          <w:lang w:val="en-US" w:eastAsia="zh-CN"/>
        </w:rPr>
        <w:t>6.0</w:t>
      </w:r>
      <w:r>
        <w:rPr>
          <w:rFonts w:hint="default" w:ascii="Times New Roman" w:hAnsi="Times New Roman" w:eastAsia="宋体" w:cs="Times New Roman"/>
          <w:color w:val="auto"/>
          <w:sz w:val="24"/>
          <w:szCs w:val="24"/>
          <w:lang w:val="en-US" w:eastAsia="zh-CN"/>
        </w:rPr>
        <w:t>km处，运输最远距离不超过</w:t>
      </w:r>
      <w:r>
        <w:rPr>
          <w:rFonts w:hint="eastAsia" w:cs="Times New Roman"/>
          <w:color w:val="auto"/>
          <w:sz w:val="24"/>
          <w:szCs w:val="24"/>
          <w:lang w:val="en-US" w:eastAsia="zh-CN"/>
        </w:rPr>
        <w:t>1</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km范围，均已通乡村公路。</w:t>
      </w:r>
    </w:p>
    <w:p w14:paraId="1988602A">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1）运输方案</w:t>
      </w:r>
    </w:p>
    <w:p w14:paraId="5AC0CBFB">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根据原云南省环境保护厅文件（云环通</w:t>
      </w:r>
      <w:r>
        <w:rPr>
          <w:rFonts w:hint="eastAsia" w:ascii="Times New Roman" w:hAnsi="Times New Roman" w:cs="Times New Roman"/>
          <w:color w:val="auto"/>
          <w:sz w:val="24"/>
          <w:highlight w:val="none"/>
          <w:lang w:val="en-US" w:eastAsia="zh-CN"/>
        </w:rPr>
        <w:t>〔2018〕69号</w:t>
      </w:r>
      <w:r>
        <w:rPr>
          <w:rFonts w:hint="default" w:ascii="Times New Roman" w:hAnsi="Times New Roman" w:eastAsia="宋体" w:cs="Times New Roman"/>
          <w:color w:val="auto"/>
          <w:sz w:val="24"/>
          <w:highlight w:val="none"/>
          <w:lang w:val="en-US" w:eastAsia="zh-CN"/>
        </w:rPr>
        <w:t>）关于贯彻落实《云南省畜</w:t>
      </w:r>
      <w:r>
        <w:rPr>
          <w:rFonts w:hint="eastAsia" w:ascii="Times New Roman" w:hAnsi="Times New Roman" w:cs="Times New Roman"/>
          <w:color w:val="auto"/>
          <w:sz w:val="24"/>
          <w:highlight w:val="none"/>
          <w:lang w:val="en-US" w:eastAsia="zh-CN"/>
        </w:rPr>
        <w:t>禽养</w:t>
      </w:r>
      <w:r>
        <w:rPr>
          <w:rFonts w:hint="default" w:ascii="Times New Roman" w:hAnsi="Times New Roman" w:eastAsia="宋体" w:cs="Times New Roman"/>
          <w:color w:val="auto"/>
          <w:sz w:val="24"/>
          <w:highlight w:val="none"/>
          <w:lang w:val="en-US" w:eastAsia="zh-CN"/>
        </w:rPr>
        <w:t>殖废弃物资源化利用工作方案》的通知及附件相关要求，畜禽养殖业要提升种养结合水平，以果菜茶为重点实施有机肥替代化肥行动，支持引导农民和新型经营主体施用有机肥，发展生态循环农业，实现节本增效、提质增效。开展养殖场进果园、进菜园、进茶园、进林地“四进”行动，配合沼气工程大力发展“畜—沼—果”等适度规模养殖、小区域循环利用模式，实现畜禽粪污低成本利用，支持在田间地头配套建设管网和储粪（液）池等设施，解决粪肥还田“最后一公里”问题。</w:t>
      </w:r>
    </w:p>
    <w:p w14:paraId="457F2516">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项目粪污消纳区均已通路，可采用罐车将废水运输至消纳区进行灌溉，建设单位签订的1</w:t>
      </w:r>
      <w:r>
        <w:rPr>
          <w:rFonts w:hint="default" w:ascii="Times New Roman" w:hAnsi="Times New Roman" w:cs="Times New Roman"/>
          <w:color w:val="auto"/>
          <w:sz w:val="24"/>
          <w:highlight w:val="none"/>
          <w:lang w:val="en-US" w:eastAsia="zh-CN"/>
        </w:rPr>
        <w:t>0</w:t>
      </w:r>
      <w:r>
        <w:rPr>
          <w:rFonts w:hint="default" w:ascii="Times New Roman" w:hAnsi="Times New Roman" w:eastAsia="宋体" w:cs="Times New Roman"/>
          <w:color w:val="auto"/>
          <w:sz w:val="24"/>
          <w:highlight w:val="none"/>
          <w:lang w:val="en-US" w:eastAsia="zh-CN"/>
        </w:rPr>
        <w:t>0</w:t>
      </w:r>
      <w:r>
        <w:rPr>
          <w:rFonts w:hint="default" w:ascii="Times New Roman" w:hAnsi="Times New Roman" w:cs="Times New Roman"/>
          <w:color w:val="auto"/>
          <w:sz w:val="24"/>
          <w:highlight w:val="none"/>
          <w:lang w:val="en-US" w:eastAsia="zh-CN"/>
        </w:rPr>
        <w:t>9</w:t>
      </w:r>
      <w:r>
        <w:rPr>
          <w:rFonts w:hint="default" w:ascii="Times New Roman" w:hAnsi="Times New Roman" w:eastAsia="宋体" w:cs="Times New Roman"/>
          <w:color w:val="auto"/>
          <w:sz w:val="24"/>
          <w:highlight w:val="none"/>
          <w:lang w:val="en-US" w:eastAsia="zh-CN"/>
        </w:rPr>
        <w:t>0亩土地主要分布于项目区周边，运输最远距离不超过</w:t>
      </w:r>
      <w:r>
        <w:rPr>
          <w:rFonts w:hint="eastAsia"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km范围，均已通乡村公路。</w:t>
      </w:r>
    </w:p>
    <w:p w14:paraId="60ECA280">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2）废水还田利用实施方案</w:t>
      </w:r>
    </w:p>
    <w:p w14:paraId="1F4538FD">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为保护生态环境，避免盲目浇灌，在具体实施前，应制定详细的《废水还田利用实施方案》，并配置相应人员以保障各项措施的落实，废水灌溉还田方案应明确以下内容：</w:t>
      </w:r>
    </w:p>
    <w:p w14:paraId="028709DB">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与废水回用单位应做好提前沟通，明确施肥时间周期情况，用肥量等信息，做到有序安排，根据需求量提前调配好运输车辆，并按照登记数量清运至农田，可合理利用田间自建的储粪（液）池等设施来协调粪肥施用高峰期清运要求。</w:t>
      </w:r>
    </w:p>
    <w:p w14:paraId="7F05BD26">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②不得随意处置废水。</w:t>
      </w:r>
    </w:p>
    <w:p w14:paraId="058436FC">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③建设单位应对各批次废水如实记录产生量、出厂数量、日期，并定期跟踪废水还田去向，进行全程监督管控，以确保废水综合还田。</w:t>
      </w:r>
    </w:p>
    <w:p w14:paraId="0F7ED957">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④应督促废水转运单位落实好转运过程的风险控制措施，液肥采用密闭罐车运输，禁止运输过程的跑冒滴漏行为，并应按照指定路线运输。</w:t>
      </w:r>
    </w:p>
    <w:p w14:paraId="7243C664">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⑤有关的管理台账记录保存期限不得少于5年。</w:t>
      </w:r>
    </w:p>
    <w:p w14:paraId="70C143E7">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5.2.2.4运输过程环境风险防范措施</w:t>
      </w:r>
    </w:p>
    <w:p w14:paraId="29BDDEDA">
      <w:pPr>
        <w:spacing w:line="360" w:lineRule="auto"/>
        <w:ind w:firstLine="472" w:firstLineChars="197"/>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废水运输过程如果罐车发生泄漏、侧翻等情况，会对周围环境产生一定的影响，因此在运输过程需采取以下措施：</w:t>
      </w:r>
    </w:p>
    <w:p w14:paraId="43EBB1A8">
      <w:pPr>
        <w:spacing w:line="360" w:lineRule="auto"/>
        <w:ind w:firstLine="472" w:firstLineChars="197"/>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①运前检查罐车安全排查隐患，检查罐车储水罐是否漏水，采用专门的罐车密闭运输；</w:t>
      </w:r>
    </w:p>
    <w:p w14:paraId="3143CD96">
      <w:pPr>
        <w:spacing w:line="360" w:lineRule="auto"/>
        <w:ind w:firstLine="472" w:firstLineChars="197"/>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②建立运输单位与当地政府、环保局等相关部门的联络机制，若有险情发生，应及时与作业区值班人员取得联系，若确认发生废水外溢事故，应及时上报当地政府、环保局等相关部门；</w:t>
      </w:r>
    </w:p>
    <w:p w14:paraId="49865905">
      <w:pPr>
        <w:spacing w:line="360" w:lineRule="auto"/>
        <w:ind w:firstLine="472" w:firstLineChars="197"/>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③运输车辆安装GPS定位装置，以实时掌握运输车辆位置，一旦发生事故，可及时救援，同时也方便对运输车辆进行监管；</w:t>
      </w:r>
    </w:p>
    <w:p w14:paraId="2864B722">
      <w:pPr>
        <w:spacing w:line="360" w:lineRule="auto"/>
        <w:ind w:firstLine="472" w:firstLineChars="197"/>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④转运过程做好转运台账，严格实施交接清单制度，</w:t>
      </w:r>
      <w:r>
        <w:rPr>
          <w:rFonts w:hint="default" w:ascii="Times New Roman" w:hAnsi="Times New Roman" w:cs="Times New Roman"/>
          <w:color w:val="auto"/>
          <w:sz w:val="24"/>
          <w:lang w:bidi="zh-CN"/>
        </w:rPr>
        <w:t>台账记录保存期限不得少于5年</w:t>
      </w:r>
      <w:r>
        <w:rPr>
          <w:rFonts w:hint="default" w:ascii="Times New Roman" w:hAnsi="Times New Roman" w:eastAsia="宋体" w:cs="Times New Roman"/>
          <w:color w:val="auto"/>
          <w:sz w:val="24"/>
          <w:lang w:val="en-US" w:eastAsia="zh-CN"/>
        </w:rPr>
        <w:t>；</w:t>
      </w:r>
    </w:p>
    <w:p w14:paraId="4A26EAB2">
      <w:pPr>
        <w:spacing w:line="360" w:lineRule="auto"/>
        <w:ind w:firstLine="472" w:firstLineChars="197"/>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⑤加强罐车装载量管理，严禁超载；</w:t>
      </w:r>
    </w:p>
    <w:p w14:paraId="6A4A4CC7">
      <w:pPr>
        <w:spacing w:line="360" w:lineRule="auto"/>
        <w:ind w:firstLine="472" w:firstLineChars="197"/>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⑥加强对废水罐车司机的安全教育，定期对罐车进行安全检查，严格遵守交通规则，避免交通事故发生。加强对除驾驶员外的其他拉运工作人员管理，要求运输人员技术过硬、经验丰富、工作认真负责。加强对废水罐车的管理，防止人为原因造成的废水外溢；</w:t>
      </w:r>
    </w:p>
    <w:p w14:paraId="5306FC8F">
      <w:pPr>
        <w:spacing w:line="360" w:lineRule="auto"/>
        <w:ind w:firstLine="472" w:firstLineChars="197"/>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⑦转运罐车行驶至河流（含河沟、塘堰等）较近位置或者穿越河流（含河沟等）的道路时，应放慢行驶速度。</w:t>
      </w:r>
    </w:p>
    <w:p w14:paraId="6F739EE7">
      <w:pPr>
        <w:spacing w:line="360" w:lineRule="auto"/>
        <w:ind w:firstLine="472" w:firstLineChars="197"/>
        <w:rPr>
          <w:rFonts w:hint="default" w:ascii="Times New Roman" w:hAnsi="Times New Roman" w:cs="Times New Roman"/>
          <w:color w:val="auto"/>
        </w:rPr>
      </w:pPr>
      <w:r>
        <w:rPr>
          <w:rFonts w:hint="default" w:ascii="Times New Roman" w:hAnsi="Times New Roman" w:eastAsia="宋体" w:cs="Times New Roman"/>
          <w:color w:val="auto"/>
          <w:sz w:val="24"/>
          <w:highlight w:val="none"/>
          <w:lang w:val="en-US" w:eastAsia="zh-CN"/>
        </w:rPr>
        <w:t>⑧需明确运输过程主体责任人，以防发生运输过程中发生废水泄漏等事故情况下，能第一时间明确责任主体，及时采取补救措施，防止污染进一步扩大。根据协议，建设单位负责在厂区协助废水运输单位进行装车，</w:t>
      </w:r>
      <w:r>
        <w:rPr>
          <w:rFonts w:hint="default" w:ascii="Times New Roman" w:hAnsi="Times New Roman" w:eastAsia="宋体" w:cs="Times New Roman"/>
          <w:color w:val="auto"/>
          <w:kern w:val="0"/>
          <w:sz w:val="24"/>
          <w:szCs w:val="24"/>
          <w:highlight w:val="none"/>
          <w:lang w:val="en-US" w:eastAsia="zh-CN" w:bidi="ar"/>
        </w:rPr>
        <w:t>在运输过程发生环境污染事故时由</w:t>
      </w:r>
      <w:r>
        <w:rPr>
          <w:rFonts w:hint="eastAsia" w:cs="Times New Roman"/>
          <w:color w:val="auto"/>
          <w:sz w:val="24"/>
          <w:highlight w:val="none"/>
          <w:lang w:val="en-US" w:eastAsia="zh-CN"/>
        </w:rPr>
        <w:t>运输单位</w:t>
      </w:r>
      <w:r>
        <w:rPr>
          <w:rFonts w:hint="default" w:ascii="Times New Roman" w:hAnsi="Times New Roman" w:eastAsia="宋体" w:cs="Times New Roman"/>
          <w:color w:val="auto"/>
          <w:kern w:val="0"/>
          <w:sz w:val="24"/>
          <w:szCs w:val="24"/>
          <w:highlight w:val="none"/>
          <w:lang w:val="en-US" w:eastAsia="zh-CN" w:bidi="ar"/>
        </w:rPr>
        <w:t>承担责任。</w:t>
      </w:r>
    </w:p>
    <w:p w14:paraId="439ED839">
      <w:pPr>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rPr>
        <w:t>综上，落实好相关措施后，项目粪肥运输过程的风险可控，还田施肥方案可行。</w:t>
      </w:r>
    </w:p>
    <w:p w14:paraId="6D53217F">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5.2.2.5废水事故排放的影响分析</w:t>
      </w:r>
    </w:p>
    <w:p w14:paraId="65A496B6">
      <w:pPr>
        <w:spacing w:line="360" w:lineRule="auto"/>
        <w:ind w:firstLine="480"/>
        <w:jc w:val="both"/>
        <w:rPr>
          <w:rFonts w:hint="default" w:ascii="Times New Roman" w:hAnsi="Times New Roman" w:eastAsia="宋体" w:cs="Times New Roman"/>
          <w:color w:val="auto"/>
          <w:sz w:val="24"/>
          <w:szCs w:val="24"/>
          <w:lang w:bidi="zh-CN"/>
        </w:rPr>
      </w:pPr>
      <w:r>
        <w:rPr>
          <w:rFonts w:hint="default" w:ascii="Times New Roman" w:hAnsi="Times New Roman" w:cs="Times New Roman"/>
          <w:color w:val="auto"/>
          <w:sz w:val="24"/>
          <w:szCs w:val="24"/>
        </w:rPr>
        <w:t>项目废水事故排放主要为</w:t>
      </w:r>
      <w:r>
        <w:rPr>
          <w:rFonts w:hint="default" w:ascii="Times New Roman" w:hAnsi="Times New Roman" w:cs="Times New Roman"/>
          <w:color w:val="auto"/>
          <w:sz w:val="24"/>
          <w:szCs w:val="24"/>
          <w:lang w:val="en-US" w:eastAsia="zh-CN"/>
        </w:rPr>
        <w:t>废水收集池</w:t>
      </w:r>
      <w:r>
        <w:rPr>
          <w:rFonts w:hint="default" w:ascii="Times New Roman" w:hAnsi="Times New Roman" w:cs="Times New Roman"/>
          <w:color w:val="auto"/>
          <w:sz w:val="24"/>
          <w:szCs w:val="24"/>
        </w:rPr>
        <w:t>养殖综合废水事故排放，</w:t>
      </w:r>
      <w:r>
        <w:rPr>
          <w:rFonts w:hint="default" w:ascii="Times New Roman" w:hAnsi="Times New Roman" w:cs="Times New Roman"/>
          <w:color w:val="auto"/>
          <w:sz w:val="24"/>
          <w:szCs w:val="24"/>
          <w:lang w:val="en-US" w:eastAsia="zh-CN"/>
        </w:rPr>
        <w:t>废水收集池</w:t>
      </w:r>
      <w:r>
        <w:rPr>
          <w:rFonts w:hint="default" w:ascii="Times New Roman" w:hAnsi="Times New Roman" w:cs="Times New Roman"/>
          <w:color w:val="auto"/>
          <w:sz w:val="24"/>
          <w:szCs w:val="24"/>
        </w:rPr>
        <w:t>为半地下式，发生溃坝的可能性较小，</w:t>
      </w:r>
      <w:r>
        <w:rPr>
          <w:rFonts w:hint="default" w:ascii="Times New Roman" w:hAnsi="Times New Roman" w:eastAsia="宋体" w:cs="Times New Roman"/>
          <w:color w:val="auto"/>
          <w:sz w:val="24"/>
          <w:szCs w:val="24"/>
          <w:lang w:bidi="zh-CN"/>
        </w:rPr>
        <w:t>安排专员每天巡视检查，及时</w:t>
      </w:r>
      <w:r>
        <w:rPr>
          <w:rFonts w:hint="default" w:ascii="Times New Roman" w:hAnsi="Times New Roman" w:cs="Times New Roman"/>
          <w:color w:val="auto"/>
          <w:sz w:val="24"/>
          <w:szCs w:val="24"/>
          <w:lang w:val="en-US" w:bidi="zh-CN"/>
        </w:rPr>
        <w:t>将废水抽至污水处理站处理</w:t>
      </w:r>
      <w:r>
        <w:rPr>
          <w:rFonts w:hint="default" w:ascii="Times New Roman" w:hAnsi="Times New Roman" w:eastAsia="宋体" w:cs="Times New Roman"/>
          <w:color w:val="auto"/>
          <w:sz w:val="24"/>
          <w:szCs w:val="24"/>
          <w:lang w:bidi="zh-CN"/>
        </w:rPr>
        <w:t>。</w:t>
      </w:r>
      <w:r>
        <w:rPr>
          <w:rFonts w:hint="default" w:ascii="Times New Roman" w:hAnsi="Times New Roman" w:eastAsia="宋体" w:cs="Times New Roman"/>
          <w:color w:val="auto"/>
          <w:sz w:val="24"/>
          <w:szCs w:val="24"/>
          <w:lang w:val="en-US" w:eastAsia="zh-CN" w:bidi="zh-CN"/>
        </w:rPr>
        <w:t>废水不易进入周边地表水体，对周边地表水影响很小。</w:t>
      </w:r>
    </w:p>
    <w:p w14:paraId="6E9F4A37">
      <w:pPr>
        <w:spacing w:line="360" w:lineRule="auto"/>
        <w:ind w:firstLine="480"/>
        <w:jc w:val="both"/>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sz w:val="24"/>
          <w:szCs w:val="24"/>
          <w:lang w:val="en-US" w:eastAsia="zh-CN" w:bidi="zh-CN"/>
        </w:rPr>
        <w:t>综上，项目事故排水对周边地表水体影响很小。</w:t>
      </w:r>
    </w:p>
    <w:p w14:paraId="248BDC00">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5.2.2.6地表水环境影响评价结论</w:t>
      </w:r>
    </w:p>
    <w:p w14:paraId="19A656AD">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cs="Times New Roman"/>
          <w:color w:val="auto"/>
          <w:lang w:bidi="en-US"/>
        </w:rPr>
      </w:pPr>
      <w:r>
        <w:rPr>
          <w:rFonts w:hint="default" w:ascii="Times New Roman" w:hAnsi="Times New Roman" w:cs="Times New Roman"/>
          <w:color w:val="auto"/>
          <w:lang w:bidi="en-US"/>
        </w:rPr>
        <w:t>通过以上分析可知，项目食堂废水经隔油池处理后，与生活污水一起进入化粪池处理，再与养殖废水一起进入</w:t>
      </w:r>
      <w:r>
        <w:rPr>
          <w:rFonts w:hint="default" w:ascii="Times New Roman" w:hAnsi="Times New Roman" w:eastAsia="宋体" w:cs="Times New Roman"/>
          <w:color w:val="auto"/>
          <w:lang w:val="en-US" w:eastAsia="zh-CN" w:bidi="en-US"/>
        </w:rPr>
        <w:t>废水收集池</w:t>
      </w:r>
      <w:r>
        <w:rPr>
          <w:rFonts w:hint="default" w:ascii="Times New Roman" w:hAnsi="Times New Roman" w:cs="Times New Roman"/>
          <w:color w:val="auto"/>
          <w:lang w:bidi="en-US"/>
        </w:rPr>
        <w:t>，</w:t>
      </w:r>
      <w:r>
        <w:rPr>
          <w:rFonts w:hint="default" w:ascii="Times New Roman" w:hAnsi="Times New Roman" w:eastAsia="宋体" w:cs="Times New Roman"/>
          <w:color w:val="auto"/>
          <w:sz w:val="24"/>
          <w:highlight w:val="none"/>
          <w:lang w:val="en-US" w:eastAsia="zh-CN"/>
        </w:rPr>
        <w:t>依托弥勒温氏畜牧有限公司新哨种猪场建设项目污水处理站处理后用于绿化及农田灌溉。依托污水处理站处理能力能够满足本项目处理要求，出水水质稳定达标。</w:t>
      </w:r>
      <w:r>
        <w:rPr>
          <w:rFonts w:hint="default" w:ascii="Times New Roman" w:hAnsi="Times New Roman" w:cs="Times New Roman"/>
          <w:color w:val="auto"/>
          <w:lang w:val="en-US" w:eastAsia="zh-CN" w:bidi="en-US"/>
        </w:rPr>
        <w:t>同时，</w:t>
      </w:r>
      <w:r>
        <w:rPr>
          <w:rFonts w:hint="default" w:ascii="Times New Roman" w:hAnsi="Times New Roman" w:eastAsia="宋体" w:cs="Times New Roman"/>
          <w:color w:val="auto"/>
          <w:sz w:val="24"/>
          <w:szCs w:val="24"/>
          <w:lang w:val="en-US" w:eastAsia="zh-CN"/>
        </w:rPr>
        <w:t>消纳区可完全消纳本项目及弥勒温氏畜牧有限公司新哨种猪场建设项目产生的废水。</w:t>
      </w:r>
      <w:r>
        <w:rPr>
          <w:rFonts w:hint="default" w:ascii="Times New Roman" w:hAnsi="Times New Roman" w:cs="Times New Roman"/>
          <w:color w:val="auto"/>
          <w:lang w:val="en-US" w:eastAsia="zh-CN" w:bidi="en-US"/>
        </w:rPr>
        <w:t>清水池</w:t>
      </w:r>
      <w:r>
        <w:rPr>
          <w:rFonts w:hint="default" w:ascii="Times New Roman" w:hAnsi="Times New Roman" w:cs="Times New Roman"/>
          <w:color w:val="auto"/>
          <w:sz w:val="24"/>
          <w:szCs w:val="24"/>
          <w:lang w:val="en-US" w:eastAsia="zh-CN"/>
        </w:rPr>
        <w:t>可储存13天的废水，</w:t>
      </w:r>
      <w:r>
        <w:rPr>
          <w:rFonts w:hint="default" w:ascii="Times New Roman" w:hAnsi="Times New Roman" w:cs="Times New Roman"/>
          <w:color w:val="auto"/>
          <w:sz w:val="24"/>
        </w:rPr>
        <w:t>如遇到连续多天降雨情况下，</w:t>
      </w:r>
      <w:r>
        <w:rPr>
          <w:rFonts w:hint="default" w:ascii="Times New Roman" w:hAnsi="Times New Roman" w:cs="Times New Roman"/>
          <w:color w:val="auto"/>
          <w:sz w:val="24"/>
          <w:lang w:val="en-US" w:eastAsia="zh-CN"/>
        </w:rPr>
        <w:t>可将废水</w:t>
      </w:r>
      <w:r>
        <w:rPr>
          <w:rFonts w:hint="default" w:ascii="Times New Roman" w:hAnsi="Times New Roman" w:cs="Times New Roman"/>
          <w:bCs/>
          <w:color w:val="auto"/>
          <w:sz w:val="24"/>
        </w:rPr>
        <w:t>送至周边农田</w:t>
      </w:r>
      <w:r>
        <w:rPr>
          <w:rFonts w:hint="default" w:ascii="Times New Roman" w:hAnsi="Times New Roman" w:cs="Times New Roman"/>
          <w:color w:val="auto"/>
          <w:sz w:val="24"/>
        </w:rPr>
        <w:t>旱地内农户已建有的蓄水设施内暂存</w:t>
      </w:r>
      <w:r>
        <w:rPr>
          <w:rFonts w:hint="default" w:ascii="Times New Roman" w:hAnsi="Times New Roman" w:eastAsia="宋体" w:cs="Times New Roman"/>
          <w:color w:val="auto"/>
          <w:sz w:val="24"/>
          <w:lang w:eastAsia="zh-CN"/>
        </w:rPr>
        <w:t>，</w:t>
      </w:r>
      <w:r>
        <w:rPr>
          <w:rFonts w:hint="default" w:ascii="Times New Roman" w:hAnsi="Times New Roman" w:cs="Times New Roman"/>
          <w:color w:val="auto"/>
          <w:lang w:val="en-US" w:eastAsia="zh-CN" w:bidi="en-US"/>
        </w:rPr>
        <w:t>可满足</w:t>
      </w:r>
      <w:r>
        <w:rPr>
          <w:rFonts w:hint="default" w:ascii="Times New Roman" w:hAnsi="Times New Roman" w:cs="Times New Roman"/>
          <w:color w:val="auto"/>
          <w:lang w:val="en-US" w:bidi="zh-CN"/>
        </w:rPr>
        <w:t>消纳区农田灌溉间隔周期需求。</w:t>
      </w:r>
      <w:r>
        <w:rPr>
          <w:rFonts w:hint="default" w:ascii="Times New Roman" w:hAnsi="Times New Roman" w:cs="Times New Roman"/>
          <w:color w:val="auto"/>
          <w:lang w:bidi="en-US"/>
        </w:rPr>
        <w:t>项目无废水直接外排至地表水体，</w:t>
      </w:r>
      <w:r>
        <w:rPr>
          <w:rFonts w:hint="default" w:ascii="Times New Roman" w:hAnsi="Times New Roman" w:cs="Times New Roman"/>
          <w:bCs/>
          <w:color w:val="auto"/>
          <w:kern w:val="2"/>
          <w:szCs w:val="24"/>
          <w:lang w:val="en-US" w:eastAsia="zh-CN"/>
        </w:rPr>
        <w:t>当污水处理站发生故障时，可将废水暂存于本项目1000m³废水收集池，待污水处理站事故解除后再进行污水处理</w:t>
      </w:r>
      <w:r>
        <w:rPr>
          <w:rFonts w:hint="default" w:ascii="Times New Roman" w:hAnsi="Times New Roman" w:cs="Times New Roman"/>
          <w:color w:val="auto"/>
          <w:sz w:val="24"/>
          <w:szCs w:val="24"/>
          <w:lang w:val="en-US" w:bidi="zh-CN"/>
        </w:rPr>
        <w:t>。</w:t>
      </w:r>
      <w:r>
        <w:rPr>
          <w:rFonts w:hint="default" w:ascii="Times New Roman" w:hAnsi="Times New Roman" w:cs="Times New Roman"/>
          <w:color w:val="auto"/>
          <w:lang w:bidi="en-US"/>
        </w:rPr>
        <w:t>项目运营</w:t>
      </w:r>
      <w:r>
        <w:rPr>
          <w:rFonts w:hint="default" w:ascii="Times New Roman" w:hAnsi="Times New Roman" w:cs="Times New Roman"/>
          <w:color w:val="auto"/>
          <w:lang w:val="en-US" w:eastAsia="zh-CN" w:bidi="en-US"/>
        </w:rPr>
        <w:t>期间不会有废水排放至周边地表水体，</w:t>
      </w:r>
      <w:r>
        <w:rPr>
          <w:rFonts w:hint="default" w:ascii="Times New Roman" w:hAnsi="Times New Roman" w:cs="Times New Roman"/>
          <w:color w:val="auto"/>
          <w:lang w:bidi="en-US"/>
        </w:rPr>
        <w:t>对周边地表水体影响较小。</w:t>
      </w:r>
    </w:p>
    <w:p w14:paraId="17A716BD">
      <w:pPr>
        <w:pStyle w:val="4"/>
        <w:adjustRightInd w:val="0"/>
        <w:snapToGrid w:val="0"/>
        <w:spacing w:before="0" w:beforeLines="0" w:after="0" w:afterLines="0" w:line="360" w:lineRule="auto"/>
        <w:ind w:firstLine="0" w:firstLineChars="0"/>
        <w:rPr>
          <w:rFonts w:hint="default" w:ascii="Times New Roman" w:hAnsi="Times New Roman" w:cs="Times New Roman"/>
          <w:color w:val="auto"/>
          <w:szCs w:val="20"/>
          <w:highlight w:val="none"/>
        </w:rPr>
      </w:pPr>
      <w:bookmarkStart w:id="281" w:name="_Toc3930"/>
      <w:r>
        <w:rPr>
          <w:rStyle w:val="35"/>
          <w:rFonts w:hint="default" w:ascii="Times New Roman" w:hAnsi="Times New Roman" w:eastAsia="宋体" w:cs="Times New Roman"/>
          <w:color w:val="auto"/>
          <w:sz w:val="24"/>
          <w:szCs w:val="24"/>
          <w:highlight w:val="none"/>
        </w:rPr>
        <w:t>5.2.3地下水环境影响分析</w:t>
      </w:r>
      <w:bookmarkEnd w:id="281"/>
    </w:p>
    <w:p w14:paraId="669C6E57">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根据文本“1.5章节”地下水环境影响评价等级判定结果，本项目地下水评价等级为三级，根据《环境影响评价技术导则  地下水环境》中的要求，对于三级评价项目：</w:t>
      </w:r>
    </w:p>
    <w:p w14:paraId="6427A36B">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 xml:space="preserve">①了解调查评价区和场地环境水文地质条件。 </w:t>
      </w:r>
    </w:p>
    <w:p w14:paraId="5C2F0EC4">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 xml:space="preserve">②基本掌握调查评价区的地下水补径排条件和地下水环境质量现状。 </w:t>
      </w:r>
    </w:p>
    <w:p w14:paraId="23EF896E">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 xml:space="preserve">③采用解析法或类比分析法进行地下水影响分析与评价。 </w:t>
      </w:r>
    </w:p>
    <w:p w14:paraId="44EEB1F0">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④提出切实可行的环境保护措施与地下水环境影响跟踪监测计划。</w:t>
      </w:r>
    </w:p>
    <w:p w14:paraId="54B8EED7">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eastAsia"/>
          <w:color w:val="auto"/>
          <w:lang w:val="en-US" w:eastAsia="zh-CN"/>
        </w:rPr>
      </w:pPr>
      <w:r>
        <w:rPr>
          <w:rFonts w:hint="eastAsia"/>
          <w:color w:val="auto"/>
          <w:lang w:val="en-US" w:eastAsia="zh-CN"/>
        </w:rPr>
        <w:t>5.2.3.1项目区水文地质情况</w:t>
      </w:r>
    </w:p>
    <w:p w14:paraId="458DBA20">
      <w:pPr>
        <w:spacing w:line="360" w:lineRule="auto"/>
        <w:ind w:firstLine="480"/>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（1）地层概况</w:t>
      </w:r>
    </w:p>
    <w:p w14:paraId="570BA25C">
      <w:pPr>
        <w:spacing w:line="360" w:lineRule="auto"/>
        <w:ind w:firstLine="480"/>
        <w:jc w:val="both"/>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根据《</w:t>
      </w:r>
      <w:r>
        <w:rPr>
          <w:rFonts w:hint="default" w:ascii="Times New Roman" w:hAnsi="Times New Roman" w:cs="Times New Roman"/>
          <w:color w:val="auto"/>
          <w:sz w:val="24"/>
          <w:szCs w:val="24"/>
          <w:lang w:val="en-US" w:eastAsia="zh-CN"/>
        </w:rPr>
        <w:t>弥勒温氏畜牧有限公司梅子哨、新哨二区后备猪培育基地建设项目岩土工程勘察报告</w:t>
      </w:r>
      <w:r>
        <w:rPr>
          <w:rFonts w:hint="default" w:ascii="Times New Roman" w:hAnsi="Times New Roman" w:cs="Times New Roman"/>
          <w:color w:val="auto"/>
          <w:sz w:val="24"/>
          <w:szCs w:val="24"/>
        </w:rPr>
        <w:t>（详细勘察）</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场地覆盖层</w:t>
      </w:r>
      <w:r>
        <w:rPr>
          <w:rFonts w:hint="default" w:ascii="Times New Roman" w:hAnsi="Times New Roman" w:cs="Times New Roman"/>
          <w:color w:val="auto"/>
          <w:sz w:val="24"/>
          <w:szCs w:val="24"/>
          <w:lang w:val="en-US" w:eastAsia="zh-CN"/>
        </w:rPr>
        <w:t>较</w:t>
      </w:r>
      <w:r>
        <w:rPr>
          <w:rFonts w:hint="eastAsia" w:ascii="Times New Roman" w:hAnsi="Times New Roman" w:cs="Times New Roman"/>
          <w:color w:val="auto"/>
          <w:sz w:val="24"/>
          <w:szCs w:val="24"/>
          <w:lang w:val="en-US" w:eastAsia="zh-CN"/>
        </w:rPr>
        <w:t>厚</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未见断层、褶皱等构造出露。场地覆盖层厚度</w:t>
      </w:r>
      <w:r>
        <w:rPr>
          <w:rFonts w:hint="eastAsia" w:ascii="Times New Roman" w:hAnsi="Times New Roman" w:cs="Times New Roman"/>
          <w:color w:val="auto"/>
          <w:sz w:val="24"/>
          <w:szCs w:val="24"/>
          <w:lang w:val="en-US" w:eastAsia="zh-CN"/>
        </w:rPr>
        <w:t>12.50</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18</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m，岩土种类</w:t>
      </w:r>
      <w:r>
        <w:rPr>
          <w:rFonts w:hint="default" w:ascii="Times New Roman" w:hAnsi="Times New Roman" w:cs="Times New Roman"/>
          <w:color w:val="auto"/>
          <w:sz w:val="24"/>
          <w:szCs w:val="24"/>
          <w:lang w:eastAsia="zh-CN"/>
        </w:rPr>
        <w:t>较</w:t>
      </w:r>
      <w:r>
        <w:rPr>
          <w:rFonts w:hint="default" w:ascii="Times New Roman" w:hAnsi="Times New Roman" w:cs="Times New Roman"/>
          <w:color w:val="auto"/>
          <w:sz w:val="24"/>
          <w:szCs w:val="24"/>
          <w:lang w:val="en-US" w:eastAsia="zh-CN"/>
        </w:rPr>
        <w:t>复杂</w:t>
      </w:r>
      <w:r>
        <w:rPr>
          <w:rFonts w:hint="default" w:ascii="Times New Roman" w:hAnsi="Times New Roman" w:cs="Times New Roman"/>
          <w:color w:val="auto"/>
          <w:sz w:val="24"/>
          <w:szCs w:val="24"/>
        </w:rPr>
        <w:t>，主要</w:t>
      </w:r>
      <w:r>
        <w:rPr>
          <w:rFonts w:hint="default" w:ascii="Times New Roman" w:hAnsi="Times New Roman" w:cs="Times New Roman"/>
          <w:color w:val="auto"/>
          <w:sz w:val="24"/>
          <w:szCs w:val="24"/>
          <w:lang w:val="en-US" w:eastAsia="zh-CN"/>
        </w:rPr>
        <w:t>由</w:t>
      </w:r>
      <w:r>
        <w:rPr>
          <w:rFonts w:hint="default" w:ascii="Times New Roman" w:hAnsi="Times New Roman" w:cs="Times New Roman"/>
          <w:color w:val="auto"/>
          <w:sz w:val="24"/>
          <w:szCs w:val="24"/>
        </w:rPr>
        <w:t>第四系</w:t>
      </w:r>
      <w:r>
        <w:rPr>
          <w:rFonts w:hint="eastAsia" w:ascii="Times New Roman" w:hAnsi="Times New Roman" w:cs="Times New Roman"/>
          <w:color w:val="auto"/>
          <w:sz w:val="24"/>
          <w:szCs w:val="24"/>
          <w:lang w:val="en-US" w:eastAsia="zh-CN"/>
        </w:rPr>
        <w:t>残坡积</w:t>
      </w:r>
      <w:r>
        <w:rPr>
          <w:rFonts w:hint="default" w:ascii="Times New Roman" w:hAnsi="Times New Roman" w:cs="Times New Roman"/>
          <w:color w:val="auto"/>
          <w:sz w:val="24"/>
          <w:szCs w:val="24"/>
        </w:rPr>
        <w:t>（Q4</w:t>
      </w:r>
      <w:r>
        <w:rPr>
          <w:rFonts w:hint="eastAsia" w:ascii="Times New Roman" w:hAnsi="Times New Roman" w:cs="Times New Roman"/>
          <w:color w:val="auto"/>
          <w:sz w:val="24"/>
          <w:szCs w:val="24"/>
          <w:lang w:val="en-US" w:eastAsia="zh-CN"/>
        </w:rPr>
        <w:t>dl+el</w:t>
      </w:r>
      <w:r>
        <w:rPr>
          <w:rFonts w:hint="default" w:ascii="Times New Roman" w:hAnsi="Times New Roman" w:cs="Times New Roman"/>
          <w:color w:val="auto"/>
          <w:sz w:val="24"/>
          <w:szCs w:val="24"/>
        </w:rPr>
        <w:t>）①层</w:t>
      </w:r>
      <w:r>
        <w:rPr>
          <w:rFonts w:hint="eastAsia" w:ascii="Times New Roman" w:hAnsi="Times New Roman" w:cs="Times New Roman"/>
          <w:color w:val="auto"/>
          <w:sz w:val="24"/>
          <w:szCs w:val="24"/>
          <w:lang w:eastAsia="zh-CN"/>
        </w:rPr>
        <w:t>红</w:t>
      </w:r>
      <w:r>
        <w:rPr>
          <w:rFonts w:hint="eastAsia" w:ascii="Times New Roman" w:hAnsi="Times New Roman" w:cs="Times New Roman"/>
          <w:color w:val="auto"/>
          <w:sz w:val="24"/>
          <w:szCs w:val="24"/>
          <w:lang w:val="en-US" w:eastAsia="zh-CN"/>
        </w:rPr>
        <w:t>粘土</w:t>
      </w:r>
      <w:r>
        <w:rPr>
          <w:rFonts w:hint="default" w:ascii="Times New Roman" w:hAnsi="Times New Roman" w:cs="Times New Roman"/>
          <w:color w:val="auto"/>
          <w:sz w:val="24"/>
          <w:szCs w:val="24"/>
        </w:rPr>
        <w:t>及②层</w:t>
      </w:r>
      <w:r>
        <w:rPr>
          <w:rFonts w:hint="eastAsia" w:ascii="Times New Roman" w:hAnsi="Times New Roman" w:cs="Times New Roman"/>
          <w:color w:val="auto"/>
          <w:sz w:val="24"/>
          <w:szCs w:val="24"/>
          <w:lang w:val="en-US" w:eastAsia="zh-CN"/>
        </w:rPr>
        <w:t>三叠</w:t>
      </w:r>
      <w:r>
        <w:rPr>
          <w:rFonts w:hint="default" w:ascii="Times New Roman" w:hAnsi="Times New Roman" w:cs="Times New Roman"/>
          <w:color w:val="auto"/>
          <w:sz w:val="24"/>
          <w:szCs w:val="24"/>
          <w:lang w:val="en-US" w:eastAsia="zh-CN"/>
        </w:rPr>
        <w:t>系</w:t>
      </w:r>
      <w:r>
        <w:rPr>
          <w:rFonts w:hint="eastAsia" w:ascii="Times New Roman" w:hAnsi="Times New Roman" w:cs="Times New Roman"/>
          <w:color w:val="auto"/>
          <w:sz w:val="24"/>
          <w:szCs w:val="24"/>
          <w:lang w:val="en-US" w:eastAsia="zh-CN"/>
        </w:rPr>
        <w:t>个旧</w:t>
      </w:r>
      <w:r>
        <w:rPr>
          <w:rFonts w:hint="default" w:ascii="Times New Roman" w:hAnsi="Times New Roman" w:cs="Times New Roman"/>
          <w:color w:val="auto"/>
          <w:sz w:val="24"/>
          <w:szCs w:val="24"/>
          <w:lang w:val="en-US" w:eastAsia="zh-CN"/>
        </w:rPr>
        <w:t>组（</w:t>
      </w:r>
      <w:r>
        <w:rPr>
          <w:rFonts w:hint="eastAsia" w:ascii="Times New Roman" w:hAnsi="Times New Roman" w:cs="Times New Roman"/>
          <w:color w:val="auto"/>
          <w:sz w:val="24"/>
          <w:szCs w:val="24"/>
          <w:lang w:val="en-US" w:eastAsia="zh-CN"/>
        </w:rPr>
        <w:t>T2gd</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白云</w:t>
      </w:r>
      <w:r>
        <w:rPr>
          <w:rFonts w:hint="default" w:ascii="Times New Roman" w:hAnsi="Times New Roman" w:cs="Times New Roman"/>
          <w:color w:val="auto"/>
          <w:sz w:val="24"/>
          <w:szCs w:val="24"/>
          <w:lang w:val="en-US" w:eastAsia="zh-CN"/>
        </w:rPr>
        <w:t>岩</w:t>
      </w:r>
      <w:r>
        <w:rPr>
          <w:rFonts w:hint="default" w:ascii="Times New Roman" w:hAnsi="Times New Roman" w:cs="Times New Roman"/>
          <w:color w:val="auto"/>
          <w:sz w:val="24"/>
          <w:szCs w:val="24"/>
        </w:rPr>
        <w:t>组成</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各</w:t>
      </w:r>
      <w:r>
        <w:rPr>
          <w:rFonts w:hint="eastAsia" w:ascii="Times New Roman" w:hAnsi="Times New Roman" w:cs="Times New Roman"/>
          <w:color w:val="auto"/>
          <w:sz w:val="24"/>
          <w:szCs w:val="24"/>
          <w:lang w:val="en-US" w:eastAsia="zh-CN"/>
        </w:rPr>
        <w:t>岩</w:t>
      </w:r>
      <w:r>
        <w:rPr>
          <w:rFonts w:hint="default" w:ascii="Times New Roman" w:hAnsi="Times New Roman" w:cs="Times New Roman"/>
          <w:color w:val="auto"/>
          <w:sz w:val="24"/>
          <w:szCs w:val="24"/>
        </w:rPr>
        <w:t>土层分布特征见表</w:t>
      </w:r>
      <w:r>
        <w:rPr>
          <w:rFonts w:hint="eastAsia" w:ascii="Times New Roman" w:hAnsi="Times New Roman" w:cs="Times New Roman"/>
          <w:color w:val="auto"/>
          <w:sz w:val="24"/>
          <w:szCs w:val="24"/>
          <w:lang w:val="en-US" w:eastAsia="zh-CN"/>
        </w:rPr>
        <w:t>5.2</w:t>
      </w:r>
      <w:r>
        <w:rPr>
          <w:rFonts w:hint="eastAsia" w:cs="Times New Roman"/>
          <w:color w:val="auto"/>
          <w:sz w:val="24"/>
          <w:szCs w:val="24"/>
          <w:lang w:val="en-US" w:eastAsia="zh-CN"/>
        </w:rPr>
        <w:t>.3</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p>
    <w:p w14:paraId="3A96173A">
      <w:pPr>
        <w:spacing w:line="360" w:lineRule="auto"/>
        <w:ind w:firstLine="480"/>
        <w:jc w:val="center"/>
        <w:rPr>
          <w:rFonts w:hint="eastAsia" w:ascii="黑体" w:hAnsi="黑体" w:eastAsia="黑体" w:cs="黑体"/>
          <w:color w:val="auto"/>
          <w:sz w:val="21"/>
          <w:szCs w:val="21"/>
        </w:rPr>
      </w:pPr>
      <w:r>
        <w:rPr>
          <w:rFonts w:hint="eastAsia" w:ascii="黑体" w:hAnsi="黑体" w:eastAsia="黑体" w:cs="黑体"/>
          <w:color w:val="auto"/>
          <w:sz w:val="21"/>
          <w:szCs w:val="21"/>
        </w:rPr>
        <w:t>表</w:t>
      </w:r>
      <w:r>
        <w:rPr>
          <w:rFonts w:hint="eastAsia" w:ascii="黑体" w:hAnsi="黑体" w:eastAsia="黑体" w:cs="黑体"/>
          <w:color w:val="auto"/>
          <w:sz w:val="21"/>
          <w:szCs w:val="21"/>
          <w:lang w:val="en-US" w:eastAsia="zh-CN"/>
        </w:rPr>
        <w:t>5.2.3-1</w:t>
      </w:r>
      <w:r>
        <w:rPr>
          <w:rFonts w:hint="eastAsia" w:ascii="黑体" w:hAnsi="黑体" w:eastAsia="黑体" w:cs="黑体"/>
          <w:color w:val="auto"/>
          <w:sz w:val="21"/>
          <w:szCs w:val="21"/>
        </w:rPr>
        <w:t xml:space="preserve">   区域地层岩性一览表</w:t>
      </w:r>
    </w:p>
    <w:tbl>
      <w:tblPr>
        <w:tblStyle w:val="23"/>
        <w:tblW w:w="869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1068"/>
        <w:gridCol w:w="600"/>
        <w:gridCol w:w="1274"/>
        <w:gridCol w:w="1239"/>
        <w:gridCol w:w="1660"/>
        <w:gridCol w:w="1411"/>
        <w:gridCol w:w="1441"/>
      </w:tblGrid>
      <w:tr w14:paraId="15C052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0" w:hRule="atLeast"/>
          <w:tblHeader/>
          <w:jc w:val="center"/>
        </w:trPr>
        <w:tc>
          <w:tcPr>
            <w:tcW w:w="1068" w:type="dxa"/>
            <w:vAlign w:val="center"/>
          </w:tcPr>
          <w:p w14:paraId="1C309C2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地层时代</w:t>
            </w:r>
          </w:p>
        </w:tc>
        <w:tc>
          <w:tcPr>
            <w:tcW w:w="600" w:type="dxa"/>
            <w:vAlign w:val="center"/>
          </w:tcPr>
          <w:p w14:paraId="0321E56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层号</w:t>
            </w:r>
          </w:p>
        </w:tc>
        <w:tc>
          <w:tcPr>
            <w:tcW w:w="1274" w:type="dxa"/>
            <w:vAlign w:val="center"/>
          </w:tcPr>
          <w:p w14:paraId="496F2C8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土层名称</w:t>
            </w:r>
          </w:p>
        </w:tc>
        <w:tc>
          <w:tcPr>
            <w:tcW w:w="1239" w:type="dxa"/>
            <w:vAlign w:val="center"/>
          </w:tcPr>
          <w:p w14:paraId="412F3DB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层厚(m)</w:t>
            </w:r>
          </w:p>
        </w:tc>
        <w:tc>
          <w:tcPr>
            <w:tcW w:w="1660" w:type="dxa"/>
            <w:vAlign w:val="center"/>
          </w:tcPr>
          <w:p w14:paraId="313CAAF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层顶高程(m)</w:t>
            </w:r>
          </w:p>
        </w:tc>
        <w:tc>
          <w:tcPr>
            <w:tcW w:w="1411" w:type="dxa"/>
            <w:vAlign w:val="center"/>
          </w:tcPr>
          <w:p w14:paraId="4F8CD2F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层顶埋深(m)</w:t>
            </w:r>
          </w:p>
        </w:tc>
        <w:tc>
          <w:tcPr>
            <w:tcW w:w="1441" w:type="dxa"/>
            <w:vAlign w:val="center"/>
          </w:tcPr>
          <w:p w14:paraId="461CCDD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分布情况</w:t>
            </w:r>
          </w:p>
        </w:tc>
      </w:tr>
      <w:tr w14:paraId="1CD58B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454" w:hRule="atLeast"/>
          <w:jc w:val="center"/>
        </w:trPr>
        <w:tc>
          <w:tcPr>
            <w:tcW w:w="1068" w:type="dxa"/>
            <w:vAlign w:val="center"/>
          </w:tcPr>
          <w:p w14:paraId="05123E8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Q4dl+el</w:t>
            </w:r>
          </w:p>
        </w:tc>
        <w:tc>
          <w:tcPr>
            <w:tcW w:w="600" w:type="dxa"/>
            <w:vAlign w:val="center"/>
          </w:tcPr>
          <w:p w14:paraId="32A1860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w:t>
            </w:r>
          </w:p>
        </w:tc>
        <w:tc>
          <w:tcPr>
            <w:tcW w:w="1274" w:type="dxa"/>
            <w:vAlign w:val="center"/>
          </w:tcPr>
          <w:p w14:paraId="420AA2F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红粘土</w:t>
            </w:r>
          </w:p>
        </w:tc>
        <w:tc>
          <w:tcPr>
            <w:tcW w:w="1239" w:type="dxa"/>
            <w:vAlign w:val="center"/>
          </w:tcPr>
          <w:p w14:paraId="0217CD6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12.50</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val="en-US" w:eastAsia="zh-CN"/>
              </w:rPr>
              <w:t>18.10</w:t>
            </w:r>
          </w:p>
        </w:tc>
        <w:tc>
          <w:tcPr>
            <w:tcW w:w="1660" w:type="dxa"/>
            <w:vAlign w:val="center"/>
          </w:tcPr>
          <w:p w14:paraId="23E9A25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1477.54</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val="en-US" w:eastAsia="zh-CN"/>
              </w:rPr>
              <w:t>1504.26</w:t>
            </w:r>
          </w:p>
        </w:tc>
        <w:tc>
          <w:tcPr>
            <w:tcW w:w="1411" w:type="dxa"/>
            <w:vAlign w:val="center"/>
          </w:tcPr>
          <w:p w14:paraId="7D392BC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0.00～0.00</w:t>
            </w:r>
          </w:p>
        </w:tc>
        <w:tc>
          <w:tcPr>
            <w:tcW w:w="1441" w:type="dxa"/>
            <w:vAlign w:val="center"/>
          </w:tcPr>
          <w:p w14:paraId="4E9FD5E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全部分布</w:t>
            </w:r>
          </w:p>
        </w:tc>
      </w:tr>
      <w:tr w14:paraId="532C42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454" w:hRule="atLeast"/>
          <w:jc w:val="center"/>
        </w:trPr>
        <w:tc>
          <w:tcPr>
            <w:tcW w:w="1068" w:type="dxa"/>
            <w:vAlign w:val="center"/>
          </w:tcPr>
          <w:p w14:paraId="334C78C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T2gd</w:t>
            </w:r>
          </w:p>
        </w:tc>
        <w:tc>
          <w:tcPr>
            <w:tcW w:w="600" w:type="dxa"/>
            <w:vAlign w:val="center"/>
          </w:tcPr>
          <w:p w14:paraId="3CC3290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w:t>
            </w:r>
          </w:p>
        </w:tc>
        <w:tc>
          <w:tcPr>
            <w:tcW w:w="1274" w:type="dxa"/>
            <w:vAlign w:val="center"/>
          </w:tcPr>
          <w:p w14:paraId="51F9C9B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白云岩</w:t>
            </w:r>
          </w:p>
        </w:tc>
        <w:tc>
          <w:tcPr>
            <w:tcW w:w="1239" w:type="dxa"/>
            <w:vAlign w:val="center"/>
          </w:tcPr>
          <w:p w14:paraId="530914D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1.20</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val="en-US" w:eastAsia="zh-CN"/>
              </w:rPr>
              <w:t>6.30</w:t>
            </w:r>
          </w:p>
        </w:tc>
        <w:tc>
          <w:tcPr>
            <w:tcW w:w="1660" w:type="dxa"/>
            <w:vAlign w:val="center"/>
          </w:tcPr>
          <w:p w14:paraId="5027980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1459.94</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val="en-US" w:eastAsia="zh-CN"/>
              </w:rPr>
              <w:t>1489.76</w:t>
            </w:r>
          </w:p>
        </w:tc>
        <w:tc>
          <w:tcPr>
            <w:tcW w:w="1411" w:type="dxa"/>
            <w:vAlign w:val="center"/>
          </w:tcPr>
          <w:p w14:paraId="4C5D7A5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12.50</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val="en-US" w:eastAsia="zh-CN"/>
              </w:rPr>
              <w:t>18.10</w:t>
            </w:r>
          </w:p>
        </w:tc>
        <w:tc>
          <w:tcPr>
            <w:tcW w:w="1441" w:type="dxa"/>
            <w:vAlign w:val="center"/>
          </w:tcPr>
          <w:p w14:paraId="4B5409C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全部分布</w:t>
            </w:r>
          </w:p>
        </w:tc>
      </w:tr>
    </w:tbl>
    <w:p w14:paraId="40FAC61E">
      <w:pPr>
        <w:spacing w:line="360" w:lineRule="auto"/>
        <w:ind w:firstLine="480"/>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残坡积（Q4dl+el</w:t>
      </w:r>
      <w:r>
        <w:rPr>
          <w:rFonts w:hint="eastAsia" w:ascii="Times New Roman" w:hAnsi="Times New Roman" w:cs="Times New Roman"/>
          <w:color w:val="auto"/>
          <w:sz w:val="24"/>
          <w:szCs w:val="24"/>
          <w:lang w:val="en-US" w:eastAsia="zh-CN"/>
        </w:rPr>
        <w:t>)</w:t>
      </w:r>
    </w:p>
    <w:p w14:paraId="43E4563C">
      <w:pPr>
        <w:spacing w:line="360" w:lineRule="auto"/>
        <w:ind w:firstLine="48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①层</w:t>
      </w:r>
      <w:r>
        <w:rPr>
          <w:rFonts w:hint="eastAsia" w:ascii="Times New Roman" w:hAnsi="Times New Roman" w:cs="Times New Roman"/>
          <w:color w:val="auto"/>
          <w:sz w:val="24"/>
          <w:szCs w:val="24"/>
          <w:lang w:eastAsia="zh-CN"/>
        </w:rPr>
        <w:t>红</w:t>
      </w:r>
      <w:r>
        <w:rPr>
          <w:rFonts w:hint="default" w:ascii="Times New Roman" w:hAnsi="Times New Roman" w:cs="Times New Roman"/>
          <w:color w:val="auto"/>
          <w:sz w:val="24"/>
          <w:szCs w:val="24"/>
        </w:rPr>
        <w:t>粘土：</w:t>
      </w:r>
      <w:r>
        <w:rPr>
          <w:rFonts w:hint="eastAsia" w:ascii="Times New Roman" w:hAnsi="Times New Roman" w:cs="Times New Roman"/>
          <w:color w:val="auto"/>
          <w:sz w:val="24"/>
          <w:szCs w:val="24"/>
          <w:lang w:val="en-US" w:eastAsia="zh-CN"/>
        </w:rPr>
        <w:t>黄</w:t>
      </w:r>
      <w:r>
        <w:rPr>
          <w:rFonts w:hint="default" w:ascii="Times New Roman" w:hAnsi="Times New Roman" w:cs="Times New Roman"/>
          <w:color w:val="auto"/>
          <w:sz w:val="24"/>
          <w:szCs w:val="24"/>
        </w:rPr>
        <w:t>褐色、褐</w:t>
      </w:r>
      <w:r>
        <w:rPr>
          <w:rFonts w:hint="eastAsia" w:ascii="Times New Roman" w:hAnsi="Times New Roman" w:cs="Times New Roman"/>
          <w:color w:val="auto"/>
          <w:sz w:val="24"/>
          <w:szCs w:val="24"/>
          <w:lang w:val="en-US" w:eastAsia="zh-CN"/>
        </w:rPr>
        <w:t>红</w:t>
      </w:r>
      <w:r>
        <w:rPr>
          <w:rFonts w:hint="default" w:ascii="Times New Roman" w:hAnsi="Times New Roman" w:cs="Times New Roman"/>
          <w:color w:val="auto"/>
          <w:sz w:val="24"/>
          <w:szCs w:val="24"/>
        </w:rPr>
        <w:t>色，</w:t>
      </w:r>
      <w:r>
        <w:rPr>
          <w:rFonts w:hint="eastAsia" w:ascii="Times New Roman" w:hAnsi="Times New Roman" w:cs="Times New Roman"/>
          <w:color w:val="auto"/>
          <w:sz w:val="24"/>
          <w:szCs w:val="24"/>
          <w:lang w:val="en-US" w:eastAsia="zh-CN"/>
        </w:rPr>
        <w:t>可塑</w:t>
      </w:r>
      <w:r>
        <w:rPr>
          <w:rFonts w:hint="default" w:ascii="Times New Roman" w:hAnsi="Times New Roman" w:cs="Times New Roman"/>
          <w:color w:val="auto"/>
          <w:sz w:val="24"/>
          <w:szCs w:val="24"/>
        </w:rPr>
        <w:t>为主，局部</w:t>
      </w:r>
      <w:r>
        <w:rPr>
          <w:rFonts w:hint="eastAsia" w:ascii="Times New Roman" w:hAnsi="Times New Roman" w:cs="Times New Roman"/>
          <w:color w:val="auto"/>
          <w:sz w:val="24"/>
          <w:szCs w:val="24"/>
          <w:lang w:val="en-US" w:eastAsia="zh-CN"/>
        </w:rPr>
        <w:t>硬</w:t>
      </w:r>
      <w:r>
        <w:rPr>
          <w:rFonts w:hint="default" w:ascii="Times New Roman" w:hAnsi="Times New Roman" w:cs="Times New Roman"/>
          <w:color w:val="auto"/>
          <w:sz w:val="24"/>
          <w:szCs w:val="24"/>
        </w:rPr>
        <w:t>塑，切面较光滑，手捻有粘性，偶见有强风</w:t>
      </w:r>
      <w:r>
        <w:rPr>
          <w:rFonts w:hint="eastAsia" w:ascii="Times New Roman" w:hAnsi="Times New Roman" w:cs="Times New Roman"/>
          <w:color w:val="auto"/>
          <w:sz w:val="24"/>
          <w:szCs w:val="24"/>
          <w:lang w:val="en-US" w:eastAsia="zh-CN"/>
        </w:rPr>
        <w:t>化</w:t>
      </w:r>
      <w:r>
        <w:rPr>
          <w:rFonts w:hint="default" w:ascii="Times New Roman" w:hAnsi="Times New Roman" w:cs="Times New Roman"/>
          <w:color w:val="auto"/>
          <w:sz w:val="24"/>
          <w:szCs w:val="24"/>
        </w:rPr>
        <w:t>灰岩碎石。该层主要分布于场地地表，</w:t>
      </w:r>
      <w:r>
        <w:rPr>
          <w:rFonts w:hint="default" w:ascii="Times New Roman" w:hAnsi="Times New Roman" w:cs="Times New Roman"/>
          <w:color w:val="auto"/>
          <w:sz w:val="24"/>
          <w:szCs w:val="24"/>
          <w:lang w:eastAsia="zh-CN"/>
        </w:rPr>
        <w:t>钻孔</w:t>
      </w:r>
      <w:r>
        <w:rPr>
          <w:rFonts w:hint="default" w:ascii="Times New Roman" w:hAnsi="Times New Roman" w:cs="Times New Roman"/>
          <w:color w:val="auto"/>
          <w:sz w:val="24"/>
          <w:szCs w:val="24"/>
          <w:lang w:val="en-US" w:eastAsia="zh-CN"/>
        </w:rPr>
        <w:t>均有揭露，</w:t>
      </w:r>
      <w:r>
        <w:rPr>
          <w:rFonts w:hint="default" w:ascii="Times New Roman" w:hAnsi="Times New Roman" w:cs="Times New Roman"/>
          <w:color w:val="auto"/>
          <w:sz w:val="24"/>
          <w:szCs w:val="24"/>
        </w:rPr>
        <w:t>揭露层厚</w:t>
      </w:r>
      <w:r>
        <w:rPr>
          <w:rFonts w:hint="eastAsia" w:ascii="Times New Roman" w:hAnsi="Times New Roman" w:cs="Times New Roman"/>
          <w:color w:val="auto"/>
          <w:sz w:val="24"/>
          <w:szCs w:val="24"/>
          <w:lang w:val="en-US" w:eastAsia="zh-CN"/>
        </w:rPr>
        <w:t>12.50</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18.10</w:t>
      </w:r>
      <w:r>
        <w:rPr>
          <w:rFonts w:hint="default" w:ascii="Times New Roman" w:hAnsi="Times New Roman" w:cs="Times New Roman"/>
          <w:color w:val="auto"/>
          <w:sz w:val="24"/>
          <w:szCs w:val="24"/>
        </w:rPr>
        <w:t>m，平均层厚</w:t>
      </w:r>
      <w:r>
        <w:rPr>
          <w:rFonts w:hint="eastAsia" w:ascii="Times New Roman" w:hAnsi="Times New Roman" w:cs="Times New Roman"/>
          <w:color w:val="auto"/>
          <w:sz w:val="24"/>
          <w:szCs w:val="24"/>
          <w:lang w:val="en-US" w:eastAsia="zh-CN"/>
        </w:rPr>
        <w:t>14.65</w:t>
      </w:r>
      <w:r>
        <w:rPr>
          <w:rFonts w:hint="default" w:ascii="Times New Roman" w:hAnsi="Times New Roman" w:cs="Times New Roman"/>
          <w:color w:val="auto"/>
          <w:sz w:val="24"/>
          <w:szCs w:val="24"/>
        </w:rPr>
        <w:t>m，层顶标高为</w:t>
      </w:r>
      <w:r>
        <w:rPr>
          <w:rFonts w:hint="eastAsia" w:ascii="Times New Roman" w:hAnsi="Times New Roman" w:cs="Times New Roman"/>
          <w:color w:val="auto"/>
          <w:sz w:val="24"/>
          <w:szCs w:val="24"/>
          <w:lang w:val="en-US" w:eastAsia="zh-CN"/>
        </w:rPr>
        <w:t>1477.54</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1504.26</w:t>
      </w:r>
      <w:r>
        <w:rPr>
          <w:rFonts w:hint="default" w:ascii="Times New Roman" w:hAnsi="Times New Roman" w:cs="Times New Roman"/>
          <w:color w:val="auto"/>
          <w:sz w:val="24"/>
          <w:szCs w:val="24"/>
        </w:rPr>
        <w:t>m，典型岩芯见</w:t>
      </w:r>
      <w:r>
        <w:rPr>
          <w:rFonts w:hint="eastAsia" w:ascii="Times New Roman" w:hAnsi="Times New Roman" w:cs="Times New Roman"/>
          <w:color w:val="auto"/>
          <w:sz w:val="24"/>
          <w:szCs w:val="24"/>
          <w:lang w:val="en-US" w:eastAsia="zh-CN"/>
        </w:rPr>
        <w:t>下图5</w:t>
      </w:r>
      <w:r>
        <w:rPr>
          <w:rFonts w:hint="default" w:ascii="Times New Roman" w:hAnsi="Times New Roman" w:cs="Times New Roman"/>
          <w:color w:val="auto"/>
          <w:sz w:val="24"/>
          <w:szCs w:val="24"/>
        </w:rPr>
        <w:t>.2</w:t>
      </w:r>
      <w:r>
        <w:rPr>
          <w:rFonts w:hint="eastAsia" w:cs="Times New Roman"/>
          <w:color w:val="auto"/>
          <w:sz w:val="24"/>
          <w:szCs w:val="24"/>
          <w:lang w:val="en-US" w:eastAsia="zh-CN"/>
        </w:rPr>
        <w:t>.3</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p>
    <w:p w14:paraId="2050D76C">
      <w:pPr>
        <w:pStyle w:val="11"/>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drawing>
          <wp:inline distT="0" distB="0" distL="114300" distR="114300">
            <wp:extent cx="5462905" cy="2562225"/>
            <wp:effectExtent l="0" t="0" r="4445" b="9525"/>
            <wp:docPr id="23" name="图片 13" descr="ZK8  0-15.00粘土层  15.80-22.40强风化碎裂灰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ZK8  0-15.00粘土层  15.80-22.40强风化碎裂灰岩"/>
                    <pic:cNvPicPr>
                      <a:picLocks noChangeAspect="1"/>
                    </pic:cNvPicPr>
                  </pic:nvPicPr>
                  <pic:blipFill>
                    <a:blip r:embed="rId57"/>
                    <a:stretch>
                      <a:fillRect/>
                    </a:stretch>
                  </pic:blipFill>
                  <pic:spPr>
                    <a:xfrm>
                      <a:off x="0" y="0"/>
                      <a:ext cx="5462905" cy="2562225"/>
                    </a:xfrm>
                    <a:prstGeom prst="rect">
                      <a:avLst/>
                    </a:prstGeom>
                    <a:noFill/>
                    <a:ln>
                      <a:noFill/>
                    </a:ln>
                  </pic:spPr>
                </pic:pic>
              </a:graphicData>
            </a:graphic>
          </wp:inline>
        </w:drawing>
      </w:r>
    </w:p>
    <w:p w14:paraId="230F7325">
      <w:pPr>
        <w:pStyle w:val="74"/>
        <w:ind w:firstLine="0" w:firstLineChars="0"/>
        <w:jc w:val="center"/>
        <w:rPr>
          <w:rFonts w:hint="default" w:ascii="Times New Roman" w:hAnsi="Times New Roman" w:eastAsia="黑体" w:cs="Times New Roman"/>
          <w:b/>
          <w:bCs/>
          <w:color w:val="auto"/>
        </w:rPr>
      </w:pPr>
      <w:r>
        <w:rPr>
          <w:rFonts w:hint="default" w:ascii="Times New Roman" w:hAnsi="Times New Roman" w:eastAsia="黑体" w:cs="Times New Roman"/>
          <w:b/>
          <w:bCs/>
          <w:color w:val="auto"/>
          <w:sz w:val="21"/>
          <w:szCs w:val="21"/>
        </w:rPr>
        <w:t>图</w:t>
      </w:r>
      <w:r>
        <w:rPr>
          <w:rFonts w:hint="eastAsia" w:ascii="Times New Roman" w:hAnsi="Times New Roman" w:eastAsia="黑体" w:cs="Times New Roman"/>
          <w:b/>
          <w:bCs/>
          <w:color w:val="auto"/>
          <w:sz w:val="21"/>
          <w:szCs w:val="21"/>
          <w:lang w:val="en-US" w:eastAsia="zh-CN"/>
        </w:rPr>
        <w:t>5.2</w:t>
      </w:r>
      <w:r>
        <w:rPr>
          <w:rFonts w:hint="eastAsia" w:eastAsia="黑体" w:cs="Times New Roman"/>
          <w:b/>
          <w:bCs/>
          <w:color w:val="auto"/>
          <w:sz w:val="21"/>
          <w:szCs w:val="21"/>
          <w:lang w:val="en-US" w:eastAsia="zh-CN"/>
        </w:rPr>
        <w:t>.3</w:t>
      </w:r>
      <w:r>
        <w:rPr>
          <w:rFonts w:hint="default" w:ascii="Times New Roman" w:hAnsi="Times New Roman" w:eastAsia="黑体" w:cs="Times New Roman"/>
          <w:b/>
          <w:bCs/>
          <w:color w:val="auto"/>
          <w:sz w:val="21"/>
          <w:szCs w:val="21"/>
        </w:rPr>
        <w:t xml:space="preserve">-1  </w:t>
      </w:r>
      <w:r>
        <w:rPr>
          <w:rFonts w:hint="default" w:ascii="Times New Roman" w:hAnsi="Times New Roman" w:cs="Times New Roman"/>
          <w:b/>
          <w:bCs/>
          <w:color w:val="auto"/>
          <w:sz w:val="21"/>
          <w:szCs w:val="21"/>
        </w:rPr>
        <w:t>①</w:t>
      </w:r>
      <w:r>
        <w:rPr>
          <w:rFonts w:hint="default" w:ascii="Times New Roman" w:hAnsi="Times New Roman" w:eastAsia="黑体" w:cs="Times New Roman"/>
          <w:b/>
          <w:bCs/>
          <w:color w:val="auto"/>
          <w:sz w:val="21"/>
          <w:szCs w:val="21"/>
        </w:rPr>
        <w:t>层</w:t>
      </w:r>
      <w:r>
        <w:rPr>
          <w:rFonts w:hint="eastAsia" w:ascii="Times New Roman" w:hAnsi="Times New Roman" w:eastAsia="黑体" w:cs="Times New Roman"/>
          <w:b/>
          <w:bCs/>
          <w:color w:val="auto"/>
          <w:sz w:val="21"/>
          <w:szCs w:val="21"/>
          <w:lang w:val="en-US" w:eastAsia="zh-CN"/>
        </w:rPr>
        <w:t>粘</w:t>
      </w:r>
      <w:r>
        <w:rPr>
          <w:rFonts w:hint="default" w:ascii="Times New Roman" w:hAnsi="Times New Roman" w:eastAsia="黑体" w:cs="Times New Roman"/>
          <w:b/>
          <w:bCs/>
          <w:color w:val="auto"/>
          <w:sz w:val="21"/>
          <w:szCs w:val="21"/>
        </w:rPr>
        <w:t>土典型</w:t>
      </w:r>
      <w:r>
        <w:rPr>
          <w:rFonts w:hint="default" w:ascii="Times New Roman" w:hAnsi="Times New Roman" w:eastAsia="黑体" w:cs="Times New Roman"/>
          <w:b/>
          <w:bCs/>
          <w:color w:val="auto"/>
          <w:sz w:val="21"/>
          <w:szCs w:val="21"/>
          <w:lang w:eastAsia="zh-CN"/>
        </w:rPr>
        <w:t>芯样</w:t>
      </w:r>
      <w:r>
        <w:rPr>
          <w:rFonts w:hint="default" w:ascii="Times New Roman" w:hAnsi="Times New Roman" w:eastAsia="黑体" w:cs="Times New Roman"/>
          <w:b/>
          <w:bCs/>
          <w:color w:val="auto"/>
          <w:sz w:val="21"/>
          <w:szCs w:val="21"/>
        </w:rPr>
        <w:t>（ZK</w:t>
      </w:r>
      <w:r>
        <w:rPr>
          <w:rFonts w:hint="eastAsia" w:eastAsia="黑体" w:cs="Times New Roman"/>
          <w:b/>
          <w:bCs/>
          <w:color w:val="auto"/>
          <w:sz w:val="21"/>
          <w:szCs w:val="21"/>
          <w:lang w:val="en-US" w:eastAsia="zh-CN"/>
        </w:rPr>
        <w:t>11</w:t>
      </w:r>
      <w:r>
        <w:rPr>
          <w:rFonts w:hint="default" w:ascii="Times New Roman" w:hAnsi="Times New Roman" w:eastAsia="黑体" w:cs="Times New Roman"/>
          <w:b/>
          <w:bCs/>
          <w:color w:val="auto"/>
          <w:sz w:val="21"/>
          <w:szCs w:val="21"/>
        </w:rPr>
        <w:t>）</w:t>
      </w:r>
    </w:p>
    <w:p w14:paraId="4BAD07E6">
      <w:pPr>
        <w:spacing w:line="360" w:lineRule="auto"/>
        <w:ind w:firstLine="480"/>
        <w:jc w:val="both"/>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 xml:space="preserve"> </w:t>
      </w:r>
      <w:r>
        <w:rPr>
          <w:rFonts w:hint="eastAsia" w:ascii="Times New Roman" w:hAnsi="Times New Roman" w:cs="Times New Roman"/>
          <w:color w:val="auto"/>
          <w:sz w:val="24"/>
          <w:szCs w:val="24"/>
          <w:lang w:val="en-US" w:eastAsia="zh-CN"/>
        </w:rPr>
        <w:t>三叠</w:t>
      </w:r>
      <w:r>
        <w:rPr>
          <w:rFonts w:hint="default" w:ascii="Times New Roman" w:hAnsi="Times New Roman" w:cs="Times New Roman"/>
          <w:color w:val="auto"/>
          <w:sz w:val="24"/>
          <w:szCs w:val="24"/>
          <w:lang w:val="en-US" w:eastAsia="zh-CN"/>
        </w:rPr>
        <w:t>系</w:t>
      </w:r>
      <w:r>
        <w:rPr>
          <w:rFonts w:hint="eastAsia" w:ascii="Times New Roman" w:hAnsi="Times New Roman" w:cs="Times New Roman"/>
          <w:color w:val="auto"/>
          <w:sz w:val="24"/>
          <w:szCs w:val="24"/>
          <w:lang w:val="en-US" w:eastAsia="zh-CN"/>
        </w:rPr>
        <w:t>个旧</w:t>
      </w:r>
      <w:r>
        <w:rPr>
          <w:rFonts w:hint="default" w:ascii="Times New Roman" w:hAnsi="Times New Roman" w:cs="Times New Roman"/>
          <w:color w:val="auto"/>
          <w:sz w:val="24"/>
          <w:szCs w:val="24"/>
          <w:lang w:val="en-US" w:eastAsia="zh-CN"/>
        </w:rPr>
        <w:t>组（</w:t>
      </w:r>
      <w:r>
        <w:rPr>
          <w:rFonts w:hint="eastAsia" w:ascii="Times New Roman" w:hAnsi="Times New Roman" w:cs="Times New Roman"/>
          <w:color w:val="auto"/>
          <w:sz w:val="24"/>
          <w:szCs w:val="24"/>
          <w:lang w:val="en-US" w:eastAsia="zh-CN"/>
        </w:rPr>
        <w:t>T2gd</w:t>
      </w:r>
      <w:r>
        <w:rPr>
          <w:rFonts w:hint="default" w:ascii="Times New Roman" w:hAnsi="Times New Roman" w:cs="Times New Roman"/>
          <w:color w:val="auto"/>
          <w:sz w:val="24"/>
          <w:szCs w:val="24"/>
          <w:lang w:val="en-US" w:eastAsia="zh-CN"/>
        </w:rPr>
        <w:t>）</w:t>
      </w:r>
    </w:p>
    <w:p w14:paraId="7B967F63">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w:t>
      </w:r>
      <w:r>
        <w:rPr>
          <w:rFonts w:hint="eastAsia" w:ascii="Times New Roman" w:hAnsi="Times New Roman" w:cs="Times New Roman"/>
          <w:color w:val="auto"/>
          <w:sz w:val="24"/>
          <w:szCs w:val="24"/>
          <w:lang w:val="en-US" w:eastAsia="zh-CN"/>
        </w:rPr>
        <w:t>白云</w:t>
      </w:r>
      <w:r>
        <w:rPr>
          <w:rFonts w:hint="default" w:ascii="Times New Roman" w:hAnsi="Times New Roman" w:cs="Times New Roman"/>
          <w:color w:val="auto"/>
          <w:sz w:val="24"/>
          <w:szCs w:val="24"/>
          <w:lang w:val="en-US" w:eastAsia="zh-CN"/>
        </w:rPr>
        <w:t>岩</w:t>
      </w:r>
      <w:r>
        <w:rPr>
          <w:rFonts w:hint="default" w:ascii="Times New Roman" w:hAnsi="Times New Roman" w:cs="Times New Roman"/>
          <w:color w:val="auto"/>
          <w:sz w:val="24"/>
          <w:szCs w:val="24"/>
        </w:rPr>
        <w:t>：灰色、浅灰色，隐晶质结构，块状、碎块状构造，中等风化，主要矿物成分为白云石、方解石等碳酸盐岩类矿物，溶隙裂隙发育，岩溶现象明显，裂隙面风化呈褐黄色，见有脉宽2～</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mm</w:t>
      </w:r>
      <w:r>
        <w:rPr>
          <w:rFonts w:hint="eastAsia" w:ascii="Times New Roman" w:hAnsi="Times New Roman" w:cs="Times New Roman"/>
          <w:color w:val="auto"/>
          <w:sz w:val="24"/>
          <w:szCs w:val="24"/>
          <w:lang w:val="en-US" w:eastAsia="zh-CN"/>
        </w:rPr>
        <w:t>的</w:t>
      </w:r>
      <w:r>
        <w:rPr>
          <w:rFonts w:hint="default" w:ascii="Times New Roman" w:hAnsi="Times New Roman" w:cs="Times New Roman"/>
          <w:color w:val="auto"/>
          <w:sz w:val="24"/>
          <w:szCs w:val="24"/>
        </w:rPr>
        <w:t>方解石细脉不规则分布，岩</w:t>
      </w:r>
      <w:r>
        <w:rPr>
          <w:rFonts w:hint="eastAsia" w:ascii="Times New Roman" w:hAnsi="Times New Roman" w:cs="Times New Roman"/>
          <w:color w:val="auto"/>
          <w:sz w:val="24"/>
          <w:szCs w:val="24"/>
          <w:lang w:val="en-US" w:eastAsia="zh-CN"/>
        </w:rPr>
        <w:t>体</w:t>
      </w:r>
      <w:r>
        <w:rPr>
          <w:rFonts w:hint="default" w:ascii="Times New Roman" w:hAnsi="Times New Roman" w:cs="Times New Roman"/>
          <w:color w:val="auto"/>
          <w:sz w:val="24"/>
          <w:szCs w:val="24"/>
        </w:rPr>
        <w:t>较破碎，</w:t>
      </w:r>
      <w:r>
        <w:rPr>
          <w:rFonts w:hint="eastAsia" w:ascii="Times New Roman" w:hAnsi="Times New Roman" w:cs="Times New Roman"/>
          <w:color w:val="auto"/>
          <w:sz w:val="24"/>
          <w:szCs w:val="24"/>
          <w:lang w:val="en-US" w:eastAsia="zh-CN"/>
        </w:rPr>
        <w:t>岩芯</w:t>
      </w:r>
      <w:r>
        <w:rPr>
          <w:rFonts w:hint="default" w:ascii="Times New Roman" w:hAnsi="Times New Roman" w:cs="Times New Roman"/>
          <w:color w:val="auto"/>
          <w:sz w:val="24"/>
          <w:szCs w:val="24"/>
        </w:rPr>
        <w:t>多呈块状、碎块状，少呈短柱状、柱状</w:t>
      </w:r>
      <w:r>
        <w:rPr>
          <w:rFonts w:hint="eastAsia" w:ascii="Times New Roman" w:hAnsi="Times New Roman" w:cs="Times New Roman"/>
          <w:color w:val="auto"/>
          <w:sz w:val="24"/>
          <w:szCs w:val="24"/>
          <w:lang w:eastAsia="zh-CN"/>
        </w:rPr>
        <w:t>。本次</w:t>
      </w:r>
      <w:r>
        <w:rPr>
          <w:rFonts w:hint="eastAsia" w:ascii="Times New Roman" w:hAnsi="Times New Roman" w:cs="Times New Roman"/>
          <w:color w:val="auto"/>
          <w:sz w:val="24"/>
          <w:szCs w:val="24"/>
          <w:lang w:val="en-US" w:eastAsia="zh-CN"/>
        </w:rPr>
        <w:t>所有钻孔揭露到该层，且未揭穿，</w:t>
      </w:r>
      <w:r>
        <w:rPr>
          <w:rFonts w:hint="default" w:ascii="Times New Roman" w:hAnsi="Times New Roman" w:cs="Times New Roman"/>
          <w:color w:val="auto"/>
          <w:sz w:val="24"/>
          <w:szCs w:val="24"/>
          <w:lang w:eastAsia="zh-CN"/>
        </w:rPr>
        <w:t>层顶深度</w:t>
      </w:r>
      <w:r>
        <w:rPr>
          <w:rFonts w:hint="default" w:ascii="Times New Roman" w:hAnsi="Times New Roman" w:cs="Times New Roman"/>
          <w:color w:val="auto"/>
          <w:sz w:val="24"/>
          <w:szCs w:val="24"/>
          <w:lang w:val="en-US" w:eastAsia="zh-CN"/>
        </w:rPr>
        <w:t>为</w:t>
      </w:r>
      <w:r>
        <w:rPr>
          <w:rFonts w:hint="eastAsia" w:ascii="Times New Roman" w:hAnsi="Times New Roman" w:cs="Times New Roman"/>
          <w:color w:val="auto"/>
          <w:sz w:val="24"/>
          <w:szCs w:val="24"/>
          <w:lang w:val="en-US" w:eastAsia="zh-CN"/>
        </w:rPr>
        <w:t>12.50</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18.10</w:t>
      </w:r>
      <w:r>
        <w:rPr>
          <w:rFonts w:hint="default" w:ascii="Times New Roman" w:hAnsi="Times New Roman" w:cs="Times New Roman"/>
          <w:color w:val="auto"/>
          <w:sz w:val="24"/>
          <w:szCs w:val="24"/>
          <w:lang w:val="en-US" w:eastAsia="zh-CN"/>
        </w:rPr>
        <w:t>，层顶高程为</w:t>
      </w:r>
      <w:r>
        <w:rPr>
          <w:rFonts w:hint="eastAsia" w:ascii="Times New Roman" w:hAnsi="Times New Roman" w:cs="Times New Roman"/>
          <w:color w:val="auto"/>
          <w:sz w:val="24"/>
          <w:szCs w:val="24"/>
          <w:lang w:val="en-US" w:eastAsia="zh-CN"/>
        </w:rPr>
        <w:t>1459.94</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1489.76</w:t>
      </w:r>
      <w:r>
        <w:rPr>
          <w:rFonts w:hint="default" w:ascii="Times New Roman" w:hAnsi="Times New Roman" w:cs="Times New Roman"/>
          <w:color w:val="auto"/>
          <w:sz w:val="24"/>
          <w:szCs w:val="24"/>
          <w:lang w:val="en-US" w:eastAsia="zh-CN"/>
        </w:rPr>
        <w:t>m，揭露层厚</w:t>
      </w:r>
      <w:r>
        <w:rPr>
          <w:rFonts w:hint="eastAsia"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lang w:val="en-US" w:eastAsia="zh-CN"/>
        </w:rPr>
        <w:t>6.30</w:t>
      </w:r>
      <w:r>
        <w:rPr>
          <w:rFonts w:hint="default" w:ascii="Times New Roman" w:hAnsi="Times New Roman" w:cs="Times New Roman"/>
          <w:color w:val="auto"/>
          <w:sz w:val="24"/>
          <w:szCs w:val="24"/>
          <w:lang w:val="en-US" w:eastAsia="zh-CN"/>
        </w:rPr>
        <w:t>m，平均厚度为</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67</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lang w:eastAsia="zh-CN"/>
        </w:rPr>
        <w:t>典型芯样见图</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.2</w:t>
      </w:r>
      <w:r>
        <w:rPr>
          <w:rFonts w:hint="eastAsia"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p>
    <w:p w14:paraId="6B17EBAC">
      <w:pPr>
        <w:pStyle w:val="75"/>
        <w:keepNext w:val="0"/>
        <w:keepLines w:val="0"/>
        <w:pageBreakBefore w:val="0"/>
        <w:widowControl w:val="0"/>
        <w:kinsoku/>
        <w:wordWrap/>
        <w:overflowPunct/>
        <w:topLinePunct w:val="0"/>
        <w:autoSpaceDE/>
        <w:autoSpaceDN/>
        <w:bidi w:val="0"/>
        <w:adjustRightInd/>
        <w:snapToGrid/>
        <w:spacing w:before="0" w:beforeAutospacing="0" w:after="0"/>
        <w:ind w:firstLine="0" w:firstLineChars="0"/>
        <w:jc w:val="both"/>
        <w:textAlignment w:val="auto"/>
        <w:rPr>
          <w:rFonts w:hint="eastAsia" w:ascii="Times New Roman" w:hAnsi="Times New Roman" w:eastAsia="黑体" w:cs="Times New Roman"/>
          <w:color w:val="auto"/>
          <w:lang w:eastAsia="zh-CN"/>
        </w:rPr>
      </w:pPr>
      <w:r>
        <w:rPr>
          <w:rFonts w:hint="eastAsia" w:ascii="Times New Roman" w:hAnsi="Times New Roman" w:eastAsia="黑体" w:cs="Times New Roman"/>
          <w:color w:val="auto"/>
          <w:lang w:eastAsia="zh-CN"/>
        </w:rPr>
        <w:drawing>
          <wp:inline distT="0" distB="0" distL="114300" distR="114300">
            <wp:extent cx="5534660" cy="2595880"/>
            <wp:effectExtent l="0" t="0" r="8890" b="13970"/>
            <wp:docPr id="27" name="图片 14" descr="ZK2  0-17.40米粘土层 17.40-18.70块状灰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ZK2  0-17.40米粘土层 17.40-18.70块状灰岩"/>
                    <pic:cNvPicPr>
                      <a:picLocks noChangeAspect="1"/>
                    </pic:cNvPicPr>
                  </pic:nvPicPr>
                  <pic:blipFill>
                    <a:blip r:embed="rId58"/>
                    <a:stretch>
                      <a:fillRect/>
                    </a:stretch>
                  </pic:blipFill>
                  <pic:spPr>
                    <a:xfrm>
                      <a:off x="0" y="0"/>
                      <a:ext cx="5534660" cy="2595880"/>
                    </a:xfrm>
                    <a:prstGeom prst="rect">
                      <a:avLst/>
                    </a:prstGeom>
                    <a:noFill/>
                    <a:ln>
                      <a:noFill/>
                    </a:ln>
                  </pic:spPr>
                </pic:pic>
              </a:graphicData>
            </a:graphic>
          </wp:inline>
        </w:drawing>
      </w:r>
    </w:p>
    <w:p w14:paraId="49A8C029">
      <w:pPr>
        <w:pStyle w:val="74"/>
        <w:ind w:firstLine="0" w:firstLineChars="0"/>
        <w:jc w:val="center"/>
        <w:rPr>
          <w:rFonts w:hint="default" w:ascii="Times New Roman" w:hAnsi="Times New Roman" w:cs="Times New Roman"/>
          <w:b/>
          <w:color w:val="auto"/>
          <w:highlight w:val="none"/>
        </w:rPr>
      </w:pPr>
      <w:r>
        <w:rPr>
          <w:rFonts w:hint="default" w:ascii="Times New Roman" w:hAnsi="Times New Roman" w:eastAsia="黑体" w:cs="Times New Roman"/>
          <w:color w:val="auto"/>
          <w:sz w:val="21"/>
          <w:szCs w:val="21"/>
        </w:rPr>
        <w:t>图</w:t>
      </w:r>
      <w:r>
        <w:rPr>
          <w:rFonts w:hint="eastAsia" w:ascii="Times New Roman" w:hAnsi="Times New Roman" w:eastAsia="黑体" w:cs="Times New Roman"/>
          <w:color w:val="auto"/>
          <w:sz w:val="21"/>
          <w:szCs w:val="21"/>
          <w:lang w:val="en-US" w:eastAsia="zh-CN"/>
        </w:rPr>
        <w:t>5</w:t>
      </w:r>
      <w:r>
        <w:rPr>
          <w:rFonts w:hint="default" w:ascii="Times New Roman" w:hAnsi="Times New Roman" w:eastAsia="黑体" w:cs="Times New Roman"/>
          <w:color w:val="auto"/>
          <w:sz w:val="21"/>
          <w:szCs w:val="21"/>
        </w:rPr>
        <w:t>.2</w:t>
      </w:r>
      <w:r>
        <w:rPr>
          <w:rFonts w:hint="eastAsia" w:eastAsia="黑体" w:cs="Times New Roman"/>
          <w:color w:val="auto"/>
          <w:sz w:val="21"/>
          <w:szCs w:val="21"/>
          <w:lang w:val="en-US" w:eastAsia="zh-CN"/>
        </w:rPr>
        <w:t>.3</w:t>
      </w:r>
      <w:r>
        <w:rPr>
          <w:rFonts w:hint="default" w:ascii="Times New Roman" w:hAnsi="Times New Roman" w:eastAsia="黑体" w:cs="Times New Roman"/>
          <w:color w:val="auto"/>
          <w:sz w:val="21"/>
          <w:szCs w:val="21"/>
        </w:rPr>
        <w:t xml:space="preserve">-2  </w:t>
      </w:r>
      <w:r>
        <w:rPr>
          <w:rFonts w:hint="default" w:ascii="Times New Roman" w:hAnsi="Times New Roman" w:cs="Times New Roman"/>
          <w:color w:val="auto"/>
          <w:sz w:val="21"/>
          <w:szCs w:val="21"/>
        </w:rPr>
        <w:t>②</w:t>
      </w:r>
      <w:r>
        <w:rPr>
          <w:rFonts w:hint="default" w:ascii="Times New Roman" w:hAnsi="Times New Roman" w:eastAsia="黑体" w:cs="Times New Roman"/>
          <w:color w:val="auto"/>
          <w:sz w:val="21"/>
          <w:szCs w:val="21"/>
        </w:rPr>
        <w:t>层</w:t>
      </w:r>
      <w:r>
        <w:rPr>
          <w:rFonts w:hint="eastAsia" w:ascii="Times New Roman" w:hAnsi="Times New Roman" w:eastAsia="黑体" w:cs="Times New Roman"/>
          <w:color w:val="auto"/>
          <w:sz w:val="21"/>
          <w:szCs w:val="21"/>
          <w:lang w:val="en-US" w:eastAsia="zh-CN"/>
        </w:rPr>
        <w:t>灰岩</w:t>
      </w:r>
      <w:r>
        <w:rPr>
          <w:rFonts w:hint="default" w:ascii="Times New Roman" w:hAnsi="Times New Roman" w:eastAsia="黑体" w:cs="Times New Roman"/>
          <w:color w:val="auto"/>
          <w:sz w:val="21"/>
          <w:szCs w:val="21"/>
        </w:rPr>
        <w:t>典型</w:t>
      </w:r>
      <w:r>
        <w:rPr>
          <w:rFonts w:hint="default" w:ascii="Times New Roman" w:hAnsi="Times New Roman" w:eastAsia="黑体" w:cs="Times New Roman"/>
          <w:color w:val="auto"/>
          <w:sz w:val="21"/>
          <w:szCs w:val="21"/>
          <w:lang w:eastAsia="zh-CN"/>
        </w:rPr>
        <w:t>芯样照片</w:t>
      </w:r>
      <w:r>
        <w:rPr>
          <w:rFonts w:hint="default" w:ascii="Times New Roman" w:hAnsi="Times New Roman" w:eastAsia="黑体" w:cs="Times New Roman"/>
          <w:color w:val="auto"/>
          <w:sz w:val="21"/>
          <w:szCs w:val="21"/>
        </w:rPr>
        <w:t>（ZK</w:t>
      </w:r>
      <w:r>
        <w:rPr>
          <w:rFonts w:hint="eastAsia" w:eastAsia="黑体" w:cs="Times New Roman"/>
          <w:color w:val="auto"/>
          <w:sz w:val="21"/>
          <w:szCs w:val="21"/>
          <w:lang w:val="en-US" w:eastAsia="zh-CN"/>
        </w:rPr>
        <w:t>36</w:t>
      </w:r>
      <w:r>
        <w:rPr>
          <w:rFonts w:hint="default" w:ascii="Times New Roman" w:hAnsi="Times New Roman" w:eastAsia="黑体" w:cs="Times New Roman"/>
          <w:color w:val="auto"/>
          <w:sz w:val="21"/>
          <w:szCs w:val="21"/>
        </w:rPr>
        <w:t>）</w:t>
      </w:r>
    </w:p>
    <w:p w14:paraId="30253CD0">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）厂区</w:t>
      </w:r>
      <w:r>
        <w:rPr>
          <w:rFonts w:hint="eastAsia" w:ascii="Times New Roman" w:hAnsi="Times New Roman" w:cs="Times New Roman"/>
          <w:color w:val="auto"/>
          <w:sz w:val="24"/>
          <w:szCs w:val="24"/>
          <w:lang w:val="en-US" w:eastAsia="zh-CN"/>
        </w:rPr>
        <w:t>地质及</w:t>
      </w:r>
      <w:r>
        <w:rPr>
          <w:rFonts w:hint="default" w:ascii="Times New Roman" w:hAnsi="Times New Roman" w:cs="Times New Roman"/>
          <w:color w:val="auto"/>
          <w:sz w:val="24"/>
          <w:szCs w:val="24"/>
        </w:rPr>
        <w:t>岩溶发育情况</w:t>
      </w:r>
    </w:p>
    <w:p w14:paraId="0EC21925">
      <w:pPr>
        <w:spacing w:line="360" w:lineRule="auto"/>
        <w:ind w:firstLine="480"/>
        <w:jc w:val="both"/>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lang w:val="en-US" w:eastAsia="zh-CN"/>
        </w:rPr>
        <w:t>弥勒温氏畜牧有限公司梅子哨、新哨二区后备猪培育基地建设项目岩土工程勘察报告</w:t>
      </w:r>
      <w:r>
        <w:rPr>
          <w:rFonts w:hint="default" w:ascii="Times New Roman" w:hAnsi="Times New Roman" w:cs="Times New Roman"/>
          <w:color w:val="auto"/>
          <w:sz w:val="24"/>
          <w:szCs w:val="24"/>
        </w:rPr>
        <w:t>（详细勘察）》</w:t>
      </w:r>
      <w:r>
        <w:rPr>
          <w:rFonts w:hint="default" w:ascii="Times New Roman" w:hAnsi="Times New Roman" w:cs="Times New Roman"/>
          <w:color w:val="auto"/>
          <w:sz w:val="24"/>
          <w:szCs w:val="24"/>
          <w:lang w:val="en-US" w:eastAsia="zh-CN"/>
        </w:rPr>
        <w:t>中的调查结论，</w:t>
      </w:r>
      <w:r>
        <w:rPr>
          <w:rFonts w:hint="default" w:ascii="Times New Roman" w:hAnsi="Times New Roman" w:cs="Times New Roman"/>
          <w:color w:val="auto"/>
          <w:sz w:val="24"/>
          <w:szCs w:val="24"/>
          <w:lang w:eastAsia="zh-CN"/>
        </w:rPr>
        <w:t>拟建工程场地无崩塌、滑坡、泥石流、采空塌陷、地面裂缝及地面沉降等不良地质作用及地质灾害情况；钻探过程中亦未发现孤石、墓穴、古河道、防空洞等对工程不利的埋藏物。</w:t>
      </w:r>
      <w:r>
        <w:rPr>
          <w:rFonts w:hint="eastAsia" w:ascii="Times New Roman" w:hAnsi="Times New Roman" w:cs="Times New Roman"/>
          <w:color w:val="auto"/>
          <w:sz w:val="24"/>
          <w:szCs w:val="24"/>
          <w:lang w:eastAsia="zh-CN"/>
        </w:rPr>
        <w:t>根据地表基岩出露情况及钻探控制，场地无断裂构造通过，岩层产状较缓，地质构造较简单。</w:t>
      </w:r>
    </w:p>
    <w:p w14:paraId="19DB0F76">
      <w:pPr>
        <w:spacing w:line="360" w:lineRule="auto"/>
        <w:ind w:firstLine="480"/>
        <w:jc w:val="both"/>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场地下伏基岩岩性较单一，为中等风化灰岩，岩石强度较好，岩溶形态以溶蚀裂隙为主，主要沿垂向发育延伸，根据调查一般地表见溶蚀裂隙宽</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eastAsia="zh-CN"/>
        </w:rPr>
        <w:t>cm，延深0.</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1.6</w:t>
      </w:r>
      <w:r>
        <w:rPr>
          <w:rFonts w:hint="eastAsia" w:ascii="Times New Roman" w:hAnsi="Times New Roman" w:cs="Times New Roman"/>
          <w:color w:val="auto"/>
          <w:sz w:val="24"/>
          <w:szCs w:val="24"/>
          <w:lang w:eastAsia="zh-CN"/>
        </w:rPr>
        <w:t>m，未见岩溶塌陷及漏斗，溶沟、溶槽较发育，溶隙中多为粘土充填，根据钻孔揭露基岩面起伏较小，局部相对起伏较大，未见溶洞、溶隙发育，总体岩溶发育程度微发育，场地岩溶发育程度总体为弱发育。</w:t>
      </w:r>
    </w:p>
    <w:p w14:paraId="2DC8D324">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color w:val="auto"/>
          <w:lang w:val="en-US" w:eastAsia="zh-CN"/>
        </w:rPr>
      </w:pPr>
      <w:r>
        <w:rPr>
          <w:rFonts w:hint="eastAsia"/>
          <w:color w:val="auto"/>
          <w:lang w:val="en-US" w:eastAsia="zh-CN"/>
        </w:rPr>
        <w:t>5.2.3.2</w:t>
      </w:r>
      <w:r>
        <w:rPr>
          <w:rFonts w:hint="default"/>
          <w:color w:val="auto"/>
          <w:lang w:val="en-US" w:eastAsia="zh-CN"/>
        </w:rPr>
        <w:t>地下水类型及含水岩层富水性</w:t>
      </w:r>
    </w:p>
    <w:p w14:paraId="206EE763">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（1）地下水类型及地下水的补、径、排</w:t>
      </w:r>
    </w:p>
    <w:p w14:paraId="46373F60">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根据本项目岩土工程勘察报告，拟建项目场地地下水主要类型为第四系松散层上层滞水</w:t>
      </w:r>
      <w:r>
        <w:rPr>
          <w:rFonts w:hint="eastAsia" w:ascii="Times New Roman" w:hAnsi="Times New Roman" w:cs="Times New Roman"/>
          <w:color w:val="auto"/>
          <w:sz w:val="24"/>
          <w:szCs w:val="24"/>
          <w:lang w:val="en-US" w:eastAsia="zh-CN"/>
        </w:rPr>
        <w:t>及碳酸盐岩类岩溶水</w:t>
      </w:r>
      <w:r>
        <w:rPr>
          <w:rFonts w:hint="default" w:ascii="Times New Roman" w:hAnsi="Times New Roman" w:cs="Times New Roman"/>
          <w:color w:val="auto"/>
          <w:sz w:val="24"/>
          <w:szCs w:val="24"/>
        </w:rPr>
        <w:t>。松散层上层滞水主要赋存于第四系</w:t>
      </w:r>
      <w:r>
        <w:rPr>
          <w:rFonts w:hint="eastAsia" w:ascii="Times New Roman" w:hAnsi="Times New Roman" w:cs="Times New Roman"/>
          <w:color w:val="auto"/>
          <w:sz w:val="24"/>
          <w:szCs w:val="24"/>
          <w:lang w:val="en-US" w:eastAsia="zh-CN"/>
        </w:rPr>
        <w:t>残坡积</w:t>
      </w:r>
      <w:r>
        <w:rPr>
          <w:rFonts w:hint="default" w:ascii="Times New Roman" w:hAnsi="Times New Roman" w:cs="Times New Roman"/>
          <w:color w:val="auto"/>
          <w:sz w:val="24"/>
          <w:szCs w:val="24"/>
        </w:rPr>
        <w:t>层（Q4</w:t>
      </w:r>
      <w:r>
        <w:rPr>
          <w:rFonts w:hint="eastAsia" w:ascii="Times New Roman" w:hAnsi="Times New Roman" w:cs="Times New Roman"/>
          <w:color w:val="auto"/>
          <w:sz w:val="24"/>
          <w:szCs w:val="24"/>
          <w:lang w:val="en-US" w:eastAsia="zh-CN"/>
        </w:rPr>
        <w:t>dl+el</w:t>
      </w:r>
      <w:r>
        <w:rPr>
          <w:rFonts w:hint="eastAsia" w:ascii="Times New Roman" w:hAnsi="Times New Roman" w:cs="Times New Roman"/>
          <w:color w:val="auto"/>
          <w:sz w:val="24"/>
          <w:szCs w:val="24"/>
          <w:lang w:eastAsia="zh-CN"/>
        </w:rPr>
        <w:t>）红</w:t>
      </w:r>
      <w:r>
        <w:rPr>
          <w:rFonts w:hint="eastAsia" w:ascii="Times New Roman" w:hAnsi="Times New Roman" w:cs="Times New Roman"/>
          <w:color w:val="auto"/>
          <w:sz w:val="24"/>
          <w:szCs w:val="24"/>
          <w:lang w:val="en-US" w:eastAsia="zh-CN"/>
        </w:rPr>
        <w:t>粘</w:t>
      </w:r>
      <w:r>
        <w:rPr>
          <w:rFonts w:hint="default" w:ascii="Times New Roman" w:hAnsi="Times New Roman" w:cs="Times New Roman"/>
          <w:color w:val="auto"/>
          <w:sz w:val="24"/>
          <w:szCs w:val="24"/>
        </w:rPr>
        <w:t>土中，水位不稳定，受季节性影响较大，主要接受大气降水补给和控制，排泄方式主要为蒸发排泄</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碳酸盐岩类岩溶水</w:t>
      </w:r>
      <w:r>
        <w:rPr>
          <w:rFonts w:hint="default" w:ascii="Times New Roman" w:hAnsi="Times New Roman" w:cs="Times New Roman"/>
          <w:color w:val="auto"/>
          <w:sz w:val="24"/>
          <w:szCs w:val="24"/>
        </w:rPr>
        <w:t>赋存于</w:t>
      </w:r>
      <w:r>
        <w:rPr>
          <w:rFonts w:hint="eastAsia" w:ascii="Times New Roman" w:hAnsi="Times New Roman" w:cs="Times New Roman"/>
          <w:color w:val="auto"/>
          <w:sz w:val="24"/>
          <w:szCs w:val="24"/>
          <w:lang w:eastAsia="zh-CN"/>
        </w:rPr>
        <w:t>三叠系个旧组（</w:t>
      </w:r>
      <w:r>
        <w:rPr>
          <w:rFonts w:hint="eastAsia" w:ascii="Times New Roman" w:hAnsi="Times New Roman" w:cs="Times New Roman"/>
          <w:color w:val="auto"/>
          <w:sz w:val="24"/>
          <w:szCs w:val="24"/>
          <w:lang w:val="en-US" w:eastAsia="zh-CN"/>
        </w:rPr>
        <w:t>T2gd</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白云岩中，地下水埋深较深，本次钻探未揭露到地下水，</w:t>
      </w:r>
      <w:r>
        <w:rPr>
          <w:rFonts w:hint="default" w:ascii="Times New Roman" w:hAnsi="Times New Roman" w:cs="Times New Roman"/>
          <w:color w:val="auto"/>
          <w:sz w:val="24"/>
          <w:szCs w:val="24"/>
        </w:rPr>
        <w:t>主要接受大气降水补给，</w:t>
      </w:r>
      <w:r>
        <w:rPr>
          <w:rFonts w:hint="eastAsia" w:ascii="Times New Roman" w:hAnsi="Times New Roman" w:cs="Times New Roman"/>
          <w:color w:val="auto"/>
          <w:sz w:val="24"/>
          <w:szCs w:val="24"/>
          <w:lang w:val="en-US" w:eastAsia="zh-CN"/>
        </w:rPr>
        <w:t>地下水埋深较深，本次钻探未揭露，</w:t>
      </w:r>
      <w:r>
        <w:rPr>
          <w:rFonts w:hint="default" w:ascii="Times New Roman" w:hAnsi="Times New Roman" w:cs="Times New Roman"/>
          <w:color w:val="auto"/>
          <w:sz w:val="24"/>
          <w:szCs w:val="24"/>
        </w:rPr>
        <w:t>主要接受大气降水补给，</w:t>
      </w:r>
      <w:r>
        <w:rPr>
          <w:rFonts w:hint="default" w:ascii="Times New Roman" w:hAnsi="Times New Roman" w:cs="Times New Roman"/>
          <w:color w:val="auto"/>
          <w:sz w:val="24"/>
          <w:szCs w:val="24"/>
          <w:lang w:val="en-US" w:eastAsia="zh-CN"/>
        </w:rPr>
        <w:t>根据水文地质资料，</w:t>
      </w:r>
      <w:r>
        <w:rPr>
          <w:rFonts w:hint="eastAsia" w:ascii="Times New Roman" w:hAnsi="Times New Roman" w:cs="Times New Roman"/>
          <w:color w:val="auto"/>
          <w:sz w:val="24"/>
          <w:szCs w:val="24"/>
          <w:lang w:val="en-US" w:eastAsia="zh-CN"/>
        </w:rPr>
        <w:t>结合第四章接中</w:t>
      </w:r>
      <w:r>
        <w:rPr>
          <w:rFonts w:hint="default" w:ascii="Times New Roman" w:hAnsi="Times New Roman" w:cs="Times New Roman"/>
          <w:color w:val="auto"/>
          <w:sz w:val="24"/>
          <w:szCs w:val="24"/>
        </w:rPr>
        <w:t>图 4.1-1 弥勒市构造体系图</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项目区南侧、东南侧有</w:t>
      </w:r>
      <w:r>
        <w:rPr>
          <w:rFonts w:hint="default" w:ascii="Times New Roman" w:hAnsi="Times New Roman" w:cs="Times New Roman"/>
          <w:color w:val="auto"/>
          <w:sz w:val="24"/>
          <w:szCs w:val="24"/>
        </w:rPr>
        <w:t>㉔龙潭哨～金顶山断裂</w:t>
      </w:r>
      <w:r>
        <w:rPr>
          <w:rFonts w:hint="eastAsia" w:ascii="Times New Roman" w:hAnsi="Times New Roman" w:cs="Times New Roman"/>
          <w:color w:val="auto"/>
          <w:sz w:val="24"/>
          <w:szCs w:val="24"/>
          <w:lang w:val="en-US" w:eastAsia="zh-CN"/>
        </w:rPr>
        <w:t>阻隔，项目所在区域地势总体东北高、西南低，</w:t>
      </w:r>
      <w:r>
        <w:rPr>
          <w:rFonts w:hint="default" w:ascii="Times New Roman" w:hAnsi="Times New Roman" w:cs="Times New Roman"/>
          <w:color w:val="auto"/>
          <w:sz w:val="24"/>
          <w:szCs w:val="24"/>
          <w:lang w:val="en-US" w:eastAsia="zh-CN"/>
        </w:rPr>
        <w:t>项目所在区域地下水整体由东北-西南方径流，</w:t>
      </w:r>
      <w:r>
        <w:rPr>
          <w:rFonts w:hint="eastAsia" w:ascii="Times New Roman" w:hAnsi="Times New Roman" w:cs="Times New Roman"/>
          <w:color w:val="auto"/>
          <w:sz w:val="24"/>
          <w:szCs w:val="24"/>
          <w:lang w:val="en-US" w:eastAsia="zh-CN"/>
        </w:rPr>
        <w:t>西侧甸溪河为最低侵蚀面</w:t>
      </w:r>
      <w:r>
        <w:rPr>
          <w:rFonts w:hint="default" w:ascii="Times New Roman" w:hAnsi="Times New Roman" w:cs="Times New Roman"/>
          <w:color w:val="auto"/>
          <w:sz w:val="24"/>
          <w:szCs w:val="24"/>
          <w:lang w:val="en-US" w:eastAsia="zh-CN"/>
        </w:rPr>
        <w:t>。</w:t>
      </w:r>
    </w:p>
    <w:p w14:paraId="764BEB34">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color w:val="auto"/>
          <w:lang w:val="en-US" w:eastAsia="zh-CN"/>
        </w:rPr>
      </w:pPr>
      <w:r>
        <w:rPr>
          <w:rFonts w:hint="eastAsia"/>
          <w:color w:val="auto"/>
          <w:lang w:val="en-US" w:eastAsia="zh-CN"/>
        </w:rPr>
        <w:t>5.2.3.3</w:t>
      </w:r>
      <w:r>
        <w:rPr>
          <w:rFonts w:hint="default"/>
          <w:color w:val="auto"/>
          <w:lang w:val="en-US" w:eastAsia="zh-CN"/>
        </w:rPr>
        <w:t>污染源调查</w:t>
      </w:r>
    </w:p>
    <w:p w14:paraId="3675CDDA">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项目区评价范围内污染源调查如下：</w:t>
      </w:r>
    </w:p>
    <w:p w14:paraId="4E9DE051">
      <w:pPr>
        <w:spacing w:line="360" w:lineRule="auto"/>
        <w:ind w:firstLine="480"/>
        <w:jc w:val="center"/>
        <w:rPr>
          <w:rFonts w:hint="eastAsia" w:ascii="黑体" w:hAnsi="黑体" w:eastAsia="黑体" w:cs="黑体"/>
          <w:color w:val="auto"/>
          <w:sz w:val="21"/>
          <w:szCs w:val="21"/>
        </w:rPr>
      </w:pPr>
      <w:r>
        <w:rPr>
          <w:rFonts w:hint="eastAsia" w:ascii="黑体" w:hAnsi="黑体" w:eastAsia="黑体" w:cs="黑体"/>
          <w:color w:val="auto"/>
          <w:sz w:val="21"/>
          <w:szCs w:val="21"/>
        </w:rPr>
        <w:t>表5</w:t>
      </w:r>
      <w:r>
        <w:rPr>
          <w:rFonts w:hint="eastAsia" w:ascii="黑体" w:hAnsi="黑体" w:eastAsia="黑体" w:cs="黑体"/>
          <w:color w:val="auto"/>
          <w:sz w:val="21"/>
          <w:szCs w:val="21"/>
          <w:lang w:val="en-US" w:eastAsia="zh-CN"/>
        </w:rPr>
        <w:t>.2.3-2</w:t>
      </w:r>
      <w:r>
        <w:rPr>
          <w:rFonts w:hint="eastAsia" w:ascii="黑体" w:hAnsi="黑体" w:eastAsia="黑体" w:cs="黑体"/>
          <w:color w:val="auto"/>
          <w:sz w:val="21"/>
          <w:szCs w:val="21"/>
        </w:rPr>
        <w:t xml:space="preserve">  地下水评价范围内地下水污染源调查</w:t>
      </w:r>
    </w:p>
    <w:tbl>
      <w:tblPr>
        <w:tblStyle w:val="23"/>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813"/>
        <w:gridCol w:w="1403"/>
        <w:gridCol w:w="2345"/>
        <w:gridCol w:w="1408"/>
        <w:gridCol w:w="1152"/>
      </w:tblGrid>
      <w:tr w14:paraId="1D59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14:paraId="1085F7C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813" w:type="dxa"/>
            <w:vAlign w:val="center"/>
          </w:tcPr>
          <w:p w14:paraId="6CB79E7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入驻企业</w:t>
            </w:r>
          </w:p>
        </w:tc>
        <w:tc>
          <w:tcPr>
            <w:tcW w:w="1403" w:type="dxa"/>
            <w:vAlign w:val="center"/>
          </w:tcPr>
          <w:p w14:paraId="26B3065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主要业务</w:t>
            </w:r>
          </w:p>
        </w:tc>
        <w:tc>
          <w:tcPr>
            <w:tcW w:w="2345" w:type="dxa"/>
            <w:vAlign w:val="center"/>
          </w:tcPr>
          <w:p w14:paraId="27ED280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污染物调查</w:t>
            </w:r>
          </w:p>
        </w:tc>
        <w:tc>
          <w:tcPr>
            <w:tcW w:w="1408" w:type="dxa"/>
            <w:vAlign w:val="center"/>
          </w:tcPr>
          <w:p w14:paraId="68FE94B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与本项目的位置关系</w:t>
            </w:r>
          </w:p>
        </w:tc>
        <w:tc>
          <w:tcPr>
            <w:tcW w:w="1152" w:type="dxa"/>
            <w:vAlign w:val="center"/>
          </w:tcPr>
          <w:p w14:paraId="263C498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运营情况</w:t>
            </w:r>
          </w:p>
        </w:tc>
      </w:tr>
      <w:tr w14:paraId="4DC9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14:paraId="360E8F2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813" w:type="dxa"/>
            <w:vAlign w:val="center"/>
          </w:tcPr>
          <w:p w14:paraId="113C155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弥勒温氏畜牧有限公司新哨种猪二场</w:t>
            </w:r>
          </w:p>
        </w:tc>
        <w:tc>
          <w:tcPr>
            <w:tcW w:w="1403" w:type="dxa"/>
            <w:vAlign w:val="center"/>
          </w:tcPr>
          <w:p w14:paraId="3344562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rPr>
              <w:t>生猪养殖</w:t>
            </w:r>
          </w:p>
        </w:tc>
        <w:tc>
          <w:tcPr>
            <w:tcW w:w="2345" w:type="dxa"/>
            <w:vAlign w:val="center"/>
          </w:tcPr>
          <w:p w14:paraId="31EB6A6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废水：COD、BOD5、SS、pH 、NH3-H、</w:t>
            </w:r>
            <w:r>
              <w:rPr>
                <w:rFonts w:hint="default" w:ascii="Times New Roman" w:hAnsi="Times New Roman" w:cs="Times New Roman"/>
                <w:color w:val="auto"/>
                <w:sz w:val="18"/>
                <w:szCs w:val="18"/>
                <w:lang w:val="en-US" w:eastAsia="zh-CN"/>
              </w:rPr>
              <w:t>TN、</w:t>
            </w:r>
            <w:r>
              <w:rPr>
                <w:rFonts w:hint="default" w:ascii="Times New Roman" w:hAnsi="Times New Roman" w:cs="Times New Roman"/>
                <w:color w:val="auto"/>
                <w:sz w:val="18"/>
                <w:szCs w:val="18"/>
              </w:rPr>
              <w:t>总磷、动植物油</w:t>
            </w:r>
          </w:p>
        </w:tc>
        <w:tc>
          <w:tcPr>
            <w:tcW w:w="1408" w:type="dxa"/>
            <w:vAlign w:val="center"/>
          </w:tcPr>
          <w:p w14:paraId="48364B1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项目区西</w:t>
            </w:r>
            <w:r>
              <w:rPr>
                <w:rFonts w:hint="default" w:ascii="Times New Roman" w:hAnsi="Times New Roman" w:cs="Times New Roman"/>
                <w:color w:val="auto"/>
                <w:sz w:val="18"/>
                <w:szCs w:val="18"/>
                <w:lang w:val="en-US"/>
              </w:rPr>
              <w:t>被</w:t>
            </w:r>
            <w:r>
              <w:rPr>
                <w:rFonts w:hint="default" w:ascii="Times New Roman" w:hAnsi="Times New Roman" w:cs="Times New Roman"/>
                <w:color w:val="auto"/>
                <w:sz w:val="18"/>
                <w:szCs w:val="18"/>
              </w:rPr>
              <w:t>侧，</w:t>
            </w:r>
            <w:r>
              <w:rPr>
                <w:rFonts w:hint="eastAsia" w:ascii="Times New Roman" w:hAnsi="Times New Roman" w:cs="Times New Roman"/>
                <w:color w:val="auto"/>
                <w:sz w:val="18"/>
                <w:szCs w:val="18"/>
                <w:lang w:val="en-US"/>
              </w:rPr>
              <w:t>50m</w:t>
            </w:r>
          </w:p>
        </w:tc>
        <w:tc>
          <w:tcPr>
            <w:tcW w:w="1152" w:type="dxa"/>
            <w:vAlign w:val="center"/>
          </w:tcPr>
          <w:p w14:paraId="32A6078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w:t>
            </w:r>
          </w:p>
        </w:tc>
      </w:tr>
    </w:tbl>
    <w:p w14:paraId="7C745975">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项目地下水评价范围内污染源除工业源外，还有农田中使用化肥和农药，以及部分农村居民生活污水排放。</w:t>
      </w:r>
    </w:p>
    <w:p w14:paraId="24750003">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color w:val="auto"/>
          <w:lang w:val="en-US" w:eastAsia="zh-CN"/>
        </w:rPr>
      </w:pPr>
      <w:r>
        <w:rPr>
          <w:rFonts w:hint="eastAsia"/>
          <w:color w:val="auto"/>
          <w:lang w:val="en-US" w:eastAsia="zh-CN"/>
        </w:rPr>
        <w:t>5.2.3.4</w:t>
      </w:r>
      <w:r>
        <w:rPr>
          <w:rFonts w:hint="default"/>
          <w:color w:val="auto"/>
          <w:lang w:val="en-US" w:eastAsia="zh-CN"/>
        </w:rPr>
        <w:t>周边水资源利用情况</w:t>
      </w:r>
    </w:p>
    <w:p w14:paraId="499ED563">
      <w:pPr>
        <w:pStyle w:val="15"/>
        <w:spacing w:after="0" w:line="360" w:lineRule="auto"/>
        <w:ind w:left="0" w:leftChars="0" w:firstLine="480" w:firstLineChars="200"/>
        <w:rPr>
          <w:rFonts w:hint="default" w:ascii="Times New Roman" w:hAnsi="Times New Roman" w:cs="Times New Roman"/>
          <w:color w:val="auto"/>
          <w:szCs w:val="28"/>
          <w:highlight w:val="none"/>
        </w:rPr>
      </w:pPr>
      <w:r>
        <w:rPr>
          <w:rFonts w:hint="default" w:ascii="Times New Roman" w:hAnsi="Times New Roman" w:cs="Times New Roman"/>
          <w:color w:val="auto"/>
          <w:kern w:val="0"/>
          <w:highlight w:val="none"/>
          <w:lang w:bidi="ar"/>
        </w:rPr>
        <w:t>本次评价还调查了区域内的地下水井情况，根据现场调查及资料收集，本项目地下水评价范围涉及泉点及水井调查情况见表5.2</w:t>
      </w:r>
      <w:r>
        <w:rPr>
          <w:rFonts w:hint="eastAsia" w:cs="Times New Roman"/>
          <w:color w:val="auto"/>
          <w:kern w:val="0"/>
          <w:highlight w:val="none"/>
          <w:lang w:val="en-US" w:eastAsia="zh-CN" w:bidi="ar"/>
        </w:rPr>
        <w:t>.3</w:t>
      </w:r>
      <w:r>
        <w:rPr>
          <w:rFonts w:hint="default" w:ascii="Times New Roman" w:hAnsi="Times New Roman" w:cs="Times New Roman"/>
          <w:color w:val="auto"/>
          <w:kern w:val="0"/>
          <w:highlight w:val="none"/>
          <w:lang w:bidi="ar"/>
        </w:rPr>
        <w:t>-</w:t>
      </w:r>
      <w:r>
        <w:rPr>
          <w:rFonts w:hint="eastAsia" w:cs="Times New Roman"/>
          <w:color w:val="auto"/>
          <w:kern w:val="0"/>
          <w:highlight w:val="none"/>
          <w:lang w:val="en-US" w:eastAsia="zh-CN" w:bidi="ar"/>
        </w:rPr>
        <w:t>3</w:t>
      </w:r>
      <w:r>
        <w:rPr>
          <w:rFonts w:hint="default" w:ascii="Times New Roman" w:hAnsi="Times New Roman" w:cs="Times New Roman"/>
          <w:color w:val="auto"/>
          <w:szCs w:val="28"/>
          <w:highlight w:val="none"/>
        </w:rPr>
        <w:t>。</w:t>
      </w:r>
    </w:p>
    <w:p w14:paraId="47DEFC2B">
      <w:pPr>
        <w:pStyle w:val="47"/>
        <w:jc w:val="center"/>
        <w:rPr>
          <w:rFonts w:hint="eastAsia" w:ascii="黑体" w:hAnsi="黑体" w:eastAsia="黑体" w:cs="黑体"/>
          <w:color w:val="auto"/>
          <w:sz w:val="21"/>
          <w:szCs w:val="21"/>
          <w:highlight w:val="none"/>
          <w:lang w:bidi="zh-CN"/>
        </w:rPr>
      </w:pPr>
      <w:r>
        <w:rPr>
          <w:rFonts w:hint="eastAsia" w:ascii="黑体" w:hAnsi="黑体" w:eastAsia="黑体" w:cs="黑体"/>
          <w:color w:val="auto"/>
          <w:sz w:val="21"/>
          <w:szCs w:val="21"/>
          <w:highlight w:val="none"/>
        </w:rPr>
        <w:t>表5.2</w:t>
      </w:r>
      <w:r>
        <w:rPr>
          <w:rFonts w:hint="eastAsia" w:ascii="黑体" w:hAnsi="黑体" w:eastAsia="黑体" w:cs="黑体"/>
          <w:color w:val="auto"/>
          <w:sz w:val="21"/>
          <w:szCs w:val="21"/>
          <w:highlight w:val="none"/>
          <w:lang w:val="en-US" w:eastAsia="zh-CN"/>
        </w:rPr>
        <w:t>.3</w:t>
      </w:r>
      <w:r>
        <w:rPr>
          <w:rFonts w:hint="eastAsia" w:ascii="黑体" w:hAnsi="黑体" w:eastAsia="黑体" w:cs="黑体"/>
          <w:color w:val="auto"/>
          <w:sz w:val="21"/>
          <w:szCs w:val="21"/>
          <w:highlight w:val="none"/>
        </w:rPr>
        <w:t>-</w:t>
      </w:r>
      <w:r>
        <w:rPr>
          <w:rFonts w:hint="eastAsia" w:ascii="黑体" w:hAnsi="黑体" w:eastAsia="黑体" w:cs="黑体"/>
          <w:color w:val="auto"/>
          <w:sz w:val="21"/>
          <w:szCs w:val="21"/>
          <w:highlight w:val="none"/>
          <w:lang w:val="en-US" w:eastAsia="zh-CN"/>
        </w:rPr>
        <w:t>3</w:t>
      </w:r>
      <w:r>
        <w:rPr>
          <w:rFonts w:hint="eastAsia" w:ascii="黑体" w:hAnsi="黑体" w:eastAsia="黑体" w:cs="黑体"/>
          <w:color w:val="auto"/>
          <w:sz w:val="21"/>
          <w:szCs w:val="21"/>
          <w:highlight w:val="none"/>
        </w:rPr>
        <w:t xml:space="preserve">  项</w:t>
      </w:r>
      <w:r>
        <w:rPr>
          <w:rFonts w:hint="eastAsia" w:ascii="黑体" w:hAnsi="黑体" w:eastAsia="黑体" w:cs="黑体"/>
          <w:color w:val="auto"/>
          <w:sz w:val="21"/>
          <w:szCs w:val="21"/>
          <w:highlight w:val="none"/>
          <w:lang w:bidi="zh-CN"/>
        </w:rPr>
        <w:t>目区周边泉点及水井调查情况一览表</w:t>
      </w:r>
    </w:p>
    <w:tbl>
      <w:tblPr>
        <w:tblStyle w:val="23"/>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2060"/>
        <w:gridCol w:w="1298"/>
        <w:gridCol w:w="987"/>
        <w:gridCol w:w="946"/>
        <w:gridCol w:w="1045"/>
        <w:gridCol w:w="1427"/>
      </w:tblGrid>
      <w:tr w14:paraId="6363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027" w:type="dxa"/>
            <w:vAlign w:val="center"/>
          </w:tcPr>
          <w:p w14:paraId="50BC5C9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2060" w:type="dxa"/>
            <w:vAlign w:val="center"/>
          </w:tcPr>
          <w:p w14:paraId="6F658BB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经纬度</w:t>
            </w:r>
          </w:p>
        </w:tc>
        <w:tc>
          <w:tcPr>
            <w:tcW w:w="1298" w:type="dxa"/>
            <w:vAlign w:val="center"/>
          </w:tcPr>
          <w:p w14:paraId="785F53B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位置</w:t>
            </w:r>
          </w:p>
        </w:tc>
        <w:tc>
          <w:tcPr>
            <w:tcW w:w="987" w:type="dxa"/>
            <w:vAlign w:val="center"/>
          </w:tcPr>
          <w:p w14:paraId="58264E2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井口标高</w:t>
            </w:r>
          </w:p>
        </w:tc>
        <w:tc>
          <w:tcPr>
            <w:tcW w:w="946" w:type="dxa"/>
            <w:vAlign w:val="center"/>
          </w:tcPr>
          <w:p w14:paraId="71BEBEB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地下水揭露高程</w:t>
            </w:r>
          </w:p>
        </w:tc>
        <w:tc>
          <w:tcPr>
            <w:tcW w:w="1045" w:type="dxa"/>
            <w:vAlign w:val="center"/>
          </w:tcPr>
          <w:p w14:paraId="7CEFFA8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地下水层</w:t>
            </w:r>
          </w:p>
        </w:tc>
        <w:tc>
          <w:tcPr>
            <w:tcW w:w="1427" w:type="dxa"/>
            <w:vAlign w:val="center"/>
          </w:tcPr>
          <w:p w14:paraId="09F53B6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利用情况</w:t>
            </w:r>
          </w:p>
        </w:tc>
      </w:tr>
      <w:tr w14:paraId="4C98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27" w:type="dxa"/>
            <w:vAlign w:val="center"/>
          </w:tcPr>
          <w:p w14:paraId="56C1685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林场水井</w:t>
            </w:r>
          </w:p>
        </w:tc>
        <w:tc>
          <w:tcPr>
            <w:tcW w:w="2060" w:type="dxa"/>
            <w:vAlign w:val="center"/>
          </w:tcPr>
          <w:p w14:paraId="276DDB8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lang w:val="en-US" w:eastAsia="zh-CN"/>
              </w:rPr>
              <w:t>3.508353</w:t>
            </w:r>
            <w:r>
              <w:rPr>
                <w:rFonts w:hint="default" w:ascii="Times New Roman" w:hAnsi="Times New Roman" w:cs="Times New Roman"/>
                <w:color w:val="auto"/>
                <w:sz w:val="18"/>
                <w:szCs w:val="18"/>
              </w:rPr>
              <w:t>°E</w:t>
            </w:r>
          </w:p>
          <w:p w14:paraId="0E0BE91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24.277271</w:t>
            </w:r>
            <w:r>
              <w:rPr>
                <w:rFonts w:hint="default" w:ascii="Times New Roman" w:hAnsi="Times New Roman" w:cs="Times New Roman"/>
                <w:color w:val="auto"/>
                <w:sz w:val="18"/>
                <w:szCs w:val="18"/>
              </w:rPr>
              <w:t>°N</w:t>
            </w:r>
          </w:p>
        </w:tc>
        <w:tc>
          <w:tcPr>
            <w:tcW w:w="1298" w:type="dxa"/>
            <w:vAlign w:val="center"/>
          </w:tcPr>
          <w:p w14:paraId="7E3D029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侧游，</w:t>
            </w:r>
            <w:r>
              <w:rPr>
                <w:rFonts w:hint="default" w:ascii="Times New Roman" w:hAnsi="Times New Roman" w:cs="Times New Roman"/>
                <w:color w:val="auto"/>
                <w:sz w:val="18"/>
                <w:szCs w:val="18"/>
              </w:rPr>
              <w:t>位于项目区东南侧1</w:t>
            </w:r>
            <w:r>
              <w:rPr>
                <w:rFonts w:hint="default" w:ascii="Times New Roman" w:hAnsi="Times New Roman" w:cs="Times New Roman"/>
                <w:color w:val="auto"/>
                <w:sz w:val="18"/>
                <w:szCs w:val="18"/>
                <w:lang w:val="en-US" w:eastAsia="zh-CN"/>
              </w:rPr>
              <w:t>572</w:t>
            </w:r>
            <w:r>
              <w:rPr>
                <w:rFonts w:hint="default" w:ascii="Times New Roman" w:hAnsi="Times New Roman" w:cs="Times New Roman"/>
                <w:color w:val="auto"/>
                <w:sz w:val="18"/>
                <w:szCs w:val="18"/>
              </w:rPr>
              <w:t>m</w:t>
            </w:r>
          </w:p>
        </w:tc>
        <w:tc>
          <w:tcPr>
            <w:tcW w:w="987" w:type="dxa"/>
            <w:vAlign w:val="center"/>
          </w:tcPr>
          <w:p w14:paraId="3952E6C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1527m</w:t>
            </w:r>
          </w:p>
        </w:tc>
        <w:tc>
          <w:tcPr>
            <w:tcW w:w="946" w:type="dxa"/>
            <w:vAlign w:val="center"/>
          </w:tcPr>
          <w:p w14:paraId="6D01E3E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15</w:t>
            </w:r>
            <w:r>
              <w:rPr>
                <w:rFonts w:hint="eastAsia" w:ascii="Times New Roman" w:hAnsi="Times New Roman" w:cs="Times New Roman"/>
                <w:color w:val="auto"/>
                <w:sz w:val="18"/>
                <w:szCs w:val="18"/>
                <w:lang w:val="en-US"/>
              </w:rPr>
              <w:t>18</w:t>
            </w:r>
            <w:r>
              <w:rPr>
                <w:rFonts w:hint="default" w:ascii="Times New Roman" w:hAnsi="Times New Roman" w:cs="Times New Roman"/>
                <w:color w:val="auto"/>
                <w:sz w:val="18"/>
                <w:szCs w:val="18"/>
                <w:lang w:val="en-US"/>
              </w:rPr>
              <w:t>m</w:t>
            </w:r>
          </w:p>
        </w:tc>
        <w:tc>
          <w:tcPr>
            <w:tcW w:w="1045" w:type="dxa"/>
            <w:vAlign w:val="center"/>
          </w:tcPr>
          <w:p w14:paraId="78B49AE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T2gd含水层</w:t>
            </w:r>
          </w:p>
        </w:tc>
        <w:tc>
          <w:tcPr>
            <w:tcW w:w="1427" w:type="dxa"/>
            <w:vAlign w:val="center"/>
          </w:tcPr>
          <w:p w14:paraId="108AEA5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林木浇灌，无饮用水功能</w:t>
            </w:r>
          </w:p>
        </w:tc>
      </w:tr>
      <w:tr w14:paraId="0FCD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27" w:type="dxa"/>
            <w:vAlign w:val="center"/>
          </w:tcPr>
          <w:p w14:paraId="2E06186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小沙冲水井</w:t>
            </w:r>
          </w:p>
        </w:tc>
        <w:tc>
          <w:tcPr>
            <w:tcW w:w="2060" w:type="dxa"/>
            <w:vAlign w:val="center"/>
          </w:tcPr>
          <w:p w14:paraId="615E31E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lang w:val="en-US" w:eastAsia="zh-CN"/>
              </w:rPr>
              <w:t>3.479344</w:t>
            </w:r>
            <w:r>
              <w:rPr>
                <w:rFonts w:hint="default" w:ascii="Times New Roman" w:hAnsi="Times New Roman" w:cs="Times New Roman"/>
                <w:color w:val="auto"/>
                <w:sz w:val="18"/>
                <w:szCs w:val="18"/>
              </w:rPr>
              <w:t>°E</w:t>
            </w:r>
          </w:p>
          <w:p w14:paraId="43A9CD0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24.257555</w:t>
            </w:r>
            <w:r>
              <w:rPr>
                <w:rFonts w:hint="default" w:ascii="Times New Roman" w:hAnsi="Times New Roman" w:cs="Times New Roman"/>
                <w:color w:val="auto"/>
                <w:sz w:val="18"/>
                <w:szCs w:val="18"/>
              </w:rPr>
              <w:t>°N</w:t>
            </w:r>
          </w:p>
        </w:tc>
        <w:tc>
          <w:tcPr>
            <w:tcW w:w="1298" w:type="dxa"/>
            <w:vAlign w:val="center"/>
          </w:tcPr>
          <w:p w14:paraId="6512D98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侧游，</w:t>
            </w:r>
            <w:r>
              <w:rPr>
                <w:rFonts w:hint="default" w:ascii="Times New Roman" w:hAnsi="Times New Roman" w:cs="Times New Roman"/>
                <w:color w:val="auto"/>
                <w:sz w:val="18"/>
                <w:szCs w:val="18"/>
              </w:rPr>
              <w:t>位于项目区西南侧2</w:t>
            </w:r>
            <w:r>
              <w:rPr>
                <w:rFonts w:hint="default" w:ascii="Times New Roman" w:hAnsi="Times New Roman" w:cs="Times New Roman"/>
                <w:color w:val="auto"/>
                <w:sz w:val="18"/>
                <w:szCs w:val="18"/>
                <w:lang w:val="en-US" w:eastAsia="zh-CN"/>
              </w:rPr>
              <w:t>936</w:t>
            </w:r>
            <w:r>
              <w:rPr>
                <w:rFonts w:hint="default" w:ascii="Times New Roman" w:hAnsi="Times New Roman" w:cs="Times New Roman"/>
                <w:color w:val="auto"/>
                <w:sz w:val="18"/>
                <w:szCs w:val="18"/>
              </w:rPr>
              <w:t>m</w:t>
            </w:r>
          </w:p>
        </w:tc>
        <w:tc>
          <w:tcPr>
            <w:tcW w:w="987" w:type="dxa"/>
            <w:vAlign w:val="center"/>
          </w:tcPr>
          <w:p w14:paraId="61158DA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1423m</w:t>
            </w:r>
          </w:p>
        </w:tc>
        <w:tc>
          <w:tcPr>
            <w:tcW w:w="946" w:type="dxa"/>
            <w:vAlign w:val="center"/>
          </w:tcPr>
          <w:p w14:paraId="193C550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14</w:t>
            </w:r>
            <w:r>
              <w:rPr>
                <w:rFonts w:hint="eastAsia" w:ascii="Times New Roman" w:hAnsi="Times New Roman" w:cs="Times New Roman"/>
                <w:color w:val="auto"/>
                <w:sz w:val="18"/>
                <w:szCs w:val="18"/>
                <w:lang w:val="en-US"/>
              </w:rPr>
              <w:t>12</w:t>
            </w:r>
            <w:r>
              <w:rPr>
                <w:rFonts w:hint="default" w:ascii="Times New Roman" w:hAnsi="Times New Roman" w:cs="Times New Roman"/>
                <w:color w:val="auto"/>
                <w:sz w:val="18"/>
                <w:szCs w:val="18"/>
                <w:lang w:val="en-US"/>
              </w:rPr>
              <w:t>m</w:t>
            </w:r>
          </w:p>
        </w:tc>
        <w:tc>
          <w:tcPr>
            <w:tcW w:w="1045" w:type="dxa"/>
            <w:vAlign w:val="center"/>
          </w:tcPr>
          <w:p w14:paraId="27D88B0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N1-2h</w:t>
            </w:r>
            <w:r>
              <w:rPr>
                <w:rFonts w:hint="default" w:ascii="Times New Roman" w:hAnsi="Times New Roman" w:cs="Times New Roman"/>
                <w:color w:val="auto"/>
                <w:sz w:val="18"/>
                <w:szCs w:val="18"/>
              </w:rPr>
              <w:t>含水层</w:t>
            </w:r>
          </w:p>
        </w:tc>
        <w:tc>
          <w:tcPr>
            <w:tcW w:w="1427" w:type="dxa"/>
            <w:vAlign w:val="center"/>
          </w:tcPr>
          <w:p w14:paraId="6958646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浇菜，无饮用水功能</w:t>
            </w:r>
          </w:p>
        </w:tc>
      </w:tr>
      <w:tr w14:paraId="3BF87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27" w:type="dxa"/>
            <w:vAlign w:val="center"/>
          </w:tcPr>
          <w:p w14:paraId="3113822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梅子哨村水井</w:t>
            </w:r>
          </w:p>
        </w:tc>
        <w:tc>
          <w:tcPr>
            <w:tcW w:w="2060" w:type="dxa"/>
            <w:vAlign w:val="center"/>
          </w:tcPr>
          <w:p w14:paraId="5609622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lang w:val="en-US"/>
              </w:rPr>
              <w:t>3.479882</w:t>
            </w:r>
            <w:r>
              <w:rPr>
                <w:rFonts w:hint="default" w:ascii="Times New Roman" w:hAnsi="Times New Roman" w:cs="Times New Roman"/>
                <w:color w:val="auto"/>
                <w:sz w:val="18"/>
                <w:szCs w:val="18"/>
              </w:rPr>
              <w:t>°E</w:t>
            </w:r>
          </w:p>
          <w:p w14:paraId="76324BB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rPr>
              <w:t>24.267653</w:t>
            </w:r>
            <w:r>
              <w:rPr>
                <w:rFonts w:hint="default" w:ascii="Times New Roman" w:hAnsi="Times New Roman" w:cs="Times New Roman"/>
                <w:color w:val="auto"/>
                <w:sz w:val="18"/>
                <w:szCs w:val="18"/>
              </w:rPr>
              <w:t>°N</w:t>
            </w:r>
          </w:p>
        </w:tc>
        <w:tc>
          <w:tcPr>
            <w:tcW w:w="1298" w:type="dxa"/>
            <w:vAlign w:val="center"/>
          </w:tcPr>
          <w:p w14:paraId="4A73273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下游，</w:t>
            </w:r>
            <w:r>
              <w:rPr>
                <w:rFonts w:hint="default" w:ascii="Times New Roman" w:hAnsi="Times New Roman" w:cs="Times New Roman"/>
                <w:color w:val="auto"/>
                <w:sz w:val="18"/>
                <w:szCs w:val="18"/>
              </w:rPr>
              <w:t>位于项目区西南侧2</w:t>
            </w:r>
            <w:r>
              <w:rPr>
                <w:rFonts w:hint="default" w:ascii="Times New Roman" w:hAnsi="Times New Roman" w:cs="Times New Roman"/>
                <w:color w:val="auto"/>
                <w:sz w:val="18"/>
                <w:szCs w:val="18"/>
                <w:lang w:val="en-US" w:eastAsia="zh-CN"/>
              </w:rPr>
              <w:t>308</w:t>
            </w:r>
            <w:r>
              <w:rPr>
                <w:rFonts w:hint="default" w:ascii="Times New Roman" w:hAnsi="Times New Roman" w:cs="Times New Roman"/>
                <w:color w:val="auto"/>
                <w:sz w:val="18"/>
                <w:szCs w:val="18"/>
              </w:rPr>
              <w:t>m</w:t>
            </w:r>
          </w:p>
        </w:tc>
        <w:tc>
          <w:tcPr>
            <w:tcW w:w="987" w:type="dxa"/>
            <w:vAlign w:val="center"/>
          </w:tcPr>
          <w:p w14:paraId="6AE61CD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1411m</w:t>
            </w:r>
          </w:p>
        </w:tc>
        <w:tc>
          <w:tcPr>
            <w:tcW w:w="946" w:type="dxa"/>
            <w:vAlign w:val="center"/>
          </w:tcPr>
          <w:p w14:paraId="2680709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1401m</w:t>
            </w:r>
          </w:p>
        </w:tc>
        <w:tc>
          <w:tcPr>
            <w:tcW w:w="1045" w:type="dxa"/>
            <w:vAlign w:val="center"/>
          </w:tcPr>
          <w:p w14:paraId="7CE7ECA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N1-2h</w:t>
            </w:r>
            <w:r>
              <w:rPr>
                <w:rFonts w:hint="default" w:ascii="Times New Roman" w:hAnsi="Times New Roman" w:cs="Times New Roman"/>
                <w:color w:val="auto"/>
                <w:sz w:val="18"/>
                <w:szCs w:val="18"/>
              </w:rPr>
              <w:t>含水层</w:t>
            </w:r>
          </w:p>
        </w:tc>
        <w:tc>
          <w:tcPr>
            <w:tcW w:w="1427" w:type="dxa"/>
            <w:vAlign w:val="center"/>
          </w:tcPr>
          <w:p w14:paraId="0618E37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浇菜，无饮用水功能</w:t>
            </w:r>
          </w:p>
        </w:tc>
      </w:tr>
    </w:tbl>
    <w:p w14:paraId="779FCF9B">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color w:val="auto"/>
          <w:lang w:val="en-US" w:eastAsia="zh-CN"/>
        </w:rPr>
      </w:pPr>
      <w:r>
        <w:rPr>
          <w:rFonts w:hint="eastAsia"/>
          <w:color w:val="auto"/>
          <w:lang w:val="en-US" w:eastAsia="zh-CN"/>
        </w:rPr>
        <w:t>5.2.3.5</w:t>
      </w:r>
      <w:r>
        <w:rPr>
          <w:rFonts w:hint="default"/>
          <w:color w:val="auto"/>
          <w:lang w:val="en-US" w:eastAsia="zh-CN"/>
        </w:rPr>
        <w:t>地下水污染源及途径</w:t>
      </w:r>
    </w:p>
    <w:p w14:paraId="0BB825E1">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项目所处区域的地质情况分析，可能存在的主要污染方式是渗入型污染。污染物对地下水的影响主要是由于废水非正常排放等通过垂直渗透进入包气带，进入包气带的污染物在物理、化学和生物作用下经吸附、转化、迁移和分解后输入地下水。因此，包气带是连接地面污染物与地下含水层的主要通道和过渡带，既是污染物媒介体，又是污染物的净化场所和防护层。地下水能否被污染以及污染程度的大小，取决于包气带的地质结构、成分、厚度、渗透性以及污染物的各类性质。一般说来，土壤粒细而紧密，渗透性差，则污染慢；反之，颗粒粗大松散，渗透性能良好则污染重。</w:t>
      </w:r>
    </w:p>
    <w:p w14:paraId="1F5482D7">
      <w:pPr>
        <w:spacing w:line="360" w:lineRule="auto"/>
        <w:ind w:firstLine="48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根据地下水地质条件、地下水补给</w:t>
      </w:r>
      <w:r>
        <w:rPr>
          <w:rFonts w:hint="default" w:ascii="Times New Roman" w:hAnsi="Times New Roman" w:cs="Times New Roman"/>
          <w:color w:val="auto"/>
          <w:sz w:val="24"/>
          <w:szCs w:val="24"/>
          <w:lang w:val="en-US"/>
        </w:rPr>
        <w:t>和</w:t>
      </w:r>
      <w:r>
        <w:rPr>
          <w:rFonts w:hint="default" w:ascii="Times New Roman" w:hAnsi="Times New Roman" w:cs="Times New Roman"/>
          <w:color w:val="auto"/>
          <w:sz w:val="24"/>
          <w:szCs w:val="24"/>
        </w:rPr>
        <w:t>径流条件，</w:t>
      </w:r>
      <w:r>
        <w:rPr>
          <w:rFonts w:hint="default" w:ascii="Times New Roman" w:hAnsi="Times New Roman" w:cs="Times New Roman"/>
          <w:color w:val="auto"/>
          <w:sz w:val="24"/>
          <w:szCs w:val="24"/>
          <w:lang w:val="en-US" w:eastAsia="zh-CN"/>
        </w:rPr>
        <w:t>项目所在区域内污染物先通过包气带渗入地下水，在项目区地下水下游泉点及最低侵蚀面（西南处</w:t>
      </w:r>
      <w:r>
        <w:rPr>
          <w:rFonts w:hint="eastAsia" w:ascii="Times New Roman" w:hAnsi="Times New Roman" w:cs="Times New Roman"/>
          <w:color w:val="auto"/>
          <w:sz w:val="24"/>
          <w:szCs w:val="24"/>
          <w:lang w:val="en-US" w:eastAsia="zh-CN"/>
        </w:rPr>
        <w:t>甸溪河</w:t>
      </w:r>
      <w:r>
        <w:rPr>
          <w:rFonts w:hint="default" w:ascii="Times New Roman" w:hAnsi="Times New Roman" w:cs="Times New Roman"/>
          <w:color w:val="auto"/>
          <w:sz w:val="24"/>
          <w:szCs w:val="24"/>
          <w:lang w:val="en-US" w:eastAsia="zh-CN"/>
        </w:rPr>
        <w:t>）进行排泄。</w:t>
      </w:r>
    </w:p>
    <w:p w14:paraId="4A992613">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本项目可能造成地下水污染的途径为</w:t>
      </w:r>
      <w:r>
        <w:rPr>
          <w:rFonts w:hint="eastAsia" w:ascii="Times New Roman" w:hAnsi="Times New Roman" w:cs="Times New Roman"/>
          <w:color w:val="auto"/>
          <w:sz w:val="24"/>
          <w:szCs w:val="24"/>
          <w:lang w:val="en-US"/>
        </w:rPr>
        <w:t>废水收集池</w:t>
      </w:r>
      <w:r>
        <w:rPr>
          <w:rFonts w:hint="default" w:ascii="Times New Roman" w:hAnsi="Times New Roman" w:cs="Times New Roman"/>
          <w:color w:val="auto"/>
          <w:sz w:val="24"/>
          <w:szCs w:val="24"/>
        </w:rPr>
        <w:t>，猪舍底部</w:t>
      </w:r>
      <w:r>
        <w:rPr>
          <w:rFonts w:hint="eastAsia" w:ascii="Times New Roman" w:hAnsi="Times New Roman" w:cs="Times New Roman"/>
          <w:color w:val="auto"/>
          <w:sz w:val="24"/>
          <w:szCs w:val="24"/>
          <w:lang w:val="en-US"/>
        </w:rPr>
        <w:t>粪尿收集池</w:t>
      </w:r>
      <w:r>
        <w:rPr>
          <w:rFonts w:hint="default" w:ascii="Times New Roman" w:hAnsi="Times New Roman" w:cs="Times New Roman"/>
          <w:color w:val="auto"/>
          <w:sz w:val="24"/>
          <w:szCs w:val="24"/>
        </w:rPr>
        <w:t>、堆粪棚、废水收集管道等防渗措施不足，导致污废水、渗滤液下渗对地下水造成污染。</w:t>
      </w:r>
    </w:p>
    <w:p w14:paraId="25D003F3">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color w:val="auto"/>
          <w:lang w:val="en-US" w:eastAsia="zh-CN"/>
        </w:rPr>
      </w:pPr>
      <w:r>
        <w:rPr>
          <w:rFonts w:hint="eastAsia"/>
          <w:color w:val="auto"/>
          <w:lang w:val="en-US" w:eastAsia="zh-CN"/>
        </w:rPr>
        <w:t>5.2.3.6</w:t>
      </w:r>
      <w:r>
        <w:rPr>
          <w:rFonts w:hint="default"/>
          <w:color w:val="auto"/>
          <w:lang w:val="en-US" w:eastAsia="zh-CN"/>
        </w:rPr>
        <w:t>地下水环境影响预测与评价</w:t>
      </w:r>
    </w:p>
    <w:p w14:paraId="0A9FF341">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（1）正常情况下地下水污染影响</w:t>
      </w:r>
    </w:p>
    <w:p w14:paraId="69222160">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项目区按照《环境影响评价技术导则 地下水环境》（HJ610-2016）中的防渗要求进行防渗建设。根据《环境影响评价技术导则</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地下水环境》（HJ610-2016）要求：“已依据GB16889、GB18597、GB18598、GB18599、GB/T50934设计地下水污染防渗措施的建设项目，可不进行正常状况情景下的预测”。在落实分区防渗措施后，在正常情况下，只要做好了生产设施、地面、污水处理设施和管道的防渗工程处理，完全可以避免污水入渗进入潜水含水层的发生，对地下水影响较小，项目运营期正常情况对地下水环境的影响是可控的。</w:t>
      </w:r>
    </w:p>
    <w:p w14:paraId="07E6AEE9">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（2）非正常情况下地下水污染影响</w:t>
      </w:r>
    </w:p>
    <w:p w14:paraId="5A411F50">
      <w:pPr>
        <w:spacing w:line="360" w:lineRule="auto"/>
        <w:ind w:firstLine="48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1）预测情景设置</w:t>
      </w:r>
    </w:p>
    <w:p w14:paraId="5FD0029C">
      <w:pPr>
        <w:spacing w:line="360" w:lineRule="auto"/>
        <w:ind w:firstLine="48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根据项目总平面布置并结合养殖工艺，项目区污水处理站位于项目西南侧，处于整个项目区地下水下游，距离下游的地下水保护目标距离最近。</w:t>
      </w:r>
      <w:r>
        <w:rPr>
          <w:rFonts w:hint="default" w:ascii="Times New Roman" w:hAnsi="Times New Roman" w:cs="Times New Roman"/>
          <w:color w:val="auto"/>
          <w:sz w:val="24"/>
          <w:szCs w:val="24"/>
        </w:rPr>
        <w:t>当</w:t>
      </w:r>
      <w:r>
        <w:rPr>
          <w:rFonts w:hint="default" w:ascii="Times New Roman" w:hAnsi="Times New Roman" w:cs="Times New Roman"/>
          <w:color w:val="auto"/>
          <w:sz w:val="24"/>
          <w:szCs w:val="24"/>
          <w:lang w:val="en-US" w:eastAsia="zh-CN"/>
        </w:rPr>
        <w:t>污水处理站</w:t>
      </w:r>
      <w:r>
        <w:rPr>
          <w:rFonts w:hint="eastAsia" w:ascii="Times New Roman" w:hAnsi="Times New Roman" w:cs="Times New Roman"/>
          <w:color w:val="auto"/>
          <w:sz w:val="24"/>
          <w:szCs w:val="24"/>
          <w:lang w:val="en-US" w:eastAsia="zh-CN"/>
        </w:rPr>
        <w:t>防渗</w:t>
      </w:r>
      <w:r>
        <w:rPr>
          <w:rFonts w:hint="default" w:ascii="Times New Roman" w:hAnsi="Times New Roman" w:cs="Times New Roman"/>
          <w:color w:val="auto"/>
          <w:sz w:val="24"/>
          <w:szCs w:val="24"/>
        </w:rPr>
        <w:t>设施破损，废水下渗将对地下水造成污染，含有污染物质的废水将直接渗漏到含水层，而且池底损坏泄漏不易发现</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本次环评要求</w:t>
      </w:r>
      <w:r>
        <w:rPr>
          <w:rFonts w:hint="default" w:ascii="Times New Roman" w:hAnsi="Times New Roman" w:cs="Times New Roman"/>
          <w:color w:val="auto"/>
          <w:sz w:val="24"/>
          <w:szCs w:val="24"/>
        </w:rPr>
        <w:t>在</w:t>
      </w:r>
      <w:r>
        <w:rPr>
          <w:rFonts w:hint="default" w:ascii="Times New Roman" w:hAnsi="Times New Roman" w:cs="Times New Roman"/>
          <w:color w:val="auto"/>
          <w:sz w:val="24"/>
          <w:szCs w:val="24"/>
          <w:lang w:val="en-US" w:eastAsia="zh-CN"/>
        </w:rPr>
        <w:t>项目区污水处理站所在区域下游厂界</w:t>
      </w:r>
      <w:r>
        <w:rPr>
          <w:rFonts w:hint="eastAsia" w:ascii="Times New Roman" w:hAnsi="Times New Roman" w:cs="Times New Roman"/>
          <w:color w:val="auto"/>
          <w:sz w:val="24"/>
          <w:szCs w:val="24"/>
          <w:lang w:val="en-US" w:eastAsia="zh-CN"/>
        </w:rPr>
        <w:t>25</w:t>
      </w:r>
      <w:r>
        <w:rPr>
          <w:rFonts w:hint="default" w:ascii="Times New Roman" w:hAnsi="Times New Roman" w:cs="Times New Roman"/>
          <w:color w:val="auto"/>
          <w:sz w:val="24"/>
          <w:szCs w:val="24"/>
          <w:lang w:val="en-US" w:eastAsia="zh-CN"/>
        </w:rPr>
        <w:t>m处设置1个地下水跟踪监测井。</w:t>
      </w:r>
    </w:p>
    <w:p w14:paraId="30DD8C74">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本次评价“固定时间不同距离”影响预测分析</w:t>
      </w:r>
      <w:r>
        <w:rPr>
          <w:rFonts w:hint="default" w:ascii="Times New Roman" w:hAnsi="Times New Roman" w:cs="Times New Roman"/>
          <w:color w:val="auto"/>
          <w:sz w:val="24"/>
          <w:szCs w:val="24"/>
        </w:rPr>
        <w:t>按</w:t>
      </w:r>
      <w:r>
        <w:rPr>
          <w:rFonts w:hint="default" w:ascii="Times New Roman" w:hAnsi="Times New Roman" w:cs="Times New Roman"/>
          <w:color w:val="auto"/>
          <w:sz w:val="24"/>
          <w:szCs w:val="24"/>
          <w:lang w:val="en-US" w:eastAsia="zh-CN"/>
        </w:rPr>
        <w:t>最</w:t>
      </w:r>
      <w:r>
        <w:rPr>
          <w:rFonts w:hint="default" w:ascii="Times New Roman" w:hAnsi="Times New Roman" w:cs="Times New Roman"/>
          <w:color w:val="auto"/>
          <w:sz w:val="24"/>
          <w:szCs w:val="24"/>
        </w:rPr>
        <w:t>不利的情况设计</w:t>
      </w:r>
      <w:r>
        <w:rPr>
          <w:rFonts w:hint="default" w:ascii="Times New Roman" w:hAnsi="Times New Roman" w:cs="Times New Roman"/>
          <w:color w:val="auto"/>
          <w:sz w:val="24"/>
          <w:szCs w:val="24"/>
          <w:lang w:val="en-US" w:eastAsia="zh-CN"/>
        </w:rPr>
        <w:t>预测</w:t>
      </w:r>
      <w:r>
        <w:rPr>
          <w:rFonts w:hint="default" w:ascii="Times New Roman" w:hAnsi="Times New Roman" w:cs="Times New Roman"/>
          <w:color w:val="auto"/>
          <w:sz w:val="24"/>
          <w:szCs w:val="24"/>
        </w:rPr>
        <w:t>情景</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废水收集池</w:t>
      </w:r>
      <w:r>
        <w:rPr>
          <w:rFonts w:hint="default" w:ascii="Times New Roman" w:hAnsi="Times New Roman" w:cs="Times New Roman"/>
          <w:color w:val="auto"/>
          <w:sz w:val="24"/>
          <w:szCs w:val="24"/>
          <w:lang w:val="en-US" w:eastAsia="zh-CN"/>
        </w:rPr>
        <w:t>内</w:t>
      </w:r>
      <w:r>
        <w:rPr>
          <w:rFonts w:hint="default" w:ascii="Times New Roman" w:hAnsi="Times New Roman" w:cs="Times New Roman"/>
          <w:color w:val="auto"/>
          <w:sz w:val="24"/>
          <w:szCs w:val="24"/>
        </w:rPr>
        <w:t>污染物以固定浓度不断</w:t>
      </w:r>
      <w:r>
        <w:rPr>
          <w:rFonts w:hint="default" w:ascii="Times New Roman" w:hAnsi="Times New Roman" w:cs="Times New Roman"/>
          <w:color w:val="auto"/>
          <w:sz w:val="24"/>
          <w:szCs w:val="24"/>
          <w:lang w:eastAsia="zh-CN"/>
        </w:rPr>
        <w:t>渗入</w:t>
      </w:r>
      <w:r>
        <w:rPr>
          <w:rFonts w:hint="default" w:ascii="Times New Roman" w:hAnsi="Times New Roman" w:cs="Times New Roman"/>
          <w:color w:val="auto"/>
          <w:sz w:val="24"/>
          <w:szCs w:val="24"/>
        </w:rPr>
        <w:t>到含水层中，直接进入地下水，并在含水层中沿水力梯度方向径流。</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固定距离不同时间</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影响预测分析地下水跟踪监测的污染物渗透情况。</w:t>
      </w:r>
    </w:p>
    <w:p w14:paraId="141BF2C0">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本次</w:t>
      </w:r>
      <w:r>
        <w:rPr>
          <w:rFonts w:hint="default" w:ascii="Times New Roman" w:hAnsi="Times New Roman" w:cs="Times New Roman"/>
          <w:color w:val="auto"/>
          <w:sz w:val="24"/>
          <w:szCs w:val="24"/>
        </w:rPr>
        <w:t>评价不考虑污水在包气带中下渗过程的降解与吸附作用，不考虑含水层中对污染物的吸附、挥发、生物化学反应。设计情景为极端情况，用于表征污水排放对地下水环境的最大影响程度和影响范围。本次模拟情景为</w:t>
      </w:r>
      <w:r>
        <w:rPr>
          <w:rFonts w:hint="default" w:ascii="Times New Roman" w:hAnsi="Times New Roman" w:cs="Times New Roman"/>
          <w:color w:val="auto"/>
          <w:sz w:val="24"/>
          <w:szCs w:val="24"/>
          <w:lang w:val="en-US" w:eastAsia="zh-CN"/>
        </w:rPr>
        <w:t>进入</w:t>
      </w:r>
      <w:r>
        <w:rPr>
          <w:rFonts w:hint="eastAsia" w:ascii="Times New Roman" w:hAnsi="Times New Roman" w:cs="Times New Roman"/>
          <w:color w:val="auto"/>
          <w:sz w:val="24"/>
          <w:szCs w:val="24"/>
          <w:lang w:val="en-US" w:eastAsia="zh-CN"/>
        </w:rPr>
        <w:t>废水收集池</w:t>
      </w:r>
      <w:r>
        <w:rPr>
          <w:rFonts w:hint="default" w:ascii="Times New Roman" w:hAnsi="Times New Roman" w:cs="Times New Roman"/>
          <w:color w:val="auto"/>
          <w:sz w:val="24"/>
          <w:szCs w:val="24"/>
          <w:lang w:val="en-US" w:eastAsia="zh-CN"/>
        </w:rPr>
        <w:t>的</w:t>
      </w:r>
      <w:r>
        <w:rPr>
          <w:rFonts w:hint="default" w:ascii="Times New Roman" w:hAnsi="Times New Roman" w:cs="Times New Roman"/>
          <w:color w:val="auto"/>
          <w:sz w:val="24"/>
          <w:szCs w:val="24"/>
        </w:rPr>
        <w:t>高浓度废水持续渗漏情况下的污染物运移情况。因此，本次评价将污染源视为连续稳定释放的点源，对非正常情况下的污染物进行正向推算。</w:t>
      </w:r>
    </w:p>
    <w:p w14:paraId="28E5739C">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预测方法及范围</w:t>
      </w:r>
    </w:p>
    <w:p w14:paraId="3574EB93">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根据《环境影响评价技术导则地下水环境》（HJ610-2016），该项目为三级评价，因此，本次评价选择采用解析法进行预测评价。</w:t>
      </w:r>
    </w:p>
    <w:p w14:paraId="2A9F99F6">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预测时段</w:t>
      </w:r>
    </w:p>
    <w:p w14:paraId="61C4BBE3">
      <w:pPr>
        <w:spacing w:line="360" w:lineRule="auto"/>
        <w:ind w:firstLine="48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分别</w:t>
      </w:r>
      <w:r>
        <w:rPr>
          <w:rFonts w:hint="default" w:ascii="Times New Roman" w:hAnsi="Times New Roman" w:cs="Times New Roman"/>
          <w:color w:val="auto"/>
          <w:sz w:val="24"/>
          <w:szCs w:val="24"/>
          <w:lang w:val="en-US" w:eastAsia="zh-CN"/>
        </w:rPr>
        <w:t>预测</w:t>
      </w:r>
      <w:r>
        <w:rPr>
          <w:rFonts w:hint="default" w:ascii="Times New Roman" w:hAnsi="Times New Roman" w:cs="Times New Roman"/>
          <w:color w:val="auto"/>
          <w:sz w:val="24"/>
          <w:szCs w:val="24"/>
        </w:rPr>
        <w:t>100d、365d、1000d</w:t>
      </w:r>
      <w:r>
        <w:rPr>
          <w:rFonts w:hint="default" w:ascii="Times New Roman" w:hAnsi="Times New Roman" w:cs="Times New Roman"/>
          <w:color w:val="auto"/>
          <w:sz w:val="24"/>
          <w:szCs w:val="24"/>
          <w:lang w:val="en-US" w:eastAsia="zh-CN"/>
        </w:rPr>
        <w:t>和7300d</w:t>
      </w:r>
      <w:r>
        <w:rPr>
          <w:rFonts w:hint="default" w:ascii="Times New Roman" w:hAnsi="Times New Roman" w:cs="Times New Roman"/>
          <w:color w:val="auto"/>
          <w:sz w:val="24"/>
          <w:szCs w:val="24"/>
        </w:rPr>
        <w:t>后的污染物超标扩散距离。</w:t>
      </w:r>
    </w:p>
    <w:p w14:paraId="1BA1AB3F">
      <w:pPr>
        <w:spacing w:line="360" w:lineRule="auto"/>
        <w:ind w:firstLine="48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预测源强</w:t>
      </w:r>
      <w:r>
        <w:rPr>
          <w:rFonts w:hint="default" w:ascii="Times New Roman" w:hAnsi="Times New Roman" w:cs="Times New Roman"/>
          <w:color w:val="auto"/>
          <w:sz w:val="24"/>
          <w:szCs w:val="24"/>
          <w:lang w:val="en-US" w:eastAsia="zh-CN"/>
        </w:rPr>
        <w:t>和标准</w:t>
      </w:r>
    </w:p>
    <w:p w14:paraId="14EBB618">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根据工程分析，本次预测选取废水中COD和NH3-N作为预测因子，预测分析项目污水渗漏产生的影响。</w:t>
      </w:r>
    </w:p>
    <w:p w14:paraId="33AD631B">
      <w:pPr>
        <w:spacing w:line="360" w:lineRule="auto"/>
        <w:ind w:firstLine="48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根据前文废水章节工程分析，COD和NH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-N废水初始浓度为：NH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 272.01mg/L，COD 2597.80mg/L，参照胡大琼（云南省水文水资源局普洱分局）《高锰酸盐指数与化学需氧量相关关系探讨》一文得出的耗氧量（CODMn）与化学需氧量（CODcr）线性回归方程Y=4.76X+2.61（X为高锰酸盐指数，Y为CODcr），则COD</w:t>
      </w:r>
      <w:r>
        <w:rPr>
          <w:rFonts w:hint="default" w:ascii="Times New Roman" w:hAnsi="Times New Roman" w:cs="Times New Roman"/>
          <w:color w:val="auto"/>
          <w:sz w:val="24"/>
          <w:szCs w:val="24"/>
          <w:vertAlign w:val="subscript"/>
          <w:lang w:val="en-US" w:eastAsia="zh-CN"/>
        </w:rPr>
        <w:t>Cr</w:t>
      </w:r>
      <w:r>
        <w:rPr>
          <w:rFonts w:hint="default" w:ascii="Times New Roman" w:hAnsi="Times New Roman" w:cs="Times New Roman"/>
          <w:color w:val="auto"/>
          <w:sz w:val="24"/>
          <w:szCs w:val="24"/>
          <w:lang w:val="en-US" w:eastAsia="zh-CN"/>
        </w:rPr>
        <w:t>为3153mg/L时COD</w:t>
      </w:r>
      <w:r>
        <w:rPr>
          <w:rFonts w:hint="default" w:ascii="Times New Roman" w:hAnsi="Times New Roman" w:cs="Times New Roman"/>
          <w:color w:val="auto"/>
          <w:sz w:val="24"/>
          <w:szCs w:val="24"/>
          <w:vertAlign w:val="subscript"/>
          <w:lang w:val="en-US" w:eastAsia="zh-CN"/>
        </w:rPr>
        <w:t>Mn</w:t>
      </w:r>
      <w:r>
        <w:rPr>
          <w:rFonts w:hint="default" w:ascii="Times New Roman" w:hAnsi="Times New Roman" w:cs="Times New Roman"/>
          <w:color w:val="auto"/>
          <w:sz w:val="24"/>
          <w:szCs w:val="24"/>
          <w:lang w:val="en-US" w:eastAsia="zh-CN"/>
        </w:rPr>
        <w:t>为538.9mg/L。</w:t>
      </w:r>
    </w:p>
    <w:p w14:paraId="2F7867B2">
      <w:pPr>
        <w:spacing w:line="360" w:lineRule="auto"/>
        <w:ind w:firstLine="48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szCs w:val="24"/>
          <w:lang w:val="en-US" w:eastAsia="zh-CN"/>
        </w:rPr>
        <w:t>其中NH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-N采用《地下水环境质量标准》（GB/T 14848-2017）中Ⅲ类水质作为评价标准（0.5mg/L），检出限值为0.025mg/L；耗氧量标准采用《地下水环境质量标准》（GB/T14848-2017）中耗氧量Ⅲ类水质作为评价标准（3mg/L），检出限值为0.5mg/L。</w:t>
      </w:r>
    </w:p>
    <w:p w14:paraId="02973DCB">
      <w:pPr>
        <w:spacing w:line="360" w:lineRule="auto"/>
        <w:ind w:firstLine="480"/>
        <w:jc w:val="both"/>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预测模式</w:t>
      </w:r>
    </w:p>
    <w:p w14:paraId="7CA398DF">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本次选择模型将污染源以点源考虑，在模拟污染物扩散时，不考虑吸附作用、化学反应等因素。根据《环境影响评价技术导则 地下水环境》 (HJ610-2016)中各模式适用条件，本次预测模式采用解析法预测模式中的一维半无限长多孔介质柱体，一端为定浓度边界预测模式：</w:t>
      </w:r>
    </w:p>
    <w:p w14:paraId="35622082">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3620770" cy="786765"/>
            <wp:effectExtent l="0" t="0" r="17780" b="1333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59"/>
                    <a:stretch>
                      <a:fillRect/>
                    </a:stretch>
                  </pic:blipFill>
                  <pic:spPr>
                    <a:xfrm>
                      <a:off x="0" y="0"/>
                      <a:ext cx="3620770" cy="786765"/>
                    </a:xfrm>
                    <a:prstGeom prst="rect">
                      <a:avLst/>
                    </a:prstGeom>
                    <a:noFill/>
                    <a:ln>
                      <a:noFill/>
                    </a:ln>
                  </pic:spPr>
                </pic:pic>
              </a:graphicData>
            </a:graphic>
          </wp:inline>
        </w:drawing>
      </w:r>
    </w:p>
    <w:p w14:paraId="613868E4">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p>
    <w:p w14:paraId="5EDE2B13">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x——距注入点的距离，m；</w:t>
      </w:r>
    </w:p>
    <w:p w14:paraId="5FD8FA58">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t——时间，d；</w:t>
      </w:r>
    </w:p>
    <w:p w14:paraId="23D91B61">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C——t时刻x处的污染物浓度，mg/L；</w:t>
      </w:r>
    </w:p>
    <w:p w14:paraId="3EA1F7FF">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C0——注入点的初始浓度，mg/L；</w:t>
      </w:r>
    </w:p>
    <w:p w14:paraId="5B49845C">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u——水流速度，m/d；</w:t>
      </w:r>
    </w:p>
    <w:p w14:paraId="5D246665">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DL——纵向弥散系数，m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/d；</w:t>
      </w:r>
    </w:p>
    <w:p w14:paraId="61ACE988">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erfc（）——余误差函数。</w:t>
      </w:r>
    </w:p>
    <w:p w14:paraId="01CEC21B">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◆水文地质参数设置情况</w:t>
      </w:r>
    </w:p>
    <w:p w14:paraId="1961FC09">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a、水流速度（u）</w:t>
      </w:r>
    </w:p>
    <w:p w14:paraId="3105BF55">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根据达西定律，地下水实际流速计算公式如下：</w:t>
      </w:r>
    </w:p>
    <w:p w14:paraId="42A00B85">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u=K×I/ne</w:t>
      </w:r>
    </w:p>
    <w:p w14:paraId="56AB91F2">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其中：u——地下水实际流速，m/d；</w:t>
      </w:r>
    </w:p>
    <w:p w14:paraId="089F85B0">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K——渗透系数，m/d；</w:t>
      </w:r>
    </w:p>
    <w:p w14:paraId="050EB417">
      <w:pPr>
        <w:spacing w:line="360" w:lineRule="auto"/>
        <w:ind w:firstLine="480"/>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n</w:t>
      </w:r>
      <w:r>
        <w:rPr>
          <w:rFonts w:hint="default" w:ascii="Times New Roman" w:hAnsi="Times New Roman" w:cs="Times New Roman"/>
          <w:color w:val="auto"/>
          <w:sz w:val="24"/>
          <w:szCs w:val="24"/>
        </w:rPr>
        <w:t>e——</w:t>
      </w:r>
      <w:r>
        <w:rPr>
          <w:rFonts w:hint="eastAsia" w:ascii="Times New Roman" w:hAnsi="Times New Roman" w:cs="Times New Roman"/>
          <w:color w:val="auto"/>
          <w:sz w:val="24"/>
          <w:szCs w:val="24"/>
          <w:lang w:val="en-US" w:eastAsia="zh-CN"/>
        </w:rPr>
        <w:t>有效孔隙度，无量纲；</w:t>
      </w:r>
    </w:p>
    <w:p w14:paraId="3F206EF8">
      <w:pPr>
        <w:spacing w:line="360" w:lineRule="auto"/>
        <w:ind w:firstLine="480"/>
        <w:jc w:val="both"/>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根据</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弥勒温氏畜牧有限公司梅子哨、新哨二区后备猪培育基地建设项目岩土工程勘察报告</w:t>
      </w:r>
      <w:r>
        <w:rPr>
          <w:rFonts w:hint="default" w:ascii="Times New Roman" w:hAnsi="Times New Roman" w:cs="Times New Roman"/>
          <w:color w:val="auto"/>
          <w:sz w:val="24"/>
          <w:szCs w:val="24"/>
        </w:rPr>
        <w:t>（详细勘察）》</w:t>
      </w:r>
      <w:r>
        <w:rPr>
          <w:rFonts w:hint="eastAsia" w:ascii="Times New Roman" w:hAnsi="Times New Roman" w:cs="Times New Roman"/>
          <w:color w:val="auto"/>
          <w:sz w:val="24"/>
          <w:szCs w:val="24"/>
          <w:lang w:val="en-US" w:eastAsia="zh-CN"/>
        </w:rPr>
        <w:t>，拟建场地</w:t>
      </w:r>
      <w:r>
        <w:rPr>
          <w:rFonts w:hint="eastAsia" w:ascii="Times New Roman" w:hAnsi="Times New Roman" w:cs="Times New Roman"/>
          <w:color w:val="auto"/>
          <w:sz w:val="24"/>
          <w:szCs w:val="24"/>
          <w:lang w:eastAsia="zh-CN"/>
        </w:rPr>
        <w:t>渗透系数平均值为</w:t>
      </w:r>
      <w:r>
        <w:rPr>
          <w:rFonts w:hint="eastAsia" w:ascii="Times New Roman" w:hAnsi="Times New Roman" w:cs="Times New Roman"/>
          <w:color w:val="auto"/>
          <w:sz w:val="24"/>
          <w:szCs w:val="24"/>
          <w:lang w:val="en-US" w:eastAsia="zh-CN"/>
        </w:rPr>
        <w:t>1.34×10</w:t>
      </w:r>
      <w:r>
        <w:rPr>
          <w:rFonts w:hint="eastAsia" w:ascii="Times New Roman" w:hAnsi="Times New Roman" w:cs="Times New Roman"/>
          <w:color w:val="auto"/>
          <w:sz w:val="24"/>
          <w:szCs w:val="24"/>
          <w:vertAlign w:val="superscript"/>
          <w:lang w:val="en-US" w:eastAsia="zh-CN"/>
        </w:rPr>
        <w:t>-6</w:t>
      </w:r>
      <w:r>
        <w:rPr>
          <w:rFonts w:hint="eastAsia" w:ascii="Times New Roman" w:hAnsi="Times New Roman" w:cs="Times New Roman"/>
          <w:color w:val="auto"/>
          <w:sz w:val="24"/>
          <w:szCs w:val="24"/>
          <w:lang w:val="en-US" w:eastAsia="zh-CN"/>
        </w:rPr>
        <w:t>cm/s（0.116</w:t>
      </w:r>
      <w:r>
        <w:rPr>
          <w:rFonts w:hint="default" w:ascii="Times New Roman" w:hAnsi="Times New Roman" w:cs="Times New Roman"/>
          <w:color w:val="auto"/>
          <w:sz w:val="24"/>
          <w:szCs w:val="24"/>
          <w:lang w:eastAsia="zh-CN"/>
        </w:rPr>
        <w:t>m/d</w:t>
      </w:r>
      <w:r>
        <w:rPr>
          <w:rFonts w:hint="eastAsia" w:ascii="Times New Roman" w:hAnsi="Times New Roman" w:cs="Times New Roman"/>
          <w:color w:val="auto"/>
          <w:sz w:val="24"/>
          <w:szCs w:val="24"/>
          <w:lang w:val="en-US" w:eastAsia="zh-CN"/>
        </w:rPr>
        <w:t>），平均孔隙度为53.05</w:t>
      </w:r>
      <w:r>
        <w:rPr>
          <w:rFonts w:hint="default" w:ascii="Times New Roman" w:hAnsi="Times New Roman" w:cs="Times New Roman"/>
          <w:color w:val="auto"/>
          <w:sz w:val="24"/>
          <w:szCs w:val="24"/>
          <w:lang w:val="en-US" w:eastAsia="zh-CN"/>
        </w:rPr>
        <w:t>%，有效孔隙度取孔隙度的50%计，则</w:t>
      </w:r>
      <w:r>
        <w:rPr>
          <w:rFonts w:hint="default" w:ascii="Times New Roman" w:hAnsi="Times New Roman" w:cs="Times New Roman"/>
          <w:color w:val="auto"/>
          <w:sz w:val="24"/>
          <w:szCs w:val="24"/>
        </w:rPr>
        <w:t>ne</w:t>
      </w:r>
      <w:r>
        <w:rPr>
          <w:rFonts w:hint="default" w:ascii="Times New Roman" w:hAnsi="Times New Roman" w:cs="Times New Roman"/>
          <w:color w:val="auto"/>
          <w:sz w:val="24"/>
          <w:szCs w:val="24"/>
          <w:lang w:eastAsia="zh-CN"/>
        </w:rPr>
        <w:t>取</w:t>
      </w:r>
      <w:r>
        <w:rPr>
          <w:rFonts w:hint="eastAsia" w:ascii="Times New Roman" w:hAnsi="Times New Roman" w:cs="Times New Roman"/>
          <w:color w:val="auto"/>
          <w:sz w:val="24"/>
          <w:szCs w:val="24"/>
          <w:lang w:val="en-US" w:eastAsia="zh-CN"/>
        </w:rPr>
        <w:t>0.265</w:t>
      </w:r>
      <w:r>
        <w:rPr>
          <w:rFonts w:hint="default" w:ascii="Times New Roman" w:hAnsi="Times New Roman" w:cs="Times New Roman"/>
          <w:color w:val="auto"/>
          <w:sz w:val="24"/>
          <w:szCs w:val="24"/>
          <w:lang w:eastAsia="zh-CN"/>
        </w:rPr>
        <w:t>。</w:t>
      </w:r>
    </w:p>
    <w:p w14:paraId="27D99BF5">
      <w:pPr>
        <w:spacing w:line="360" w:lineRule="auto"/>
        <w:ind w:firstLine="48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 xml:space="preserve">     I——水力坡度；</w:t>
      </w:r>
      <w:r>
        <w:rPr>
          <w:rFonts w:hint="default" w:ascii="Times New Roman" w:hAnsi="Times New Roman" w:cs="Times New Roman"/>
          <w:color w:val="auto"/>
          <w:sz w:val="24"/>
          <w:szCs w:val="24"/>
          <w:lang w:val="en-US" w:eastAsia="zh-CN"/>
        </w:rPr>
        <w:t>根据项目区地形特征，项目区东</w:t>
      </w:r>
      <w:r>
        <w:rPr>
          <w:rFonts w:hint="eastAsia" w:ascii="Times New Roman" w:hAnsi="Times New Roman" w:cs="Times New Roman"/>
          <w:color w:val="auto"/>
          <w:sz w:val="24"/>
          <w:szCs w:val="24"/>
          <w:lang w:val="en-US" w:eastAsia="zh-CN"/>
        </w:rPr>
        <w:t>南</w:t>
      </w:r>
      <w:r>
        <w:rPr>
          <w:rFonts w:hint="default" w:ascii="Times New Roman" w:hAnsi="Times New Roman" w:cs="Times New Roman"/>
          <w:color w:val="auto"/>
          <w:sz w:val="24"/>
          <w:szCs w:val="24"/>
          <w:lang w:val="en-US" w:eastAsia="zh-CN"/>
        </w:rPr>
        <w:t>侧</w:t>
      </w:r>
      <w:r>
        <w:rPr>
          <w:rFonts w:hint="eastAsia" w:ascii="Times New Roman" w:hAnsi="Times New Roman" w:cs="Times New Roman"/>
          <w:color w:val="auto"/>
          <w:sz w:val="24"/>
          <w:szCs w:val="24"/>
          <w:lang w:val="en-US" w:eastAsia="zh-CN"/>
        </w:rPr>
        <w:t>1572</w:t>
      </w:r>
      <w:r>
        <w:rPr>
          <w:rFonts w:hint="default" w:ascii="Times New Roman" w:hAnsi="Times New Roman" w:cs="Times New Roman"/>
          <w:color w:val="auto"/>
          <w:sz w:val="24"/>
          <w:szCs w:val="24"/>
          <w:lang w:val="en-US" w:eastAsia="zh-CN"/>
        </w:rPr>
        <w:t>m</w:t>
      </w:r>
      <w:r>
        <w:rPr>
          <w:rFonts w:hint="eastAsia" w:ascii="Times New Roman" w:hAnsi="Times New Roman" w:cs="Times New Roman"/>
          <w:color w:val="auto"/>
          <w:sz w:val="24"/>
          <w:szCs w:val="24"/>
          <w:lang w:val="en-US" w:eastAsia="zh-CN"/>
        </w:rPr>
        <w:t>处林场水井地下水揭露高程为1518m，</w:t>
      </w:r>
      <w:r>
        <w:rPr>
          <w:rFonts w:hint="default" w:ascii="Times New Roman" w:hAnsi="Times New Roman" w:cs="Times New Roman"/>
          <w:color w:val="auto"/>
          <w:sz w:val="24"/>
          <w:szCs w:val="24"/>
          <w:lang w:val="en-US" w:eastAsia="zh-CN"/>
        </w:rPr>
        <w:t>项目区西南侧2936m</w:t>
      </w:r>
      <w:r>
        <w:rPr>
          <w:rFonts w:hint="eastAsia" w:ascii="Times New Roman" w:hAnsi="Times New Roman" w:cs="Times New Roman"/>
          <w:color w:val="auto"/>
          <w:sz w:val="24"/>
          <w:szCs w:val="24"/>
          <w:lang w:val="en-US" w:eastAsia="zh-CN"/>
        </w:rPr>
        <w:t>处</w:t>
      </w:r>
      <w:r>
        <w:rPr>
          <w:rFonts w:hint="default" w:ascii="Times New Roman" w:hAnsi="Times New Roman" w:cs="Times New Roman"/>
          <w:color w:val="auto"/>
          <w:sz w:val="24"/>
          <w:szCs w:val="24"/>
          <w:lang w:val="en-US" w:eastAsia="zh-CN"/>
        </w:rPr>
        <w:t>小沙冲水井地下水揭露高程</w:t>
      </w:r>
      <w:r>
        <w:rPr>
          <w:rFonts w:hint="eastAsia" w:ascii="Times New Roman" w:hAnsi="Times New Roman" w:cs="Times New Roman"/>
          <w:color w:val="auto"/>
          <w:sz w:val="24"/>
          <w:szCs w:val="24"/>
          <w:lang w:val="en-US" w:eastAsia="zh-CN"/>
        </w:rPr>
        <w:t>为1412m，位于项目区地下水下游，两者直线距离约3.65km，则I值为0.03</w:t>
      </w:r>
      <w:r>
        <w:rPr>
          <w:rFonts w:hint="default" w:ascii="Times New Roman" w:hAnsi="Times New Roman" w:cs="Times New Roman"/>
          <w:color w:val="auto"/>
          <w:sz w:val="24"/>
          <w:szCs w:val="24"/>
          <w:lang w:val="en-US" w:eastAsia="zh-CN"/>
        </w:rPr>
        <w:t>。</w:t>
      </w:r>
    </w:p>
    <w:p w14:paraId="698E6A6F">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综上，项目地下水流速为0.0</w:t>
      </w:r>
      <w:r>
        <w:rPr>
          <w:rFonts w:hint="default"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m/d。</w:t>
      </w:r>
    </w:p>
    <w:p w14:paraId="2D40DA03">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b、纵向弥散系数（DL）</w:t>
      </w:r>
    </w:p>
    <w:p w14:paraId="4AD082E3">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根据《地下水污染—数学模型和数值方法》，纵向弥散系数计算公式如下：</w:t>
      </w:r>
    </w:p>
    <w:p w14:paraId="245E6390">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DL=aL×u</w:t>
      </w:r>
    </w:p>
    <w:p w14:paraId="146D4CE5">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其中：DL——纵向弥散系数，m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/d；</w:t>
      </w:r>
    </w:p>
    <w:p w14:paraId="44DAC974">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aL——纵向弥散度，m；</w:t>
      </w:r>
    </w:p>
    <w:p w14:paraId="6837C903">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u——地下水实际流速，m/d，取值0.0</w:t>
      </w:r>
      <w:r>
        <w:rPr>
          <w:rFonts w:hint="default"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m/d。</w:t>
      </w:r>
    </w:p>
    <w:p w14:paraId="0B5001E1">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其中弥散度（aL）根据以下经验公式进行计算：</w:t>
      </w:r>
    </w:p>
    <w:p w14:paraId="6BE539D7">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aL=0.83×（lgL）2.414</w:t>
      </w:r>
    </w:p>
    <w:p w14:paraId="1BBDE582">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式中：aL——纵向弥散度，m；</w:t>
      </w:r>
    </w:p>
    <w:p w14:paraId="6F08BF80">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L——为污染物运移尺度或研究区的近似最大内径长度；</w:t>
      </w:r>
    </w:p>
    <w:p w14:paraId="2BFDB03A">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L计算公式如下：</w:t>
      </w:r>
    </w:p>
    <w:p w14:paraId="5E45A565">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L=α×K×I×T/ne</w:t>
      </w:r>
    </w:p>
    <w:p w14:paraId="5874AC59">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式中：α——变化系数，一般取2；</w:t>
      </w:r>
    </w:p>
    <w:p w14:paraId="1E34D31C">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K——渗透系数，m/d，取</w:t>
      </w:r>
      <w:r>
        <w:rPr>
          <w:rFonts w:hint="eastAsia" w:ascii="Times New Roman" w:hAnsi="Times New Roman" w:cs="Times New Roman"/>
          <w:color w:val="auto"/>
          <w:sz w:val="24"/>
          <w:szCs w:val="24"/>
          <w:lang w:val="en-US" w:eastAsia="zh-CN"/>
        </w:rPr>
        <w:t>0.116</w:t>
      </w:r>
      <w:r>
        <w:rPr>
          <w:rFonts w:hint="default" w:ascii="Times New Roman" w:hAnsi="Times New Roman" w:cs="Times New Roman"/>
          <w:color w:val="auto"/>
          <w:sz w:val="24"/>
          <w:szCs w:val="24"/>
          <w:lang w:eastAsia="zh-CN"/>
        </w:rPr>
        <w:t>m/d</w:t>
      </w:r>
      <w:r>
        <w:rPr>
          <w:rFonts w:hint="default" w:ascii="Times New Roman" w:hAnsi="Times New Roman" w:cs="Times New Roman"/>
          <w:color w:val="auto"/>
          <w:sz w:val="24"/>
          <w:szCs w:val="24"/>
        </w:rPr>
        <w:t>；</w:t>
      </w:r>
    </w:p>
    <w:p w14:paraId="66DFCF4A">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I——水力坡度；取值</w:t>
      </w:r>
      <w:r>
        <w:rPr>
          <w:rFonts w:hint="default" w:ascii="Times New Roman" w:hAnsi="Times New Roman" w:cs="Times New Roman"/>
          <w:color w:val="auto"/>
          <w:sz w:val="24"/>
          <w:szCs w:val="24"/>
          <w:lang w:val="en-US" w:eastAsia="zh-CN"/>
        </w:rPr>
        <w:t>0.0</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p>
    <w:p w14:paraId="08EC13EF">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T——质点迁移天数，取</w:t>
      </w:r>
      <w:r>
        <w:rPr>
          <w:rFonts w:hint="default" w:ascii="Times New Roman" w:hAnsi="Times New Roman" w:cs="Times New Roman"/>
          <w:color w:val="auto"/>
          <w:sz w:val="24"/>
          <w:szCs w:val="24"/>
          <w:lang w:val="en-US" w:eastAsia="zh-CN"/>
        </w:rPr>
        <w:t>5000</w:t>
      </w:r>
      <w:r>
        <w:rPr>
          <w:rFonts w:hint="default" w:ascii="Times New Roman" w:hAnsi="Times New Roman" w:cs="Times New Roman"/>
          <w:color w:val="auto"/>
          <w:sz w:val="24"/>
          <w:szCs w:val="24"/>
        </w:rPr>
        <w:t>d；</w:t>
      </w:r>
    </w:p>
    <w:p w14:paraId="3E261718">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ne——有效孔隙度，取</w:t>
      </w:r>
      <w:r>
        <w:rPr>
          <w:rFonts w:hint="eastAsia" w:ascii="Times New Roman" w:hAnsi="Times New Roman" w:cs="Times New Roman"/>
          <w:color w:val="auto"/>
          <w:sz w:val="24"/>
          <w:szCs w:val="24"/>
          <w:lang w:val="en-US" w:eastAsia="zh-CN"/>
        </w:rPr>
        <w:t>0.265</w:t>
      </w:r>
      <w:r>
        <w:rPr>
          <w:rFonts w:hint="default" w:ascii="Times New Roman" w:hAnsi="Times New Roman" w:cs="Times New Roman"/>
          <w:color w:val="auto"/>
          <w:sz w:val="24"/>
          <w:szCs w:val="24"/>
        </w:rPr>
        <w:t>。</w:t>
      </w:r>
    </w:p>
    <w:p w14:paraId="7E312AE3">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经计算，纵向弥散度（aL）为</w:t>
      </w:r>
      <w:r>
        <w:rPr>
          <w:rFonts w:hint="eastAsia" w:ascii="Times New Roman" w:hAnsi="Times New Roman" w:cs="Times New Roman"/>
          <w:color w:val="auto"/>
          <w:sz w:val="24"/>
          <w:szCs w:val="24"/>
          <w:lang w:val="en-US" w:eastAsia="zh-CN"/>
        </w:rPr>
        <w:t>5.082</w:t>
      </w:r>
      <w:r>
        <w:rPr>
          <w:rFonts w:hint="default" w:ascii="Times New Roman" w:hAnsi="Times New Roman" w:cs="Times New Roman"/>
          <w:color w:val="auto"/>
          <w:sz w:val="24"/>
          <w:szCs w:val="24"/>
        </w:rPr>
        <w:t>m、纵向弥散系数（DL）</w:t>
      </w:r>
      <w:r>
        <w:rPr>
          <w:rFonts w:hint="default" w:ascii="Times New Roman" w:hAnsi="Times New Roman" w:cs="Times New Roman"/>
          <w:color w:val="auto"/>
          <w:sz w:val="24"/>
          <w:szCs w:val="24"/>
          <w:lang w:val="en-US" w:eastAsia="zh-CN"/>
        </w:rPr>
        <w:t>0.0</w:t>
      </w:r>
      <w:r>
        <w:rPr>
          <w:rFonts w:hint="eastAsia" w:ascii="Times New Roman" w:hAnsi="Times New Roman" w:cs="Times New Roman"/>
          <w:color w:val="auto"/>
          <w:sz w:val="24"/>
          <w:szCs w:val="24"/>
          <w:lang w:val="en-US" w:eastAsia="zh-CN"/>
        </w:rPr>
        <w:t>66</w:t>
      </w:r>
      <w:r>
        <w:rPr>
          <w:rFonts w:hint="default" w:ascii="Times New Roman" w:hAnsi="Times New Roman" w:cs="Times New Roman"/>
          <w:color w:val="auto"/>
          <w:sz w:val="24"/>
          <w:szCs w:val="24"/>
        </w:rPr>
        <w:t>m2/d。</w:t>
      </w:r>
    </w:p>
    <w:p w14:paraId="400EFDD8">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根据上述计算结果，本次解析法预测参数数值见表</w:t>
      </w:r>
      <w:r>
        <w:rPr>
          <w:rFonts w:hint="default" w:ascii="Times New Roman" w:hAnsi="Times New Roman" w:cs="Times New Roman"/>
          <w:color w:val="auto"/>
          <w:sz w:val="24"/>
          <w:szCs w:val="24"/>
          <w:lang w:val="en-US" w:eastAsia="zh-CN"/>
        </w:rPr>
        <w:t>5.2</w:t>
      </w:r>
      <w:r>
        <w:rPr>
          <w:rFonts w:hint="eastAsia" w:cs="Times New Roman"/>
          <w:color w:val="auto"/>
          <w:sz w:val="24"/>
          <w:szCs w:val="24"/>
          <w:lang w:val="en-US" w:eastAsia="zh-CN"/>
        </w:rPr>
        <w:t>.3</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4</w:t>
      </w:r>
      <w:r>
        <w:rPr>
          <w:rFonts w:hint="default" w:ascii="Times New Roman" w:hAnsi="Times New Roman" w:cs="Times New Roman"/>
          <w:color w:val="auto"/>
          <w:sz w:val="24"/>
          <w:szCs w:val="24"/>
        </w:rPr>
        <w:t>。</w:t>
      </w:r>
    </w:p>
    <w:p w14:paraId="3B8EB796">
      <w:pPr>
        <w:pStyle w:val="38"/>
        <w:spacing w:line="240" w:lineRule="auto"/>
        <w:ind w:firstLine="422"/>
        <w:rPr>
          <w:rFonts w:hint="eastAsia" w:ascii="黑体" w:hAnsi="黑体" w:eastAsia="黑体" w:cs="黑体"/>
          <w:b w:val="0"/>
          <w:bCs w:val="0"/>
          <w:color w:val="auto"/>
          <w:sz w:val="21"/>
          <w:szCs w:val="21"/>
          <w:highlight w:val="none"/>
        </w:rPr>
      </w:pPr>
      <w:r>
        <w:rPr>
          <w:rFonts w:hint="eastAsia" w:ascii="黑体" w:hAnsi="黑体" w:eastAsia="黑体" w:cs="黑体"/>
          <w:b w:val="0"/>
          <w:bCs w:val="0"/>
          <w:color w:val="auto"/>
          <w:sz w:val="21"/>
          <w:szCs w:val="21"/>
          <w:highlight w:val="none"/>
        </w:rPr>
        <w:t>表</w:t>
      </w:r>
      <w:r>
        <w:rPr>
          <w:rFonts w:hint="eastAsia" w:ascii="黑体" w:hAnsi="黑体" w:eastAsia="黑体" w:cs="黑体"/>
          <w:b w:val="0"/>
          <w:bCs w:val="0"/>
          <w:color w:val="auto"/>
          <w:sz w:val="21"/>
          <w:szCs w:val="21"/>
          <w:highlight w:val="none"/>
          <w:lang w:val="en-US" w:eastAsia="zh-CN"/>
        </w:rPr>
        <w:t>5.2.3-4</w:t>
      </w:r>
      <w:r>
        <w:rPr>
          <w:rFonts w:hint="eastAsia" w:ascii="黑体" w:hAnsi="黑体" w:eastAsia="黑体" w:cs="黑体"/>
          <w:b w:val="0"/>
          <w:bCs w:val="0"/>
          <w:color w:val="auto"/>
          <w:sz w:val="21"/>
          <w:szCs w:val="21"/>
          <w:highlight w:val="none"/>
        </w:rPr>
        <w:t xml:space="preserve"> 本项目解析法预测公式参数选择一览表</w:t>
      </w:r>
    </w:p>
    <w:tbl>
      <w:tblPr>
        <w:tblStyle w:val="23"/>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1011"/>
        <w:gridCol w:w="1423"/>
        <w:gridCol w:w="1032"/>
        <w:gridCol w:w="1588"/>
        <w:gridCol w:w="1012"/>
        <w:gridCol w:w="1484"/>
      </w:tblGrid>
      <w:tr w14:paraId="75B6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9" w:type="dxa"/>
            <w:vAlign w:val="center"/>
          </w:tcPr>
          <w:p w14:paraId="4D52C34A">
            <w:pPr>
              <w:spacing w:line="240" w:lineRule="auto"/>
              <w:jc w:val="center"/>
              <w:rPr>
                <w:rFonts w:hint="default" w:ascii="Times New Roman" w:hAnsi="Times New Roman" w:eastAsia="宋体" w:cs="Times New Roman"/>
                <w:b/>
                <w:bCs/>
                <w:color w:val="auto"/>
                <w:sz w:val="18"/>
                <w:szCs w:val="18"/>
                <w:highlight w:val="none"/>
                <w:lang w:val="zh-CN" w:eastAsia="zh-CN"/>
              </w:rPr>
            </w:pPr>
            <w:r>
              <w:rPr>
                <w:rFonts w:hint="default" w:ascii="Times New Roman" w:hAnsi="Times New Roman" w:eastAsia="宋体" w:cs="Times New Roman"/>
                <w:b/>
                <w:bCs/>
                <w:color w:val="auto"/>
                <w:sz w:val="18"/>
                <w:szCs w:val="18"/>
                <w:highlight w:val="none"/>
                <w:lang w:val="zh-CN"/>
              </w:rPr>
              <w:t>污染</w:t>
            </w:r>
            <w:r>
              <w:rPr>
                <w:rFonts w:hint="default" w:ascii="Times New Roman" w:hAnsi="Times New Roman" w:eastAsia="宋体" w:cs="Times New Roman"/>
                <w:b/>
                <w:bCs/>
                <w:color w:val="auto"/>
                <w:sz w:val="18"/>
                <w:szCs w:val="18"/>
                <w:highlight w:val="none"/>
                <w:lang w:val="en-US" w:eastAsia="zh-CN"/>
              </w:rPr>
              <w:t>源</w:t>
            </w:r>
          </w:p>
        </w:tc>
        <w:tc>
          <w:tcPr>
            <w:tcW w:w="1011" w:type="dxa"/>
            <w:vAlign w:val="center"/>
          </w:tcPr>
          <w:p w14:paraId="484B075C">
            <w:pPr>
              <w:spacing w:line="240" w:lineRule="auto"/>
              <w:jc w:val="center"/>
              <w:rPr>
                <w:rFonts w:hint="default" w:ascii="Times New Roman" w:hAnsi="Times New Roman" w:eastAsia="宋体" w:cs="Times New Roman"/>
                <w:b/>
                <w:bCs/>
                <w:color w:val="auto"/>
                <w:sz w:val="18"/>
                <w:szCs w:val="18"/>
                <w:highlight w:val="none"/>
                <w:lang w:val="zh-CN"/>
              </w:rPr>
            </w:pPr>
            <w:r>
              <w:rPr>
                <w:rFonts w:hint="default" w:ascii="Times New Roman" w:hAnsi="Times New Roman" w:eastAsia="宋体" w:cs="Times New Roman"/>
                <w:b/>
                <w:bCs/>
                <w:color w:val="auto"/>
                <w:sz w:val="18"/>
                <w:szCs w:val="18"/>
                <w:highlight w:val="none"/>
                <w:lang w:val="zh-CN"/>
              </w:rPr>
              <w:t>污染物</w:t>
            </w:r>
          </w:p>
        </w:tc>
        <w:tc>
          <w:tcPr>
            <w:tcW w:w="1423" w:type="dxa"/>
            <w:vAlign w:val="center"/>
          </w:tcPr>
          <w:p w14:paraId="61E4CAB3">
            <w:pPr>
              <w:spacing w:line="240" w:lineRule="auto"/>
              <w:jc w:val="center"/>
              <w:rPr>
                <w:rFonts w:hint="default" w:ascii="Times New Roman" w:hAnsi="Times New Roman" w:eastAsia="宋体" w:cs="Times New Roman"/>
                <w:b/>
                <w:bCs/>
                <w:color w:val="auto"/>
                <w:sz w:val="18"/>
                <w:szCs w:val="18"/>
                <w:highlight w:val="none"/>
                <w:lang w:val="zh-CN"/>
              </w:rPr>
            </w:pPr>
            <w:r>
              <w:rPr>
                <w:rFonts w:hint="default" w:ascii="Times New Roman" w:hAnsi="Times New Roman" w:eastAsia="宋体" w:cs="Times New Roman"/>
                <w:b/>
                <w:bCs/>
                <w:color w:val="auto"/>
                <w:sz w:val="18"/>
                <w:szCs w:val="18"/>
                <w:highlight w:val="none"/>
                <w:lang w:val="zh-CN"/>
              </w:rPr>
              <w:t>初始浓度（mg/l）</w:t>
            </w:r>
          </w:p>
        </w:tc>
        <w:tc>
          <w:tcPr>
            <w:tcW w:w="1032" w:type="dxa"/>
            <w:vAlign w:val="center"/>
          </w:tcPr>
          <w:p w14:paraId="04C80198">
            <w:pPr>
              <w:spacing w:line="240" w:lineRule="auto"/>
              <w:jc w:val="center"/>
              <w:rPr>
                <w:rFonts w:hint="default" w:ascii="Times New Roman" w:hAnsi="Times New Roman" w:eastAsia="宋体" w:cs="Times New Roman"/>
                <w:b/>
                <w:bCs/>
                <w:color w:val="auto"/>
                <w:sz w:val="18"/>
                <w:szCs w:val="18"/>
                <w:highlight w:val="none"/>
                <w:lang w:val="zh-CN"/>
              </w:rPr>
            </w:pPr>
            <w:r>
              <w:rPr>
                <w:rFonts w:hint="default" w:ascii="Times New Roman" w:hAnsi="Times New Roman" w:eastAsia="宋体" w:cs="Times New Roman"/>
                <w:b/>
                <w:bCs/>
                <w:color w:val="auto"/>
                <w:sz w:val="18"/>
                <w:szCs w:val="18"/>
                <w:highlight w:val="none"/>
                <w:lang w:val="zh-CN"/>
              </w:rPr>
              <w:t>渗透系数（m/d）</w:t>
            </w:r>
          </w:p>
        </w:tc>
        <w:tc>
          <w:tcPr>
            <w:tcW w:w="1588" w:type="dxa"/>
            <w:vAlign w:val="center"/>
          </w:tcPr>
          <w:p w14:paraId="0A543D19">
            <w:pPr>
              <w:spacing w:line="240" w:lineRule="auto"/>
              <w:jc w:val="center"/>
              <w:rPr>
                <w:rFonts w:hint="default" w:ascii="Times New Roman" w:hAnsi="Times New Roman" w:eastAsia="宋体" w:cs="Times New Roman"/>
                <w:b/>
                <w:bCs/>
                <w:color w:val="auto"/>
                <w:sz w:val="18"/>
                <w:szCs w:val="18"/>
                <w:highlight w:val="none"/>
                <w:lang w:val="zh-CN"/>
              </w:rPr>
            </w:pPr>
            <w:r>
              <w:rPr>
                <w:rFonts w:hint="default" w:ascii="Times New Roman" w:hAnsi="Times New Roman" w:eastAsia="宋体" w:cs="Times New Roman"/>
                <w:b/>
                <w:bCs/>
                <w:color w:val="auto"/>
                <w:sz w:val="18"/>
                <w:szCs w:val="18"/>
                <w:highlight w:val="none"/>
                <w:lang w:val="zh-CN"/>
              </w:rPr>
              <w:t>地下水平均流速（m/d）</w:t>
            </w:r>
          </w:p>
        </w:tc>
        <w:tc>
          <w:tcPr>
            <w:tcW w:w="1012" w:type="dxa"/>
            <w:vAlign w:val="center"/>
          </w:tcPr>
          <w:p w14:paraId="48DA3E0B">
            <w:pPr>
              <w:spacing w:line="240" w:lineRule="auto"/>
              <w:jc w:val="center"/>
              <w:rPr>
                <w:rFonts w:hint="default" w:ascii="Times New Roman" w:hAnsi="Times New Roman" w:eastAsia="宋体" w:cs="Times New Roman"/>
                <w:b/>
                <w:bCs/>
                <w:color w:val="auto"/>
                <w:sz w:val="18"/>
                <w:szCs w:val="18"/>
                <w:highlight w:val="none"/>
                <w:lang w:val="zh-CN"/>
              </w:rPr>
            </w:pPr>
            <w:r>
              <w:rPr>
                <w:rFonts w:hint="default" w:ascii="Times New Roman" w:hAnsi="Times New Roman" w:eastAsia="宋体" w:cs="Times New Roman"/>
                <w:b/>
                <w:bCs/>
                <w:color w:val="auto"/>
                <w:sz w:val="18"/>
                <w:szCs w:val="18"/>
                <w:highlight w:val="none"/>
                <w:lang w:val="zh-CN"/>
              </w:rPr>
              <w:t>纵向弥散度m</w:t>
            </w:r>
          </w:p>
        </w:tc>
        <w:tc>
          <w:tcPr>
            <w:tcW w:w="1484" w:type="dxa"/>
            <w:vAlign w:val="center"/>
          </w:tcPr>
          <w:p w14:paraId="12F7AFA5">
            <w:pPr>
              <w:spacing w:line="240" w:lineRule="auto"/>
              <w:jc w:val="center"/>
              <w:rPr>
                <w:rFonts w:hint="default" w:ascii="Times New Roman" w:hAnsi="Times New Roman" w:eastAsia="宋体" w:cs="Times New Roman"/>
                <w:b/>
                <w:bCs/>
                <w:color w:val="auto"/>
                <w:sz w:val="18"/>
                <w:szCs w:val="18"/>
                <w:highlight w:val="none"/>
                <w:lang w:val="zh-CN"/>
              </w:rPr>
            </w:pPr>
            <w:r>
              <w:rPr>
                <w:rFonts w:hint="default" w:ascii="Times New Roman" w:hAnsi="Times New Roman" w:eastAsia="宋体" w:cs="Times New Roman"/>
                <w:b/>
                <w:bCs/>
                <w:color w:val="auto"/>
                <w:sz w:val="18"/>
                <w:szCs w:val="18"/>
                <w:highlight w:val="none"/>
                <w:lang w:val="zh-CN"/>
              </w:rPr>
              <w:t>纵向弥散系数（m</w:t>
            </w:r>
            <w:r>
              <w:rPr>
                <w:rFonts w:hint="default" w:ascii="Times New Roman" w:hAnsi="Times New Roman" w:eastAsia="宋体" w:cs="Times New Roman"/>
                <w:b/>
                <w:bCs/>
                <w:color w:val="auto"/>
                <w:sz w:val="18"/>
                <w:szCs w:val="18"/>
                <w:highlight w:val="none"/>
                <w:vertAlign w:val="superscript"/>
                <w:lang w:val="zh-CN"/>
              </w:rPr>
              <w:t>2</w:t>
            </w:r>
            <w:r>
              <w:rPr>
                <w:rFonts w:hint="default" w:ascii="Times New Roman" w:hAnsi="Times New Roman" w:eastAsia="宋体" w:cs="Times New Roman"/>
                <w:b/>
                <w:bCs/>
                <w:color w:val="auto"/>
                <w:sz w:val="18"/>
                <w:szCs w:val="18"/>
                <w:highlight w:val="none"/>
                <w:lang w:val="zh-CN"/>
              </w:rPr>
              <w:t>/d）</w:t>
            </w:r>
          </w:p>
        </w:tc>
      </w:tr>
      <w:tr w14:paraId="76D9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9" w:type="dxa"/>
            <w:vMerge w:val="restart"/>
            <w:vAlign w:val="center"/>
          </w:tcPr>
          <w:p w14:paraId="7BEE31FC">
            <w:pPr>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废水收集池</w:t>
            </w:r>
          </w:p>
        </w:tc>
        <w:tc>
          <w:tcPr>
            <w:tcW w:w="1011" w:type="dxa"/>
            <w:vAlign w:val="center"/>
          </w:tcPr>
          <w:p w14:paraId="0FF90A7C">
            <w:pPr>
              <w:spacing w:line="240" w:lineRule="auto"/>
              <w:jc w:val="center"/>
              <w:rPr>
                <w:rFonts w:hint="default" w:ascii="Times New Roman" w:hAnsi="Times New Roman" w:eastAsia="宋体" w:cs="Times New Roman"/>
                <w:b w:val="0"/>
                <w:bCs w:val="0"/>
                <w:color w:val="auto"/>
                <w:sz w:val="18"/>
                <w:szCs w:val="18"/>
                <w:highlight w:val="none"/>
                <w:lang w:val="zh-CN"/>
              </w:rPr>
            </w:pPr>
            <w:r>
              <w:rPr>
                <w:rFonts w:hint="default" w:ascii="Times New Roman" w:hAnsi="Times New Roman" w:eastAsia="宋体" w:cs="Times New Roman"/>
                <w:b w:val="0"/>
                <w:bCs w:val="0"/>
                <w:color w:val="auto"/>
                <w:sz w:val="18"/>
                <w:szCs w:val="18"/>
                <w:highlight w:val="none"/>
                <w:lang w:val="zh-CN"/>
              </w:rPr>
              <w:t>NH</w:t>
            </w:r>
            <w:r>
              <w:rPr>
                <w:rFonts w:hint="default" w:ascii="Times New Roman" w:hAnsi="Times New Roman" w:eastAsia="宋体" w:cs="Times New Roman"/>
                <w:b w:val="0"/>
                <w:bCs w:val="0"/>
                <w:color w:val="auto"/>
                <w:sz w:val="18"/>
                <w:szCs w:val="18"/>
                <w:highlight w:val="none"/>
                <w:vertAlign w:val="subscript"/>
                <w:lang w:val="zh-CN"/>
              </w:rPr>
              <w:t>3</w:t>
            </w:r>
            <w:r>
              <w:rPr>
                <w:rFonts w:hint="default" w:ascii="Times New Roman" w:hAnsi="Times New Roman" w:eastAsia="宋体" w:cs="Times New Roman"/>
                <w:b w:val="0"/>
                <w:bCs w:val="0"/>
                <w:color w:val="auto"/>
                <w:sz w:val="18"/>
                <w:szCs w:val="18"/>
                <w:highlight w:val="none"/>
                <w:lang w:val="zh-CN"/>
              </w:rPr>
              <w:t>-N</w:t>
            </w:r>
          </w:p>
        </w:tc>
        <w:tc>
          <w:tcPr>
            <w:tcW w:w="1423" w:type="dxa"/>
            <w:vAlign w:val="center"/>
          </w:tcPr>
          <w:p w14:paraId="64805E18">
            <w:pPr>
              <w:keepNext w:val="0"/>
              <w:keepLines w:val="0"/>
              <w:pageBreakBefore w:val="0"/>
              <w:widowControl w:val="0"/>
              <w:kinsoku/>
              <w:wordWrap/>
              <w:overflowPunct/>
              <w:topLinePunct w:val="0"/>
              <w:autoSpaceDE/>
              <w:autoSpaceDN/>
              <w:bidi w:val="0"/>
              <w:adjustRightInd/>
              <w:snapToGrid w:val="0"/>
              <w:spacing w:line="360" w:lineRule="auto"/>
              <w:ind w:firstLine="360" w:firstLineChars="200"/>
              <w:textAlignment w:val="auto"/>
              <w:rPr>
                <w:rFonts w:hint="default" w:ascii="Times New Roman" w:hAnsi="Times New Roman" w:eastAsia="宋体" w:cs="Times New Roman"/>
                <w:b w:val="0"/>
                <w:bCs w:val="0"/>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272.01</w:t>
            </w:r>
          </w:p>
        </w:tc>
        <w:tc>
          <w:tcPr>
            <w:tcW w:w="1032" w:type="dxa"/>
            <w:vAlign w:val="center"/>
          </w:tcPr>
          <w:p w14:paraId="24117D34">
            <w:pPr>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lang w:val="en-US" w:eastAsia="zh-CN" w:bidi="ar"/>
              </w:rPr>
              <w:t>0.116</w:t>
            </w:r>
          </w:p>
        </w:tc>
        <w:tc>
          <w:tcPr>
            <w:tcW w:w="1588" w:type="dxa"/>
            <w:vAlign w:val="center"/>
          </w:tcPr>
          <w:p w14:paraId="03C448A4">
            <w:pPr>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0.0</w:t>
            </w:r>
            <w:r>
              <w:rPr>
                <w:rFonts w:hint="default" w:ascii="Times New Roman" w:hAnsi="Times New Roman" w:eastAsia="宋体" w:cs="Times New Roman"/>
                <w:b w:val="0"/>
                <w:bCs w:val="0"/>
                <w:color w:val="auto"/>
                <w:sz w:val="18"/>
                <w:szCs w:val="18"/>
                <w:highlight w:val="none"/>
                <w:lang w:val="en-US" w:eastAsia="zh-CN"/>
              </w:rPr>
              <w:t>1</w:t>
            </w:r>
            <w:r>
              <w:rPr>
                <w:rFonts w:hint="eastAsia" w:ascii="Times New Roman" w:hAnsi="Times New Roman" w:eastAsia="宋体" w:cs="Times New Roman"/>
                <w:b w:val="0"/>
                <w:bCs w:val="0"/>
                <w:color w:val="auto"/>
                <w:sz w:val="18"/>
                <w:szCs w:val="18"/>
                <w:highlight w:val="none"/>
                <w:lang w:val="en-US" w:eastAsia="zh-CN"/>
              </w:rPr>
              <w:t>3</w:t>
            </w:r>
          </w:p>
        </w:tc>
        <w:tc>
          <w:tcPr>
            <w:tcW w:w="1012" w:type="dxa"/>
            <w:vAlign w:val="center"/>
          </w:tcPr>
          <w:p w14:paraId="51AF203E">
            <w:pPr>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5.082</w:t>
            </w:r>
          </w:p>
        </w:tc>
        <w:tc>
          <w:tcPr>
            <w:tcW w:w="1484" w:type="dxa"/>
            <w:vAlign w:val="center"/>
          </w:tcPr>
          <w:p w14:paraId="559D9BE3">
            <w:pPr>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w:t>
            </w:r>
            <w:r>
              <w:rPr>
                <w:rFonts w:hint="eastAsia" w:ascii="Times New Roman" w:hAnsi="Times New Roman" w:eastAsia="宋体" w:cs="Times New Roman"/>
                <w:b w:val="0"/>
                <w:bCs w:val="0"/>
                <w:color w:val="auto"/>
                <w:sz w:val="18"/>
                <w:szCs w:val="18"/>
                <w:highlight w:val="none"/>
                <w:lang w:val="en-US" w:eastAsia="zh-CN"/>
              </w:rPr>
              <w:t>66</w:t>
            </w:r>
          </w:p>
        </w:tc>
      </w:tr>
      <w:tr w14:paraId="46F3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409" w:type="dxa"/>
            <w:vMerge w:val="continue"/>
            <w:vAlign w:val="center"/>
          </w:tcPr>
          <w:p w14:paraId="7001E78A">
            <w:pPr>
              <w:spacing w:line="240" w:lineRule="auto"/>
              <w:jc w:val="center"/>
              <w:rPr>
                <w:rFonts w:hint="default" w:ascii="Times New Roman" w:hAnsi="Times New Roman" w:eastAsia="宋体" w:cs="Times New Roman"/>
                <w:b w:val="0"/>
                <w:bCs w:val="0"/>
                <w:color w:val="auto"/>
                <w:sz w:val="18"/>
                <w:szCs w:val="18"/>
                <w:highlight w:val="green"/>
              </w:rPr>
            </w:pPr>
          </w:p>
        </w:tc>
        <w:tc>
          <w:tcPr>
            <w:tcW w:w="1011" w:type="dxa"/>
            <w:vAlign w:val="center"/>
          </w:tcPr>
          <w:p w14:paraId="2502BE30">
            <w:pPr>
              <w:spacing w:line="240" w:lineRule="auto"/>
              <w:jc w:val="center"/>
              <w:rPr>
                <w:rFonts w:hint="default" w:ascii="Times New Roman" w:hAnsi="Times New Roman" w:eastAsia="宋体" w:cs="Times New Roman"/>
                <w:b w:val="0"/>
                <w:bCs w:val="0"/>
                <w:color w:val="auto"/>
                <w:sz w:val="18"/>
                <w:szCs w:val="18"/>
                <w:highlight w:val="none"/>
                <w:lang w:val="zh-CN"/>
              </w:rPr>
            </w:pPr>
            <w:r>
              <w:rPr>
                <w:rFonts w:hint="default" w:ascii="Times New Roman" w:hAnsi="Times New Roman" w:cs="Times New Roman"/>
                <w:color w:val="auto"/>
                <w:sz w:val="18"/>
                <w:szCs w:val="18"/>
                <w:highlight w:val="none"/>
              </w:rPr>
              <w:t>COD</w:t>
            </w:r>
            <w:r>
              <w:rPr>
                <w:rFonts w:hint="default" w:ascii="Times New Roman" w:hAnsi="Times New Roman" w:cs="Times New Roman"/>
                <w:color w:val="auto"/>
                <w:sz w:val="18"/>
                <w:szCs w:val="18"/>
                <w:highlight w:val="none"/>
                <w:vertAlign w:val="subscript"/>
              </w:rPr>
              <w:t>Mn</w:t>
            </w:r>
          </w:p>
        </w:tc>
        <w:tc>
          <w:tcPr>
            <w:tcW w:w="1423" w:type="dxa"/>
            <w:vAlign w:val="center"/>
          </w:tcPr>
          <w:p w14:paraId="58A66DB1">
            <w:pPr>
              <w:keepNext w:val="0"/>
              <w:keepLines w:val="0"/>
              <w:pageBreakBefore w:val="0"/>
              <w:widowControl w:val="0"/>
              <w:kinsoku/>
              <w:wordWrap/>
              <w:overflowPunct/>
              <w:topLinePunct w:val="0"/>
              <w:autoSpaceDE/>
              <w:autoSpaceDN/>
              <w:bidi w:val="0"/>
              <w:adjustRightInd/>
              <w:snapToGrid w:val="0"/>
              <w:spacing w:line="360" w:lineRule="auto"/>
              <w:ind w:firstLine="360" w:firstLineChars="200"/>
              <w:textAlignment w:val="auto"/>
              <w:rPr>
                <w:rFonts w:hint="default" w:ascii="Times New Roman" w:hAnsi="Times New Roman" w:eastAsia="宋体" w:cs="Times New Roman"/>
                <w:b w:val="0"/>
                <w:bCs w:val="0"/>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538.9</w:t>
            </w:r>
          </w:p>
        </w:tc>
        <w:tc>
          <w:tcPr>
            <w:tcW w:w="1032" w:type="dxa"/>
            <w:vAlign w:val="center"/>
          </w:tcPr>
          <w:p w14:paraId="526F02C4">
            <w:pPr>
              <w:spacing w:line="240"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kern w:val="0"/>
                <w:sz w:val="18"/>
                <w:szCs w:val="18"/>
                <w:highlight w:val="none"/>
                <w:lang w:val="en-US" w:eastAsia="zh-CN" w:bidi="ar"/>
              </w:rPr>
              <w:t>0.116</w:t>
            </w:r>
          </w:p>
        </w:tc>
        <w:tc>
          <w:tcPr>
            <w:tcW w:w="1588" w:type="dxa"/>
            <w:vAlign w:val="center"/>
          </w:tcPr>
          <w:p w14:paraId="1D00E87C">
            <w:pPr>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0.01</w:t>
            </w:r>
            <w:r>
              <w:rPr>
                <w:rFonts w:hint="eastAsia" w:ascii="Times New Roman" w:hAnsi="Times New Roman" w:eastAsia="宋体" w:cs="Times New Roman"/>
                <w:b w:val="0"/>
                <w:bCs w:val="0"/>
                <w:color w:val="auto"/>
                <w:sz w:val="18"/>
                <w:szCs w:val="18"/>
                <w:highlight w:val="none"/>
                <w:lang w:val="en-US" w:eastAsia="zh-CN"/>
              </w:rPr>
              <w:t>3</w:t>
            </w:r>
          </w:p>
        </w:tc>
        <w:tc>
          <w:tcPr>
            <w:tcW w:w="1012" w:type="dxa"/>
            <w:vAlign w:val="center"/>
          </w:tcPr>
          <w:p w14:paraId="4CC29B8C">
            <w:pPr>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5.082</w:t>
            </w:r>
          </w:p>
        </w:tc>
        <w:tc>
          <w:tcPr>
            <w:tcW w:w="1484" w:type="dxa"/>
            <w:vAlign w:val="center"/>
          </w:tcPr>
          <w:p w14:paraId="3C1F7482">
            <w:pPr>
              <w:spacing w:line="240" w:lineRule="auto"/>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0.0</w:t>
            </w:r>
            <w:r>
              <w:rPr>
                <w:rFonts w:hint="eastAsia" w:ascii="Times New Roman" w:hAnsi="Times New Roman" w:eastAsia="宋体" w:cs="Times New Roman"/>
                <w:b w:val="0"/>
                <w:bCs w:val="0"/>
                <w:color w:val="auto"/>
                <w:sz w:val="18"/>
                <w:szCs w:val="18"/>
                <w:highlight w:val="none"/>
                <w:lang w:val="en-US" w:eastAsia="zh-CN"/>
              </w:rPr>
              <w:t>66</w:t>
            </w:r>
          </w:p>
        </w:tc>
      </w:tr>
    </w:tbl>
    <w:p w14:paraId="6EA6D473">
      <w:pPr>
        <w:spacing w:line="360" w:lineRule="auto"/>
        <w:ind w:firstLine="48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污染物</w:t>
      </w:r>
      <w:r>
        <w:rPr>
          <w:rFonts w:hint="default" w:ascii="Times New Roman" w:hAnsi="Times New Roman" w:cs="Times New Roman"/>
          <w:color w:val="auto"/>
          <w:sz w:val="24"/>
          <w:szCs w:val="24"/>
          <w:lang w:eastAsia="zh-CN"/>
        </w:rPr>
        <w:t>迁移</w:t>
      </w:r>
      <w:r>
        <w:rPr>
          <w:rFonts w:hint="default" w:ascii="Times New Roman" w:hAnsi="Times New Roman" w:cs="Times New Roman"/>
          <w:color w:val="auto"/>
          <w:sz w:val="24"/>
          <w:szCs w:val="24"/>
        </w:rPr>
        <w:t>预测</w:t>
      </w:r>
      <w:r>
        <w:rPr>
          <w:rFonts w:hint="default" w:ascii="Times New Roman" w:hAnsi="Times New Roman" w:cs="Times New Roman"/>
          <w:color w:val="auto"/>
          <w:sz w:val="24"/>
          <w:szCs w:val="24"/>
          <w:lang w:val="en-US" w:eastAsia="zh-CN"/>
        </w:rPr>
        <w:t>结果</w:t>
      </w:r>
    </w:p>
    <w:p w14:paraId="37BBA796">
      <w:pPr>
        <w:spacing w:line="360" w:lineRule="auto"/>
        <w:ind w:firstLine="48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污水处理站地下水</w:t>
      </w:r>
      <w:r>
        <w:rPr>
          <w:rFonts w:hint="default" w:ascii="Times New Roman" w:hAnsi="Times New Roman" w:cs="Times New Roman"/>
          <w:color w:val="auto"/>
          <w:sz w:val="24"/>
          <w:szCs w:val="24"/>
        </w:rPr>
        <w:t>污染物</w:t>
      </w:r>
      <w:r>
        <w:rPr>
          <w:rFonts w:hint="default" w:ascii="Times New Roman" w:hAnsi="Times New Roman" w:cs="Times New Roman"/>
          <w:color w:val="auto"/>
          <w:sz w:val="24"/>
          <w:szCs w:val="24"/>
          <w:lang w:val="en-US" w:eastAsia="zh-CN"/>
        </w:rPr>
        <w:t>经包气带垂直入渗后，</w:t>
      </w:r>
      <w:r>
        <w:rPr>
          <w:rFonts w:hint="default" w:ascii="Times New Roman" w:hAnsi="Times New Roman" w:cs="Times New Roman"/>
          <w:color w:val="auto"/>
          <w:sz w:val="24"/>
          <w:szCs w:val="24"/>
        </w:rPr>
        <w:t>进入潜层含水层，分别预测污染物自</w:t>
      </w:r>
      <w:r>
        <w:rPr>
          <w:rFonts w:hint="default" w:ascii="Times New Roman" w:hAnsi="Times New Roman" w:cs="Times New Roman"/>
          <w:color w:val="auto"/>
          <w:sz w:val="24"/>
          <w:szCs w:val="24"/>
          <w:lang w:val="en-US" w:eastAsia="zh-CN"/>
        </w:rPr>
        <w:t>进入潜水含水层</w:t>
      </w:r>
      <w:r>
        <w:rPr>
          <w:rFonts w:hint="default" w:ascii="Times New Roman" w:hAnsi="Times New Roman" w:cs="Times New Roman"/>
          <w:color w:val="auto"/>
          <w:sz w:val="24"/>
          <w:szCs w:val="24"/>
        </w:rPr>
        <w:t>开始起第100</w:t>
      </w:r>
      <w:r>
        <w:rPr>
          <w:rFonts w:hint="default" w:ascii="Times New Roman" w:hAnsi="Times New Roman" w:cs="Times New Roman"/>
          <w:color w:val="auto"/>
          <w:sz w:val="24"/>
          <w:szCs w:val="24"/>
          <w:lang w:val="en-US" w:eastAsia="zh-CN"/>
        </w:rPr>
        <w:t>d</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365d、</w:t>
      </w:r>
      <w:r>
        <w:rPr>
          <w:rFonts w:hint="default" w:ascii="Times New Roman" w:hAnsi="Times New Roman" w:cs="Times New Roman"/>
          <w:color w:val="auto"/>
          <w:sz w:val="24"/>
          <w:szCs w:val="24"/>
        </w:rPr>
        <w:t>1000</w:t>
      </w:r>
      <w:r>
        <w:rPr>
          <w:rFonts w:hint="default" w:ascii="Times New Roman" w:hAnsi="Times New Roman" w:cs="Times New Roman"/>
          <w:color w:val="auto"/>
          <w:sz w:val="24"/>
          <w:szCs w:val="24"/>
          <w:lang w:val="en-US" w:eastAsia="zh-CN"/>
        </w:rPr>
        <w:t>d和7300d，</w:t>
      </w:r>
      <w:r>
        <w:rPr>
          <w:rFonts w:hint="default" w:ascii="Times New Roman" w:hAnsi="Times New Roman" w:cs="Times New Roman"/>
          <w:color w:val="auto"/>
          <w:sz w:val="24"/>
          <w:szCs w:val="24"/>
        </w:rPr>
        <w:t>含水层中上述各情景</w:t>
      </w:r>
      <w:r>
        <w:rPr>
          <w:rFonts w:hint="default" w:ascii="Times New Roman" w:hAnsi="Times New Roman" w:cs="Times New Roman"/>
          <w:color w:val="auto"/>
          <w:sz w:val="24"/>
          <w:szCs w:val="24"/>
          <w:lang w:val="en-US" w:eastAsia="zh-CN"/>
        </w:rPr>
        <w:t>氨氮和COD</w:t>
      </w:r>
      <w:r>
        <w:rPr>
          <w:rFonts w:hint="default" w:ascii="Times New Roman" w:hAnsi="Times New Roman" w:cs="Times New Roman"/>
          <w:color w:val="auto"/>
          <w:sz w:val="24"/>
          <w:szCs w:val="24"/>
        </w:rPr>
        <w:t>超标范围</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如下所示：</w:t>
      </w:r>
    </w:p>
    <w:p w14:paraId="13BBA52D">
      <w:pPr>
        <w:pStyle w:val="38"/>
        <w:spacing w:line="240" w:lineRule="auto"/>
        <w:rPr>
          <w:rFonts w:hint="eastAsia"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表5.2.3-5  地下水中</w:t>
      </w:r>
      <w:r>
        <w:rPr>
          <w:rFonts w:hint="eastAsia" w:ascii="黑体" w:hAnsi="黑体" w:eastAsia="黑体" w:cs="黑体"/>
          <w:b w:val="0"/>
          <w:bCs/>
          <w:color w:val="auto"/>
          <w:sz w:val="21"/>
          <w:szCs w:val="21"/>
          <w:highlight w:val="none"/>
        </w:rPr>
        <w:t>COD</w:t>
      </w:r>
      <w:r>
        <w:rPr>
          <w:rFonts w:hint="eastAsia" w:ascii="黑体" w:hAnsi="黑体" w:eastAsia="黑体" w:cs="黑体"/>
          <w:b w:val="0"/>
          <w:bCs/>
          <w:color w:val="auto"/>
          <w:sz w:val="21"/>
          <w:szCs w:val="21"/>
          <w:highlight w:val="none"/>
          <w:lang w:val="en-US" w:eastAsia="zh-CN"/>
        </w:rPr>
        <w:t>污染物浓度变化预测结果表(单位:mg/L)</w:t>
      </w:r>
    </w:p>
    <w:tbl>
      <w:tblPr>
        <w:tblStyle w:val="24"/>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525"/>
        <w:gridCol w:w="1734"/>
        <w:gridCol w:w="1734"/>
        <w:gridCol w:w="1986"/>
      </w:tblGrid>
      <w:tr w14:paraId="746F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184E358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mc:AlternateContent>
                <mc:Choice Requires="wps">
                  <w:drawing>
                    <wp:anchor distT="0" distB="0" distL="114300" distR="114300" simplePos="0" relativeHeight="251676672" behindDoc="0" locked="0" layoutInCell="1" allowOverlap="1">
                      <wp:simplePos x="0" y="0"/>
                      <wp:positionH relativeFrom="column">
                        <wp:posOffset>-68580</wp:posOffset>
                      </wp:positionH>
                      <wp:positionV relativeFrom="paragraph">
                        <wp:posOffset>10160</wp:posOffset>
                      </wp:positionV>
                      <wp:extent cx="1179830" cy="330200"/>
                      <wp:effectExtent l="1270" t="4445" r="19050" b="8255"/>
                      <wp:wrapNone/>
                      <wp:docPr id="37" name="直接连接符 37"/>
                      <wp:cNvGraphicFramePr/>
                      <a:graphic xmlns:a="http://schemas.openxmlformats.org/drawingml/2006/main">
                        <a:graphicData uri="http://schemas.microsoft.com/office/word/2010/wordprocessingShape">
                          <wps:wsp>
                            <wps:cNvCnPr/>
                            <wps:spPr>
                              <a:xfrm flipH="1" flipV="1">
                                <a:off x="0" y="0"/>
                                <a:ext cx="1179830" cy="3302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5.4pt;margin-top:0.8pt;height:26pt;width:92.9pt;z-index:251676672;mso-width-relative:page;mso-height-relative:page;" filled="f" stroked="t" coordsize="21600,21600" o:gfxdata="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48VOtMAAAAIAQAADwAAAAAAAAABACAAAAAiAAAAZHJzL2Rv&#10;d25yZXYueG1sUEsBAhQAFAAAAAgAh07iQBqAM+4GAgAA/wMAAA4AAAAAAAAAAQAgAAAAIgEAAGRy&#10;cy9lMm9Eb2MueG1sUEsFBgAAAAAGAAYAWQEAAJoFA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kern w:val="2"/>
                <w:sz w:val="18"/>
                <w:szCs w:val="18"/>
                <w:highlight w:val="none"/>
                <w:lang w:val="en-US" w:eastAsia="zh-CN" w:bidi="ar-SA"/>
              </w:rPr>
              <w:t xml:space="preserve">       时间（t）</w:t>
            </w:r>
          </w:p>
          <w:p w14:paraId="43F90C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both"/>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距离（m）</w:t>
            </w:r>
          </w:p>
        </w:tc>
        <w:tc>
          <w:tcPr>
            <w:tcW w:w="1525" w:type="dxa"/>
            <w:vAlign w:val="center"/>
          </w:tcPr>
          <w:p w14:paraId="2F0DB9B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100天</w:t>
            </w:r>
          </w:p>
        </w:tc>
        <w:tc>
          <w:tcPr>
            <w:tcW w:w="1734" w:type="dxa"/>
            <w:vAlign w:val="center"/>
          </w:tcPr>
          <w:p w14:paraId="648796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1年</w:t>
            </w:r>
          </w:p>
        </w:tc>
        <w:tc>
          <w:tcPr>
            <w:tcW w:w="1734" w:type="dxa"/>
            <w:vAlign w:val="center"/>
          </w:tcPr>
          <w:p w14:paraId="17F36F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1000天</w:t>
            </w:r>
          </w:p>
        </w:tc>
        <w:tc>
          <w:tcPr>
            <w:tcW w:w="1986" w:type="dxa"/>
            <w:vAlign w:val="center"/>
          </w:tcPr>
          <w:p w14:paraId="25978B7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20年</w:t>
            </w:r>
          </w:p>
        </w:tc>
      </w:tr>
      <w:tr w14:paraId="2310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top"/>
          </w:tcPr>
          <w:p w14:paraId="06B385AA">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0</w:t>
            </w:r>
          </w:p>
        </w:tc>
        <w:tc>
          <w:tcPr>
            <w:tcW w:w="1525" w:type="dxa"/>
            <w:vAlign w:val="top"/>
          </w:tcPr>
          <w:p w14:paraId="022618BF">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538.9</w:t>
            </w:r>
          </w:p>
        </w:tc>
        <w:tc>
          <w:tcPr>
            <w:tcW w:w="1734" w:type="dxa"/>
            <w:vAlign w:val="top"/>
          </w:tcPr>
          <w:p w14:paraId="270C4FEE">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538.9</w:t>
            </w:r>
          </w:p>
        </w:tc>
        <w:tc>
          <w:tcPr>
            <w:tcW w:w="1734" w:type="dxa"/>
            <w:vAlign w:val="top"/>
          </w:tcPr>
          <w:p w14:paraId="6FB7CBD5">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538.9</w:t>
            </w:r>
          </w:p>
        </w:tc>
        <w:tc>
          <w:tcPr>
            <w:tcW w:w="1986" w:type="dxa"/>
            <w:vAlign w:val="top"/>
          </w:tcPr>
          <w:p w14:paraId="1762E6EE">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538.9</w:t>
            </w:r>
          </w:p>
        </w:tc>
      </w:tr>
      <w:tr w14:paraId="710A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top"/>
          </w:tcPr>
          <w:p w14:paraId="38776F6E">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5</w:t>
            </w:r>
          </w:p>
        </w:tc>
        <w:tc>
          <w:tcPr>
            <w:tcW w:w="1525" w:type="dxa"/>
            <w:vAlign w:val="top"/>
          </w:tcPr>
          <w:p w14:paraId="058E3662">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142.9402</w:t>
            </w:r>
          </w:p>
        </w:tc>
        <w:tc>
          <w:tcPr>
            <w:tcW w:w="1734" w:type="dxa"/>
            <w:vAlign w:val="top"/>
          </w:tcPr>
          <w:p w14:paraId="2AD99F61">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377.225</w:t>
            </w:r>
          </w:p>
        </w:tc>
        <w:tc>
          <w:tcPr>
            <w:tcW w:w="1734" w:type="dxa"/>
            <w:vAlign w:val="top"/>
          </w:tcPr>
          <w:p w14:paraId="039E2534">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492.4247</w:t>
            </w:r>
          </w:p>
        </w:tc>
        <w:tc>
          <w:tcPr>
            <w:tcW w:w="1986" w:type="dxa"/>
            <w:vAlign w:val="top"/>
          </w:tcPr>
          <w:p w14:paraId="00901470">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538.8125</w:t>
            </w:r>
          </w:p>
        </w:tc>
      </w:tr>
      <w:tr w14:paraId="387D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811" w:type="dxa"/>
            <w:vAlign w:val="top"/>
          </w:tcPr>
          <w:p w14:paraId="20D37D03">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10</w:t>
            </w:r>
          </w:p>
        </w:tc>
        <w:tc>
          <w:tcPr>
            <w:tcW w:w="1525" w:type="dxa"/>
            <w:vAlign w:val="top"/>
          </w:tcPr>
          <w:p w14:paraId="044F5CB9">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8.094519</w:t>
            </w:r>
          </w:p>
        </w:tc>
        <w:tc>
          <w:tcPr>
            <w:tcW w:w="1734" w:type="dxa"/>
            <w:vAlign w:val="top"/>
          </w:tcPr>
          <w:p w14:paraId="2172E1B4">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185.9748</w:t>
            </w:r>
          </w:p>
        </w:tc>
        <w:tc>
          <w:tcPr>
            <w:tcW w:w="1734" w:type="dxa"/>
            <w:vAlign w:val="top"/>
          </w:tcPr>
          <w:p w14:paraId="6E21DA20">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412.4478</w:t>
            </w:r>
          </w:p>
        </w:tc>
        <w:tc>
          <w:tcPr>
            <w:tcW w:w="1986" w:type="dxa"/>
            <w:vAlign w:val="top"/>
          </w:tcPr>
          <w:p w14:paraId="4848539D">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538.6231</w:t>
            </w:r>
          </w:p>
        </w:tc>
      </w:tr>
      <w:tr w14:paraId="4C2C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top"/>
          </w:tcPr>
          <w:p w14:paraId="52985D95">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15</w:t>
            </w:r>
          </w:p>
        </w:tc>
        <w:tc>
          <w:tcPr>
            <w:tcW w:w="1525" w:type="dxa"/>
            <w:vAlign w:val="top"/>
          </w:tcPr>
          <w:p w14:paraId="3362A2D4">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0.08135032</w:t>
            </w:r>
          </w:p>
        </w:tc>
        <w:tc>
          <w:tcPr>
            <w:tcW w:w="1734" w:type="dxa"/>
            <w:vAlign w:val="top"/>
          </w:tcPr>
          <w:p w14:paraId="30C1DEE2">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60.60164</w:t>
            </w:r>
          </w:p>
        </w:tc>
        <w:tc>
          <w:tcPr>
            <w:tcW w:w="1734" w:type="dxa"/>
            <w:vAlign w:val="top"/>
          </w:tcPr>
          <w:p w14:paraId="0B924FDD">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308.7838</w:t>
            </w:r>
          </w:p>
        </w:tc>
        <w:tc>
          <w:tcPr>
            <w:tcW w:w="1986" w:type="dxa"/>
            <w:vAlign w:val="top"/>
          </w:tcPr>
          <w:p w14:paraId="3F15E122">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538.2575</w:t>
            </w:r>
          </w:p>
        </w:tc>
      </w:tr>
      <w:tr w14:paraId="5EA7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top"/>
          </w:tcPr>
          <w:p w14:paraId="1934EA98">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20</w:t>
            </w:r>
          </w:p>
        </w:tc>
        <w:tc>
          <w:tcPr>
            <w:tcW w:w="1525" w:type="dxa"/>
            <w:vAlign w:val="top"/>
          </w:tcPr>
          <w:p w14:paraId="7E310856">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0.000134734</w:t>
            </w:r>
          </w:p>
        </w:tc>
        <w:tc>
          <w:tcPr>
            <w:tcW w:w="1734" w:type="dxa"/>
            <w:vAlign w:val="top"/>
          </w:tcPr>
          <w:p w14:paraId="61A149E7">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12.57565</w:t>
            </w:r>
          </w:p>
        </w:tc>
        <w:tc>
          <w:tcPr>
            <w:tcW w:w="1734" w:type="dxa"/>
            <w:vAlign w:val="top"/>
          </w:tcPr>
          <w:p w14:paraId="1931CB6D">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202.5631</w:t>
            </w:r>
          </w:p>
        </w:tc>
        <w:tc>
          <w:tcPr>
            <w:tcW w:w="1986" w:type="dxa"/>
            <w:vAlign w:val="top"/>
          </w:tcPr>
          <w:p w14:paraId="5CC486E4">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537.6044</w:t>
            </w:r>
          </w:p>
        </w:tc>
      </w:tr>
      <w:tr w14:paraId="682C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top"/>
          </w:tcPr>
          <w:p w14:paraId="0DDA3CCA">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25</w:t>
            </w:r>
          </w:p>
        </w:tc>
        <w:tc>
          <w:tcPr>
            <w:tcW w:w="1525" w:type="dxa"/>
            <w:vAlign w:val="top"/>
          </w:tcPr>
          <w:p w14:paraId="12137F98">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3.68E-08</w:t>
            </w:r>
          </w:p>
        </w:tc>
        <w:tc>
          <w:tcPr>
            <w:tcW w:w="1734" w:type="dxa"/>
            <w:vAlign w:val="top"/>
          </w:tcPr>
          <w:p w14:paraId="246D94BE">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1.626027</w:t>
            </w:r>
          </w:p>
        </w:tc>
        <w:tc>
          <w:tcPr>
            <w:tcW w:w="1734" w:type="dxa"/>
            <w:vAlign w:val="top"/>
          </w:tcPr>
          <w:p w14:paraId="090C3D6E">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114.7345</w:t>
            </w:r>
          </w:p>
        </w:tc>
        <w:tc>
          <w:tcPr>
            <w:tcW w:w="1986" w:type="dxa"/>
            <w:vAlign w:val="top"/>
          </w:tcPr>
          <w:p w14:paraId="41B36EF5">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536.5048</w:t>
            </w:r>
          </w:p>
        </w:tc>
      </w:tr>
      <w:tr w14:paraId="0061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top"/>
          </w:tcPr>
          <w:p w14:paraId="798E044B">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30</w:t>
            </w:r>
          </w:p>
        </w:tc>
        <w:tc>
          <w:tcPr>
            <w:tcW w:w="1525" w:type="dxa"/>
            <w:vAlign w:val="top"/>
          </w:tcPr>
          <w:p w14:paraId="0DD4E713">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8.08E-13</w:t>
            </w:r>
          </w:p>
        </w:tc>
        <w:tc>
          <w:tcPr>
            <w:tcW w:w="1734" w:type="dxa"/>
            <w:vAlign w:val="top"/>
          </w:tcPr>
          <w:p w14:paraId="21BE65B4">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0.1292838</w:t>
            </w:r>
          </w:p>
        </w:tc>
        <w:tc>
          <w:tcPr>
            <w:tcW w:w="1734" w:type="dxa"/>
            <w:vAlign w:val="top"/>
          </w:tcPr>
          <w:p w14:paraId="1E85188B">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55.52176</w:t>
            </w:r>
          </w:p>
        </w:tc>
        <w:tc>
          <w:tcPr>
            <w:tcW w:w="1986" w:type="dxa"/>
            <w:vAlign w:val="top"/>
          </w:tcPr>
          <w:p w14:paraId="65B7502F">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534.7427</w:t>
            </w:r>
          </w:p>
        </w:tc>
      </w:tr>
      <w:tr w14:paraId="2622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621415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35</w:t>
            </w:r>
          </w:p>
        </w:tc>
        <w:tc>
          <w:tcPr>
            <w:tcW w:w="1525" w:type="dxa"/>
            <w:vAlign w:val="center"/>
          </w:tcPr>
          <w:p w14:paraId="3223358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1D7A7E47">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0.006268193</w:t>
            </w:r>
          </w:p>
        </w:tc>
        <w:tc>
          <w:tcPr>
            <w:tcW w:w="1734" w:type="dxa"/>
            <w:vAlign w:val="top"/>
          </w:tcPr>
          <w:p w14:paraId="07888D1B">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22.78222</w:t>
            </w:r>
          </w:p>
        </w:tc>
        <w:tc>
          <w:tcPr>
            <w:tcW w:w="1986" w:type="dxa"/>
            <w:vAlign w:val="top"/>
          </w:tcPr>
          <w:p w14:paraId="5DCAC605">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532.0382</w:t>
            </w:r>
          </w:p>
        </w:tc>
      </w:tr>
      <w:tr w14:paraId="7779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28E4CD6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40</w:t>
            </w:r>
          </w:p>
        </w:tc>
        <w:tc>
          <w:tcPr>
            <w:tcW w:w="1525" w:type="dxa"/>
            <w:vAlign w:val="center"/>
          </w:tcPr>
          <w:p w14:paraId="5767C0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2B2582A3">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0.0001842889</w:t>
            </w:r>
          </w:p>
        </w:tc>
        <w:tc>
          <w:tcPr>
            <w:tcW w:w="1734" w:type="dxa"/>
            <w:vAlign w:val="top"/>
          </w:tcPr>
          <w:p w14:paraId="3901F7B0">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7.884057</w:t>
            </w:r>
          </w:p>
        </w:tc>
        <w:tc>
          <w:tcPr>
            <w:tcW w:w="1986" w:type="dxa"/>
            <w:vAlign w:val="top"/>
          </w:tcPr>
          <w:p w14:paraId="2BD0C90B">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528.0461</w:t>
            </w:r>
          </w:p>
        </w:tc>
      </w:tr>
      <w:tr w14:paraId="088A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1CCCDF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45</w:t>
            </w:r>
          </w:p>
        </w:tc>
        <w:tc>
          <w:tcPr>
            <w:tcW w:w="1525" w:type="dxa"/>
            <w:vAlign w:val="center"/>
          </w:tcPr>
          <w:p w14:paraId="1C5324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183F8931">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3.38695E-06</w:t>
            </w:r>
          </w:p>
        </w:tc>
        <w:tc>
          <w:tcPr>
            <w:tcW w:w="1734" w:type="dxa"/>
            <w:vAlign w:val="top"/>
          </w:tcPr>
          <w:p w14:paraId="7A0EBD9E">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2.292072</w:t>
            </w:r>
          </w:p>
        </w:tc>
        <w:tc>
          <w:tcPr>
            <w:tcW w:w="1986" w:type="dxa"/>
            <w:vAlign w:val="top"/>
          </w:tcPr>
          <w:p w14:paraId="0E881F5F">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522.3632</w:t>
            </w:r>
          </w:p>
        </w:tc>
      </w:tr>
      <w:tr w14:paraId="0F6B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53907C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50</w:t>
            </w:r>
          </w:p>
        </w:tc>
        <w:tc>
          <w:tcPr>
            <w:tcW w:w="1525" w:type="dxa"/>
            <w:vAlign w:val="center"/>
          </w:tcPr>
          <w:p w14:paraId="2C773B3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5D71FB52">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3.60547E-08</w:t>
            </w:r>
          </w:p>
        </w:tc>
        <w:tc>
          <w:tcPr>
            <w:tcW w:w="1734" w:type="dxa"/>
            <w:vAlign w:val="top"/>
          </w:tcPr>
          <w:p w14:paraId="084636FF">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0.5581912</w:t>
            </w:r>
          </w:p>
        </w:tc>
        <w:tc>
          <w:tcPr>
            <w:tcW w:w="1986" w:type="dxa"/>
            <w:vAlign w:val="top"/>
          </w:tcPr>
          <w:p w14:paraId="4E7E249F">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514.5457</w:t>
            </w:r>
          </w:p>
        </w:tc>
      </w:tr>
      <w:tr w14:paraId="2E61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26F02A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55</w:t>
            </w:r>
          </w:p>
        </w:tc>
        <w:tc>
          <w:tcPr>
            <w:tcW w:w="1525" w:type="dxa"/>
            <w:vAlign w:val="center"/>
          </w:tcPr>
          <w:p w14:paraId="535B79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2D5EC795">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1.30848E-10</w:t>
            </w:r>
          </w:p>
        </w:tc>
        <w:tc>
          <w:tcPr>
            <w:tcW w:w="1734" w:type="dxa"/>
            <w:vAlign w:val="top"/>
          </w:tcPr>
          <w:p w14:paraId="7062DA68">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0.113626</w:t>
            </w:r>
          </w:p>
        </w:tc>
        <w:tc>
          <w:tcPr>
            <w:tcW w:w="1986" w:type="dxa"/>
            <w:vAlign w:val="top"/>
          </w:tcPr>
          <w:p w14:paraId="2F83CED1">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504.1376</w:t>
            </w:r>
          </w:p>
        </w:tc>
      </w:tr>
      <w:tr w14:paraId="3167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4589E27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60</w:t>
            </w:r>
          </w:p>
        </w:tc>
        <w:tc>
          <w:tcPr>
            <w:tcW w:w="1525" w:type="dxa"/>
            <w:vAlign w:val="center"/>
          </w:tcPr>
          <w:p w14:paraId="354BA8B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5E3CD04F">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4.786394E-13</w:t>
            </w:r>
          </w:p>
        </w:tc>
        <w:tc>
          <w:tcPr>
            <w:tcW w:w="1734" w:type="dxa"/>
            <w:vAlign w:val="top"/>
          </w:tcPr>
          <w:p w14:paraId="740106E2">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0.01930176</w:t>
            </w:r>
          </w:p>
        </w:tc>
        <w:tc>
          <w:tcPr>
            <w:tcW w:w="1986" w:type="dxa"/>
            <w:vAlign w:val="top"/>
          </w:tcPr>
          <w:p w14:paraId="313D21D3">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490.711</w:t>
            </w:r>
          </w:p>
        </w:tc>
      </w:tr>
      <w:tr w14:paraId="5286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7AE0A6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65</w:t>
            </w:r>
          </w:p>
        </w:tc>
        <w:tc>
          <w:tcPr>
            <w:tcW w:w="1525" w:type="dxa"/>
            <w:vAlign w:val="center"/>
          </w:tcPr>
          <w:p w14:paraId="6846417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6EB21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2084E4F9">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0.002732649</w:t>
            </w:r>
          </w:p>
        </w:tc>
        <w:tc>
          <w:tcPr>
            <w:tcW w:w="1986" w:type="dxa"/>
            <w:vAlign w:val="top"/>
          </w:tcPr>
          <w:p w14:paraId="42052CC3">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473.9132</w:t>
            </w:r>
          </w:p>
        </w:tc>
      </w:tr>
      <w:tr w14:paraId="3D56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811" w:type="dxa"/>
            <w:vAlign w:val="center"/>
          </w:tcPr>
          <w:p w14:paraId="0405A8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70</w:t>
            </w:r>
          </w:p>
        </w:tc>
        <w:tc>
          <w:tcPr>
            <w:tcW w:w="1525" w:type="dxa"/>
            <w:vAlign w:val="center"/>
          </w:tcPr>
          <w:p w14:paraId="469F58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1A9EE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7D9F2DAE">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0.00033219</w:t>
            </w:r>
          </w:p>
        </w:tc>
        <w:tc>
          <w:tcPr>
            <w:tcW w:w="1986" w:type="dxa"/>
            <w:vAlign w:val="top"/>
          </w:tcPr>
          <w:p w14:paraId="191F4A39">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453.5178</w:t>
            </w:r>
          </w:p>
        </w:tc>
      </w:tr>
      <w:tr w14:paraId="60B4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20AC3C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75</w:t>
            </w:r>
          </w:p>
        </w:tc>
        <w:tc>
          <w:tcPr>
            <w:tcW w:w="1525" w:type="dxa"/>
            <w:vAlign w:val="center"/>
          </w:tcPr>
          <w:p w14:paraId="27F68B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610D30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10177A1E">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3.2463E-05</w:t>
            </w:r>
          </w:p>
        </w:tc>
        <w:tc>
          <w:tcPr>
            <w:tcW w:w="1986" w:type="dxa"/>
            <w:vAlign w:val="top"/>
          </w:tcPr>
          <w:p w14:paraId="17A5BC4E">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429.4713</w:t>
            </w:r>
          </w:p>
        </w:tc>
      </w:tr>
      <w:tr w14:paraId="2276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223C57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80</w:t>
            </w:r>
          </w:p>
        </w:tc>
        <w:tc>
          <w:tcPr>
            <w:tcW w:w="1525" w:type="dxa"/>
            <w:vAlign w:val="center"/>
          </w:tcPr>
          <w:p w14:paraId="28CCEB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43AC47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4C0349BC">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2.735536E-06</w:t>
            </w:r>
          </w:p>
        </w:tc>
        <w:tc>
          <w:tcPr>
            <w:tcW w:w="1986" w:type="dxa"/>
            <w:vAlign w:val="top"/>
          </w:tcPr>
          <w:p w14:paraId="74752A7B">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401.9279</w:t>
            </w:r>
          </w:p>
        </w:tc>
      </w:tr>
      <w:tr w14:paraId="38A6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629696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85</w:t>
            </w:r>
          </w:p>
        </w:tc>
        <w:tc>
          <w:tcPr>
            <w:tcW w:w="1525" w:type="dxa"/>
            <w:vAlign w:val="center"/>
          </w:tcPr>
          <w:p w14:paraId="7EA8E5E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4593A3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2CD215BB">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9.973098E-08</w:t>
            </w:r>
          </w:p>
        </w:tc>
        <w:tc>
          <w:tcPr>
            <w:tcW w:w="1986" w:type="dxa"/>
            <w:vAlign w:val="top"/>
          </w:tcPr>
          <w:p w14:paraId="0230B6AA">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371.2665</w:t>
            </w:r>
          </w:p>
        </w:tc>
      </w:tr>
      <w:tr w14:paraId="4619C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54217A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90</w:t>
            </w:r>
          </w:p>
        </w:tc>
        <w:tc>
          <w:tcPr>
            <w:tcW w:w="1525" w:type="dxa"/>
            <w:vAlign w:val="center"/>
          </w:tcPr>
          <w:p w14:paraId="6E09BF6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4E4BCC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36C59B45">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5.570584E-09</w:t>
            </w:r>
          </w:p>
        </w:tc>
        <w:tc>
          <w:tcPr>
            <w:tcW w:w="1986" w:type="dxa"/>
            <w:vAlign w:val="top"/>
          </w:tcPr>
          <w:p w14:paraId="7F2F4F38">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338.0836</w:t>
            </w:r>
          </w:p>
        </w:tc>
      </w:tr>
      <w:tr w14:paraId="0363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17F947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95</w:t>
            </w:r>
          </w:p>
        </w:tc>
        <w:tc>
          <w:tcPr>
            <w:tcW w:w="1525" w:type="dxa"/>
            <w:vAlign w:val="center"/>
          </w:tcPr>
          <w:p w14:paraId="708A1B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651BC6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3A17E19A">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2.787177E-10</w:t>
            </w:r>
          </w:p>
        </w:tc>
        <w:tc>
          <w:tcPr>
            <w:tcW w:w="1986" w:type="dxa"/>
            <w:vAlign w:val="top"/>
          </w:tcPr>
          <w:p w14:paraId="5710C1C6">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303.1611</w:t>
            </w:r>
          </w:p>
        </w:tc>
      </w:tr>
      <w:tr w14:paraId="1994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359FDB5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100</w:t>
            </w:r>
          </w:p>
        </w:tc>
        <w:tc>
          <w:tcPr>
            <w:tcW w:w="1525" w:type="dxa"/>
            <w:vAlign w:val="center"/>
          </w:tcPr>
          <w:p w14:paraId="52739E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484F0D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522680C9">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1.061981E-11</w:t>
            </w:r>
          </w:p>
        </w:tc>
        <w:tc>
          <w:tcPr>
            <w:tcW w:w="1986" w:type="dxa"/>
            <w:vAlign w:val="top"/>
          </w:tcPr>
          <w:p w14:paraId="7B9F9E6A">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267.4125</w:t>
            </w:r>
          </w:p>
        </w:tc>
      </w:tr>
      <w:tr w14:paraId="08BC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0BB8D9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105</w:t>
            </w:r>
          </w:p>
        </w:tc>
        <w:tc>
          <w:tcPr>
            <w:tcW w:w="1525" w:type="dxa"/>
            <w:vAlign w:val="center"/>
          </w:tcPr>
          <w:p w14:paraId="6B49B2C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4B2724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6A88EA82">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3.290646E-13</w:t>
            </w:r>
          </w:p>
        </w:tc>
        <w:tc>
          <w:tcPr>
            <w:tcW w:w="1986" w:type="dxa"/>
            <w:vAlign w:val="top"/>
          </w:tcPr>
          <w:p w14:paraId="30FC3DC7">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231.8114</w:t>
            </w:r>
          </w:p>
        </w:tc>
      </w:tr>
      <w:tr w14:paraId="0796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5C8FDF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110</w:t>
            </w:r>
          </w:p>
        </w:tc>
        <w:tc>
          <w:tcPr>
            <w:tcW w:w="1525" w:type="dxa"/>
            <w:vAlign w:val="center"/>
          </w:tcPr>
          <w:p w14:paraId="146408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7D285F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3FEB6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614688ED">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197.3137</w:t>
            </w:r>
          </w:p>
        </w:tc>
      </w:tr>
      <w:tr w14:paraId="3D6A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4ED6CF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115</w:t>
            </w:r>
          </w:p>
        </w:tc>
        <w:tc>
          <w:tcPr>
            <w:tcW w:w="1525" w:type="dxa"/>
            <w:vAlign w:val="center"/>
          </w:tcPr>
          <w:p w14:paraId="1D2BE7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76FB003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7C29B1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1009335C">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164.7825</w:t>
            </w:r>
          </w:p>
        </w:tc>
      </w:tr>
      <w:tr w14:paraId="664D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0C1601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120</w:t>
            </w:r>
          </w:p>
        </w:tc>
        <w:tc>
          <w:tcPr>
            <w:tcW w:w="1525" w:type="dxa"/>
            <w:vAlign w:val="center"/>
          </w:tcPr>
          <w:p w14:paraId="070E09A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2481A6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7B40FD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124512C2">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134.925</w:t>
            </w:r>
          </w:p>
        </w:tc>
      </w:tr>
      <w:tr w14:paraId="2E96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0FEBAC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125</w:t>
            </w:r>
          </w:p>
        </w:tc>
        <w:tc>
          <w:tcPr>
            <w:tcW w:w="1525" w:type="dxa"/>
            <w:vAlign w:val="center"/>
          </w:tcPr>
          <w:p w14:paraId="769337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436551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2B609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6DF2E17D">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109.7479</w:t>
            </w:r>
          </w:p>
        </w:tc>
      </w:tr>
      <w:tr w14:paraId="4FFC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5750A5F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130</w:t>
            </w:r>
          </w:p>
        </w:tc>
        <w:tc>
          <w:tcPr>
            <w:tcW w:w="1525" w:type="dxa"/>
            <w:vAlign w:val="center"/>
          </w:tcPr>
          <w:p w14:paraId="18CB57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7161F4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9DE60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08CC25B1">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86.21554</w:t>
            </w:r>
          </w:p>
        </w:tc>
      </w:tr>
      <w:tr w14:paraId="5EB7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266E97C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135</w:t>
            </w:r>
          </w:p>
        </w:tc>
        <w:tc>
          <w:tcPr>
            <w:tcW w:w="1525" w:type="dxa"/>
            <w:vAlign w:val="center"/>
          </w:tcPr>
          <w:p w14:paraId="4AF0A15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9B57F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1241E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20F633B7">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66.29047</w:t>
            </w:r>
          </w:p>
        </w:tc>
      </w:tr>
      <w:tr w14:paraId="64B6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3A0E6F2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140</w:t>
            </w:r>
          </w:p>
        </w:tc>
        <w:tc>
          <w:tcPr>
            <w:tcW w:w="1525" w:type="dxa"/>
            <w:vAlign w:val="center"/>
          </w:tcPr>
          <w:p w14:paraId="18EE58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49E46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70A92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6BFB9AF5">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49.85454</w:t>
            </w:r>
          </w:p>
        </w:tc>
      </w:tr>
      <w:tr w14:paraId="1B41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52D5F9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145</w:t>
            </w:r>
          </w:p>
        </w:tc>
        <w:tc>
          <w:tcPr>
            <w:tcW w:w="1525" w:type="dxa"/>
            <w:vAlign w:val="center"/>
          </w:tcPr>
          <w:p w14:paraId="6E7ABB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528B9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BEEA8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27A13E9E">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36.66468</w:t>
            </w:r>
          </w:p>
        </w:tc>
      </w:tr>
      <w:tr w14:paraId="3B22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09CB44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150</w:t>
            </w:r>
          </w:p>
        </w:tc>
        <w:tc>
          <w:tcPr>
            <w:tcW w:w="1525" w:type="dxa"/>
            <w:vAlign w:val="center"/>
          </w:tcPr>
          <w:p w14:paraId="1A0AAF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38C9BD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7AE878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3770789B">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26.33435</w:t>
            </w:r>
          </w:p>
        </w:tc>
      </w:tr>
      <w:tr w14:paraId="1EF6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35E55A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155</w:t>
            </w:r>
          </w:p>
        </w:tc>
        <w:tc>
          <w:tcPr>
            <w:tcW w:w="1525" w:type="dxa"/>
            <w:vAlign w:val="center"/>
          </w:tcPr>
          <w:p w14:paraId="57A3B53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6E04F1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76EFC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5D4E4488">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18.58843</w:t>
            </w:r>
          </w:p>
        </w:tc>
      </w:tr>
      <w:tr w14:paraId="4AF8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4B7E62B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160</w:t>
            </w:r>
          </w:p>
        </w:tc>
        <w:tc>
          <w:tcPr>
            <w:tcW w:w="1525" w:type="dxa"/>
            <w:vAlign w:val="center"/>
          </w:tcPr>
          <w:p w14:paraId="4A141D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6FB359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723F8B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01DC436B">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12.60371</w:t>
            </w:r>
          </w:p>
        </w:tc>
      </w:tr>
      <w:tr w14:paraId="2855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2DE10C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165</w:t>
            </w:r>
          </w:p>
        </w:tc>
        <w:tc>
          <w:tcPr>
            <w:tcW w:w="1525" w:type="dxa"/>
            <w:vAlign w:val="center"/>
          </w:tcPr>
          <w:p w14:paraId="3F5871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AC43C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6C950F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00A23613">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10.34272</w:t>
            </w:r>
          </w:p>
        </w:tc>
      </w:tr>
      <w:tr w14:paraId="360A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59C09A0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170</w:t>
            </w:r>
          </w:p>
        </w:tc>
        <w:tc>
          <w:tcPr>
            <w:tcW w:w="1525" w:type="dxa"/>
            <w:vAlign w:val="center"/>
          </w:tcPr>
          <w:p w14:paraId="6024F5F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3287B26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95C8C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373622EF">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4.189941</w:t>
            </w:r>
          </w:p>
        </w:tc>
      </w:tr>
      <w:tr w14:paraId="70BC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468432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175</w:t>
            </w:r>
          </w:p>
        </w:tc>
        <w:tc>
          <w:tcPr>
            <w:tcW w:w="1525" w:type="dxa"/>
            <w:vAlign w:val="center"/>
          </w:tcPr>
          <w:p w14:paraId="0261E4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21C15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63D677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29AB322A">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2.659243</w:t>
            </w:r>
          </w:p>
        </w:tc>
      </w:tr>
      <w:tr w14:paraId="2C53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4B2398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180</w:t>
            </w:r>
          </w:p>
        </w:tc>
        <w:tc>
          <w:tcPr>
            <w:tcW w:w="1525" w:type="dxa"/>
            <w:vAlign w:val="center"/>
          </w:tcPr>
          <w:p w14:paraId="4D5DFDE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479AEF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C617A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1B0BF12E">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1.648193</w:t>
            </w:r>
          </w:p>
        </w:tc>
      </w:tr>
      <w:tr w14:paraId="04E2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76FD8CF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185</w:t>
            </w:r>
          </w:p>
        </w:tc>
        <w:tc>
          <w:tcPr>
            <w:tcW w:w="1525" w:type="dxa"/>
            <w:vAlign w:val="center"/>
          </w:tcPr>
          <w:p w14:paraId="0DA97DE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BAD87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DB675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22E63162">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0.9974439</w:t>
            </w:r>
          </w:p>
        </w:tc>
      </w:tr>
      <w:tr w14:paraId="66D6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363619E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190</w:t>
            </w:r>
          </w:p>
        </w:tc>
        <w:tc>
          <w:tcPr>
            <w:tcW w:w="1525" w:type="dxa"/>
            <w:vAlign w:val="center"/>
          </w:tcPr>
          <w:p w14:paraId="7E3C823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1D1F7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F9B9F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6B11966C">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0.5892996</w:t>
            </w:r>
          </w:p>
        </w:tc>
      </w:tr>
      <w:tr w14:paraId="685C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5FD310B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195</w:t>
            </w:r>
          </w:p>
        </w:tc>
        <w:tc>
          <w:tcPr>
            <w:tcW w:w="1525" w:type="dxa"/>
            <w:vAlign w:val="center"/>
          </w:tcPr>
          <w:p w14:paraId="3C5E57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37864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45358D0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5097E909">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0.3398552</w:t>
            </w:r>
          </w:p>
        </w:tc>
      </w:tr>
      <w:tr w14:paraId="78E1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center"/>
          </w:tcPr>
          <w:p w14:paraId="284BC5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200</w:t>
            </w:r>
          </w:p>
        </w:tc>
        <w:tc>
          <w:tcPr>
            <w:tcW w:w="1525" w:type="dxa"/>
            <w:vAlign w:val="center"/>
          </w:tcPr>
          <w:p w14:paraId="0AB469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6A6C8D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04946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645B4A7A">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0.1912979</w:t>
            </w:r>
          </w:p>
        </w:tc>
      </w:tr>
      <w:tr w14:paraId="1737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top"/>
          </w:tcPr>
          <w:p w14:paraId="229C5F96">
            <w:pPr>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lang w:val="en-US" w:eastAsia="zh-CN"/>
              </w:rPr>
              <w:t>205</w:t>
            </w:r>
          </w:p>
        </w:tc>
        <w:tc>
          <w:tcPr>
            <w:tcW w:w="1525" w:type="dxa"/>
            <w:vAlign w:val="center"/>
          </w:tcPr>
          <w:p w14:paraId="57DC1B4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3D9E7C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4A0180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70904209">
            <w:pPr>
              <w:jc w:val="center"/>
              <w:rPr>
                <w:rFonts w:hint="default"/>
                <w:color w:val="auto"/>
                <w:sz w:val="18"/>
                <w:szCs w:val="18"/>
                <w:lang w:val="en-US" w:eastAsia="zh-CN"/>
              </w:rPr>
            </w:pPr>
            <w:r>
              <w:rPr>
                <w:rFonts w:hint="eastAsia"/>
                <w:color w:val="auto"/>
                <w:sz w:val="18"/>
                <w:szCs w:val="18"/>
                <w:lang w:val="en-US" w:eastAsia="zh-CN"/>
              </w:rPr>
              <w:t>0.1050843</w:t>
            </w:r>
          </w:p>
        </w:tc>
      </w:tr>
      <w:tr w14:paraId="58B5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top"/>
          </w:tcPr>
          <w:p w14:paraId="3D5A6905">
            <w:pPr>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lang w:val="en-US" w:eastAsia="zh-CN"/>
              </w:rPr>
              <w:t>210</w:t>
            </w:r>
          </w:p>
        </w:tc>
        <w:tc>
          <w:tcPr>
            <w:tcW w:w="1525" w:type="dxa"/>
            <w:vAlign w:val="center"/>
          </w:tcPr>
          <w:p w14:paraId="308F791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3E3D636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D2E45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522F8111">
            <w:pPr>
              <w:jc w:val="center"/>
              <w:rPr>
                <w:rFonts w:hint="default"/>
                <w:color w:val="auto"/>
                <w:sz w:val="18"/>
                <w:szCs w:val="18"/>
                <w:lang w:val="en-US" w:eastAsia="zh-CN"/>
              </w:rPr>
            </w:pPr>
            <w:r>
              <w:rPr>
                <w:rFonts w:hint="eastAsia"/>
                <w:color w:val="auto"/>
                <w:sz w:val="18"/>
                <w:szCs w:val="18"/>
                <w:lang w:val="en-US" w:eastAsia="zh-CN"/>
              </w:rPr>
              <w:t>0.05632924</w:t>
            </w:r>
          </w:p>
        </w:tc>
      </w:tr>
      <w:tr w14:paraId="42DB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top"/>
          </w:tcPr>
          <w:p w14:paraId="0D8D672C">
            <w:pPr>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lang w:val="en-US" w:eastAsia="zh-CN"/>
              </w:rPr>
              <w:t>215</w:t>
            </w:r>
          </w:p>
        </w:tc>
        <w:tc>
          <w:tcPr>
            <w:tcW w:w="1525" w:type="dxa"/>
            <w:vAlign w:val="center"/>
          </w:tcPr>
          <w:p w14:paraId="776F67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300902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301DB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12337423">
            <w:pPr>
              <w:jc w:val="center"/>
              <w:rPr>
                <w:rFonts w:hint="default"/>
                <w:color w:val="auto"/>
                <w:sz w:val="18"/>
                <w:szCs w:val="18"/>
                <w:lang w:val="en-US" w:eastAsia="zh-CN"/>
              </w:rPr>
            </w:pPr>
            <w:r>
              <w:rPr>
                <w:rFonts w:hint="eastAsia"/>
                <w:color w:val="auto"/>
                <w:sz w:val="18"/>
                <w:szCs w:val="18"/>
                <w:lang w:val="en-US" w:eastAsia="zh-CN"/>
              </w:rPr>
              <w:t>0.0294618</w:t>
            </w:r>
          </w:p>
        </w:tc>
      </w:tr>
      <w:tr w14:paraId="2183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top"/>
          </w:tcPr>
          <w:p w14:paraId="21D69004">
            <w:pPr>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lang w:val="en-US" w:eastAsia="zh-CN"/>
              </w:rPr>
              <w:t>220</w:t>
            </w:r>
          </w:p>
        </w:tc>
        <w:tc>
          <w:tcPr>
            <w:tcW w:w="1525" w:type="dxa"/>
            <w:vAlign w:val="center"/>
          </w:tcPr>
          <w:p w14:paraId="50B0C1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F104D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590E6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01A934D2">
            <w:pPr>
              <w:jc w:val="center"/>
              <w:rPr>
                <w:rFonts w:hint="default"/>
                <w:color w:val="auto"/>
                <w:sz w:val="18"/>
                <w:szCs w:val="18"/>
                <w:lang w:val="en-US" w:eastAsia="zh-CN"/>
              </w:rPr>
            </w:pPr>
            <w:r>
              <w:rPr>
                <w:rFonts w:hint="eastAsia"/>
                <w:color w:val="auto"/>
                <w:sz w:val="18"/>
                <w:szCs w:val="18"/>
                <w:lang w:val="en-US" w:eastAsia="zh-CN"/>
              </w:rPr>
              <w:t>0.01503413</w:t>
            </w:r>
          </w:p>
        </w:tc>
      </w:tr>
      <w:tr w14:paraId="4FD2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top"/>
          </w:tcPr>
          <w:p w14:paraId="5152D99F">
            <w:pPr>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lang w:val="en-US" w:eastAsia="zh-CN"/>
              </w:rPr>
              <w:t>225</w:t>
            </w:r>
          </w:p>
        </w:tc>
        <w:tc>
          <w:tcPr>
            <w:tcW w:w="1525" w:type="dxa"/>
            <w:vAlign w:val="center"/>
          </w:tcPr>
          <w:p w14:paraId="427F1D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3B377F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9F2FE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239727F4">
            <w:pPr>
              <w:jc w:val="center"/>
              <w:rPr>
                <w:rFonts w:hint="default"/>
                <w:color w:val="auto"/>
                <w:sz w:val="18"/>
                <w:szCs w:val="18"/>
                <w:lang w:val="en-US" w:eastAsia="zh-CN"/>
              </w:rPr>
            </w:pPr>
            <w:r>
              <w:rPr>
                <w:rFonts w:hint="eastAsia"/>
                <w:color w:val="auto"/>
                <w:sz w:val="18"/>
                <w:szCs w:val="18"/>
                <w:lang w:val="en-US" w:eastAsia="zh-CN"/>
              </w:rPr>
              <w:t>0.007484418</w:t>
            </w:r>
          </w:p>
        </w:tc>
      </w:tr>
      <w:tr w14:paraId="1353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top"/>
          </w:tcPr>
          <w:p w14:paraId="32E06F74">
            <w:pPr>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lang w:val="en-US" w:eastAsia="zh-CN"/>
              </w:rPr>
              <w:t>230</w:t>
            </w:r>
          </w:p>
        </w:tc>
        <w:tc>
          <w:tcPr>
            <w:tcW w:w="1525" w:type="dxa"/>
            <w:vAlign w:val="center"/>
          </w:tcPr>
          <w:p w14:paraId="0E0564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886B6B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089FBD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62904ABE">
            <w:pPr>
              <w:jc w:val="center"/>
              <w:rPr>
                <w:rFonts w:hint="default"/>
                <w:color w:val="auto"/>
                <w:sz w:val="18"/>
                <w:szCs w:val="18"/>
                <w:lang w:val="en-US" w:eastAsia="zh-CN"/>
              </w:rPr>
            </w:pPr>
            <w:r>
              <w:rPr>
                <w:rFonts w:hint="eastAsia"/>
                <w:color w:val="auto"/>
                <w:sz w:val="18"/>
                <w:szCs w:val="18"/>
                <w:lang w:val="en-US" w:eastAsia="zh-CN"/>
              </w:rPr>
              <w:t>0.003634698</w:t>
            </w:r>
          </w:p>
        </w:tc>
      </w:tr>
      <w:tr w14:paraId="2308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top"/>
          </w:tcPr>
          <w:p w14:paraId="689953CF">
            <w:pPr>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lang w:val="en-US" w:eastAsia="zh-CN"/>
              </w:rPr>
              <w:t>235</w:t>
            </w:r>
          </w:p>
        </w:tc>
        <w:tc>
          <w:tcPr>
            <w:tcW w:w="1525" w:type="dxa"/>
            <w:vAlign w:val="center"/>
          </w:tcPr>
          <w:p w14:paraId="3FE7D4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44FC90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4099B4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647DB6C6">
            <w:pPr>
              <w:jc w:val="center"/>
              <w:rPr>
                <w:rFonts w:hint="default"/>
                <w:color w:val="auto"/>
                <w:sz w:val="18"/>
                <w:szCs w:val="18"/>
                <w:lang w:val="en-US" w:eastAsia="zh-CN"/>
              </w:rPr>
            </w:pPr>
            <w:r>
              <w:rPr>
                <w:rFonts w:hint="eastAsia"/>
                <w:color w:val="auto"/>
                <w:sz w:val="18"/>
                <w:szCs w:val="18"/>
                <w:lang w:val="en-US" w:eastAsia="zh-CN"/>
              </w:rPr>
              <w:t>0.001721796</w:t>
            </w:r>
          </w:p>
        </w:tc>
      </w:tr>
      <w:tr w14:paraId="638A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top"/>
          </w:tcPr>
          <w:p w14:paraId="62E83527">
            <w:pPr>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lang w:val="en-US" w:eastAsia="zh-CN"/>
              </w:rPr>
              <w:t>240</w:t>
            </w:r>
          </w:p>
        </w:tc>
        <w:tc>
          <w:tcPr>
            <w:tcW w:w="1525" w:type="dxa"/>
            <w:vAlign w:val="center"/>
          </w:tcPr>
          <w:p w14:paraId="6632EA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86BED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0E85F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5830CDD8">
            <w:pPr>
              <w:jc w:val="center"/>
              <w:rPr>
                <w:rFonts w:hint="default"/>
                <w:color w:val="auto"/>
                <w:sz w:val="18"/>
                <w:szCs w:val="18"/>
                <w:lang w:val="en-US" w:eastAsia="zh-CN"/>
              </w:rPr>
            </w:pPr>
            <w:r>
              <w:rPr>
                <w:rFonts w:hint="eastAsia"/>
                <w:color w:val="auto"/>
                <w:sz w:val="18"/>
                <w:szCs w:val="18"/>
                <w:lang w:val="en-US" w:eastAsia="zh-CN"/>
              </w:rPr>
              <w:t>0.0007955584</w:t>
            </w:r>
          </w:p>
        </w:tc>
      </w:tr>
      <w:tr w14:paraId="2DAA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top"/>
          </w:tcPr>
          <w:p w14:paraId="7A89D805">
            <w:pPr>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lang w:val="en-US" w:eastAsia="zh-CN"/>
              </w:rPr>
              <w:t>245</w:t>
            </w:r>
          </w:p>
        </w:tc>
        <w:tc>
          <w:tcPr>
            <w:tcW w:w="1525" w:type="dxa"/>
            <w:vAlign w:val="center"/>
          </w:tcPr>
          <w:p w14:paraId="427247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530F5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7C7DF2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3EB42F51">
            <w:pPr>
              <w:jc w:val="center"/>
              <w:rPr>
                <w:rFonts w:hint="default"/>
                <w:color w:val="auto"/>
                <w:sz w:val="18"/>
                <w:szCs w:val="18"/>
                <w:lang w:val="en-US" w:eastAsia="zh-CN"/>
              </w:rPr>
            </w:pPr>
            <w:r>
              <w:rPr>
                <w:rFonts w:hint="eastAsia"/>
                <w:color w:val="auto"/>
                <w:sz w:val="18"/>
                <w:szCs w:val="18"/>
                <w:lang w:val="en-US" w:eastAsia="zh-CN"/>
              </w:rPr>
              <w:t>0.0003585224</w:t>
            </w:r>
          </w:p>
        </w:tc>
      </w:tr>
      <w:tr w14:paraId="45BB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vAlign w:val="top"/>
          </w:tcPr>
          <w:p w14:paraId="14D14509">
            <w:pPr>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lang w:val="en-US" w:eastAsia="zh-CN"/>
              </w:rPr>
              <w:t>250</w:t>
            </w:r>
          </w:p>
        </w:tc>
        <w:tc>
          <w:tcPr>
            <w:tcW w:w="1525" w:type="dxa"/>
            <w:vAlign w:val="center"/>
          </w:tcPr>
          <w:p w14:paraId="353B88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4412ECA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44CAE81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0E006D09">
            <w:pPr>
              <w:jc w:val="center"/>
              <w:rPr>
                <w:rFonts w:hint="default"/>
                <w:color w:val="auto"/>
                <w:sz w:val="18"/>
                <w:szCs w:val="18"/>
                <w:lang w:val="en-US" w:eastAsia="zh-CN"/>
              </w:rPr>
            </w:pPr>
            <w:r>
              <w:rPr>
                <w:rFonts w:hint="eastAsia"/>
                <w:color w:val="auto"/>
                <w:sz w:val="18"/>
                <w:szCs w:val="18"/>
                <w:lang w:val="en-US" w:eastAsia="zh-CN"/>
              </w:rPr>
              <w:t>0.0001575768</w:t>
            </w:r>
          </w:p>
        </w:tc>
      </w:tr>
    </w:tbl>
    <w:p w14:paraId="17D79AAC">
      <w:pPr>
        <w:spacing w:line="360" w:lineRule="auto"/>
        <w:ind w:firstLine="48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根据预测结果，</w:t>
      </w:r>
      <w:r>
        <w:rPr>
          <w:rFonts w:hint="default" w:ascii="Times New Roman" w:hAnsi="Times New Roman" w:cs="Times New Roman"/>
          <w:color w:val="auto"/>
          <w:sz w:val="24"/>
          <w:szCs w:val="24"/>
        </w:rPr>
        <w:t>CODMn污染物入渗到潜水含水层100天时，污染物最大超标距离为</w:t>
      </w:r>
      <w:r>
        <w:rPr>
          <w:rFonts w:hint="eastAsia"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影响距离为</w:t>
      </w:r>
      <w:r>
        <w:rPr>
          <w:rFonts w:hint="eastAsia"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365</w:t>
      </w:r>
      <w:r>
        <w:rPr>
          <w:rFonts w:hint="default" w:ascii="Times New Roman" w:hAnsi="Times New Roman" w:cs="Times New Roman"/>
          <w:color w:val="auto"/>
          <w:sz w:val="24"/>
          <w:szCs w:val="24"/>
        </w:rPr>
        <w:t>天时，CODMn污染物最大超标距离为</w:t>
      </w:r>
      <w:r>
        <w:rPr>
          <w:rFonts w:hint="eastAsia"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影响距离为</w:t>
      </w:r>
      <w:r>
        <w:rPr>
          <w:rFonts w:hint="eastAsia" w:ascii="Times New Roman" w:hAnsi="Times New Roman" w:cs="Times New Roman"/>
          <w:color w:val="auto"/>
          <w:sz w:val="24"/>
          <w:szCs w:val="24"/>
          <w:lang w:val="en-US" w:eastAsia="zh-CN"/>
        </w:rPr>
        <w:t>27</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1000</w:t>
      </w:r>
      <w:r>
        <w:rPr>
          <w:rFonts w:hint="default" w:ascii="Times New Roman" w:hAnsi="Times New Roman" w:cs="Times New Roman"/>
          <w:color w:val="auto"/>
          <w:sz w:val="24"/>
          <w:szCs w:val="24"/>
        </w:rPr>
        <w:t>天时，CODMn污染物最大超标距离为</w:t>
      </w:r>
      <w:r>
        <w:rPr>
          <w:rFonts w:hint="eastAsia" w:ascii="Times New Roman" w:hAnsi="Times New Roman" w:cs="Times New Roman"/>
          <w:color w:val="auto"/>
          <w:sz w:val="24"/>
          <w:szCs w:val="24"/>
          <w:lang w:val="en-US" w:eastAsia="zh-CN"/>
        </w:rPr>
        <w:t>43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影响距离为</w:t>
      </w:r>
      <w:r>
        <w:rPr>
          <w:rFonts w:hint="eastAsia" w:ascii="Times New Roman" w:hAnsi="Times New Roman" w:cs="Times New Roman"/>
          <w:color w:val="auto"/>
          <w:sz w:val="24"/>
          <w:szCs w:val="24"/>
          <w:lang w:val="en-US" w:eastAsia="zh-CN"/>
        </w:rPr>
        <w:t>49</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20年时</w:t>
      </w:r>
      <w:r>
        <w:rPr>
          <w:rFonts w:hint="default" w:ascii="Times New Roman" w:hAnsi="Times New Roman" w:cs="Times New Roman"/>
          <w:color w:val="auto"/>
          <w:sz w:val="24"/>
          <w:szCs w:val="24"/>
        </w:rPr>
        <w:t>，CODMn污染物最大超标距离为</w:t>
      </w:r>
      <w:r>
        <w:rPr>
          <w:rFonts w:hint="eastAsia" w:ascii="Times New Roman" w:hAnsi="Times New Roman" w:cs="Times New Roman"/>
          <w:color w:val="auto"/>
          <w:sz w:val="24"/>
          <w:szCs w:val="24"/>
          <w:lang w:val="en-US" w:eastAsia="zh-CN"/>
        </w:rPr>
        <w:t>171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影响距离为</w:t>
      </w:r>
      <w:r>
        <w:rPr>
          <w:rFonts w:hint="eastAsia" w:ascii="Times New Roman" w:hAnsi="Times New Roman" w:cs="Times New Roman"/>
          <w:color w:val="auto"/>
          <w:sz w:val="24"/>
          <w:szCs w:val="24"/>
          <w:lang w:val="en-US" w:eastAsia="zh-CN"/>
        </w:rPr>
        <w:t>190</w:t>
      </w:r>
      <w:r>
        <w:rPr>
          <w:rFonts w:hint="default" w:ascii="Times New Roman" w:hAnsi="Times New Roman" w:cs="Times New Roman"/>
          <w:color w:val="auto"/>
          <w:sz w:val="24"/>
          <w:szCs w:val="24"/>
          <w:lang w:val="en-US" w:eastAsia="zh-CN"/>
        </w:rPr>
        <w:t>m。</w:t>
      </w:r>
    </w:p>
    <w:p w14:paraId="685F4EEE">
      <w:pPr>
        <w:pStyle w:val="38"/>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黑体" w:hAnsi="黑体" w:eastAsia="黑体" w:cs="黑体"/>
          <w:b w:val="0"/>
          <w:bCs/>
          <w:color w:val="auto"/>
          <w:sz w:val="21"/>
          <w:szCs w:val="21"/>
          <w:highlight w:val="none"/>
          <w:lang w:val="en-US" w:eastAsia="zh-CN"/>
        </w:rPr>
      </w:pPr>
      <w:r>
        <w:rPr>
          <w:rFonts w:hint="eastAsia" w:ascii="黑体" w:hAnsi="黑体" w:eastAsia="黑体" w:cs="黑体"/>
          <w:b w:val="0"/>
          <w:bCs/>
          <w:color w:val="auto"/>
          <w:sz w:val="21"/>
          <w:szCs w:val="21"/>
          <w:highlight w:val="none"/>
          <w:lang w:val="en-US" w:eastAsia="zh-CN"/>
        </w:rPr>
        <w:t>表5.2.3-6  地下水中NH</w:t>
      </w:r>
      <w:r>
        <w:rPr>
          <w:rFonts w:hint="eastAsia" w:ascii="黑体" w:hAnsi="黑体" w:eastAsia="黑体" w:cs="黑体"/>
          <w:b w:val="0"/>
          <w:bCs/>
          <w:color w:val="auto"/>
          <w:sz w:val="21"/>
          <w:szCs w:val="21"/>
          <w:highlight w:val="none"/>
          <w:vertAlign w:val="subscript"/>
          <w:lang w:val="en-US" w:eastAsia="zh-CN"/>
        </w:rPr>
        <w:t>3</w:t>
      </w:r>
      <w:r>
        <w:rPr>
          <w:rFonts w:hint="eastAsia" w:ascii="黑体" w:hAnsi="黑体" w:eastAsia="黑体" w:cs="黑体"/>
          <w:b w:val="0"/>
          <w:bCs/>
          <w:color w:val="auto"/>
          <w:sz w:val="21"/>
          <w:szCs w:val="21"/>
          <w:highlight w:val="none"/>
          <w:lang w:val="en-US" w:eastAsia="zh-CN"/>
        </w:rPr>
        <w:t>-N污染物浓度变化预测结果表(单位:mg/L)</w:t>
      </w:r>
    </w:p>
    <w:tbl>
      <w:tblPr>
        <w:tblStyle w:val="24"/>
        <w:tblW w:w="8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525"/>
        <w:gridCol w:w="1734"/>
        <w:gridCol w:w="1734"/>
        <w:gridCol w:w="1986"/>
      </w:tblGrid>
      <w:tr w14:paraId="7369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33A9C5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mc:AlternateContent>
                <mc:Choice Requires="wps">
                  <w:drawing>
                    <wp:anchor distT="0" distB="0" distL="114300" distR="114300" simplePos="0" relativeHeight="251675648" behindDoc="0" locked="0" layoutInCell="1" allowOverlap="1">
                      <wp:simplePos x="0" y="0"/>
                      <wp:positionH relativeFrom="column">
                        <wp:posOffset>-68580</wp:posOffset>
                      </wp:positionH>
                      <wp:positionV relativeFrom="paragraph">
                        <wp:posOffset>10160</wp:posOffset>
                      </wp:positionV>
                      <wp:extent cx="1149350" cy="286385"/>
                      <wp:effectExtent l="1270" t="4445" r="11430" b="13970"/>
                      <wp:wrapNone/>
                      <wp:docPr id="29" name="直接连接符 29"/>
                      <wp:cNvGraphicFramePr/>
                      <a:graphic xmlns:a="http://schemas.openxmlformats.org/drawingml/2006/main">
                        <a:graphicData uri="http://schemas.microsoft.com/office/word/2010/wordprocessingShape">
                          <wps:wsp>
                            <wps:cNvCnPr/>
                            <wps:spPr>
                              <a:xfrm flipH="1" flipV="1">
                                <a:off x="0" y="0"/>
                                <a:ext cx="1149350" cy="2863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5.4pt;margin-top:0.8pt;height:22.55pt;width:90.5pt;z-index:251675648;mso-width-relative:page;mso-height-relative:page;" filled="f" stroked="t" coordsize="21600,21600" o:gfxdata="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WPdg9MAAAAIAQAADwAAAAAAAAABACAAAAAiAAAAZHJzL2Rv&#10;d25yZXYueG1sUEsBAhQAFAAAAAgAh07iQNf799sGAgAA/wMAAA4AAAAAAAAAAQAgAAAAIgEAAGRy&#10;cy9lMm9Eb2MueG1sUEsFBgAAAAAGAAYAWQEAAJoFA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kern w:val="2"/>
                <w:sz w:val="18"/>
                <w:szCs w:val="18"/>
                <w:highlight w:val="none"/>
                <w:lang w:val="en-US" w:eastAsia="zh-CN" w:bidi="ar-SA"/>
              </w:rPr>
              <w:t xml:space="preserve">       时间（t）</w:t>
            </w:r>
          </w:p>
          <w:p w14:paraId="573822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both"/>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距离（m）</w:t>
            </w:r>
          </w:p>
        </w:tc>
        <w:tc>
          <w:tcPr>
            <w:tcW w:w="1525" w:type="dxa"/>
            <w:vAlign w:val="center"/>
          </w:tcPr>
          <w:p w14:paraId="71CAA2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100天</w:t>
            </w:r>
          </w:p>
        </w:tc>
        <w:tc>
          <w:tcPr>
            <w:tcW w:w="1734" w:type="dxa"/>
            <w:vAlign w:val="center"/>
          </w:tcPr>
          <w:p w14:paraId="17C338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1年</w:t>
            </w:r>
          </w:p>
        </w:tc>
        <w:tc>
          <w:tcPr>
            <w:tcW w:w="1734" w:type="dxa"/>
            <w:vAlign w:val="center"/>
          </w:tcPr>
          <w:p w14:paraId="44DD60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1000天</w:t>
            </w:r>
          </w:p>
        </w:tc>
        <w:tc>
          <w:tcPr>
            <w:tcW w:w="1986" w:type="dxa"/>
            <w:vAlign w:val="center"/>
          </w:tcPr>
          <w:p w14:paraId="7C2AF90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20年</w:t>
            </w:r>
          </w:p>
        </w:tc>
      </w:tr>
      <w:tr w14:paraId="4DA1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top"/>
          </w:tcPr>
          <w:p w14:paraId="1ADCE7C6">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0</w:t>
            </w:r>
          </w:p>
        </w:tc>
        <w:tc>
          <w:tcPr>
            <w:tcW w:w="1525" w:type="dxa"/>
            <w:vAlign w:val="top"/>
          </w:tcPr>
          <w:p w14:paraId="53F27098">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272.01</w:t>
            </w:r>
          </w:p>
        </w:tc>
        <w:tc>
          <w:tcPr>
            <w:tcW w:w="1734" w:type="dxa"/>
            <w:vAlign w:val="top"/>
          </w:tcPr>
          <w:p w14:paraId="28417F04">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272.01</w:t>
            </w:r>
          </w:p>
        </w:tc>
        <w:tc>
          <w:tcPr>
            <w:tcW w:w="1734" w:type="dxa"/>
            <w:vAlign w:val="top"/>
          </w:tcPr>
          <w:p w14:paraId="4E59BD58">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272.01</w:t>
            </w:r>
          </w:p>
        </w:tc>
        <w:tc>
          <w:tcPr>
            <w:tcW w:w="1986" w:type="dxa"/>
            <w:vAlign w:val="top"/>
          </w:tcPr>
          <w:p w14:paraId="54438178">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272.01</w:t>
            </w:r>
          </w:p>
        </w:tc>
      </w:tr>
      <w:tr w14:paraId="1172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top"/>
          </w:tcPr>
          <w:p w14:paraId="4E1582B8">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5</w:t>
            </w:r>
          </w:p>
        </w:tc>
        <w:tc>
          <w:tcPr>
            <w:tcW w:w="1525" w:type="dxa"/>
            <w:vAlign w:val="top"/>
          </w:tcPr>
          <w:p w14:paraId="14D9F7FA">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72.14911</w:t>
            </w:r>
          </w:p>
        </w:tc>
        <w:tc>
          <w:tcPr>
            <w:tcW w:w="1734" w:type="dxa"/>
            <w:vAlign w:val="top"/>
          </w:tcPr>
          <w:p w14:paraId="0BBB93B1">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190.4045</w:t>
            </w:r>
          </w:p>
        </w:tc>
        <w:tc>
          <w:tcPr>
            <w:tcW w:w="1734" w:type="dxa"/>
            <w:vAlign w:val="top"/>
          </w:tcPr>
          <w:p w14:paraId="46959080">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248.5516</w:t>
            </w:r>
          </w:p>
        </w:tc>
        <w:tc>
          <w:tcPr>
            <w:tcW w:w="1986" w:type="dxa"/>
            <w:vAlign w:val="top"/>
          </w:tcPr>
          <w:p w14:paraId="3D22FD7E">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271.9658</w:t>
            </w:r>
          </w:p>
        </w:tc>
      </w:tr>
      <w:tr w14:paraId="3974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811" w:type="dxa"/>
            <w:vAlign w:val="top"/>
          </w:tcPr>
          <w:p w14:paraId="16A05F5F">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10</w:t>
            </w:r>
          </w:p>
        </w:tc>
        <w:tc>
          <w:tcPr>
            <w:tcW w:w="1525" w:type="dxa"/>
            <w:vAlign w:val="top"/>
          </w:tcPr>
          <w:p w14:paraId="4586219C">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4.085712</w:t>
            </w:r>
          </w:p>
        </w:tc>
        <w:tc>
          <w:tcPr>
            <w:tcW w:w="1734" w:type="dxa"/>
            <w:vAlign w:val="top"/>
          </w:tcPr>
          <w:p w14:paraId="7BB5B23B">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93.87084</w:t>
            </w:r>
          </w:p>
        </w:tc>
        <w:tc>
          <w:tcPr>
            <w:tcW w:w="1734" w:type="dxa"/>
            <w:vAlign w:val="top"/>
          </w:tcPr>
          <w:p w14:paraId="69BF4BEF">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208.1832</w:t>
            </w:r>
          </w:p>
        </w:tc>
        <w:tc>
          <w:tcPr>
            <w:tcW w:w="1986" w:type="dxa"/>
            <w:vAlign w:val="top"/>
          </w:tcPr>
          <w:p w14:paraId="6483FA19">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271.8702</w:t>
            </w:r>
          </w:p>
        </w:tc>
      </w:tr>
      <w:tr w14:paraId="7418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top"/>
          </w:tcPr>
          <w:p w14:paraId="56EE5472">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15</w:t>
            </w:r>
          </w:p>
        </w:tc>
        <w:tc>
          <w:tcPr>
            <w:tcW w:w="1525" w:type="dxa"/>
            <w:vAlign w:val="top"/>
          </w:tcPr>
          <w:p w14:paraId="3E3A57E0">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0.04106161</w:t>
            </w:r>
          </w:p>
        </w:tc>
        <w:tc>
          <w:tcPr>
            <w:tcW w:w="1734" w:type="dxa"/>
            <w:vAlign w:val="top"/>
          </w:tcPr>
          <w:p w14:paraId="252F916C">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30.5887</w:t>
            </w:r>
          </w:p>
        </w:tc>
        <w:tc>
          <w:tcPr>
            <w:tcW w:w="1734" w:type="dxa"/>
            <w:vAlign w:val="top"/>
          </w:tcPr>
          <w:p w14:paraId="69C49D54">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155.8588</w:t>
            </w:r>
          </w:p>
        </w:tc>
        <w:tc>
          <w:tcPr>
            <w:tcW w:w="1986" w:type="dxa"/>
            <w:vAlign w:val="top"/>
          </w:tcPr>
          <w:p w14:paraId="3A9B41EE">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271.6857</w:t>
            </w:r>
          </w:p>
        </w:tc>
      </w:tr>
      <w:tr w14:paraId="7CA7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top"/>
          </w:tcPr>
          <w:p w14:paraId="5DD8AE30">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20</w:t>
            </w:r>
          </w:p>
        </w:tc>
        <w:tc>
          <w:tcPr>
            <w:tcW w:w="1525" w:type="dxa"/>
            <w:vAlign w:val="top"/>
          </w:tcPr>
          <w:p w14:paraId="1DD07546">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6.800722E-05</w:t>
            </w:r>
          </w:p>
        </w:tc>
        <w:tc>
          <w:tcPr>
            <w:tcW w:w="1734" w:type="dxa"/>
            <w:vAlign w:val="top"/>
          </w:tcPr>
          <w:p w14:paraId="2D6E1F94">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6.347565</w:t>
            </w:r>
          </w:p>
        </w:tc>
        <w:tc>
          <w:tcPr>
            <w:tcW w:w="1734" w:type="dxa"/>
            <w:vAlign w:val="top"/>
          </w:tcPr>
          <w:p w14:paraId="57A47A5B">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102.2438</w:t>
            </w:r>
          </w:p>
        </w:tc>
        <w:tc>
          <w:tcPr>
            <w:tcW w:w="1986" w:type="dxa"/>
            <w:vAlign w:val="top"/>
          </w:tcPr>
          <w:p w14:paraId="3860FBB6">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271.356</w:t>
            </w:r>
          </w:p>
        </w:tc>
      </w:tr>
      <w:tr w14:paraId="445D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top"/>
          </w:tcPr>
          <w:p w14:paraId="5C83793B">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25</w:t>
            </w:r>
          </w:p>
        </w:tc>
        <w:tc>
          <w:tcPr>
            <w:tcW w:w="1525" w:type="dxa"/>
            <w:vAlign w:val="top"/>
          </w:tcPr>
          <w:p w14:paraId="1B96D9B5">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1.857846E-08</w:t>
            </w:r>
          </w:p>
        </w:tc>
        <w:tc>
          <w:tcPr>
            <w:tcW w:w="1734" w:type="dxa"/>
            <w:vAlign w:val="top"/>
          </w:tcPr>
          <w:p w14:paraId="02786994">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0.8207377</w:t>
            </w:r>
          </w:p>
        </w:tc>
        <w:tc>
          <w:tcPr>
            <w:tcW w:w="1734" w:type="dxa"/>
            <w:vAlign w:val="top"/>
          </w:tcPr>
          <w:p w14:paraId="2E4B3869">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57.91226</w:t>
            </w:r>
          </w:p>
        </w:tc>
        <w:tc>
          <w:tcPr>
            <w:tcW w:w="1986" w:type="dxa"/>
            <w:vAlign w:val="top"/>
          </w:tcPr>
          <w:p w14:paraId="5D9A3AC4">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270.8011</w:t>
            </w:r>
          </w:p>
        </w:tc>
      </w:tr>
      <w:tr w14:paraId="52A7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top"/>
          </w:tcPr>
          <w:p w14:paraId="7A04C058">
            <w:pPr>
              <w:keepNext w:val="0"/>
              <w:keepLines w:val="0"/>
              <w:widowControl/>
              <w:suppressLineNumbers w:val="0"/>
              <w:jc w:val="center"/>
              <w:textAlignment w:val="top"/>
              <w:rPr>
                <w:rFonts w:hint="default" w:ascii="Times New Roman" w:hAnsi="Times New Roman" w:eastAsia="宋体" w:cs="Times New Roman"/>
                <w:color w:val="auto"/>
                <w:kern w:val="2"/>
                <w:sz w:val="18"/>
                <w:szCs w:val="18"/>
                <w:highlight w:val="none"/>
                <w:lang w:val="en-US" w:eastAsia="zh-CN" w:bidi="ar-SA"/>
              </w:rPr>
            </w:pPr>
            <w:r>
              <w:rPr>
                <w:rFonts w:hint="default" w:ascii="Calibri" w:hAnsi="Calibri" w:eastAsia="宋体" w:cs="Calibri"/>
                <w:i w:val="0"/>
                <w:iCs w:val="0"/>
                <w:color w:val="auto"/>
                <w:kern w:val="0"/>
                <w:sz w:val="18"/>
                <w:szCs w:val="18"/>
                <w:u w:val="none"/>
                <w:lang w:val="en-US" w:eastAsia="zh-CN" w:bidi="ar"/>
              </w:rPr>
              <w:t>30</w:t>
            </w:r>
          </w:p>
        </w:tc>
        <w:tc>
          <w:tcPr>
            <w:tcW w:w="1525" w:type="dxa"/>
            <w:vAlign w:val="top"/>
          </w:tcPr>
          <w:p w14:paraId="603F244A">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4.076889E-13</w:t>
            </w:r>
          </w:p>
        </w:tc>
        <w:tc>
          <w:tcPr>
            <w:tcW w:w="1734" w:type="dxa"/>
            <w:vAlign w:val="top"/>
          </w:tcPr>
          <w:p w14:paraId="7454295A">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0.06525606</w:t>
            </w:r>
          </w:p>
        </w:tc>
        <w:tc>
          <w:tcPr>
            <w:tcW w:w="1734" w:type="dxa"/>
            <w:vAlign w:val="top"/>
          </w:tcPr>
          <w:p w14:paraId="73F87230">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28.02463</w:t>
            </w:r>
          </w:p>
        </w:tc>
        <w:tc>
          <w:tcPr>
            <w:tcW w:w="1986" w:type="dxa"/>
            <w:vAlign w:val="top"/>
          </w:tcPr>
          <w:p w14:paraId="40A12198">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269.9116</w:t>
            </w:r>
          </w:p>
        </w:tc>
      </w:tr>
      <w:tr w14:paraId="4042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2E64E4C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35</w:t>
            </w:r>
          </w:p>
        </w:tc>
        <w:tc>
          <w:tcPr>
            <w:tcW w:w="1525" w:type="dxa"/>
            <w:vAlign w:val="center"/>
          </w:tcPr>
          <w:p w14:paraId="31445F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66DB62C4">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0.003163873</w:t>
            </w:r>
          </w:p>
        </w:tc>
        <w:tc>
          <w:tcPr>
            <w:tcW w:w="1734" w:type="dxa"/>
            <w:vAlign w:val="top"/>
          </w:tcPr>
          <w:p w14:paraId="412F2FA4">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11.49933</w:t>
            </w:r>
          </w:p>
        </w:tc>
        <w:tc>
          <w:tcPr>
            <w:tcW w:w="1986" w:type="dxa"/>
            <w:vAlign w:val="top"/>
          </w:tcPr>
          <w:p w14:paraId="1724A2C0">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268.5465</w:t>
            </w:r>
          </w:p>
        </w:tc>
      </w:tr>
      <w:tr w14:paraId="1BCE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110C16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40</w:t>
            </w:r>
          </w:p>
        </w:tc>
        <w:tc>
          <w:tcPr>
            <w:tcW w:w="1525" w:type="dxa"/>
            <w:vAlign w:val="center"/>
          </w:tcPr>
          <w:p w14:paraId="1348337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7EFA74BB">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9.30199E-05</w:t>
            </w:r>
          </w:p>
        </w:tc>
        <w:tc>
          <w:tcPr>
            <w:tcW w:w="1734" w:type="dxa"/>
            <w:vAlign w:val="top"/>
          </w:tcPr>
          <w:p w14:paraId="346B79FC">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3.979481</w:t>
            </w:r>
          </w:p>
        </w:tc>
        <w:tc>
          <w:tcPr>
            <w:tcW w:w="1986" w:type="dxa"/>
            <w:vAlign w:val="top"/>
          </w:tcPr>
          <w:p w14:paraId="420EAB25">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266.5315</w:t>
            </w:r>
          </w:p>
        </w:tc>
      </w:tr>
      <w:tr w14:paraId="243B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337A5EB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45</w:t>
            </w:r>
          </w:p>
        </w:tc>
        <w:tc>
          <w:tcPr>
            <w:tcW w:w="1525" w:type="dxa"/>
            <w:vAlign w:val="center"/>
          </w:tcPr>
          <w:p w14:paraId="57B16F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52C02188">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1.709564E-06</w:t>
            </w:r>
          </w:p>
        </w:tc>
        <w:tc>
          <w:tcPr>
            <w:tcW w:w="1734" w:type="dxa"/>
            <w:vAlign w:val="top"/>
          </w:tcPr>
          <w:p w14:paraId="7443A883">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1.156924</w:t>
            </w:r>
          </w:p>
        </w:tc>
        <w:tc>
          <w:tcPr>
            <w:tcW w:w="1986" w:type="dxa"/>
            <w:vAlign w:val="top"/>
          </w:tcPr>
          <w:p w14:paraId="5D4207C3">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263.6631</w:t>
            </w:r>
          </w:p>
        </w:tc>
      </w:tr>
      <w:tr w14:paraId="172B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6D9DA9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50</w:t>
            </w:r>
          </w:p>
        </w:tc>
        <w:tc>
          <w:tcPr>
            <w:tcW w:w="1525" w:type="dxa"/>
            <w:vAlign w:val="center"/>
          </w:tcPr>
          <w:p w14:paraId="41429AF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0B327D2A">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1.819862E-08</w:t>
            </w:r>
          </w:p>
        </w:tc>
        <w:tc>
          <w:tcPr>
            <w:tcW w:w="1734" w:type="dxa"/>
            <w:vAlign w:val="top"/>
          </w:tcPr>
          <w:p w14:paraId="28C1C3F9">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0.2817473</w:t>
            </w:r>
          </w:p>
        </w:tc>
        <w:tc>
          <w:tcPr>
            <w:tcW w:w="1986" w:type="dxa"/>
            <w:vAlign w:val="top"/>
          </w:tcPr>
          <w:p w14:paraId="7B155682">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259.7172</w:t>
            </w:r>
          </w:p>
        </w:tc>
      </w:tr>
      <w:tr w14:paraId="5DA4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185307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55</w:t>
            </w:r>
          </w:p>
        </w:tc>
        <w:tc>
          <w:tcPr>
            <w:tcW w:w="1525" w:type="dxa"/>
            <w:vAlign w:val="center"/>
          </w:tcPr>
          <w:p w14:paraId="04DCF8B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0C88E7DC">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6.60456E-11</w:t>
            </w:r>
          </w:p>
        </w:tc>
        <w:tc>
          <w:tcPr>
            <w:tcW w:w="1734" w:type="dxa"/>
            <w:vAlign w:val="top"/>
          </w:tcPr>
          <w:p w14:paraId="38FC38C4">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0.05735277</w:t>
            </w:r>
          </w:p>
        </w:tc>
        <w:tc>
          <w:tcPr>
            <w:tcW w:w="1986" w:type="dxa"/>
            <w:vAlign w:val="top"/>
          </w:tcPr>
          <w:p w14:paraId="66EC1123">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254.4637</w:t>
            </w:r>
          </w:p>
        </w:tc>
      </w:tr>
      <w:tr w14:paraId="5ABD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1D9F7A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60</w:t>
            </w:r>
          </w:p>
        </w:tc>
        <w:tc>
          <w:tcPr>
            <w:tcW w:w="1525" w:type="dxa"/>
            <w:vAlign w:val="center"/>
          </w:tcPr>
          <w:p w14:paraId="04C6F6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09E59742">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2.415934E-13</w:t>
            </w:r>
          </w:p>
        </w:tc>
        <w:tc>
          <w:tcPr>
            <w:tcW w:w="1734" w:type="dxa"/>
            <w:vAlign w:val="top"/>
          </w:tcPr>
          <w:p w14:paraId="345C2005">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0.009742571</w:t>
            </w:r>
          </w:p>
        </w:tc>
        <w:tc>
          <w:tcPr>
            <w:tcW w:w="1986" w:type="dxa"/>
            <w:vAlign w:val="top"/>
          </w:tcPr>
          <w:p w14:paraId="228FAC42">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247.6866</w:t>
            </w:r>
          </w:p>
        </w:tc>
      </w:tr>
      <w:tr w14:paraId="7E61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6D6113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65</w:t>
            </w:r>
          </w:p>
        </w:tc>
        <w:tc>
          <w:tcPr>
            <w:tcW w:w="1525" w:type="dxa"/>
            <w:vAlign w:val="center"/>
          </w:tcPr>
          <w:p w14:paraId="608CBD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C17E2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7ED5EFC6">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0.001379306</w:t>
            </w:r>
          </w:p>
        </w:tc>
        <w:tc>
          <w:tcPr>
            <w:tcW w:w="1986" w:type="dxa"/>
            <w:vAlign w:val="top"/>
          </w:tcPr>
          <w:p w14:paraId="74A061F1">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239.2079</w:t>
            </w:r>
          </w:p>
        </w:tc>
      </w:tr>
      <w:tr w14:paraId="1463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811" w:type="dxa"/>
            <w:vAlign w:val="center"/>
          </w:tcPr>
          <w:p w14:paraId="5CDE69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70</w:t>
            </w:r>
          </w:p>
        </w:tc>
        <w:tc>
          <w:tcPr>
            <w:tcW w:w="1525" w:type="dxa"/>
            <w:vAlign w:val="center"/>
          </w:tcPr>
          <w:p w14:paraId="4C37104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918081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2EAEC171">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0.000167673</w:t>
            </w:r>
          </w:p>
        </w:tc>
        <w:tc>
          <w:tcPr>
            <w:tcW w:w="1986" w:type="dxa"/>
            <w:vAlign w:val="top"/>
          </w:tcPr>
          <w:p w14:paraId="55C7CC31">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228.9133</w:t>
            </w:r>
          </w:p>
        </w:tc>
      </w:tr>
      <w:tr w14:paraId="1044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605FE0E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75</w:t>
            </w:r>
          </w:p>
        </w:tc>
        <w:tc>
          <w:tcPr>
            <w:tcW w:w="1525" w:type="dxa"/>
            <w:vAlign w:val="center"/>
          </w:tcPr>
          <w:p w14:paraId="7668712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B6364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34C23198">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1.638571E-05</w:t>
            </w:r>
          </w:p>
        </w:tc>
        <w:tc>
          <w:tcPr>
            <w:tcW w:w="1986" w:type="dxa"/>
            <w:vAlign w:val="top"/>
          </w:tcPr>
          <w:p w14:paraId="4FAAC3C5">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216.7758</w:t>
            </w:r>
          </w:p>
        </w:tc>
      </w:tr>
      <w:tr w14:paraId="7286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41B325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80</w:t>
            </w:r>
          </w:p>
        </w:tc>
        <w:tc>
          <w:tcPr>
            <w:tcW w:w="1525" w:type="dxa"/>
            <w:vAlign w:val="center"/>
          </w:tcPr>
          <w:p w14:paraId="5093E5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D38F1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6FDEAD6F">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1.380763E-06</w:t>
            </w:r>
          </w:p>
        </w:tc>
        <w:tc>
          <w:tcPr>
            <w:tcW w:w="1986" w:type="dxa"/>
            <w:vAlign w:val="top"/>
          </w:tcPr>
          <w:p w14:paraId="4A5916EC">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202.8733</w:t>
            </w:r>
          </w:p>
        </w:tc>
      </w:tr>
      <w:tr w14:paraId="6932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4F148F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85</w:t>
            </w:r>
          </w:p>
        </w:tc>
        <w:tc>
          <w:tcPr>
            <w:tcW w:w="1525" w:type="dxa"/>
            <w:vAlign w:val="center"/>
          </w:tcPr>
          <w:p w14:paraId="0E3C8A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76DCC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6A804F5D">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5.033925E-08</w:t>
            </w:r>
          </w:p>
        </w:tc>
        <w:tc>
          <w:tcPr>
            <w:tcW w:w="1986" w:type="dxa"/>
            <w:vAlign w:val="top"/>
          </w:tcPr>
          <w:p w14:paraId="047C533B">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187.3969</w:t>
            </w:r>
          </w:p>
        </w:tc>
      </w:tr>
      <w:tr w14:paraId="2C12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591409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90</w:t>
            </w:r>
          </w:p>
        </w:tc>
        <w:tc>
          <w:tcPr>
            <w:tcW w:w="1525" w:type="dxa"/>
            <w:vAlign w:val="center"/>
          </w:tcPr>
          <w:p w14:paraId="13A68B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3C46E3A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5E59DCED">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2.811755E-09</w:t>
            </w:r>
          </w:p>
        </w:tc>
        <w:tc>
          <w:tcPr>
            <w:tcW w:w="1986" w:type="dxa"/>
            <w:vAlign w:val="top"/>
          </w:tcPr>
          <w:p w14:paraId="123663A3">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170.6478</w:t>
            </w:r>
          </w:p>
        </w:tc>
      </w:tr>
      <w:tr w14:paraId="54AFA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2D2CAC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95</w:t>
            </w:r>
          </w:p>
        </w:tc>
        <w:tc>
          <w:tcPr>
            <w:tcW w:w="1525" w:type="dxa"/>
            <w:vAlign w:val="center"/>
          </w:tcPr>
          <w:p w14:paraId="2DD477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693DDA8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20A62E12">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1.406829E-10</w:t>
            </w:r>
          </w:p>
        </w:tc>
        <w:tc>
          <w:tcPr>
            <w:tcW w:w="1986" w:type="dxa"/>
            <w:vAlign w:val="top"/>
          </w:tcPr>
          <w:p w14:paraId="0F673019">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153.0207</w:t>
            </w:r>
          </w:p>
        </w:tc>
      </w:tr>
      <w:tr w14:paraId="0AE4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59EC5F4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100</w:t>
            </w:r>
          </w:p>
        </w:tc>
        <w:tc>
          <w:tcPr>
            <w:tcW w:w="1525" w:type="dxa"/>
            <w:vAlign w:val="center"/>
          </w:tcPr>
          <w:p w14:paraId="108D0D2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E05A7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41F5025B">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5.360354E-12</w:t>
            </w:r>
          </w:p>
        </w:tc>
        <w:tc>
          <w:tcPr>
            <w:tcW w:w="1986" w:type="dxa"/>
            <w:vAlign w:val="top"/>
          </w:tcPr>
          <w:p w14:paraId="083B5413">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134.9766</w:t>
            </w:r>
          </w:p>
        </w:tc>
      </w:tr>
      <w:tr w14:paraId="75E1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4BF910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105</w:t>
            </w:r>
          </w:p>
        </w:tc>
        <w:tc>
          <w:tcPr>
            <w:tcW w:w="1525" w:type="dxa"/>
            <w:vAlign w:val="center"/>
          </w:tcPr>
          <w:p w14:paraId="398790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D0962E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top"/>
          </w:tcPr>
          <w:p w14:paraId="1C97DA82">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1.660955E-13</w:t>
            </w:r>
          </w:p>
        </w:tc>
        <w:tc>
          <w:tcPr>
            <w:tcW w:w="1986" w:type="dxa"/>
            <w:vAlign w:val="top"/>
          </w:tcPr>
          <w:p w14:paraId="3E7643CE">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117.0069</w:t>
            </w:r>
          </w:p>
        </w:tc>
      </w:tr>
      <w:tr w14:paraId="0D03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7E91CB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110</w:t>
            </w:r>
          </w:p>
        </w:tc>
        <w:tc>
          <w:tcPr>
            <w:tcW w:w="1525" w:type="dxa"/>
            <w:vAlign w:val="center"/>
          </w:tcPr>
          <w:p w14:paraId="18B3A9C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DD1D6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3F429E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776599A3">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99.59418</w:t>
            </w:r>
          </w:p>
        </w:tc>
      </w:tr>
      <w:tr w14:paraId="6477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1C3A6D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115</w:t>
            </w:r>
          </w:p>
        </w:tc>
        <w:tc>
          <w:tcPr>
            <w:tcW w:w="1525" w:type="dxa"/>
            <w:vAlign w:val="center"/>
          </w:tcPr>
          <w:p w14:paraId="433101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2D805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7274B2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3A506FC8">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83.17403</w:t>
            </w:r>
          </w:p>
        </w:tc>
      </w:tr>
      <w:tr w14:paraId="5BFB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20C373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120</w:t>
            </w:r>
          </w:p>
        </w:tc>
        <w:tc>
          <w:tcPr>
            <w:tcW w:w="1525" w:type="dxa"/>
            <w:vAlign w:val="center"/>
          </w:tcPr>
          <w:p w14:paraId="5EC2F6A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3F10825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1DC65B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456FFA9A">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68.10347</w:t>
            </w:r>
          </w:p>
        </w:tc>
      </w:tr>
      <w:tr w14:paraId="2BEE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3B30F2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125</w:t>
            </w:r>
          </w:p>
        </w:tc>
        <w:tc>
          <w:tcPr>
            <w:tcW w:w="1525" w:type="dxa"/>
            <w:vAlign w:val="center"/>
          </w:tcPr>
          <w:p w14:paraId="229E11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7BA4CC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B8C100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00D1176D">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55.3953</w:t>
            </w:r>
          </w:p>
        </w:tc>
      </w:tr>
      <w:tr w14:paraId="3795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5262626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130</w:t>
            </w:r>
          </w:p>
        </w:tc>
        <w:tc>
          <w:tcPr>
            <w:tcW w:w="1525" w:type="dxa"/>
            <w:vAlign w:val="center"/>
          </w:tcPr>
          <w:p w14:paraId="02D913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C12F4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4B06CF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3FCAF265">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43.51733</w:t>
            </w:r>
          </w:p>
        </w:tc>
      </w:tr>
      <w:tr w14:paraId="5D8A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4AD5C9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135</w:t>
            </w:r>
          </w:p>
        </w:tc>
        <w:tc>
          <w:tcPr>
            <w:tcW w:w="1525" w:type="dxa"/>
            <w:vAlign w:val="center"/>
          </w:tcPr>
          <w:p w14:paraId="7C605F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B44DCC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6FE11F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0BF0789C">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33.46014</w:t>
            </w:r>
          </w:p>
        </w:tc>
      </w:tr>
      <w:tr w14:paraId="463A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6C03A10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140</w:t>
            </w:r>
          </w:p>
        </w:tc>
        <w:tc>
          <w:tcPr>
            <w:tcW w:w="1525" w:type="dxa"/>
            <w:vAlign w:val="center"/>
          </w:tcPr>
          <w:p w14:paraId="09A985B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439E6B8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35B9B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6ADDB226">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25.1641</w:t>
            </w:r>
          </w:p>
        </w:tc>
      </w:tr>
      <w:tr w14:paraId="7B51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7BF4E3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145</w:t>
            </w:r>
          </w:p>
        </w:tc>
        <w:tc>
          <w:tcPr>
            <w:tcW w:w="1525" w:type="dxa"/>
            <w:vAlign w:val="center"/>
          </w:tcPr>
          <w:p w14:paraId="0D8CFB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E5E68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3AB561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79A6B6B2">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18.50651</w:t>
            </w:r>
          </w:p>
        </w:tc>
      </w:tr>
      <w:tr w14:paraId="3995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5CC1315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150</w:t>
            </w:r>
          </w:p>
        </w:tc>
        <w:tc>
          <w:tcPr>
            <w:tcW w:w="1525" w:type="dxa"/>
            <w:vAlign w:val="center"/>
          </w:tcPr>
          <w:p w14:paraId="2BECCE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E6BAAF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AA4CB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73B01BBA">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13.29227</w:t>
            </w:r>
          </w:p>
        </w:tc>
      </w:tr>
      <w:tr w14:paraId="611E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651535B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155</w:t>
            </w:r>
          </w:p>
        </w:tc>
        <w:tc>
          <w:tcPr>
            <w:tcW w:w="1525" w:type="dxa"/>
            <w:vAlign w:val="center"/>
          </w:tcPr>
          <w:p w14:paraId="7C9B5D0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0F3966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5F7EA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078DC583">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9.382519</w:t>
            </w:r>
          </w:p>
        </w:tc>
      </w:tr>
      <w:tr w14:paraId="3CDF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110452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160</w:t>
            </w:r>
          </w:p>
        </w:tc>
        <w:tc>
          <w:tcPr>
            <w:tcW w:w="1525" w:type="dxa"/>
            <w:vAlign w:val="center"/>
          </w:tcPr>
          <w:p w14:paraId="7A4539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3A7749E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340CAD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11D680AD">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6.36173</w:t>
            </w:r>
          </w:p>
        </w:tc>
      </w:tr>
      <w:tr w14:paraId="273B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518F347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165</w:t>
            </w:r>
          </w:p>
        </w:tc>
        <w:tc>
          <w:tcPr>
            <w:tcW w:w="1525" w:type="dxa"/>
            <w:vAlign w:val="center"/>
          </w:tcPr>
          <w:p w14:paraId="1CD8427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7AE94C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6CE399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5D1A722B">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5.220492</w:t>
            </w:r>
          </w:p>
        </w:tc>
      </w:tr>
      <w:tr w14:paraId="4ED3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3C1586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170</w:t>
            </w:r>
          </w:p>
        </w:tc>
        <w:tc>
          <w:tcPr>
            <w:tcW w:w="1525" w:type="dxa"/>
            <w:vAlign w:val="center"/>
          </w:tcPr>
          <w:p w14:paraId="5277896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9AD885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68C219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76E3B07F">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2.114874</w:t>
            </w:r>
          </w:p>
        </w:tc>
      </w:tr>
      <w:tr w14:paraId="4631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3AC5B4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175</w:t>
            </w:r>
          </w:p>
        </w:tc>
        <w:tc>
          <w:tcPr>
            <w:tcW w:w="1525" w:type="dxa"/>
            <w:vAlign w:val="center"/>
          </w:tcPr>
          <w:p w14:paraId="55F23A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5332B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6CF61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167F54D2">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1.342254</w:t>
            </w:r>
          </w:p>
        </w:tc>
      </w:tr>
      <w:tr w14:paraId="5420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53BA6A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180</w:t>
            </w:r>
          </w:p>
        </w:tc>
        <w:tc>
          <w:tcPr>
            <w:tcW w:w="1525" w:type="dxa"/>
            <w:vAlign w:val="center"/>
          </w:tcPr>
          <w:p w14:paraId="666ECCC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F4002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686579E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5CD4A196">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0.8319262</w:t>
            </w:r>
          </w:p>
        </w:tc>
      </w:tr>
      <w:tr w14:paraId="4CC0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54FF831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185</w:t>
            </w:r>
          </w:p>
        </w:tc>
        <w:tc>
          <w:tcPr>
            <w:tcW w:w="1525" w:type="dxa"/>
            <w:vAlign w:val="center"/>
          </w:tcPr>
          <w:p w14:paraId="3557CE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EB60D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7F3057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5608B546">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0.5034602</w:t>
            </w:r>
          </w:p>
        </w:tc>
      </w:tr>
      <w:tr w14:paraId="12B0A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6C0E7A5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190</w:t>
            </w:r>
          </w:p>
        </w:tc>
        <w:tc>
          <w:tcPr>
            <w:tcW w:w="1525" w:type="dxa"/>
            <w:vAlign w:val="center"/>
          </w:tcPr>
          <w:p w14:paraId="065434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645F8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30F71F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0B17C4D9">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0.2974492</w:t>
            </w:r>
          </w:p>
        </w:tc>
      </w:tr>
      <w:tr w14:paraId="57F8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17DA826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195</w:t>
            </w:r>
          </w:p>
        </w:tc>
        <w:tc>
          <w:tcPr>
            <w:tcW w:w="1525" w:type="dxa"/>
            <w:vAlign w:val="center"/>
          </w:tcPr>
          <w:p w14:paraId="224330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3EA2F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9583E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3AB39572">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0.1715421</w:t>
            </w:r>
          </w:p>
        </w:tc>
      </w:tr>
      <w:tr w14:paraId="2662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center"/>
          </w:tcPr>
          <w:p w14:paraId="796213B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200</w:t>
            </w:r>
          </w:p>
        </w:tc>
        <w:tc>
          <w:tcPr>
            <w:tcW w:w="1525" w:type="dxa"/>
            <w:vAlign w:val="center"/>
          </w:tcPr>
          <w:p w14:paraId="6E4FC3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E605D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1F949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6B408D57">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0.0965577</w:t>
            </w:r>
          </w:p>
        </w:tc>
      </w:tr>
      <w:tr w14:paraId="1CF5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top"/>
          </w:tcPr>
          <w:p w14:paraId="7DADF2C8">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205</w:t>
            </w:r>
          </w:p>
        </w:tc>
        <w:tc>
          <w:tcPr>
            <w:tcW w:w="1525" w:type="dxa"/>
            <w:vAlign w:val="center"/>
          </w:tcPr>
          <w:p w14:paraId="5BB4694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6F0028E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4D71F4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20774237">
            <w:pPr>
              <w:jc w:val="center"/>
              <w:rPr>
                <w:rFonts w:hint="default"/>
                <w:color w:val="auto"/>
                <w:sz w:val="18"/>
                <w:szCs w:val="18"/>
                <w:lang w:val="en-US" w:eastAsia="zh-CN"/>
              </w:rPr>
            </w:pPr>
            <w:r>
              <w:rPr>
                <w:rFonts w:hint="default"/>
                <w:color w:val="auto"/>
                <w:sz w:val="18"/>
                <w:szCs w:val="18"/>
                <w:lang w:val="en-US" w:eastAsia="zh-CN"/>
              </w:rPr>
              <w:t>0.05304134</w:t>
            </w:r>
          </w:p>
        </w:tc>
      </w:tr>
      <w:tr w14:paraId="2D35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top"/>
          </w:tcPr>
          <w:p w14:paraId="2057C948">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210</w:t>
            </w:r>
          </w:p>
        </w:tc>
        <w:tc>
          <w:tcPr>
            <w:tcW w:w="1525" w:type="dxa"/>
            <w:vAlign w:val="center"/>
          </w:tcPr>
          <w:p w14:paraId="24DD600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64E247E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4CF4F1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3973E0AC">
            <w:pPr>
              <w:jc w:val="center"/>
              <w:rPr>
                <w:rFonts w:hint="default"/>
                <w:color w:val="auto"/>
                <w:sz w:val="18"/>
                <w:szCs w:val="18"/>
                <w:lang w:val="en-US" w:eastAsia="zh-CN"/>
              </w:rPr>
            </w:pPr>
            <w:r>
              <w:rPr>
                <w:rFonts w:hint="default"/>
                <w:color w:val="auto"/>
                <w:sz w:val="18"/>
                <w:szCs w:val="18"/>
                <w:lang w:val="en-US" w:eastAsia="zh-CN"/>
              </w:rPr>
              <w:t>0.02843221</w:t>
            </w:r>
          </w:p>
        </w:tc>
      </w:tr>
      <w:tr w14:paraId="1F38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top"/>
          </w:tcPr>
          <w:p w14:paraId="371F2ACE">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215</w:t>
            </w:r>
          </w:p>
        </w:tc>
        <w:tc>
          <w:tcPr>
            <w:tcW w:w="1525" w:type="dxa"/>
            <w:vAlign w:val="center"/>
          </w:tcPr>
          <w:p w14:paraId="4F6FD80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43066FC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6FB900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779635F6">
            <w:pPr>
              <w:jc w:val="center"/>
              <w:rPr>
                <w:rFonts w:hint="default"/>
                <w:color w:val="auto"/>
                <w:sz w:val="18"/>
                <w:szCs w:val="18"/>
                <w:lang w:val="en-US" w:eastAsia="zh-CN"/>
              </w:rPr>
            </w:pPr>
            <w:r>
              <w:rPr>
                <w:rFonts w:hint="default"/>
                <w:color w:val="auto"/>
                <w:sz w:val="18"/>
                <w:szCs w:val="18"/>
                <w:lang w:val="en-US" w:eastAsia="zh-CN"/>
              </w:rPr>
              <w:t>0.01487086</w:t>
            </w:r>
          </w:p>
        </w:tc>
      </w:tr>
      <w:tr w14:paraId="68FE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top"/>
          </w:tcPr>
          <w:p w14:paraId="682D4F2A">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220</w:t>
            </w:r>
          </w:p>
        </w:tc>
        <w:tc>
          <w:tcPr>
            <w:tcW w:w="1525" w:type="dxa"/>
            <w:vAlign w:val="center"/>
          </w:tcPr>
          <w:p w14:paraId="132581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9394AA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7D942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3A112F1F">
            <w:pPr>
              <w:jc w:val="center"/>
              <w:rPr>
                <w:rFonts w:hint="default"/>
                <w:color w:val="auto"/>
                <w:sz w:val="18"/>
                <w:szCs w:val="18"/>
                <w:lang w:val="en-US" w:eastAsia="zh-CN"/>
              </w:rPr>
            </w:pPr>
            <w:r>
              <w:rPr>
                <w:rFonts w:hint="default"/>
                <w:color w:val="auto"/>
                <w:sz w:val="18"/>
                <w:szCs w:val="18"/>
                <w:lang w:val="en-US" w:eastAsia="zh-CN"/>
              </w:rPr>
              <w:t>0.007588484</w:t>
            </w:r>
          </w:p>
        </w:tc>
      </w:tr>
      <w:tr w14:paraId="10E0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top"/>
          </w:tcPr>
          <w:p w14:paraId="4F1864AA">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225</w:t>
            </w:r>
          </w:p>
        </w:tc>
        <w:tc>
          <w:tcPr>
            <w:tcW w:w="1525" w:type="dxa"/>
            <w:vAlign w:val="center"/>
          </w:tcPr>
          <w:p w14:paraId="39F535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8D8E57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F7D81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27BDC3D6">
            <w:pPr>
              <w:jc w:val="center"/>
              <w:rPr>
                <w:rFonts w:hint="default"/>
                <w:color w:val="auto"/>
                <w:sz w:val="18"/>
                <w:szCs w:val="18"/>
                <w:lang w:val="en-US" w:eastAsia="zh-CN"/>
              </w:rPr>
            </w:pPr>
            <w:r>
              <w:rPr>
                <w:rFonts w:hint="default"/>
                <w:color w:val="auto"/>
                <w:sz w:val="18"/>
                <w:szCs w:val="18"/>
                <w:lang w:val="en-US" w:eastAsia="zh-CN"/>
              </w:rPr>
              <w:t>0.003777763</w:t>
            </w:r>
          </w:p>
        </w:tc>
      </w:tr>
      <w:tr w14:paraId="0E9F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top"/>
          </w:tcPr>
          <w:p w14:paraId="5FDD157F">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230</w:t>
            </w:r>
          </w:p>
        </w:tc>
        <w:tc>
          <w:tcPr>
            <w:tcW w:w="1525" w:type="dxa"/>
            <w:vAlign w:val="center"/>
          </w:tcPr>
          <w:p w14:paraId="7C4F2F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A70E8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784262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115B5DA9">
            <w:pPr>
              <w:jc w:val="center"/>
              <w:rPr>
                <w:rFonts w:hint="default"/>
                <w:color w:val="auto"/>
                <w:sz w:val="18"/>
                <w:szCs w:val="18"/>
                <w:lang w:val="en-US" w:eastAsia="zh-CN"/>
              </w:rPr>
            </w:pPr>
            <w:r>
              <w:rPr>
                <w:rFonts w:hint="default"/>
                <w:color w:val="auto"/>
                <w:sz w:val="18"/>
                <w:szCs w:val="18"/>
                <w:lang w:val="en-US" w:eastAsia="zh-CN"/>
              </w:rPr>
              <w:t>0.001834616</w:t>
            </w:r>
          </w:p>
        </w:tc>
      </w:tr>
      <w:tr w14:paraId="35BA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top"/>
          </w:tcPr>
          <w:p w14:paraId="413F9F2B">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235</w:t>
            </w:r>
          </w:p>
        </w:tc>
        <w:tc>
          <w:tcPr>
            <w:tcW w:w="1525" w:type="dxa"/>
            <w:vAlign w:val="center"/>
          </w:tcPr>
          <w:p w14:paraId="458150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9D61F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74C7F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79965D24">
            <w:pPr>
              <w:jc w:val="center"/>
              <w:rPr>
                <w:rFonts w:hint="default"/>
                <w:color w:val="auto"/>
                <w:sz w:val="18"/>
                <w:szCs w:val="18"/>
                <w:lang w:val="en-US" w:eastAsia="zh-CN"/>
              </w:rPr>
            </w:pPr>
            <w:r>
              <w:rPr>
                <w:rFonts w:hint="default"/>
                <w:color w:val="auto"/>
                <w:sz w:val="18"/>
                <w:szCs w:val="18"/>
                <w:lang w:val="en-US" w:eastAsia="zh-CN"/>
              </w:rPr>
              <w:t>0.000869077</w:t>
            </w:r>
          </w:p>
        </w:tc>
      </w:tr>
      <w:tr w14:paraId="5E7F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top"/>
          </w:tcPr>
          <w:p w14:paraId="0239FAB0">
            <w:pPr>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lang w:val="en-US" w:eastAsia="zh-CN"/>
              </w:rPr>
              <w:t>240</w:t>
            </w:r>
          </w:p>
        </w:tc>
        <w:tc>
          <w:tcPr>
            <w:tcW w:w="1525" w:type="dxa"/>
            <w:vAlign w:val="center"/>
          </w:tcPr>
          <w:p w14:paraId="3DFCD0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49A25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21900D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0BBEE96E">
            <w:pPr>
              <w:jc w:val="center"/>
              <w:rPr>
                <w:rFonts w:hint="default"/>
                <w:color w:val="auto"/>
                <w:sz w:val="18"/>
                <w:szCs w:val="18"/>
                <w:lang w:val="en-US" w:eastAsia="zh-CN"/>
              </w:rPr>
            </w:pPr>
            <w:r>
              <w:rPr>
                <w:rFonts w:hint="default"/>
                <w:color w:val="auto"/>
                <w:sz w:val="18"/>
                <w:szCs w:val="18"/>
                <w:lang w:val="en-US" w:eastAsia="zh-CN"/>
              </w:rPr>
              <w:t>0.0004015585</w:t>
            </w:r>
          </w:p>
        </w:tc>
      </w:tr>
      <w:tr w14:paraId="3CC0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top"/>
          </w:tcPr>
          <w:p w14:paraId="1D030EF3">
            <w:pPr>
              <w:jc w:val="center"/>
              <w:rPr>
                <w:rFonts w:hint="default"/>
                <w:color w:val="auto"/>
                <w:sz w:val="18"/>
                <w:szCs w:val="18"/>
                <w:lang w:val="en-US" w:eastAsia="zh-CN"/>
              </w:rPr>
            </w:pPr>
            <w:r>
              <w:rPr>
                <w:rFonts w:hint="default"/>
                <w:color w:val="auto"/>
                <w:sz w:val="18"/>
                <w:szCs w:val="18"/>
                <w:lang w:val="en-US" w:eastAsia="zh-CN"/>
              </w:rPr>
              <w:t>245</w:t>
            </w:r>
          </w:p>
        </w:tc>
        <w:tc>
          <w:tcPr>
            <w:tcW w:w="1525" w:type="dxa"/>
            <w:vAlign w:val="center"/>
          </w:tcPr>
          <w:p w14:paraId="08630A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0F78C4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51A490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6A43896E">
            <w:pPr>
              <w:jc w:val="center"/>
              <w:rPr>
                <w:rFonts w:hint="default"/>
                <w:color w:val="auto"/>
                <w:sz w:val="18"/>
                <w:szCs w:val="18"/>
                <w:lang w:val="en-US" w:eastAsia="zh-CN"/>
              </w:rPr>
            </w:pPr>
            <w:r>
              <w:rPr>
                <w:rFonts w:hint="default"/>
                <w:color w:val="auto"/>
                <w:sz w:val="18"/>
                <w:szCs w:val="18"/>
                <w:lang w:val="en-US" w:eastAsia="zh-CN"/>
              </w:rPr>
              <w:t>0.0001809643</w:t>
            </w:r>
          </w:p>
        </w:tc>
      </w:tr>
      <w:tr w14:paraId="6730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vAlign w:val="top"/>
          </w:tcPr>
          <w:p w14:paraId="097CC072">
            <w:pPr>
              <w:jc w:val="center"/>
              <w:rPr>
                <w:rFonts w:hint="default"/>
                <w:color w:val="auto"/>
                <w:sz w:val="18"/>
                <w:szCs w:val="18"/>
                <w:lang w:val="en-US" w:eastAsia="zh-CN"/>
              </w:rPr>
            </w:pPr>
            <w:r>
              <w:rPr>
                <w:rFonts w:hint="default"/>
                <w:color w:val="auto"/>
                <w:sz w:val="18"/>
                <w:szCs w:val="18"/>
                <w:lang w:val="en-US" w:eastAsia="zh-CN"/>
              </w:rPr>
              <w:t>250</w:t>
            </w:r>
          </w:p>
        </w:tc>
        <w:tc>
          <w:tcPr>
            <w:tcW w:w="1525" w:type="dxa"/>
            <w:vAlign w:val="center"/>
          </w:tcPr>
          <w:p w14:paraId="33E271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1694627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734" w:type="dxa"/>
            <w:vAlign w:val="center"/>
          </w:tcPr>
          <w:p w14:paraId="70FE8A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0.00E+00</w:t>
            </w:r>
          </w:p>
        </w:tc>
        <w:tc>
          <w:tcPr>
            <w:tcW w:w="1986" w:type="dxa"/>
            <w:vAlign w:val="top"/>
          </w:tcPr>
          <w:p w14:paraId="29E055DB">
            <w:pPr>
              <w:jc w:val="center"/>
              <w:rPr>
                <w:rFonts w:hint="default"/>
                <w:color w:val="auto"/>
                <w:sz w:val="18"/>
                <w:szCs w:val="18"/>
                <w:lang w:val="en-US" w:eastAsia="zh-CN"/>
              </w:rPr>
            </w:pPr>
            <w:r>
              <w:rPr>
                <w:rFonts w:hint="default"/>
                <w:color w:val="auto"/>
                <w:sz w:val="18"/>
                <w:szCs w:val="18"/>
                <w:lang w:val="en-US" w:eastAsia="zh-CN"/>
              </w:rPr>
              <w:t>7.953696E-05</w:t>
            </w:r>
          </w:p>
        </w:tc>
      </w:tr>
    </w:tbl>
    <w:p w14:paraId="70440B32">
      <w:pPr>
        <w:spacing w:line="360" w:lineRule="auto"/>
        <w:ind w:firstLine="48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根据预测结果，NH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-N污染物入渗到潜水含水层100天时，污染物最大超标距离为1</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m，影响距离为</w:t>
      </w:r>
      <w:r>
        <w:rPr>
          <w:rFonts w:hint="eastAsia"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lang w:val="en-US" w:eastAsia="zh-CN"/>
        </w:rPr>
        <w:t>m；365天时，NH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-N污染物最大超标距离为</w:t>
      </w:r>
      <w:r>
        <w:rPr>
          <w:rFonts w:hint="eastAsia" w:ascii="Times New Roman" w:hAnsi="Times New Roman" w:cs="Times New Roman"/>
          <w:color w:val="auto"/>
          <w:sz w:val="24"/>
          <w:szCs w:val="24"/>
          <w:lang w:val="en-US" w:eastAsia="zh-CN"/>
        </w:rPr>
        <w:t>26</w:t>
      </w:r>
      <w:r>
        <w:rPr>
          <w:rFonts w:hint="default" w:ascii="Times New Roman" w:hAnsi="Times New Roman" w:cs="Times New Roman"/>
          <w:color w:val="auto"/>
          <w:sz w:val="24"/>
          <w:szCs w:val="24"/>
          <w:lang w:val="en-US" w:eastAsia="zh-CN"/>
        </w:rPr>
        <w:t>m，影响距离为</w:t>
      </w:r>
      <w:r>
        <w:rPr>
          <w:rFonts w:hint="eastAsia" w:ascii="Times New Roman" w:hAnsi="Times New Roman" w:cs="Times New Roman"/>
          <w:color w:val="auto"/>
          <w:sz w:val="24"/>
          <w:szCs w:val="24"/>
          <w:lang w:val="en-US" w:eastAsia="zh-CN"/>
        </w:rPr>
        <w:t>31</w:t>
      </w:r>
      <w:r>
        <w:rPr>
          <w:rFonts w:hint="default" w:ascii="Times New Roman" w:hAnsi="Times New Roman" w:cs="Times New Roman"/>
          <w:color w:val="auto"/>
          <w:sz w:val="24"/>
          <w:szCs w:val="24"/>
          <w:lang w:val="en-US" w:eastAsia="zh-CN"/>
        </w:rPr>
        <w:t>m；1000天时，NH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-N污染物最大超标距离为</w:t>
      </w:r>
      <w:r>
        <w:rPr>
          <w:rFonts w:hint="eastAsia" w:ascii="Times New Roman" w:hAnsi="Times New Roman" w:cs="Times New Roman"/>
          <w:color w:val="auto"/>
          <w:sz w:val="24"/>
          <w:szCs w:val="24"/>
          <w:lang w:val="en-US" w:eastAsia="zh-CN"/>
        </w:rPr>
        <w:t>48</w:t>
      </w:r>
      <w:r>
        <w:rPr>
          <w:rFonts w:hint="default" w:ascii="Times New Roman" w:hAnsi="Times New Roman" w:cs="Times New Roman"/>
          <w:color w:val="auto"/>
          <w:sz w:val="24"/>
          <w:szCs w:val="24"/>
          <w:lang w:val="en-US" w:eastAsia="zh-CN"/>
        </w:rPr>
        <w:t>m，影响距离为</w:t>
      </w:r>
      <w:r>
        <w:rPr>
          <w:rFonts w:hint="eastAsia" w:ascii="Times New Roman" w:hAnsi="Times New Roman" w:cs="Times New Roman"/>
          <w:color w:val="auto"/>
          <w:sz w:val="24"/>
          <w:szCs w:val="24"/>
          <w:lang w:val="en-US" w:eastAsia="zh-CN"/>
        </w:rPr>
        <w:t>57</w:t>
      </w:r>
      <w:r>
        <w:rPr>
          <w:rFonts w:hint="default" w:ascii="Times New Roman" w:hAnsi="Times New Roman" w:cs="Times New Roman"/>
          <w:color w:val="auto"/>
          <w:sz w:val="24"/>
          <w:szCs w:val="24"/>
          <w:lang w:val="en-US" w:eastAsia="zh-CN"/>
        </w:rPr>
        <w:t>m；20年时，NH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-N污染物最大超标距离为</w:t>
      </w:r>
      <w:r>
        <w:rPr>
          <w:rFonts w:hint="eastAsia" w:ascii="Times New Roman" w:hAnsi="Times New Roman" w:cs="Times New Roman"/>
          <w:color w:val="auto"/>
          <w:sz w:val="24"/>
          <w:szCs w:val="24"/>
          <w:lang w:val="en-US" w:eastAsia="zh-CN"/>
        </w:rPr>
        <w:t>185</w:t>
      </w:r>
      <w:r>
        <w:rPr>
          <w:rFonts w:hint="default" w:ascii="Times New Roman" w:hAnsi="Times New Roman" w:cs="Times New Roman"/>
          <w:color w:val="auto"/>
          <w:sz w:val="24"/>
          <w:szCs w:val="24"/>
          <w:lang w:val="en-US" w:eastAsia="zh-CN"/>
        </w:rPr>
        <w:t>m，影响距离为</w:t>
      </w:r>
      <w:r>
        <w:rPr>
          <w:rFonts w:hint="eastAsia" w:ascii="Times New Roman" w:hAnsi="Times New Roman" w:cs="Times New Roman"/>
          <w:color w:val="auto"/>
          <w:sz w:val="24"/>
          <w:szCs w:val="24"/>
          <w:lang w:val="en-US" w:eastAsia="zh-CN"/>
        </w:rPr>
        <w:t>211</w:t>
      </w:r>
      <w:r>
        <w:rPr>
          <w:rFonts w:hint="default" w:ascii="Times New Roman" w:hAnsi="Times New Roman" w:cs="Times New Roman"/>
          <w:color w:val="auto"/>
          <w:sz w:val="24"/>
          <w:szCs w:val="24"/>
          <w:lang w:val="en-US" w:eastAsia="zh-CN"/>
        </w:rPr>
        <w:t>m。</w:t>
      </w:r>
      <w:bookmarkStart w:id="282" w:name="_Toc2608"/>
      <w:bookmarkStart w:id="283" w:name="_Toc12647"/>
      <w:bookmarkStart w:id="284" w:name="_Toc18324"/>
      <w:bookmarkStart w:id="285" w:name="_Toc30152"/>
      <w:bookmarkStart w:id="286" w:name="_Toc13709"/>
    </w:p>
    <w:p w14:paraId="3C38EF27">
      <w:pPr>
        <w:spacing w:line="360" w:lineRule="auto"/>
        <w:ind w:firstLine="480"/>
        <w:jc w:val="both"/>
        <w:rPr>
          <w:rFonts w:hint="default" w:ascii="Times New Roman" w:hAnsi="Times New Roman" w:cs="Times New Roman"/>
          <w:color w:val="auto"/>
          <w:sz w:val="24"/>
          <w:szCs w:val="24"/>
          <w:lang w:val="en-US" w:eastAsia="zh-CN"/>
        </w:rPr>
      </w:pPr>
      <w:bookmarkStart w:id="287" w:name="_Toc31442"/>
      <w:bookmarkStart w:id="288" w:name="_Toc7824"/>
      <w:bookmarkStart w:id="289" w:name="_Toc2926"/>
      <w:bookmarkStart w:id="290" w:name="_Toc25996"/>
      <w:r>
        <w:rPr>
          <w:rFonts w:hint="default" w:ascii="Times New Roman" w:hAnsi="Times New Roman" w:cs="Times New Roman"/>
          <w:color w:val="auto"/>
          <w:sz w:val="24"/>
          <w:szCs w:val="24"/>
          <w:lang w:val="en-US" w:eastAsia="zh-CN"/>
        </w:rPr>
        <w:t>（3）非正常状况下污染物对下游敏感点影响分析</w:t>
      </w:r>
      <w:bookmarkEnd w:id="282"/>
      <w:bookmarkEnd w:id="283"/>
      <w:bookmarkEnd w:id="284"/>
      <w:bookmarkEnd w:id="285"/>
      <w:bookmarkEnd w:id="286"/>
      <w:bookmarkEnd w:id="287"/>
      <w:bookmarkEnd w:id="288"/>
      <w:bookmarkEnd w:id="289"/>
      <w:bookmarkEnd w:id="290"/>
    </w:p>
    <w:p w14:paraId="6F52889F">
      <w:pPr>
        <w:spacing w:line="360" w:lineRule="auto"/>
        <w:ind w:firstLine="48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综上预测结果，拟设项目运营期20年，在污染物持续泄漏情况下，</w:t>
      </w:r>
      <w:r>
        <w:rPr>
          <w:rFonts w:hint="default" w:ascii="Times New Roman" w:hAnsi="Times New Roman" w:cs="Times New Roman"/>
          <w:color w:val="auto"/>
          <w:sz w:val="24"/>
          <w:szCs w:val="24"/>
        </w:rPr>
        <w:t>COD</w:t>
      </w:r>
      <w:r>
        <w:rPr>
          <w:rFonts w:hint="default" w:ascii="Times New Roman" w:hAnsi="Times New Roman" w:cs="Times New Roman"/>
          <w:color w:val="auto"/>
          <w:sz w:val="24"/>
          <w:szCs w:val="24"/>
          <w:vertAlign w:val="subscript"/>
        </w:rPr>
        <w:t>Mn</w:t>
      </w:r>
      <w:r>
        <w:rPr>
          <w:rFonts w:hint="default" w:ascii="Times New Roman" w:hAnsi="Times New Roman" w:cs="Times New Roman"/>
          <w:color w:val="auto"/>
          <w:sz w:val="24"/>
          <w:szCs w:val="24"/>
        </w:rPr>
        <w:t>最大超标距离为</w:t>
      </w:r>
      <w:r>
        <w:rPr>
          <w:rFonts w:hint="default"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val="en-US" w:eastAsia="zh-CN"/>
        </w:rPr>
        <w:t>71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影响距离为</w:t>
      </w:r>
      <w:r>
        <w:rPr>
          <w:rFonts w:hint="eastAsia" w:ascii="Times New Roman" w:hAnsi="Times New Roman" w:cs="Times New Roman"/>
          <w:color w:val="auto"/>
          <w:sz w:val="24"/>
          <w:szCs w:val="24"/>
          <w:lang w:val="en-US" w:eastAsia="zh-CN"/>
        </w:rPr>
        <w:t>190</w:t>
      </w:r>
      <w:r>
        <w:rPr>
          <w:rFonts w:hint="default" w:ascii="Times New Roman" w:hAnsi="Times New Roman" w:cs="Times New Roman"/>
          <w:color w:val="auto"/>
          <w:sz w:val="24"/>
          <w:szCs w:val="24"/>
          <w:lang w:val="en-US" w:eastAsia="zh-CN"/>
        </w:rPr>
        <w:t>m。NH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w:t>
      </w:r>
      <w:r>
        <w:rPr>
          <w:rFonts w:hint="default" w:ascii="Times New Roman" w:hAnsi="Times New Roman" w:cs="Times New Roman"/>
          <w:color w:val="auto"/>
          <w:sz w:val="24"/>
          <w:szCs w:val="24"/>
        </w:rPr>
        <w:t>最大超标距离为</w:t>
      </w:r>
      <w:r>
        <w:rPr>
          <w:rFonts w:hint="default"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val="en-US" w:eastAsia="zh-CN"/>
        </w:rPr>
        <w:t>85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影响距离为</w:t>
      </w:r>
      <w:r>
        <w:rPr>
          <w:rFonts w:hint="eastAsia" w:ascii="Times New Roman" w:hAnsi="Times New Roman" w:cs="Times New Roman"/>
          <w:color w:val="auto"/>
          <w:sz w:val="24"/>
          <w:szCs w:val="24"/>
          <w:lang w:val="en-US" w:eastAsia="zh-CN"/>
        </w:rPr>
        <w:t>211</w:t>
      </w:r>
      <w:r>
        <w:rPr>
          <w:rFonts w:hint="default" w:ascii="Times New Roman" w:hAnsi="Times New Roman" w:cs="Times New Roman"/>
          <w:color w:val="auto"/>
          <w:sz w:val="24"/>
          <w:szCs w:val="24"/>
          <w:lang w:val="en-US" w:eastAsia="zh-CN"/>
        </w:rPr>
        <w:t>m。项目区地下水下游最近的敏感点位于项目区</w:t>
      </w:r>
      <w:r>
        <w:rPr>
          <w:rFonts w:hint="default" w:ascii="Times New Roman" w:hAnsi="Times New Roman" w:cs="Times New Roman"/>
          <w:color w:val="auto"/>
          <w:sz w:val="24"/>
          <w:szCs w:val="24"/>
        </w:rPr>
        <w:t>西</w:t>
      </w:r>
      <w:r>
        <w:rPr>
          <w:rFonts w:hint="default" w:ascii="Times New Roman" w:hAnsi="Times New Roman" w:cs="Times New Roman"/>
          <w:color w:val="auto"/>
          <w:sz w:val="24"/>
          <w:szCs w:val="24"/>
          <w:lang w:eastAsia="zh-CN"/>
        </w:rPr>
        <w:t>南</w:t>
      </w:r>
      <w:r>
        <w:rPr>
          <w:rFonts w:hint="default" w:ascii="Times New Roman" w:hAnsi="Times New Roman" w:cs="Times New Roman"/>
          <w:color w:val="auto"/>
          <w:sz w:val="24"/>
          <w:szCs w:val="24"/>
        </w:rPr>
        <w:t>侧</w:t>
      </w:r>
      <w:r>
        <w:rPr>
          <w:rFonts w:hint="default" w:ascii="Times New Roman" w:hAnsi="Times New Roman" w:cs="Times New Roman"/>
          <w:color w:val="auto"/>
          <w:sz w:val="24"/>
          <w:szCs w:val="24"/>
          <w:lang w:val="en-US"/>
        </w:rPr>
        <w:t>1411m</w:t>
      </w:r>
      <w:r>
        <w:rPr>
          <w:rFonts w:hint="default" w:ascii="Times New Roman" w:hAnsi="Times New Roman" w:cs="Times New Roman"/>
          <w:color w:val="auto"/>
          <w:sz w:val="24"/>
          <w:szCs w:val="24"/>
          <w:lang w:val="en-US" w:eastAsia="zh-CN"/>
        </w:rPr>
        <w:t>处</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污染物未到达项目区地下水下游最近水井处。根据预测结果，同时</w:t>
      </w:r>
      <w:r>
        <w:rPr>
          <w:rFonts w:hint="default" w:ascii="Times New Roman" w:hAnsi="Times New Roman" w:cs="Times New Roman"/>
          <w:color w:val="auto"/>
          <w:sz w:val="24"/>
          <w:szCs w:val="24"/>
          <w:lang w:val="zh-CN" w:eastAsia="zh-CN"/>
        </w:rPr>
        <w:t>在落实防渗措施进行源头防治，运营期通过跟踪监测及时发现问题，及时修复防渗层等情况下，项目对</w:t>
      </w:r>
      <w:r>
        <w:rPr>
          <w:rFonts w:hint="default" w:ascii="Times New Roman" w:hAnsi="Times New Roman" w:cs="Times New Roman"/>
          <w:color w:val="auto"/>
          <w:sz w:val="24"/>
          <w:szCs w:val="24"/>
          <w:lang w:val="en-US" w:eastAsia="zh-CN"/>
        </w:rPr>
        <w:t>项目区地下水下游泉点</w:t>
      </w:r>
      <w:r>
        <w:rPr>
          <w:rFonts w:hint="default" w:ascii="Times New Roman" w:hAnsi="Times New Roman" w:cs="Times New Roman"/>
          <w:color w:val="auto"/>
          <w:sz w:val="24"/>
          <w:szCs w:val="24"/>
          <w:lang w:eastAsia="zh-CN"/>
        </w:rPr>
        <w:t>的影响可控。</w:t>
      </w:r>
    </w:p>
    <w:p w14:paraId="465B8D8A">
      <w:pPr>
        <w:spacing w:line="360" w:lineRule="auto"/>
        <w:ind w:firstLine="480"/>
        <w:jc w:val="both"/>
        <w:rPr>
          <w:rFonts w:hint="default" w:ascii="Times New Roman" w:hAnsi="Times New Roman" w:cs="Times New Roman"/>
          <w:color w:val="auto"/>
          <w:sz w:val="24"/>
          <w:szCs w:val="24"/>
          <w:lang w:val="en-US" w:eastAsia="zh-CN"/>
        </w:rPr>
      </w:pPr>
      <w:bookmarkStart w:id="291" w:name="_Toc22098"/>
      <w:bookmarkStart w:id="292" w:name="_Toc5724"/>
      <w:bookmarkStart w:id="293" w:name="_Toc29330"/>
      <w:bookmarkStart w:id="294" w:name="_Toc25219"/>
      <w:bookmarkStart w:id="295" w:name="_Toc14819"/>
      <w:bookmarkStart w:id="296" w:name="_Toc8084"/>
      <w:bookmarkStart w:id="297" w:name="_Toc7307"/>
      <w:bookmarkStart w:id="298" w:name="_Toc29810"/>
      <w:bookmarkStart w:id="299" w:name="_Toc14586"/>
      <w:r>
        <w:rPr>
          <w:rFonts w:hint="default" w:ascii="Times New Roman" w:hAnsi="Times New Roman" w:cs="Times New Roman"/>
          <w:color w:val="auto"/>
          <w:sz w:val="24"/>
          <w:szCs w:val="24"/>
          <w:lang w:val="en-US" w:eastAsia="zh-CN"/>
        </w:rPr>
        <w:t>（4）非正常状况下地下水跟踪监测井中污染物变化趋势分析</w:t>
      </w:r>
      <w:bookmarkEnd w:id="291"/>
      <w:bookmarkEnd w:id="292"/>
      <w:bookmarkEnd w:id="293"/>
      <w:bookmarkEnd w:id="294"/>
      <w:bookmarkEnd w:id="295"/>
      <w:bookmarkEnd w:id="296"/>
      <w:bookmarkEnd w:id="297"/>
      <w:bookmarkEnd w:id="298"/>
      <w:bookmarkEnd w:id="299"/>
    </w:p>
    <w:p w14:paraId="16B41EC8">
      <w:pPr>
        <w:spacing w:line="360" w:lineRule="auto"/>
        <w:ind w:firstLine="48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地下水跟踪监测井</w:t>
      </w:r>
      <w:r>
        <w:rPr>
          <w:rFonts w:hint="default" w:ascii="Times New Roman" w:hAnsi="Times New Roman" w:cs="Times New Roman"/>
          <w:color w:val="auto"/>
          <w:sz w:val="24"/>
          <w:szCs w:val="24"/>
          <w:lang w:val="en-US"/>
        </w:rPr>
        <w:t>能起到</w:t>
      </w:r>
      <w:r>
        <w:rPr>
          <w:rFonts w:hint="default" w:ascii="Times New Roman" w:hAnsi="Times New Roman" w:cs="Times New Roman"/>
          <w:color w:val="auto"/>
          <w:sz w:val="24"/>
          <w:szCs w:val="24"/>
          <w:lang w:val="en-US" w:eastAsia="zh-CN"/>
        </w:rPr>
        <w:t>对</w:t>
      </w:r>
      <w:r>
        <w:rPr>
          <w:rFonts w:hint="eastAsia" w:ascii="Times New Roman" w:hAnsi="Times New Roman" w:cs="Times New Roman"/>
          <w:color w:val="auto"/>
          <w:sz w:val="24"/>
          <w:szCs w:val="24"/>
          <w:lang w:val="en-US" w:eastAsia="zh-CN"/>
        </w:rPr>
        <w:t>项目区</w:t>
      </w:r>
      <w:r>
        <w:rPr>
          <w:rFonts w:hint="default" w:ascii="Times New Roman" w:hAnsi="Times New Roman" w:cs="Times New Roman"/>
          <w:color w:val="auto"/>
          <w:sz w:val="24"/>
          <w:szCs w:val="24"/>
          <w:lang w:val="en-US" w:eastAsia="zh-CN"/>
        </w:rPr>
        <w:t>地下水防渗层效果</w:t>
      </w:r>
      <w:r>
        <w:rPr>
          <w:rFonts w:hint="default" w:ascii="Times New Roman" w:hAnsi="Times New Roman" w:cs="Times New Roman"/>
          <w:color w:val="auto"/>
          <w:sz w:val="24"/>
          <w:szCs w:val="24"/>
          <w:lang w:val="en-US"/>
        </w:rPr>
        <w:t>的监控作用</w:t>
      </w:r>
      <w:r>
        <w:rPr>
          <w:rFonts w:hint="default" w:ascii="Times New Roman" w:hAnsi="Times New Roman" w:cs="Times New Roman"/>
          <w:color w:val="auto"/>
          <w:sz w:val="24"/>
          <w:szCs w:val="24"/>
          <w:lang w:val="en-US" w:eastAsia="zh-CN"/>
        </w:rPr>
        <w:t>。</w:t>
      </w:r>
    </w:p>
    <w:p w14:paraId="339B7D49">
      <w:pPr>
        <w:spacing w:line="360" w:lineRule="auto"/>
        <w:ind w:firstLine="48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rPr>
        <w:t>根据公式预测计算，在</w:t>
      </w:r>
      <w:r>
        <w:rPr>
          <w:rFonts w:hint="eastAsia" w:cs="Times New Roman"/>
          <w:color w:val="auto"/>
          <w:sz w:val="24"/>
          <w:szCs w:val="24"/>
          <w:lang w:val="en-US" w:eastAsia="zh-CN"/>
        </w:rPr>
        <w:t>废水收集池</w:t>
      </w:r>
      <w:r>
        <w:rPr>
          <w:rFonts w:hint="default" w:ascii="Times New Roman" w:hAnsi="Times New Roman" w:cs="Times New Roman"/>
          <w:color w:val="auto"/>
          <w:sz w:val="24"/>
          <w:szCs w:val="24"/>
          <w:lang w:val="en-US"/>
        </w:rPr>
        <w:t>防渗层出现破损或破裂，废水发生渗漏的非正常状况下，污染物运移至</w:t>
      </w:r>
      <w:r>
        <w:rPr>
          <w:rFonts w:hint="default" w:ascii="Times New Roman" w:hAnsi="Times New Roman" w:cs="Times New Roman"/>
          <w:color w:val="auto"/>
          <w:sz w:val="24"/>
          <w:szCs w:val="24"/>
          <w:lang w:val="en-US" w:eastAsia="zh-CN"/>
        </w:rPr>
        <w:t>地下水跟踪监测井</w:t>
      </w:r>
      <w:r>
        <w:rPr>
          <w:rFonts w:hint="default" w:ascii="Times New Roman" w:hAnsi="Times New Roman" w:cs="Times New Roman"/>
          <w:color w:val="auto"/>
          <w:sz w:val="24"/>
          <w:szCs w:val="24"/>
          <w:lang w:val="en-US"/>
        </w:rPr>
        <w:t>的穿透曲线见下图</w:t>
      </w:r>
      <w:r>
        <w:rPr>
          <w:rFonts w:hint="default" w:ascii="Times New Roman" w:hAnsi="Times New Roman" w:cs="Times New Roman"/>
          <w:color w:val="auto"/>
          <w:sz w:val="24"/>
          <w:szCs w:val="24"/>
          <w:lang w:val="en-US" w:eastAsia="zh-CN"/>
        </w:rPr>
        <w:t>：</w:t>
      </w:r>
    </w:p>
    <w:p w14:paraId="6EBFD80D">
      <w:pPr>
        <w:bidi w:val="0"/>
        <w:rPr>
          <w:rFonts w:hint="default"/>
          <w:color w:val="auto"/>
          <w:lang w:val="en-US" w:eastAsia="zh-CN"/>
        </w:rPr>
      </w:pPr>
      <w:r>
        <w:rPr>
          <w:color w:val="auto"/>
        </w:rPr>
        <w:drawing>
          <wp:inline distT="0" distB="0" distL="114300" distR="114300">
            <wp:extent cx="5443855" cy="3051810"/>
            <wp:effectExtent l="6350" t="6350" r="17145" b="889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295843D">
      <w:pPr>
        <w:bidi w:val="0"/>
        <w:jc w:val="center"/>
        <w:rPr>
          <w:rFonts w:hint="default"/>
          <w:b/>
          <w:bCs/>
          <w:color w:val="auto"/>
          <w:lang w:val="en-US" w:eastAsia="zh-CN"/>
        </w:rPr>
      </w:pPr>
      <w:r>
        <w:rPr>
          <w:rFonts w:hint="default"/>
          <w:b/>
          <w:bCs/>
          <w:color w:val="auto"/>
          <w:lang w:val="en-US" w:eastAsia="zh-CN"/>
        </w:rPr>
        <w:t xml:space="preserve">图5.2-5  </w:t>
      </w:r>
      <w:r>
        <w:rPr>
          <w:rFonts w:hint="eastAsia"/>
          <w:b/>
          <w:bCs/>
          <w:color w:val="auto"/>
          <w:lang w:val="en-US" w:eastAsia="zh-CN"/>
        </w:rPr>
        <w:t>废水收集池</w:t>
      </w:r>
      <w:r>
        <w:rPr>
          <w:rFonts w:hint="default"/>
          <w:b/>
          <w:bCs/>
          <w:color w:val="auto"/>
          <w:lang w:val="en-US" w:eastAsia="zh-CN"/>
        </w:rPr>
        <w:t>氨氮污染物在地下水跟踪监测井中的穿透曲线</w:t>
      </w:r>
    </w:p>
    <w:p w14:paraId="1A31D96B">
      <w:pPr>
        <w:bidi w:val="0"/>
        <w:rPr>
          <w:rFonts w:hint="default"/>
          <w:color w:val="auto"/>
          <w:lang w:val="en-US" w:eastAsia="zh-CN"/>
        </w:rPr>
      </w:pPr>
      <w:r>
        <w:rPr>
          <w:color w:val="auto"/>
        </w:rPr>
        <w:drawing>
          <wp:inline distT="0" distB="0" distL="114300" distR="114300">
            <wp:extent cx="5443855" cy="3051810"/>
            <wp:effectExtent l="6350" t="6350" r="17145" b="8890"/>
            <wp:docPr id="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407B256">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图5.2-6  </w:t>
      </w:r>
      <w:r>
        <w:rPr>
          <w:rFonts w:hint="eastAsia" w:cs="Times New Roman"/>
          <w:b/>
          <w:bCs/>
          <w:color w:val="auto"/>
          <w:sz w:val="21"/>
          <w:szCs w:val="21"/>
          <w:highlight w:val="none"/>
          <w:lang w:val="en-US" w:eastAsia="zh-CN"/>
        </w:rPr>
        <w:t>废水收集池</w:t>
      </w:r>
      <w:r>
        <w:rPr>
          <w:rFonts w:hint="default" w:ascii="Times New Roman" w:hAnsi="Times New Roman" w:eastAsia="宋体" w:cs="Times New Roman"/>
          <w:b/>
          <w:bCs/>
          <w:color w:val="auto"/>
          <w:sz w:val="21"/>
          <w:szCs w:val="21"/>
          <w:highlight w:val="none"/>
          <w:lang w:val="en-US" w:eastAsia="zh-CN"/>
        </w:rPr>
        <w:t>COD</w:t>
      </w:r>
      <w:r>
        <w:rPr>
          <w:rFonts w:hint="default" w:ascii="Times New Roman" w:hAnsi="Times New Roman" w:eastAsia="宋体" w:cs="Times New Roman"/>
          <w:b/>
          <w:bCs/>
          <w:color w:val="auto"/>
          <w:sz w:val="21"/>
          <w:szCs w:val="21"/>
          <w:highlight w:val="none"/>
          <w:vertAlign w:val="subscript"/>
          <w:lang w:val="en-US" w:eastAsia="zh-CN"/>
        </w:rPr>
        <w:t>Mn</w:t>
      </w:r>
      <w:r>
        <w:rPr>
          <w:rFonts w:hint="default" w:ascii="Times New Roman" w:hAnsi="Times New Roman" w:eastAsia="宋体" w:cs="Times New Roman"/>
          <w:b/>
          <w:bCs/>
          <w:color w:val="auto"/>
          <w:sz w:val="21"/>
          <w:szCs w:val="21"/>
          <w:highlight w:val="none"/>
          <w:lang w:val="en-US" w:eastAsia="zh-CN"/>
        </w:rPr>
        <w:t>污染物在地下水跟踪监测井中的穿透曲线</w:t>
      </w:r>
    </w:p>
    <w:p w14:paraId="5188F9C1">
      <w:pPr>
        <w:spacing w:line="360" w:lineRule="auto"/>
        <w:ind w:firstLine="480"/>
        <w:jc w:val="both"/>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rPr>
        <w:t>从图中可看出，在</w:t>
      </w:r>
      <w:r>
        <w:rPr>
          <w:rFonts w:hint="eastAsia" w:ascii="Times New Roman" w:hAnsi="Times New Roman" w:cs="Times New Roman"/>
          <w:color w:val="auto"/>
          <w:sz w:val="24"/>
          <w:szCs w:val="24"/>
          <w:lang w:val="en-US" w:eastAsia="zh-CN"/>
        </w:rPr>
        <w:t>废水收集池</w:t>
      </w:r>
      <w:r>
        <w:rPr>
          <w:rFonts w:hint="default" w:ascii="Times New Roman" w:hAnsi="Times New Roman" w:cs="Times New Roman"/>
          <w:color w:val="auto"/>
          <w:sz w:val="24"/>
          <w:szCs w:val="24"/>
          <w:lang w:val="en-US"/>
        </w:rPr>
        <w:t>防渗层出现破损或破裂，废水发生渗漏的非正常状况下，废水中</w:t>
      </w:r>
      <w:r>
        <w:rPr>
          <w:rFonts w:hint="default" w:ascii="Times New Roman" w:hAnsi="Times New Roman" w:cs="Times New Roman"/>
          <w:color w:val="auto"/>
          <w:sz w:val="24"/>
          <w:szCs w:val="24"/>
          <w:lang w:val="en-US" w:eastAsia="zh-CN"/>
        </w:rPr>
        <w:t>的氨氮和CODMn污染物</w:t>
      </w:r>
      <w:r>
        <w:rPr>
          <w:rFonts w:hint="default" w:ascii="Times New Roman" w:hAnsi="Times New Roman" w:cs="Times New Roman"/>
          <w:color w:val="auto"/>
          <w:sz w:val="24"/>
          <w:szCs w:val="24"/>
          <w:lang w:val="en-US"/>
        </w:rPr>
        <w:t>运移至</w:t>
      </w:r>
      <w:r>
        <w:rPr>
          <w:rFonts w:hint="default" w:ascii="Times New Roman" w:hAnsi="Times New Roman" w:cs="Times New Roman"/>
          <w:color w:val="auto"/>
          <w:sz w:val="24"/>
          <w:szCs w:val="24"/>
          <w:lang w:val="en-US" w:eastAsia="zh-CN"/>
        </w:rPr>
        <w:t>地下水跟踪监测井</w:t>
      </w:r>
      <w:r>
        <w:rPr>
          <w:rFonts w:hint="default" w:ascii="Times New Roman" w:hAnsi="Times New Roman" w:cs="Times New Roman"/>
          <w:color w:val="auto"/>
          <w:sz w:val="24"/>
          <w:szCs w:val="24"/>
          <w:lang w:val="en-US"/>
        </w:rPr>
        <w:t>并导致地下水出现超标</w:t>
      </w:r>
      <w:r>
        <w:rPr>
          <w:rFonts w:hint="default" w:ascii="Times New Roman" w:hAnsi="Times New Roman" w:cs="Times New Roman"/>
          <w:color w:val="auto"/>
          <w:sz w:val="24"/>
          <w:szCs w:val="24"/>
          <w:lang w:val="en-US" w:eastAsia="zh-CN"/>
        </w:rPr>
        <w:t>的时间分别为第</w:t>
      </w:r>
      <w:r>
        <w:rPr>
          <w:rFonts w:hint="eastAsia" w:ascii="Times New Roman" w:hAnsi="Times New Roman" w:cs="Times New Roman"/>
          <w:color w:val="auto"/>
          <w:sz w:val="24"/>
          <w:szCs w:val="24"/>
          <w:lang w:val="en-US" w:eastAsia="zh-CN"/>
        </w:rPr>
        <w:t>340</w:t>
      </w:r>
      <w:r>
        <w:rPr>
          <w:rFonts w:hint="default" w:ascii="Times New Roman" w:hAnsi="Times New Roman" w:cs="Times New Roman"/>
          <w:color w:val="auto"/>
          <w:sz w:val="24"/>
          <w:szCs w:val="24"/>
          <w:lang w:val="en-US" w:eastAsia="zh-CN"/>
        </w:rPr>
        <w:t>天和第</w:t>
      </w:r>
      <w:r>
        <w:rPr>
          <w:rFonts w:hint="eastAsia" w:ascii="Times New Roman" w:hAnsi="Times New Roman" w:cs="Times New Roman"/>
          <w:color w:val="auto"/>
          <w:sz w:val="24"/>
          <w:szCs w:val="24"/>
          <w:lang w:val="en-US" w:eastAsia="zh-CN"/>
        </w:rPr>
        <w:t>310</w:t>
      </w:r>
      <w:r>
        <w:rPr>
          <w:rFonts w:hint="default" w:ascii="Times New Roman" w:hAnsi="Times New Roman" w:cs="Times New Roman"/>
          <w:color w:val="auto"/>
          <w:sz w:val="24"/>
          <w:szCs w:val="24"/>
          <w:lang w:val="en-US" w:eastAsia="zh-CN"/>
        </w:rPr>
        <w:t>天。</w:t>
      </w:r>
      <w:r>
        <w:rPr>
          <w:rFonts w:hint="default" w:ascii="Times New Roman" w:hAnsi="Times New Roman" w:cs="Times New Roman"/>
          <w:color w:val="auto"/>
          <w:sz w:val="24"/>
          <w:szCs w:val="24"/>
        </w:rPr>
        <w:t>为防止</w:t>
      </w:r>
      <w:r>
        <w:rPr>
          <w:rFonts w:hint="default" w:ascii="Times New Roman" w:hAnsi="Times New Roman" w:cs="Times New Roman"/>
          <w:color w:val="auto"/>
          <w:sz w:val="24"/>
          <w:szCs w:val="24"/>
          <w:lang w:val="en-US" w:eastAsia="zh-CN"/>
        </w:rPr>
        <w:t>废水</w:t>
      </w:r>
      <w:r>
        <w:rPr>
          <w:rFonts w:hint="default" w:ascii="Times New Roman" w:hAnsi="Times New Roman" w:cs="Times New Roman"/>
          <w:color w:val="auto"/>
          <w:sz w:val="24"/>
          <w:szCs w:val="24"/>
        </w:rPr>
        <w:t>渗漏对地下水产生影响，在项目运行期对地下水进行监控过程中，若厂区内监测井的污染物出现较大变化时，</w:t>
      </w:r>
      <w:r>
        <w:rPr>
          <w:rFonts w:hint="default" w:ascii="Times New Roman" w:hAnsi="Times New Roman" w:cs="Times New Roman"/>
          <w:color w:val="auto"/>
          <w:sz w:val="24"/>
          <w:szCs w:val="24"/>
          <w:lang w:val="en-US" w:eastAsia="zh-CN"/>
        </w:rPr>
        <w:t>及时</w:t>
      </w:r>
      <w:r>
        <w:rPr>
          <w:rFonts w:hint="default" w:ascii="Times New Roman" w:hAnsi="Times New Roman" w:cs="Times New Roman"/>
          <w:color w:val="auto"/>
          <w:sz w:val="24"/>
          <w:szCs w:val="24"/>
        </w:rPr>
        <w:t>查找渗漏点进行检修补漏，减少持续影响。</w:t>
      </w:r>
    </w:p>
    <w:p w14:paraId="677D7A22">
      <w:pPr>
        <w:ind w:firstLine="420" w:firstLineChars="200"/>
        <w:rPr>
          <w:rFonts w:hint="default" w:ascii="Times New Roman" w:hAnsi="Times New Roman" w:eastAsia="宋体" w:cs="Times New Roman"/>
          <w:color w:val="auto"/>
          <w:kern w:val="2"/>
          <w:sz w:val="24"/>
          <w:szCs w:val="24"/>
          <w:highlight w:val="none"/>
          <w:lang w:val="en-US" w:eastAsia="zh-CN" w:bidi="zh-CN"/>
        </w:rPr>
      </w:pPr>
      <w:r>
        <w:rPr>
          <w:rFonts w:hint="default" w:ascii="Times New Roman" w:hAnsi="Times New Roman" w:eastAsia="Arial" w:cs="Times New Roman"/>
          <w:i w:val="0"/>
          <w:iCs w:val="0"/>
          <w:caps w:val="0"/>
          <w:color w:val="auto"/>
          <w:spacing w:val="0"/>
          <w:sz w:val="21"/>
          <w:szCs w:val="21"/>
          <w:highlight w:val="none"/>
          <w:shd w:val="clear" w:color="auto" w:fill="FFFFFF"/>
        </w:rPr>
        <w:t>‌</w:t>
      </w:r>
    </w:p>
    <w:p w14:paraId="1626FEBD">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color w:val="auto"/>
          <w:lang w:val="en-US" w:eastAsia="zh-CN"/>
        </w:rPr>
      </w:pPr>
      <w:r>
        <w:rPr>
          <w:rFonts w:hint="eastAsia"/>
          <w:color w:val="auto"/>
          <w:lang w:val="en-US" w:eastAsia="zh-CN"/>
        </w:rPr>
        <w:t>5.2.3.7</w:t>
      </w:r>
      <w:r>
        <w:rPr>
          <w:rFonts w:hint="default"/>
          <w:color w:val="auto"/>
          <w:lang w:val="en-US" w:eastAsia="zh-CN"/>
        </w:rPr>
        <w:t>污粪还田区对地下水污染影响</w:t>
      </w:r>
    </w:p>
    <w:p w14:paraId="264959BB">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根据区域水文地质图，项目污粪还田区主要为第四系残坡积（Q4dl+el）①层粘土及②层中生界三叠系个旧组（T2g）灰岩和第四系残坡积（Q4dl+el）①层粘土及</w:t>
      </w:r>
      <w:r>
        <w:rPr>
          <w:rFonts w:hint="eastAsia" w:ascii="Times New Roman" w:hAnsi="Times New Roman" w:cs="Times New Roman"/>
          <w:color w:val="auto"/>
          <w:sz w:val="24"/>
          <w:szCs w:val="24"/>
          <w:lang w:val="en-US" w:eastAsia="zh-CN"/>
        </w:rPr>
        <w:t>新生界上第三系上-中新统河头组N1-2h</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主要为</w:t>
      </w:r>
      <w:r>
        <w:rPr>
          <w:rFonts w:hint="default" w:ascii="Times New Roman" w:hAnsi="Times New Roman" w:cs="Times New Roman"/>
          <w:color w:val="auto"/>
          <w:sz w:val="24"/>
          <w:szCs w:val="24"/>
        </w:rPr>
        <w:t>粘土</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砂质黏土夹褐煤和碳质粘土</w:t>
      </w:r>
      <w:r>
        <w:rPr>
          <w:rFonts w:hint="default" w:ascii="Times New Roman" w:hAnsi="Times New Roman" w:cs="Times New Roman"/>
          <w:color w:val="auto"/>
          <w:sz w:val="24"/>
          <w:szCs w:val="24"/>
        </w:rPr>
        <w:t>，地下水类型为风化裂隙水，根据资料收集及现场调查，污粪还田区不涉及饮用水水源地、热水、矿泉水、温泉等特殊地下水资源保护区及其补给径流区。项目粪肥经过无害化处理后回用，经计算还田面积满足一倍以上轮作面积要求，粪肥经农作物吸收，对区域地下水影响较小。</w:t>
      </w:r>
    </w:p>
    <w:p w14:paraId="34A433F9">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default"/>
          <w:color w:val="auto"/>
          <w:lang w:val="en-US" w:eastAsia="zh-CN"/>
        </w:rPr>
      </w:pPr>
      <w:r>
        <w:rPr>
          <w:rFonts w:hint="default"/>
          <w:color w:val="auto"/>
          <w:lang w:val="en-US" w:eastAsia="zh-CN"/>
        </w:rPr>
        <w:t>5.2.3.</w:t>
      </w:r>
      <w:r>
        <w:rPr>
          <w:rFonts w:hint="eastAsia"/>
          <w:color w:val="auto"/>
          <w:lang w:val="en-US" w:eastAsia="zh-CN"/>
        </w:rPr>
        <w:t>8</w:t>
      </w:r>
      <w:r>
        <w:rPr>
          <w:rFonts w:hint="default"/>
          <w:color w:val="auto"/>
          <w:lang w:val="en-US" w:eastAsia="zh-CN"/>
        </w:rPr>
        <w:t>地下水污染防控措施</w:t>
      </w:r>
    </w:p>
    <w:p w14:paraId="2F3A3588">
      <w:pPr>
        <w:snapToGrid w:val="0"/>
        <w:spacing w:line="360" w:lineRule="auto"/>
        <w:ind w:right="25" w:rightChars="12"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根据工程分析，项目地下水污染防控措施如下：</w:t>
      </w:r>
    </w:p>
    <w:p w14:paraId="4907300F">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（1）清污分流</w:t>
      </w:r>
    </w:p>
    <w:p w14:paraId="26B2BE1C">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要按清污分流分质处理的原则，建设雨污排水系统。</w:t>
      </w:r>
    </w:p>
    <w:p w14:paraId="46214F33">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（2）厂区污染防渗措施及要求</w:t>
      </w:r>
    </w:p>
    <w:p w14:paraId="54713560">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依据厂区可能发生渗漏的区域的污染物性质和生产单元的构筑方式，结合厂区地质和水文地质条件，对厂区采取分区防渗措施。根据《环境影响评价技术导则 地下水环境》（HJ610-2016）厂区可划分为重点防渗区、一般防渗区和简单防渗区。</w:t>
      </w:r>
    </w:p>
    <w:p w14:paraId="0A93971D">
      <w:pPr>
        <w:snapToGrid w:val="0"/>
        <w:spacing w:line="360" w:lineRule="auto"/>
        <w:ind w:right="25" w:rightChars="12"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项目厂区污染防渗分区、防渗标准及要求见表5.2.3-</w:t>
      </w:r>
      <w:r>
        <w:rPr>
          <w:rFonts w:hint="eastAsia" w:cs="Times New Roman"/>
          <w:color w:val="auto"/>
          <w:sz w:val="24"/>
          <w:highlight w:val="none"/>
          <w:lang w:val="en-US" w:eastAsia="zh-CN"/>
        </w:rPr>
        <w:t>7</w:t>
      </w:r>
      <w:r>
        <w:rPr>
          <w:rFonts w:hint="default" w:ascii="Times New Roman" w:hAnsi="Times New Roman" w:cs="Times New Roman"/>
          <w:color w:val="auto"/>
          <w:highlight w:val="none"/>
        </w:rPr>
        <w:t>。</w:t>
      </w:r>
      <w:r>
        <w:rPr>
          <w:rFonts w:hint="default" w:ascii="Times New Roman" w:hAnsi="Times New Roman" w:cs="Times New Roman"/>
          <w:color w:val="auto"/>
          <w:sz w:val="24"/>
          <w:highlight w:val="none"/>
        </w:rPr>
        <w:t>地下水分区防渗见附图9。</w:t>
      </w:r>
    </w:p>
    <w:p w14:paraId="17723A1F">
      <w:pPr>
        <w:ind w:right="25" w:rightChars="12"/>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表5.2.3-</w:t>
      </w:r>
      <w:r>
        <w:rPr>
          <w:rFonts w:hint="eastAsia" w:cs="Times New Roman"/>
          <w:b/>
          <w:color w:val="auto"/>
          <w:szCs w:val="21"/>
          <w:highlight w:val="none"/>
          <w:lang w:val="en-US" w:eastAsia="zh-CN"/>
        </w:rPr>
        <w:t>7</w:t>
      </w:r>
      <w:r>
        <w:rPr>
          <w:rFonts w:hint="default" w:ascii="Times New Roman" w:hAnsi="Times New Roman" w:cs="Times New Roman"/>
          <w:b/>
          <w:color w:val="auto"/>
          <w:szCs w:val="21"/>
          <w:highlight w:val="none"/>
        </w:rPr>
        <w:t xml:space="preserve">   项目污染防渗分区、防渗标准及要求一览表</w:t>
      </w:r>
    </w:p>
    <w:tbl>
      <w:tblPr>
        <w:tblStyle w:val="23"/>
        <w:tblW w:w="8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1731"/>
        <w:gridCol w:w="5428"/>
      </w:tblGrid>
      <w:tr w14:paraId="77B4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blHeader/>
          <w:jc w:val="center"/>
        </w:trPr>
        <w:tc>
          <w:tcPr>
            <w:tcW w:w="1632" w:type="dxa"/>
            <w:vAlign w:val="center"/>
          </w:tcPr>
          <w:p w14:paraId="7443A2FE">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污染防渗区类别</w:t>
            </w:r>
          </w:p>
        </w:tc>
        <w:tc>
          <w:tcPr>
            <w:tcW w:w="1731" w:type="dxa"/>
            <w:vAlign w:val="center"/>
          </w:tcPr>
          <w:p w14:paraId="763CFF75">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防渗区名称</w:t>
            </w:r>
          </w:p>
        </w:tc>
        <w:tc>
          <w:tcPr>
            <w:tcW w:w="5428" w:type="dxa"/>
            <w:vAlign w:val="center"/>
          </w:tcPr>
          <w:p w14:paraId="0198C66D">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防渗标准及要求</w:t>
            </w:r>
          </w:p>
        </w:tc>
      </w:tr>
      <w:tr w14:paraId="168D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blHeader/>
          <w:jc w:val="center"/>
        </w:trPr>
        <w:tc>
          <w:tcPr>
            <w:tcW w:w="1632" w:type="dxa"/>
            <w:vMerge w:val="restart"/>
            <w:vAlign w:val="center"/>
          </w:tcPr>
          <w:p w14:paraId="1EA2701D">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重点防渗区</w:t>
            </w:r>
          </w:p>
        </w:tc>
        <w:tc>
          <w:tcPr>
            <w:tcW w:w="1731" w:type="dxa"/>
            <w:vAlign w:val="center"/>
          </w:tcPr>
          <w:p w14:paraId="0FEDE096">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危废暂存间</w:t>
            </w:r>
          </w:p>
        </w:tc>
        <w:tc>
          <w:tcPr>
            <w:tcW w:w="5428" w:type="dxa"/>
            <w:vAlign w:val="center"/>
          </w:tcPr>
          <w:p w14:paraId="712E1BA0">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基础防渗+表面防渗。表面防渗采用抗渗混凝土、高密度聚乙烯膜、钠基膨润土防水毯或其他防渗性能等效的材料；基础防渗为2mm厚高密度聚乙烯膜（K≤1.0×10</w:t>
            </w:r>
            <w:r>
              <w:rPr>
                <w:rFonts w:hint="default" w:ascii="Times New Roman" w:hAnsi="Times New Roman" w:cs="Times New Roman"/>
                <w:color w:val="auto"/>
                <w:sz w:val="18"/>
                <w:szCs w:val="18"/>
                <w:vertAlign w:val="superscript"/>
              </w:rPr>
              <w:t>-10</w:t>
            </w:r>
            <w:r>
              <w:rPr>
                <w:rFonts w:hint="default" w:ascii="Times New Roman" w:hAnsi="Times New Roman" w:cs="Times New Roman"/>
                <w:color w:val="auto"/>
                <w:sz w:val="18"/>
                <w:szCs w:val="18"/>
              </w:rPr>
              <w:t>cm/s）。防渗、防腐材料应覆盖所有可能与废物及其渗滤液、渗漏液等接触的构筑物表面</w:t>
            </w:r>
          </w:p>
        </w:tc>
      </w:tr>
      <w:tr w14:paraId="7E81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blHeader/>
          <w:jc w:val="center"/>
        </w:trPr>
        <w:tc>
          <w:tcPr>
            <w:tcW w:w="1632" w:type="dxa"/>
            <w:vMerge w:val="continue"/>
            <w:vAlign w:val="center"/>
          </w:tcPr>
          <w:p w14:paraId="19B695E5">
            <w:pPr>
              <w:rPr>
                <w:rFonts w:hint="default" w:ascii="Times New Roman" w:hAnsi="Times New Roman" w:cs="Times New Roman"/>
                <w:color w:val="auto"/>
                <w:sz w:val="18"/>
                <w:szCs w:val="18"/>
              </w:rPr>
            </w:pPr>
          </w:p>
        </w:tc>
        <w:tc>
          <w:tcPr>
            <w:tcW w:w="1731" w:type="dxa"/>
            <w:vAlign w:val="center"/>
          </w:tcPr>
          <w:p w14:paraId="7F52F479">
            <w:pP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eastAsia="zh-CN"/>
              </w:rPr>
              <w:t>粪尿收集池</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废水收集池</w:t>
            </w:r>
            <w:r>
              <w:rPr>
                <w:rFonts w:hint="default" w:ascii="Times New Roman" w:hAnsi="Times New Roman" w:cs="Times New Roman"/>
                <w:color w:val="auto"/>
                <w:sz w:val="18"/>
                <w:szCs w:val="18"/>
              </w:rPr>
              <w:t>、堆</w:t>
            </w:r>
            <w:r>
              <w:rPr>
                <w:rFonts w:hint="default" w:ascii="Times New Roman" w:hAnsi="Times New Roman" w:cs="Times New Roman"/>
                <w:color w:val="auto"/>
                <w:sz w:val="18"/>
                <w:szCs w:val="18"/>
                <w:lang w:val="en-US" w:eastAsia="zh-CN"/>
              </w:rPr>
              <w:t>粪棚、</w:t>
            </w:r>
            <w:r>
              <w:rPr>
                <w:rFonts w:hint="default" w:ascii="Times New Roman" w:hAnsi="Times New Roman" w:cs="Times New Roman"/>
                <w:color w:val="auto"/>
                <w:sz w:val="18"/>
                <w:szCs w:val="18"/>
                <w:lang w:eastAsia="zh-CN"/>
              </w:rPr>
              <w:t>固液分离区</w:t>
            </w:r>
          </w:p>
        </w:tc>
        <w:tc>
          <w:tcPr>
            <w:tcW w:w="5428" w:type="dxa"/>
            <w:vAlign w:val="center"/>
          </w:tcPr>
          <w:p w14:paraId="1F158443">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等效黏土防渗层厚度Mb≥6m，渗透系数K≤1.0×10</w:t>
            </w:r>
            <w:r>
              <w:rPr>
                <w:rFonts w:hint="default" w:ascii="Times New Roman" w:hAnsi="Times New Roman" w:cs="Times New Roman"/>
                <w:color w:val="auto"/>
                <w:sz w:val="18"/>
                <w:szCs w:val="18"/>
                <w:vertAlign w:val="superscript"/>
              </w:rPr>
              <w:t>-</w:t>
            </w:r>
            <w:r>
              <w:rPr>
                <w:rFonts w:hint="default" w:ascii="Times New Roman" w:hAnsi="Times New Roman" w:cs="Times New Roman"/>
                <w:color w:val="auto"/>
                <w:sz w:val="18"/>
                <w:szCs w:val="18"/>
              </w:rPr>
              <w:t>7cm/s；或参照GB18598执行</w:t>
            </w:r>
          </w:p>
        </w:tc>
      </w:tr>
      <w:tr w14:paraId="1C75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blHeader/>
          <w:jc w:val="center"/>
        </w:trPr>
        <w:tc>
          <w:tcPr>
            <w:tcW w:w="1632" w:type="dxa"/>
            <w:vAlign w:val="center"/>
          </w:tcPr>
          <w:p w14:paraId="0EDEEDB8">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一般防渗区</w:t>
            </w:r>
          </w:p>
        </w:tc>
        <w:tc>
          <w:tcPr>
            <w:tcW w:w="1731" w:type="dxa"/>
            <w:vAlign w:val="center"/>
          </w:tcPr>
          <w:p w14:paraId="77196120">
            <w:pP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rPr>
              <w:t>隔油池、化粪池、初期雨水收集池、</w:t>
            </w:r>
            <w:r>
              <w:rPr>
                <w:rFonts w:hint="default" w:ascii="Times New Roman" w:hAnsi="Times New Roman" w:cs="Times New Roman"/>
                <w:color w:val="auto"/>
                <w:sz w:val="18"/>
                <w:szCs w:val="18"/>
                <w:lang w:val="en-US" w:eastAsia="zh-CN"/>
              </w:rPr>
              <w:t>车辆洗消棚沉淀池</w:t>
            </w:r>
            <w:r>
              <w:rPr>
                <w:rFonts w:hint="default" w:ascii="Times New Roman" w:hAnsi="Times New Roman" w:cs="Times New Roman"/>
                <w:bCs/>
                <w:color w:val="auto"/>
                <w:sz w:val="18"/>
                <w:szCs w:val="18"/>
                <w:lang w:val="en-US" w:eastAsia="zh-CN"/>
              </w:rPr>
              <w:t>、</w:t>
            </w:r>
            <w:r>
              <w:rPr>
                <w:rFonts w:hint="default" w:ascii="Times New Roman" w:hAnsi="Times New Roman" w:cs="Times New Roman"/>
                <w:bCs/>
                <w:color w:val="auto"/>
                <w:sz w:val="18"/>
                <w:szCs w:val="18"/>
              </w:rPr>
              <w:t>柴油发电室</w:t>
            </w:r>
            <w:r>
              <w:rPr>
                <w:rFonts w:hint="default" w:ascii="Times New Roman" w:hAnsi="Times New Roman" w:cs="Times New Roman"/>
                <w:bCs/>
                <w:color w:val="auto"/>
                <w:sz w:val="18"/>
                <w:szCs w:val="18"/>
                <w:lang w:eastAsia="zh-CN"/>
              </w:rPr>
              <w:t>、</w:t>
            </w:r>
            <w:r>
              <w:rPr>
                <w:rFonts w:hint="default" w:ascii="Times New Roman" w:hAnsi="Times New Roman" w:cs="Times New Roman"/>
                <w:color w:val="auto"/>
                <w:sz w:val="18"/>
                <w:szCs w:val="18"/>
                <w:lang w:val="en-US" w:eastAsia="zh-CN"/>
              </w:rPr>
              <w:t>冷库、防疫固废暂存间</w:t>
            </w:r>
          </w:p>
        </w:tc>
        <w:tc>
          <w:tcPr>
            <w:tcW w:w="5428" w:type="dxa"/>
            <w:vAlign w:val="center"/>
          </w:tcPr>
          <w:p w14:paraId="614E2EBA">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等效黏土防渗层厚度Mb≥1.5m，渗透系数K≤1.0×10-7cm/s；或参照16889执行</w:t>
            </w:r>
          </w:p>
        </w:tc>
      </w:tr>
      <w:tr w14:paraId="6250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 w:hRule="atLeast"/>
          <w:tblHeader/>
          <w:jc w:val="center"/>
        </w:trPr>
        <w:tc>
          <w:tcPr>
            <w:tcW w:w="1632" w:type="dxa"/>
            <w:vAlign w:val="center"/>
          </w:tcPr>
          <w:p w14:paraId="2A77B890">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简单防渗区</w:t>
            </w:r>
          </w:p>
        </w:tc>
        <w:tc>
          <w:tcPr>
            <w:tcW w:w="1731" w:type="dxa"/>
            <w:vAlign w:val="center"/>
          </w:tcPr>
          <w:p w14:paraId="570F1583">
            <w:pP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物资消毒仓库</w:t>
            </w:r>
            <w:r>
              <w:rPr>
                <w:rFonts w:hint="default" w:ascii="Times New Roman" w:hAnsi="Times New Roman" w:cs="Times New Roman"/>
                <w:color w:val="auto"/>
                <w:sz w:val="18"/>
                <w:szCs w:val="18"/>
              </w:rPr>
              <w:t>、配电房、料塔区、办公生活区、厂区道路</w:t>
            </w:r>
          </w:p>
        </w:tc>
        <w:tc>
          <w:tcPr>
            <w:tcW w:w="5428" w:type="dxa"/>
            <w:vAlign w:val="center"/>
          </w:tcPr>
          <w:p w14:paraId="1BA51BE2">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一般地面硬化</w:t>
            </w:r>
          </w:p>
        </w:tc>
      </w:tr>
    </w:tbl>
    <w:p w14:paraId="419F20B8">
      <w:pPr>
        <w:snapToGrid w:val="0"/>
        <w:spacing w:before="156" w:beforeLines="50" w:line="360" w:lineRule="auto"/>
        <w:ind w:left="42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（3）污废水渗漏检测及地下水污染监控措施</w:t>
      </w:r>
    </w:p>
    <w:p w14:paraId="43C2F002">
      <w:pPr>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根据前文分析，项目运营期产生的废水</w:t>
      </w:r>
      <w:r>
        <w:rPr>
          <w:rFonts w:hint="default" w:ascii="Times New Roman" w:hAnsi="Times New Roman" w:eastAsia="宋体" w:cs="Times New Roman"/>
          <w:color w:val="auto"/>
          <w:sz w:val="24"/>
          <w:highlight w:val="none"/>
          <w:lang w:val="en-US" w:eastAsia="zh-CN"/>
        </w:rPr>
        <w:t>依托弥勒温氏畜牧有限公司新哨种猪场建设项目污水处理站处理后用于绿化及农田灌溉。</w:t>
      </w:r>
      <w:r>
        <w:rPr>
          <w:rFonts w:hint="default" w:ascii="Times New Roman" w:hAnsi="Times New Roman" w:cs="Times New Roman"/>
          <w:color w:val="auto"/>
          <w:kern w:val="0"/>
          <w:sz w:val="24"/>
          <w:highlight w:val="none"/>
        </w:rPr>
        <w:t>正常情况下废水对地下水影响较小。非正常情况主要考虑</w:t>
      </w:r>
      <w:r>
        <w:rPr>
          <w:rFonts w:hint="default" w:ascii="Times New Roman" w:hAnsi="Times New Roman" w:cs="Times New Roman"/>
          <w:color w:val="auto"/>
          <w:kern w:val="0"/>
          <w:sz w:val="24"/>
          <w:highlight w:val="none"/>
          <w:lang w:val="en-US" w:eastAsia="zh-CN"/>
        </w:rPr>
        <w:t>废水收集池</w:t>
      </w:r>
      <w:r>
        <w:rPr>
          <w:rFonts w:hint="default" w:ascii="Times New Roman" w:hAnsi="Times New Roman" w:cs="Times New Roman"/>
          <w:color w:val="auto"/>
          <w:kern w:val="0"/>
          <w:sz w:val="24"/>
          <w:highlight w:val="none"/>
        </w:rPr>
        <w:t>发生渗漏，污染物下渗污染地下水的情况，结合项目预测结果，根据《环境影响评价技术导则 地下水环境》（HJ 610-2016）11.3 地下水环境监测和管理：11.3.2.1 跟踪监测点数量要求：b）三级评价的建设项目，一般不少于1个，应至少在建设项目场地下游方向布置一个。因此项目在</w:t>
      </w:r>
      <w:r>
        <w:rPr>
          <w:rFonts w:hint="default" w:ascii="Times New Roman" w:hAnsi="Times New Roman" w:cs="Times New Roman"/>
          <w:color w:val="auto"/>
          <w:kern w:val="0"/>
          <w:sz w:val="24"/>
          <w:highlight w:val="none"/>
          <w:lang w:val="en-US" w:eastAsia="zh-CN"/>
        </w:rPr>
        <w:t>废水收集池</w:t>
      </w:r>
      <w:r>
        <w:rPr>
          <w:rFonts w:hint="default" w:ascii="Times New Roman" w:hAnsi="Times New Roman" w:cs="Times New Roman"/>
          <w:color w:val="auto"/>
          <w:kern w:val="0"/>
          <w:sz w:val="24"/>
          <w:highlight w:val="none"/>
        </w:rPr>
        <w:t>下游</w:t>
      </w:r>
      <w:r>
        <w:rPr>
          <w:rFonts w:hint="eastAsia" w:cs="Times New Roman"/>
          <w:color w:val="auto"/>
          <w:kern w:val="0"/>
          <w:sz w:val="24"/>
          <w:highlight w:val="none"/>
          <w:lang w:val="en-US" w:eastAsia="zh-CN"/>
        </w:rPr>
        <w:t>25</w:t>
      </w:r>
      <w:r>
        <w:rPr>
          <w:rFonts w:hint="default" w:ascii="Times New Roman" w:hAnsi="Times New Roman" w:cs="Times New Roman"/>
          <w:color w:val="auto"/>
          <w:kern w:val="0"/>
          <w:sz w:val="24"/>
          <w:highlight w:val="none"/>
        </w:rPr>
        <w:t>m范围内设置1个跟踪监测井。具体方案为：</w:t>
      </w:r>
    </w:p>
    <w:p w14:paraId="0EAC8A47">
      <w:pPr>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①跟踪监测井的要求：井深打至见水为止，井身采用管道进行围护，并设置围挡的井口，上锁保护。</w:t>
      </w:r>
    </w:p>
    <w:p w14:paraId="3238A67F">
      <w:pPr>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②参考《排污单位自行监测技术指南 畜禽养殖业》（HJ1252-2020），监测因子为：pH、耗氧量（COD</w:t>
      </w:r>
      <w:r>
        <w:rPr>
          <w:rFonts w:hint="default" w:ascii="Times New Roman" w:hAnsi="Times New Roman" w:cs="Times New Roman"/>
          <w:color w:val="auto"/>
          <w:kern w:val="0"/>
          <w:sz w:val="24"/>
          <w:highlight w:val="none"/>
          <w:vertAlign w:val="subscript"/>
        </w:rPr>
        <w:t>Mn</w:t>
      </w:r>
      <w:r>
        <w:rPr>
          <w:rFonts w:hint="default" w:ascii="Times New Roman" w:hAnsi="Times New Roman" w:cs="Times New Roman"/>
          <w:color w:val="auto"/>
          <w:kern w:val="0"/>
          <w:sz w:val="24"/>
          <w:highlight w:val="none"/>
        </w:rPr>
        <w:t>）、NH</w:t>
      </w:r>
      <w:r>
        <w:rPr>
          <w:rFonts w:hint="default" w:ascii="Times New Roman" w:hAnsi="Times New Roman" w:cs="Times New Roman"/>
          <w:color w:val="auto"/>
          <w:kern w:val="0"/>
          <w:sz w:val="24"/>
          <w:highlight w:val="none"/>
          <w:vertAlign w:val="subscript"/>
        </w:rPr>
        <w:t>3</w:t>
      </w:r>
      <w:r>
        <w:rPr>
          <w:rFonts w:hint="default" w:ascii="Times New Roman" w:hAnsi="Times New Roman" w:cs="Times New Roman"/>
          <w:color w:val="auto"/>
          <w:kern w:val="0"/>
          <w:sz w:val="24"/>
          <w:highlight w:val="none"/>
        </w:rPr>
        <w:t>-N、溶解性总固体、总大肠菌群、细菌总数。</w:t>
      </w:r>
    </w:p>
    <w:p w14:paraId="4ADE4BF2">
      <w:pPr>
        <w:snapToGrid w:val="0"/>
        <w:spacing w:line="360" w:lineRule="auto"/>
        <w:ind w:firstLine="480" w:firstLineChars="200"/>
        <w:rPr>
          <w:rFonts w:hint="default" w:ascii="Times New Roman" w:hAnsi="Times New Roman" w:cs="Times New Roman"/>
          <w:color w:val="auto"/>
          <w:kern w:val="0"/>
          <w:sz w:val="24"/>
          <w:highlight w:val="none"/>
          <w:lang w:bidi="zh-CN"/>
        </w:rPr>
      </w:pPr>
      <w:r>
        <w:rPr>
          <w:rFonts w:hint="default" w:ascii="Times New Roman" w:hAnsi="Times New Roman" w:cs="Times New Roman"/>
          <w:color w:val="auto"/>
          <w:kern w:val="0"/>
          <w:sz w:val="24"/>
          <w:highlight w:val="none"/>
          <w:lang w:bidi="zh-CN"/>
        </w:rPr>
        <w:t>③监测频次：建议每年监测1次。</w:t>
      </w:r>
    </w:p>
    <w:p w14:paraId="4E47BC35">
      <w:pPr>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应委托有资质的单位开展监测，并将每次的监测数据及时进行统计、整理，并将每次的监测结果与相关标准及历史监测结果进行比较，以分析地下水水质各项指标的变化。在日常例行监测中，一旦发现地下水水质监测数据异常，应尽快核查数据，确保数据的正确性。并将核查过的监测数据通告建设单位环保部门，由专人负责对数据进行分析、核实，并密切关注生产设施的运行情况，为防止地下水污染采取措施提供正确的依据。</w:t>
      </w:r>
    </w:p>
    <w:p w14:paraId="283DAC46">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（4）应急处置措施</w:t>
      </w:r>
    </w:p>
    <w:p w14:paraId="1B78C0A2">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①项目防渗层或污废水输送管道等出现破损或破裂时，应及时对其进行修补，避免污废水发生渗漏。</w:t>
      </w:r>
    </w:p>
    <w:p w14:paraId="18CBAD14">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②运营过程中安排专人对污水处理设施进行巡视，定期进行维护，保证污水处理设施处于正常工作状态，避免发生事故排放。</w:t>
      </w:r>
    </w:p>
    <w:p w14:paraId="693F31A8">
      <w:pPr>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5.2.3.</w:t>
      </w:r>
      <w:r>
        <w:rPr>
          <w:rFonts w:hint="eastAsia" w:cs="Times New Roman"/>
          <w:b/>
          <w:bCs/>
          <w:color w:val="auto"/>
          <w:sz w:val="24"/>
          <w:highlight w:val="none"/>
          <w:lang w:val="en-US" w:eastAsia="zh-CN"/>
        </w:rPr>
        <w:t>9</w:t>
      </w:r>
      <w:r>
        <w:rPr>
          <w:rFonts w:hint="default" w:ascii="Times New Roman" w:hAnsi="Times New Roman" w:cs="Times New Roman"/>
          <w:b/>
          <w:bCs/>
          <w:color w:val="auto"/>
          <w:sz w:val="24"/>
          <w:highlight w:val="none"/>
        </w:rPr>
        <w:t>小结</w:t>
      </w:r>
    </w:p>
    <w:p w14:paraId="55EB26BC">
      <w:pPr>
        <w:snapToGrid w:val="0"/>
        <w:spacing w:line="360" w:lineRule="auto"/>
        <w:ind w:firstLine="480" w:firstLineChars="200"/>
        <w:rPr>
          <w:rFonts w:hint="default" w:ascii="Times New Roman" w:hAnsi="Times New Roman" w:cs="Times New Roman"/>
          <w:color w:val="auto"/>
          <w:sz w:val="24"/>
          <w:highlight w:val="none"/>
          <w:lang w:bidi="zh-CN"/>
        </w:rPr>
      </w:pPr>
      <w:r>
        <w:rPr>
          <w:rFonts w:hint="default" w:ascii="Times New Roman" w:hAnsi="Times New Roman" w:cs="Times New Roman"/>
          <w:color w:val="auto"/>
          <w:sz w:val="24"/>
          <w:highlight w:val="none"/>
        </w:rPr>
        <w:t>项目废水</w:t>
      </w:r>
      <w:r>
        <w:rPr>
          <w:rFonts w:hint="default" w:ascii="Times New Roman" w:hAnsi="Times New Roman" w:eastAsia="宋体" w:cs="Times New Roman"/>
          <w:color w:val="auto"/>
          <w:sz w:val="24"/>
          <w:highlight w:val="none"/>
          <w:lang w:val="en-US" w:eastAsia="zh-CN"/>
        </w:rPr>
        <w:t>依托弥勒温氏畜牧有限公司新哨种猪场建设项目污水处理站处理后用于绿化及农田灌溉</w:t>
      </w:r>
      <w:r>
        <w:rPr>
          <w:rFonts w:hint="default" w:ascii="Times New Roman" w:hAnsi="Times New Roman" w:cs="Times New Roman"/>
          <w:color w:val="auto"/>
          <w:sz w:val="24"/>
          <w:highlight w:val="none"/>
        </w:rPr>
        <w:t>。项目区按照《环境影响评价技术导则 地下水环境》（HJ610-2016）中的防渗要求进行分区防渗设计，落实防渗措施的情况下，项目正常运行过程中发生渗漏的可能性小。非正常情况，若</w:t>
      </w:r>
      <w:r>
        <w:rPr>
          <w:rFonts w:hint="default" w:ascii="Times New Roman" w:hAnsi="Times New Roman" w:cs="Times New Roman"/>
          <w:color w:val="auto"/>
          <w:sz w:val="24"/>
          <w:highlight w:val="none"/>
          <w:lang w:bidi="zh-CN"/>
        </w:rPr>
        <w:t>防渗层发生破损废水下渗会对地下水水质产生一定程度的影响，影响范围为下游</w:t>
      </w:r>
      <w:r>
        <w:rPr>
          <w:rFonts w:hint="default" w:ascii="Times New Roman" w:hAnsi="Times New Roman" w:cs="Times New Roman"/>
          <w:color w:val="auto"/>
          <w:sz w:val="24"/>
          <w:highlight w:val="none"/>
          <w:lang w:val="en-US" w:bidi="zh-CN"/>
        </w:rPr>
        <w:t>660m</w:t>
      </w:r>
      <w:r>
        <w:rPr>
          <w:rFonts w:hint="default" w:ascii="Times New Roman" w:hAnsi="Times New Roman" w:cs="Times New Roman"/>
          <w:color w:val="auto"/>
          <w:sz w:val="24"/>
          <w:highlight w:val="none"/>
          <w:lang w:bidi="zh-CN"/>
        </w:rPr>
        <w:t>，影响范围内无地下水饮用水点。考虑地层的吸附和过滤作用，</w:t>
      </w:r>
      <w:r>
        <w:rPr>
          <w:rFonts w:hint="default" w:ascii="Times New Roman" w:hAnsi="Times New Roman" w:cs="Times New Roman"/>
          <w:color w:val="auto"/>
          <w:sz w:val="24"/>
          <w:szCs w:val="24"/>
          <w:highlight w:val="none"/>
          <w:lang w:val="zh-CN" w:eastAsia="zh-CN" w:bidi="ar"/>
        </w:rPr>
        <w:t>在落实防渗措施进行源头防治，运营期通过跟踪监测及时发现问题，及时修复防渗层等情况下，项目对</w:t>
      </w:r>
      <w:r>
        <w:rPr>
          <w:rFonts w:hint="default" w:ascii="Times New Roman" w:hAnsi="Times New Roman" w:cs="Times New Roman"/>
          <w:color w:val="auto"/>
          <w:sz w:val="24"/>
          <w:highlight w:val="none"/>
          <w:lang w:val="en-US" w:eastAsia="zh-CN"/>
        </w:rPr>
        <w:t>地下水</w:t>
      </w:r>
      <w:r>
        <w:rPr>
          <w:rFonts w:hint="default" w:ascii="Times New Roman" w:hAnsi="Times New Roman" w:cs="Times New Roman"/>
          <w:color w:val="auto"/>
          <w:sz w:val="24"/>
          <w:highlight w:val="none"/>
          <w:lang w:eastAsia="zh-CN"/>
        </w:rPr>
        <w:t>影响可控，可以及时将污染物控制在厂区范围内。</w:t>
      </w:r>
    </w:p>
    <w:p w14:paraId="76C2BAA0">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bidi="zh-CN"/>
        </w:rPr>
        <w:t>当地下水污染后治理、修复的技术难度较大，投入的治理、修复资金较大，且治理效果难于达到原有环境水平，因此，本项目应切实做好有效的防污、防渗措施，杜绝废水渗漏等污染事故。</w:t>
      </w:r>
    </w:p>
    <w:p w14:paraId="1EF501E3">
      <w:pPr>
        <w:pStyle w:val="4"/>
        <w:adjustRightInd w:val="0"/>
        <w:snapToGrid w:val="0"/>
        <w:spacing w:before="0" w:beforeLines="0" w:after="0" w:afterLines="0" w:line="360" w:lineRule="auto"/>
        <w:ind w:firstLine="0" w:firstLineChars="0"/>
        <w:rPr>
          <w:rFonts w:hint="default" w:ascii="Times New Roman" w:hAnsi="Times New Roman" w:cs="Times New Roman"/>
          <w:color w:val="auto"/>
          <w:szCs w:val="20"/>
          <w:highlight w:val="none"/>
        </w:rPr>
      </w:pPr>
      <w:bookmarkStart w:id="300" w:name="_Toc24119"/>
      <w:r>
        <w:rPr>
          <w:rStyle w:val="35"/>
          <w:rFonts w:hint="default" w:ascii="Times New Roman" w:hAnsi="Times New Roman" w:eastAsia="宋体" w:cs="Times New Roman"/>
          <w:color w:val="auto"/>
          <w:sz w:val="24"/>
          <w:szCs w:val="24"/>
          <w:highlight w:val="none"/>
        </w:rPr>
        <w:t>5.2.4声环境影响分析</w:t>
      </w:r>
      <w:bookmarkEnd w:id="300"/>
    </w:p>
    <w:p w14:paraId="5F1473FE">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1、噪声预测参数</w:t>
      </w:r>
    </w:p>
    <w:p w14:paraId="4401E696">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（1）噪声预测源强</w:t>
      </w:r>
    </w:p>
    <w:p w14:paraId="411562B3">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项目运营期产生的噪声主要包括设备噪声、猪叫声和交通噪声等。由于项目区在保证充足水及粮食、合理喂养的情况下，猪群较为安静，且猪群噪声为间断噪声，可忽略不计；交通噪声为移动声源，为间断噪声，主要进行定性分析。因此，本项目运营期噪声预测主要考虑固定生产设备噪声对周围环境的影响，预测源强见表</w:t>
      </w:r>
      <w:r>
        <w:rPr>
          <w:rFonts w:hint="default" w:ascii="Times New Roman" w:hAnsi="Times New Roman" w:cs="Times New Roman"/>
          <w:color w:val="auto"/>
          <w:sz w:val="24"/>
          <w:highlight w:val="none"/>
          <w:lang w:val="en-US" w:eastAsia="zh-CN"/>
        </w:rPr>
        <w:t>3.3.2-10、3.3.2-11。</w:t>
      </w:r>
    </w:p>
    <w:p w14:paraId="66706ABD">
      <w:pPr>
        <w:adjustRightInd w:val="0"/>
        <w:snapToGrid w:val="0"/>
        <w:spacing w:before="156" w:beforeLines="5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（2）基础数据</w:t>
      </w:r>
    </w:p>
    <w:p w14:paraId="0A9BB16F">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表5.2.4-1    项目</w:t>
      </w:r>
      <w:r>
        <w:rPr>
          <w:rFonts w:hint="default" w:ascii="Times New Roman" w:hAnsi="Times New Roman" w:cs="Times New Roman"/>
          <w:b/>
          <w:bCs/>
          <w:color w:val="auto"/>
          <w:szCs w:val="21"/>
          <w:highlight w:val="none"/>
        </w:rPr>
        <w:t>噪声环境影响预测基础数据表</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2616"/>
        <w:gridCol w:w="2106"/>
        <w:gridCol w:w="2000"/>
      </w:tblGrid>
      <w:tr w14:paraId="6BA3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3" w:type="dxa"/>
            <w:vAlign w:val="center"/>
          </w:tcPr>
          <w:p w14:paraId="1C2F93F9">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序号</w:t>
            </w:r>
          </w:p>
        </w:tc>
        <w:tc>
          <w:tcPr>
            <w:tcW w:w="2616" w:type="dxa"/>
            <w:vAlign w:val="center"/>
          </w:tcPr>
          <w:p w14:paraId="05AE94E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2106" w:type="dxa"/>
            <w:vAlign w:val="center"/>
          </w:tcPr>
          <w:p w14:paraId="0DECB58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2000" w:type="dxa"/>
            <w:vAlign w:val="center"/>
          </w:tcPr>
          <w:p w14:paraId="247DE23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数据</w:t>
            </w:r>
          </w:p>
        </w:tc>
      </w:tr>
      <w:tr w14:paraId="7260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3" w:type="dxa"/>
            <w:vAlign w:val="center"/>
          </w:tcPr>
          <w:p w14:paraId="652523F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616" w:type="dxa"/>
            <w:vAlign w:val="center"/>
          </w:tcPr>
          <w:p w14:paraId="4851BB1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年平均风速</w:t>
            </w:r>
          </w:p>
        </w:tc>
        <w:tc>
          <w:tcPr>
            <w:tcW w:w="2106" w:type="dxa"/>
            <w:vAlign w:val="center"/>
          </w:tcPr>
          <w:p w14:paraId="3883E8E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m/s</w:t>
            </w:r>
          </w:p>
        </w:tc>
        <w:tc>
          <w:tcPr>
            <w:tcW w:w="2000" w:type="dxa"/>
            <w:vAlign w:val="center"/>
          </w:tcPr>
          <w:p w14:paraId="3D1AE86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1.875</w:t>
            </w:r>
          </w:p>
        </w:tc>
      </w:tr>
      <w:tr w14:paraId="47B4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3" w:type="dxa"/>
            <w:vAlign w:val="center"/>
          </w:tcPr>
          <w:p w14:paraId="7FDFA95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2616" w:type="dxa"/>
            <w:vAlign w:val="center"/>
          </w:tcPr>
          <w:p w14:paraId="2F73C40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主导风向</w:t>
            </w:r>
          </w:p>
        </w:tc>
        <w:tc>
          <w:tcPr>
            <w:tcW w:w="2106" w:type="dxa"/>
            <w:vAlign w:val="center"/>
          </w:tcPr>
          <w:p w14:paraId="749337C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2000" w:type="dxa"/>
            <w:vAlign w:val="center"/>
          </w:tcPr>
          <w:p w14:paraId="447F802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西南风</w:t>
            </w:r>
          </w:p>
        </w:tc>
      </w:tr>
      <w:tr w14:paraId="0FE0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3" w:type="dxa"/>
            <w:vAlign w:val="center"/>
          </w:tcPr>
          <w:p w14:paraId="0697798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2616" w:type="dxa"/>
            <w:vAlign w:val="center"/>
          </w:tcPr>
          <w:p w14:paraId="20FBC52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年平均气温</w:t>
            </w:r>
          </w:p>
        </w:tc>
        <w:tc>
          <w:tcPr>
            <w:tcW w:w="2106" w:type="dxa"/>
            <w:vAlign w:val="center"/>
          </w:tcPr>
          <w:p w14:paraId="6775153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2000" w:type="dxa"/>
            <w:vAlign w:val="center"/>
          </w:tcPr>
          <w:p w14:paraId="11C7280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18.0</w:t>
            </w:r>
          </w:p>
        </w:tc>
      </w:tr>
      <w:tr w14:paraId="4FDA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3" w:type="dxa"/>
            <w:vAlign w:val="center"/>
          </w:tcPr>
          <w:p w14:paraId="07BF4CD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2616" w:type="dxa"/>
            <w:vAlign w:val="center"/>
          </w:tcPr>
          <w:p w14:paraId="2070D4E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年平均相对湿度</w:t>
            </w:r>
          </w:p>
        </w:tc>
        <w:tc>
          <w:tcPr>
            <w:tcW w:w="2106" w:type="dxa"/>
            <w:vAlign w:val="center"/>
          </w:tcPr>
          <w:p w14:paraId="0D68881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2000" w:type="dxa"/>
            <w:vAlign w:val="center"/>
          </w:tcPr>
          <w:p w14:paraId="5E2DAA7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84</w:t>
            </w:r>
          </w:p>
        </w:tc>
      </w:tr>
      <w:tr w14:paraId="1445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3" w:type="dxa"/>
            <w:vAlign w:val="center"/>
          </w:tcPr>
          <w:p w14:paraId="6DCE024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2616" w:type="dxa"/>
            <w:vAlign w:val="center"/>
          </w:tcPr>
          <w:p w14:paraId="0C43E4A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大气压强</w:t>
            </w:r>
          </w:p>
        </w:tc>
        <w:tc>
          <w:tcPr>
            <w:tcW w:w="2106" w:type="dxa"/>
            <w:vAlign w:val="center"/>
          </w:tcPr>
          <w:p w14:paraId="5266BCC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atm</w:t>
            </w:r>
          </w:p>
        </w:tc>
        <w:tc>
          <w:tcPr>
            <w:tcW w:w="2000" w:type="dxa"/>
            <w:vAlign w:val="center"/>
          </w:tcPr>
          <w:p w14:paraId="768301E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r>
    </w:tbl>
    <w:p w14:paraId="1A9E8FE0">
      <w:pPr>
        <w:adjustRightInd w:val="0"/>
        <w:snapToGrid w:val="0"/>
        <w:spacing w:before="156" w:beforeLines="50"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2、噪声预测模型</w:t>
      </w:r>
    </w:p>
    <w:p w14:paraId="5BE4AAA3">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根据项目建设内容及《环境影响评价技术导则—声环境》（HJ2.4-2021）的要求，采用《环境影响评价技术导则 声环境》(HJ2.4.2021)附录A（规范性附录）户外声传播的衰减和附录B（规范性附录）中“B.1工业噪声预测计算模型”。</w:t>
      </w:r>
    </w:p>
    <w:p w14:paraId="1FC4F68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①室内声源等效室外声源声功率级计算方法</w:t>
      </w:r>
    </w:p>
    <w:p w14:paraId="2C187C48">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对于一个车间内多个不同的噪声源，先利用公式A.1计算出所有室内声源在围护结构处产生的i倍频带叠加声压级：</w:t>
      </w:r>
    </w:p>
    <w:p w14:paraId="7D609543">
      <w:pPr>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position w:val="-28"/>
          <w:sz w:val="24"/>
          <w:highlight w:val="none"/>
        </w:rPr>
        <w:object>
          <v:shape id="_x0000_i1029" o:spt="75" type="#_x0000_t75" style="height:34.5pt;width:134.25pt;" o:ole="t" filled="f" coordsize="21600,21600">
            <v:path/>
            <v:fill on="f" focussize="0,0"/>
            <v:stroke/>
            <v:imagedata r:id="rId63" o:title=""/>
            <o:lock v:ext="edit" aspectratio="t"/>
            <w10:wrap type="none"/>
            <w10:anchorlock/>
          </v:shape>
          <o:OLEObject Type="Embed" ProgID="Equation.3" ShapeID="_x0000_i1029" DrawAspect="Content" ObjectID="_1468075729" r:id="rId62">
            <o:LockedField>false</o:LockedField>
          </o:OLEObject>
        </w:object>
      </w:r>
      <w:r>
        <w:rPr>
          <w:rFonts w:hint="default" w:ascii="Times New Roman" w:hAnsi="Times New Roman" w:cs="Times New Roman"/>
          <w:color w:val="auto"/>
          <w:sz w:val="24"/>
          <w:highlight w:val="none"/>
        </w:rPr>
        <w:t xml:space="preserve">           (A.1)</w:t>
      </w:r>
    </w:p>
    <w:p w14:paraId="29DB81E8">
      <w:pPr>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p</w:t>
      </w:r>
      <w:r>
        <w:rPr>
          <w:rFonts w:hint="default" w:ascii="Times New Roman" w:hAnsi="Times New Roman" w:cs="Times New Roman"/>
          <w:iCs/>
          <w:color w:val="auto"/>
          <w:sz w:val="24"/>
          <w:highlight w:val="none"/>
          <w:vertAlign w:val="subscript"/>
        </w:rPr>
        <w:t>1</w:t>
      </w:r>
      <w:r>
        <w:rPr>
          <w:rFonts w:hint="default" w:ascii="Times New Roman" w:hAnsi="Times New Roman" w:cs="Times New Roman"/>
          <w:i/>
          <w:iCs/>
          <w:color w:val="auto"/>
          <w:sz w:val="24"/>
          <w:highlight w:val="none"/>
          <w:vertAlign w:val="subscript"/>
        </w:rPr>
        <w:t>i</w:t>
      </w:r>
      <w:r>
        <w:rPr>
          <w:rFonts w:hint="default" w:ascii="Times New Roman" w:hAnsi="Times New Roman" w:cs="Times New Roman"/>
          <w:i/>
          <w:iCs/>
          <w:color w:val="auto"/>
          <w:sz w:val="24"/>
          <w:highlight w:val="none"/>
        </w:rPr>
        <w:t>（T）</w:t>
      </w:r>
      <w:r>
        <w:rPr>
          <w:rFonts w:hint="default" w:ascii="Times New Roman" w:hAnsi="Times New Roman" w:cs="Times New Roman"/>
          <w:i/>
          <w:color w:val="auto"/>
          <w:sz w:val="24"/>
          <w:highlight w:val="none"/>
        </w:rPr>
        <w:t>—</w:t>
      </w:r>
      <w:r>
        <w:rPr>
          <w:rFonts w:hint="default" w:ascii="Times New Roman" w:hAnsi="Times New Roman" w:cs="Times New Roman"/>
          <w:color w:val="auto"/>
          <w:sz w:val="24"/>
          <w:highlight w:val="none"/>
        </w:rPr>
        <w:t>靠近围护结构处室内N个声源的叠加声压级，dB；</w:t>
      </w:r>
    </w:p>
    <w:p w14:paraId="348A2A46">
      <w:pPr>
        <w:spacing w:line="360" w:lineRule="auto"/>
        <w:ind w:firstLine="720" w:firstLineChars="300"/>
        <w:rPr>
          <w:rFonts w:hint="default" w:ascii="Times New Roman" w:hAnsi="Times New Roman" w:cs="Times New Roman"/>
          <w:color w:val="auto"/>
          <w:sz w:val="24"/>
          <w:highlight w:val="none"/>
        </w:rPr>
      </w:pPr>
      <w:r>
        <w:rPr>
          <w:rFonts w:hint="default" w:ascii="Times New Roman" w:hAnsi="Times New Roman" w:cs="Times New Roman"/>
          <w:i/>
          <w:iCs/>
          <w:color w:val="auto"/>
          <w:sz w:val="24"/>
          <w:highlight w:val="none"/>
        </w:rPr>
        <w:t>L</w:t>
      </w:r>
      <w:r>
        <w:rPr>
          <w:rFonts w:hint="default" w:ascii="Times New Roman" w:hAnsi="Times New Roman" w:cs="Times New Roman"/>
          <w:i/>
          <w:iCs/>
          <w:color w:val="auto"/>
          <w:sz w:val="24"/>
          <w:highlight w:val="none"/>
          <w:vertAlign w:val="subscript"/>
        </w:rPr>
        <w:t>p</w:t>
      </w:r>
      <w:r>
        <w:rPr>
          <w:rFonts w:hint="default" w:ascii="Times New Roman" w:hAnsi="Times New Roman" w:cs="Times New Roman"/>
          <w:iCs/>
          <w:color w:val="auto"/>
          <w:sz w:val="24"/>
          <w:highlight w:val="none"/>
          <w:vertAlign w:val="subscript"/>
        </w:rPr>
        <w:t>1</w:t>
      </w:r>
      <w:r>
        <w:rPr>
          <w:rFonts w:hint="default" w:ascii="Times New Roman" w:hAnsi="Times New Roman" w:cs="Times New Roman"/>
          <w:i/>
          <w:iCs/>
          <w:color w:val="auto"/>
          <w:sz w:val="24"/>
          <w:highlight w:val="none"/>
          <w:vertAlign w:val="subscript"/>
        </w:rPr>
        <w:t>ij</w:t>
      </w:r>
      <w:r>
        <w:rPr>
          <w:rFonts w:hint="default" w:ascii="Times New Roman" w:hAnsi="Times New Roman" w:cs="Times New Roman"/>
          <w:i/>
          <w:color w:val="auto"/>
          <w:sz w:val="24"/>
          <w:highlight w:val="none"/>
        </w:rPr>
        <w:t>—</w:t>
      </w:r>
      <w:r>
        <w:rPr>
          <w:rFonts w:hint="default" w:ascii="Times New Roman" w:hAnsi="Times New Roman" w:cs="Times New Roman"/>
          <w:color w:val="auto"/>
          <w:sz w:val="24"/>
          <w:highlight w:val="none"/>
        </w:rPr>
        <w:t>室内</w:t>
      </w:r>
      <w:r>
        <w:rPr>
          <w:rFonts w:hint="default" w:ascii="Times New Roman" w:hAnsi="Times New Roman" w:cs="Times New Roman"/>
          <w:i/>
          <w:color w:val="auto"/>
          <w:sz w:val="24"/>
          <w:highlight w:val="none"/>
        </w:rPr>
        <w:t>j</w:t>
      </w:r>
      <w:r>
        <w:rPr>
          <w:rFonts w:hint="default" w:ascii="Times New Roman" w:hAnsi="Times New Roman" w:cs="Times New Roman"/>
          <w:color w:val="auto"/>
          <w:sz w:val="24"/>
          <w:highlight w:val="none"/>
        </w:rPr>
        <w:t>声源</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倍频带的声压级，dB；</w:t>
      </w:r>
    </w:p>
    <w:p w14:paraId="171ADC2F">
      <w:pPr>
        <w:spacing w:line="360" w:lineRule="auto"/>
        <w:ind w:firstLine="720" w:firstLineChars="300"/>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N——</w:t>
      </w:r>
      <w:r>
        <w:rPr>
          <w:rFonts w:hint="default" w:ascii="Times New Roman" w:hAnsi="Times New Roman" w:cs="Times New Roman"/>
          <w:bCs/>
          <w:color w:val="auto"/>
          <w:sz w:val="24"/>
          <w:highlight w:val="none"/>
        </w:rPr>
        <w:t>室内声源总数</w:t>
      </w:r>
      <w:r>
        <w:rPr>
          <w:rFonts w:hint="default" w:ascii="Times New Roman" w:hAnsi="Times New Roman" w:cs="Times New Roman"/>
          <w:color w:val="auto"/>
          <w:sz w:val="24"/>
          <w:highlight w:val="none"/>
        </w:rPr>
        <w:t>；</w:t>
      </w:r>
    </w:p>
    <w:p w14:paraId="2AE674A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然后，室内声源可采用等效室外声源声功率级法进行计算。设靠近开口处（或窗户）室内、室外某倍频带的声压级分别为L</w:t>
      </w:r>
      <w:r>
        <w:rPr>
          <w:rFonts w:hint="default" w:ascii="Times New Roman" w:hAnsi="Times New Roman" w:cs="Times New Roman"/>
          <w:color w:val="auto"/>
          <w:sz w:val="24"/>
          <w:highlight w:val="none"/>
          <w:vertAlign w:val="subscript"/>
        </w:rPr>
        <w:t>P1</w:t>
      </w:r>
      <w:r>
        <w:rPr>
          <w:rFonts w:hint="default" w:ascii="Times New Roman" w:hAnsi="Times New Roman" w:cs="Times New Roman"/>
          <w:color w:val="auto"/>
          <w:sz w:val="24"/>
          <w:highlight w:val="none"/>
        </w:rPr>
        <w:t>和L</w:t>
      </w:r>
      <w:r>
        <w:rPr>
          <w:rFonts w:hint="default" w:ascii="Times New Roman" w:hAnsi="Times New Roman" w:cs="Times New Roman"/>
          <w:color w:val="auto"/>
          <w:sz w:val="24"/>
          <w:highlight w:val="none"/>
          <w:vertAlign w:val="subscript"/>
        </w:rPr>
        <w:t>P2</w:t>
      </w:r>
      <w:r>
        <w:rPr>
          <w:rFonts w:hint="default" w:ascii="Times New Roman" w:hAnsi="Times New Roman" w:cs="Times New Roman"/>
          <w:color w:val="auto"/>
          <w:sz w:val="24"/>
          <w:highlight w:val="none"/>
        </w:rPr>
        <w:t>。若声源所在室内声场为近似扩散声场，则室外的倍频带声压级可按公式（A.2）近似求出：</w:t>
      </w:r>
    </w:p>
    <w:p w14:paraId="6169F1D4">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P2</w:t>
      </w: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P1</w:t>
      </w:r>
      <w:r>
        <w:rPr>
          <w:rFonts w:hint="default" w:ascii="Times New Roman" w:hAnsi="Times New Roman" w:cs="Times New Roman"/>
          <w:color w:val="auto"/>
          <w:sz w:val="24"/>
          <w:highlight w:val="none"/>
        </w:rPr>
        <w:t>-（TL+6）           （A.2）</w:t>
      </w:r>
    </w:p>
    <w:p w14:paraId="01754E3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式中：TL—隔墙（或窗户）倍频带的隔声量，dB。</w:t>
      </w:r>
    </w:p>
    <w:p w14:paraId="4B3E0BE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②噪声衰减公式 </w:t>
      </w:r>
    </w:p>
    <w:p w14:paraId="5EFCB96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然后根据室外噪声源计算结果，通过公式（A.3）计算出各声源在厂界处衰减值。</w:t>
      </w:r>
    </w:p>
    <w:p w14:paraId="23719221">
      <w:pPr>
        <w:pStyle w:val="53"/>
        <w:spacing w:line="360" w:lineRule="auto"/>
        <w:ind w:firstLine="48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Loct</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rPr>
        <w:t>＝Loct(r</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)－20lg(r/r</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)－△Loct    （A.3）</w:t>
      </w:r>
    </w:p>
    <w:p w14:paraId="1D920564">
      <w:pPr>
        <w:pStyle w:val="53"/>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式中：Loct</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rPr>
        <w:t>—点声源在预测点产生的声压级；</w:t>
      </w:r>
    </w:p>
    <w:p w14:paraId="641406F1">
      <w:pPr>
        <w:pStyle w:val="53"/>
        <w:spacing w:line="360" w:lineRule="auto"/>
        <w:ind w:firstLine="1224" w:firstLineChars="51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Loct(r</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)—参考位置处的声压级；</w:t>
      </w:r>
    </w:p>
    <w:p w14:paraId="53A79ECD">
      <w:pPr>
        <w:pStyle w:val="53"/>
        <w:spacing w:line="360" w:lineRule="auto"/>
        <w:ind w:firstLine="1344" w:firstLineChars="56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r</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—参考位置测点与声源之间的距离(m)；</w:t>
      </w:r>
    </w:p>
    <w:p w14:paraId="7CF0F44D">
      <w:pPr>
        <w:pStyle w:val="53"/>
        <w:spacing w:line="360" w:lineRule="auto"/>
        <w:ind w:firstLine="1344" w:firstLineChars="56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r—预测点与声源之间的距离(m)；</w:t>
      </w:r>
    </w:p>
    <w:p w14:paraId="5296A14F">
      <w:pPr>
        <w:pStyle w:val="53"/>
        <w:spacing w:line="360" w:lineRule="auto"/>
        <w:ind w:firstLine="1344" w:firstLineChars="560"/>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△Loct—各种因素引起的衰减量(包括声屏障、遮挡物、空气吸收、地面效应引起的衰减量)，本项目取20dB(A)。</w:t>
      </w:r>
    </w:p>
    <w:p w14:paraId="2A5C8582">
      <w:pPr>
        <w:pStyle w:val="53"/>
        <w:spacing w:line="360" w:lineRule="auto"/>
        <w:ind w:firstLine="504" w:firstLineChars="210"/>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③点声源叠加公式</w:t>
      </w:r>
    </w:p>
    <w:p w14:paraId="1B928018">
      <w:pPr>
        <w:pStyle w:val="54"/>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inline distT="0" distB="0" distL="0" distR="0">
            <wp:extent cx="2019300" cy="447675"/>
            <wp:effectExtent l="0" t="0" r="0" b="8255"/>
            <wp:docPr id="36" name="图片 1" descr="说明: 说明: C:\Users\ADMINI~1\AppData\Local\Temp\ksohtml674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说明: 说明: C:\Users\ADMINI~1\AppData\Local\Temp\ksohtml6744\wps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019300" cy="447675"/>
                    </a:xfrm>
                    <a:prstGeom prst="rect">
                      <a:avLst/>
                    </a:prstGeom>
                    <a:noFill/>
                    <a:ln>
                      <a:noFill/>
                    </a:ln>
                  </pic:spPr>
                </pic:pic>
              </a:graphicData>
            </a:graphic>
          </wp:inline>
        </w:drawing>
      </w:r>
      <w:r>
        <w:rPr>
          <w:rFonts w:hint="default" w:ascii="Times New Roman" w:hAnsi="Times New Roman" w:cs="Times New Roman"/>
          <w:color w:val="auto"/>
          <w:sz w:val="24"/>
          <w:szCs w:val="24"/>
          <w:highlight w:val="none"/>
        </w:rPr>
        <w:t xml:space="preserve">  ）  （A.4）</w:t>
      </w:r>
    </w:p>
    <w:p w14:paraId="64A43247">
      <w:pPr>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公式中：</w:t>
      </w:r>
    </w:p>
    <w:p w14:paraId="2294347B">
      <w:pPr>
        <w:spacing w:line="360" w:lineRule="auto"/>
        <w:ind w:firstLine="960" w:firstLineChars="4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LA-某预测点的声压级；</w:t>
      </w:r>
    </w:p>
    <w:p w14:paraId="3F55DEE2">
      <w:pPr>
        <w:spacing w:line="360" w:lineRule="auto"/>
        <w:ind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Lab-某预测点的噪声背景值；</w:t>
      </w:r>
    </w:p>
    <w:p w14:paraId="6B4D79DD">
      <w:pPr>
        <w:spacing w:line="360" w:lineRule="auto"/>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Lpi-第i个声源至预测点处的声压级；</w:t>
      </w:r>
    </w:p>
    <w:p w14:paraId="6477AA9E">
      <w:pPr>
        <w:spacing w:line="360" w:lineRule="auto"/>
        <w:ind w:firstLine="960" w:firstLineChars="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n- 声源个数。</w:t>
      </w:r>
    </w:p>
    <w:p w14:paraId="4C13C18E">
      <w:pPr>
        <w:snapToGrid w:val="0"/>
        <w:spacing w:before="156" w:beforeLines="50" w:line="360" w:lineRule="auto"/>
        <w:ind w:firstLine="482" w:firstLineChars="200"/>
        <w:rPr>
          <w:rFonts w:hint="default" w:ascii="Times New Roman" w:hAnsi="Times New Roman" w:cs="Times New Roman"/>
          <w:b/>
          <w:color w:val="auto"/>
          <w:kern w:val="28"/>
          <w:sz w:val="24"/>
          <w:szCs w:val="20"/>
          <w:highlight w:val="none"/>
        </w:rPr>
      </w:pPr>
      <w:r>
        <w:rPr>
          <w:rFonts w:hint="default" w:ascii="Times New Roman" w:hAnsi="Times New Roman" w:cs="Times New Roman"/>
          <w:b/>
          <w:color w:val="auto"/>
          <w:kern w:val="28"/>
          <w:sz w:val="24"/>
          <w:szCs w:val="20"/>
          <w:highlight w:val="none"/>
        </w:rPr>
        <w:t>3、预测范围</w:t>
      </w:r>
    </w:p>
    <w:p w14:paraId="2CE597E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预测范围与评价范围一致，为项目厂界外扩200m范围。</w:t>
      </w:r>
    </w:p>
    <w:p w14:paraId="3FAEF153">
      <w:pPr>
        <w:snapToGrid w:val="0"/>
        <w:spacing w:line="360" w:lineRule="auto"/>
        <w:ind w:firstLine="482" w:firstLineChars="200"/>
        <w:rPr>
          <w:rFonts w:hint="default" w:ascii="Times New Roman" w:hAnsi="Times New Roman" w:cs="Times New Roman"/>
          <w:b/>
          <w:color w:val="auto"/>
          <w:kern w:val="28"/>
          <w:sz w:val="24"/>
          <w:szCs w:val="20"/>
          <w:highlight w:val="none"/>
        </w:rPr>
      </w:pPr>
      <w:r>
        <w:rPr>
          <w:rFonts w:hint="default" w:ascii="Times New Roman" w:hAnsi="Times New Roman" w:cs="Times New Roman"/>
          <w:b/>
          <w:color w:val="auto"/>
          <w:kern w:val="28"/>
          <w:sz w:val="24"/>
          <w:szCs w:val="20"/>
          <w:highlight w:val="none"/>
          <w:lang w:val="en-US" w:eastAsia="zh-CN"/>
        </w:rPr>
        <w:t>4</w:t>
      </w:r>
      <w:r>
        <w:rPr>
          <w:rFonts w:hint="default" w:ascii="Times New Roman" w:hAnsi="Times New Roman" w:cs="Times New Roman"/>
          <w:b/>
          <w:color w:val="auto"/>
          <w:kern w:val="28"/>
          <w:sz w:val="24"/>
          <w:szCs w:val="20"/>
          <w:highlight w:val="none"/>
        </w:rPr>
        <w:t>、预测结果及分析</w:t>
      </w:r>
    </w:p>
    <w:p w14:paraId="5B008C9A">
      <w:pPr>
        <w:snapToGrid w:val="0"/>
        <w:spacing w:line="360" w:lineRule="auto"/>
        <w:ind w:firstLine="480" w:firstLineChars="200"/>
        <w:rPr>
          <w:rFonts w:hint="default" w:ascii="Times New Roman" w:hAnsi="Times New Roman" w:cs="Times New Roman"/>
          <w:color w:val="auto"/>
          <w:kern w:val="28"/>
          <w:sz w:val="24"/>
          <w:szCs w:val="20"/>
          <w:highlight w:val="none"/>
        </w:rPr>
      </w:pPr>
      <w:r>
        <w:rPr>
          <w:rFonts w:hint="default" w:ascii="Times New Roman" w:hAnsi="Times New Roman" w:cs="Times New Roman"/>
          <w:color w:val="auto"/>
          <w:kern w:val="28"/>
          <w:sz w:val="24"/>
          <w:szCs w:val="20"/>
          <w:highlight w:val="none"/>
        </w:rPr>
        <w:t>通过预测模型计算，项目厂界噪声预测结果与达标分析见表5.2.4-2、5.2.4-3；敏感点噪声预测结果见5.2.4-4。</w:t>
      </w:r>
    </w:p>
    <w:p w14:paraId="1E002C70">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表5.2.4-2    项目运营期生产设备噪声衰减至厂界的贡献值（昼间）   单位：dB（A）</w:t>
      </w:r>
    </w:p>
    <w:p w14:paraId="29439ACA">
      <w:pPr>
        <w:snapToGrid w:val="0"/>
        <w:jc w:val="center"/>
        <w:rPr>
          <w:rFonts w:hint="default" w:ascii="Times New Roman" w:hAnsi="Times New Roman" w:cs="Times New Roman"/>
          <w:b/>
          <w:color w:val="auto"/>
          <w:szCs w:val="21"/>
          <w:highlight w:val="none"/>
        </w:rPr>
      </w:pPr>
    </w:p>
    <w:tbl>
      <w:tblPr>
        <w:tblStyle w:val="23"/>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121"/>
        <w:gridCol w:w="869"/>
        <w:gridCol w:w="869"/>
        <w:gridCol w:w="1363"/>
        <w:gridCol w:w="1258"/>
        <w:gridCol w:w="1258"/>
        <w:gridCol w:w="1052"/>
      </w:tblGrid>
      <w:tr w14:paraId="6BFC7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vMerge w:val="restart"/>
            <w:shd w:val="clear" w:color="auto" w:fill="auto"/>
            <w:vAlign w:val="center"/>
          </w:tcPr>
          <w:p w14:paraId="44F44BB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名称</w:t>
            </w:r>
          </w:p>
        </w:tc>
        <w:tc>
          <w:tcPr>
            <w:tcW w:w="869" w:type="dxa"/>
            <w:vMerge w:val="restart"/>
            <w:shd w:val="clear" w:color="auto" w:fill="auto"/>
            <w:vAlign w:val="center"/>
          </w:tcPr>
          <w:p w14:paraId="73BC687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X(m)</w:t>
            </w:r>
          </w:p>
        </w:tc>
        <w:tc>
          <w:tcPr>
            <w:tcW w:w="869" w:type="dxa"/>
            <w:vMerge w:val="restart"/>
            <w:shd w:val="clear" w:color="auto" w:fill="auto"/>
            <w:vAlign w:val="center"/>
          </w:tcPr>
          <w:p w14:paraId="14C3851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Y(m)</w:t>
            </w:r>
          </w:p>
        </w:tc>
        <w:tc>
          <w:tcPr>
            <w:tcW w:w="1363" w:type="dxa"/>
            <w:vMerge w:val="restart"/>
            <w:shd w:val="clear" w:color="auto" w:fill="auto"/>
            <w:vAlign w:val="center"/>
          </w:tcPr>
          <w:p w14:paraId="2FF8D7E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离地高度(m)</w:t>
            </w:r>
          </w:p>
        </w:tc>
        <w:tc>
          <w:tcPr>
            <w:tcW w:w="1258" w:type="dxa"/>
            <w:shd w:val="clear" w:color="auto" w:fill="auto"/>
            <w:vAlign w:val="center"/>
          </w:tcPr>
          <w:p w14:paraId="4BC9933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昼间</w:t>
            </w:r>
          </w:p>
        </w:tc>
        <w:tc>
          <w:tcPr>
            <w:tcW w:w="2310" w:type="dxa"/>
            <w:gridSpan w:val="2"/>
            <w:shd w:val="clear" w:color="auto" w:fill="auto"/>
            <w:vAlign w:val="center"/>
          </w:tcPr>
          <w:p w14:paraId="71E9FA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场界标准</w:t>
            </w:r>
          </w:p>
        </w:tc>
      </w:tr>
      <w:tr w14:paraId="5616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vMerge w:val="continue"/>
            <w:shd w:val="clear" w:color="auto" w:fill="auto"/>
            <w:vAlign w:val="center"/>
          </w:tcPr>
          <w:p w14:paraId="28BC0154">
            <w:pPr>
              <w:jc w:val="center"/>
              <w:rPr>
                <w:rFonts w:hint="default" w:ascii="Times New Roman" w:hAnsi="Times New Roman" w:eastAsia="宋体" w:cs="Times New Roman"/>
                <w:i w:val="0"/>
                <w:iCs w:val="0"/>
                <w:color w:val="auto"/>
                <w:sz w:val="18"/>
                <w:szCs w:val="18"/>
                <w:u w:val="none"/>
              </w:rPr>
            </w:pPr>
          </w:p>
        </w:tc>
        <w:tc>
          <w:tcPr>
            <w:tcW w:w="869" w:type="dxa"/>
            <w:vMerge w:val="continue"/>
            <w:shd w:val="clear" w:color="auto" w:fill="auto"/>
            <w:vAlign w:val="center"/>
          </w:tcPr>
          <w:p w14:paraId="320B6035">
            <w:pPr>
              <w:jc w:val="center"/>
              <w:rPr>
                <w:rFonts w:hint="default" w:ascii="Times New Roman" w:hAnsi="Times New Roman" w:eastAsia="宋体" w:cs="Times New Roman"/>
                <w:i w:val="0"/>
                <w:iCs w:val="0"/>
                <w:color w:val="auto"/>
                <w:sz w:val="18"/>
                <w:szCs w:val="18"/>
                <w:u w:val="none"/>
              </w:rPr>
            </w:pPr>
          </w:p>
        </w:tc>
        <w:tc>
          <w:tcPr>
            <w:tcW w:w="869" w:type="dxa"/>
            <w:vMerge w:val="continue"/>
            <w:shd w:val="clear" w:color="auto" w:fill="auto"/>
            <w:vAlign w:val="center"/>
          </w:tcPr>
          <w:p w14:paraId="4FF62B66">
            <w:pPr>
              <w:jc w:val="center"/>
              <w:rPr>
                <w:rFonts w:hint="default" w:ascii="Times New Roman" w:hAnsi="Times New Roman" w:eastAsia="宋体" w:cs="Times New Roman"/>
                <w:i w:val="0"/>
                <w:iCs w:val="0"/>
                <w:color w:val="auto"/>
                <w:sz w:val="18"/>
                <w:szCs w:val="18"/>
                <w:u w:val="none"/>
              </w:rPr>
            </w:pPr>
          </w:p>
        </w:tc>
        <w:tc>
          <w:tcPr>
            <w:tcW w:w="1363" w:type="dxa"/>
            <w:vMerge w:val="continue"/>
            <w:shd w:val="clear" w:color="auto" w:fill="auto"/>
            <w:vAlign w:val="center"/>
          </w:tcPr>
          <w:p w14:paraId="3FF56442">
            <w:pPr>
              <w:jc w:val="center"/>
              <w:rPr>
                <w:rFonts w:hint="default" w:ascii="Times New Roman" w:hAnsi="Times New Roman" w:eastAsia="宋体" w:cs="Times New Roman"/>
                <w:i w:val="0"/>
                <w:iCs w:val="0"/>
                <w:color w:val="auto"/>
                <w:sz w:val="18"/>
                <w:szCs w:val="18"/>
                <w:u w:val="none"/>
              </w:rPr>
            </w:pPr>
          </w:p>
        </w:tc>
        <w:tc>
          <w:tcPr>
            <w:tcW w:w="1258" w:type="dxa"/>
            <w:shd w:val="clear" w:color="auto" w:fill="auto"/>
            <w:vAlign w:val="center"/>
          </w:tcPr>
          <w:p w14:paraId="314A934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贡献值(dB)</w:t>
            </w:r>
          </w:p>
        </w:tc>
        <w:tc>
          <w:tcPr>
            <w:tcW w:w="1258" w:type="dxa"/>
            <w:shd w:val="clear" w:color="auto" w:fill="auto"/>
            <w:vAlign w:val="center"/>
          </w:tcPr>
          <w:p w14:paraId="4912A2A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场界标准值</w:t>
            </w:r>
          </w:p>
        </w:tc>
        <w:tc>
          <w:tcPr>
            <w:tcW w:w="1052" w:type="dxa"/>
            <w:shd w:val="clear" w:color="auto" w:fill="auto"/>
            <w:vAlign w:val="center"/>
          </w:tcPr>
          <w:p w14:paraId="0441DE1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是否达标</w:t>
            </w:r>
          </w:p>
        </w:tc>
      </w:tr>
      <w:tr w14:paraId="0570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1655D13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第1边的贡献最大值</w:t>
            </w:r>
          </w:p>
        </w:tc>
        <w:tc>
          <w:tcPr>
            <w:tcW w:w="869" w:type="dxa"/>
            <w:shd w:val="clear" w:color="auto" w:fill="auto"/>
            <w:vAlign w:val="center"/>
          </w:tcPr>
          <w:p w14:paraId="1E4E61F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18.43</w:t>
            </w:r>
          </w:p>
        </w:tc>
        <w:tc>
          <w:tcPr>
            <w:tcW w:w="869" w:type="dxa"/>
            <w:shd w:val="clear" w:color="auto" w:fill="auto"/>
            <w:vAlign w:val="center"/>
          </w:tcPr>
          <w:p w14:paraId="580DD3D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27.78</w:t>
            </w:r>
          </w:p>
        </w:tc>
        <w:tc>
          <w:tcPr>
            <w:tcW w:w="1363" w:type="dxa"/>
            <w:shd w:val="clear" w:color="auto" w:fill="auto"/>
            <w:vAlign w:val="center"/>
          </w:tcPr>
          <w:p w14:paraId="5BE4DF8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0E2BD3D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28.98</w:t>
            </w:r>
          </w:p>
        </w:tc>
        <w:tc>
          <w:tcPr>
            <w:tcW w:w="1258" w:type="dxa"/>
            <w:shd w:val="clear" w:color="auto" w:fill="auto"/>
            <w:vAlign w:val="center"/>
          </w:tcPr>
          <w:p w14:paraId="788F1F2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5268B93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7592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54E3F64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第2边的贡献最大值</w:t>
            </w:r>
          </w:p>
        </w:tc>
        <w:tc>
          <w:tcPr>
            <w:tcW w:w="869" w:type="dxa"/>
            <w:shd w:val="clear" w:color="auto" w:fill="auto"/>
            <w:vAlign w:val="center"/>
          </w:tcPr>
          <w:p w14:paraId="07875EE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26.92</w:t>
            </w:r>
          </w:p>
        </w:tc>
        <w:tc>
          <w:tcPr>
            <w:tcW w:w="869" w:type="dxa"/>
            <w:shd w:val="clear" w:color="auto" w:fill="auto"/>
            <w:vAlign w:val="center"/>
          </w:tcPr>
          <w:p w14:paraId="009C0B1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45.61</w:t>
            </w:r>
          </w:p>
        </w:tc>
        <w:tc>
          <w:tcPr>
            <w:tcW w:w="1363" w:type="dxa"/>
            <w:shd w:val="clear" w:color="auto" w:fill="auto"/>
            <w:vAlign w:val="center"/>
          </w:tcPr>
          <w:p w14:paraId="3DDEE42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6304BEB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29.98</w:t>
            </w:r>
          </w:p>
        </w:tc>
        <w:tc>
          <w:tcPr>
            <w:tcW w:w="1258" w:type="dxa"/>
            <w:shd w:val="clear" w:color="auto" w:fill="auto"/>
            <w:vAlign w:val="center"/>
          </w:tcPr>
          <w:p w14:paraId="309D3E0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166C7E2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2CDA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5EAFA0F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第3边的贡献最大值</w:t>
            </w:r>
          </w:p>
        </w:tc>
        <w:tc>
          <w:tcPr>
            <w:tcW w:w="869" w:type="dxa"/>
            <w:shd w:val="clear" w:color="auto" w:fill="auto"/>
            <w:vAlign w:val="center"/>
          </w:tcPr>
          <w:p w14:paraId="1C4CDEE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44.33</w:t>
            </w:r>
          </w:p>
        </w:tc>
        <w:tc>
          <w:tcPr>
            <w:tcW w:w="869" w:type="dxa"/>
            <w:shd w:val="clear" w:color="auto" w:fill="auto"/>
            <w:vAlign w:val="center"/>
          </w:tcPr>
          <w:p w14:paraId="760FEDD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73.21</w:t>
            </w:r>
          </w:p>
        </w:tc>
        <w:tc>
          <w:tcPr>
            <w:tcW w:w="1363" w:type="dxa"/>
            <w:shd w:val="clear" w:color="auto" w:fill="auto"/>
            <w:vAlign w:val="center"/>
          </w:tcPr>
          <w:p w14:paraId="160E9F9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51A8851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31.82</w:t>
            </w:r>
          </w:p>
        </w:tc>
        <w:tc>
          <w:tcPr>
            <w:tcW w:w="1258" w:type="dxa"/>
            <w:shd w:val="clear" w:color="auto" w:fill="auto"/>
            <w:vAlign w:val="center"/>
          </w:tcPr>
          <w:p w14:paraId="3BAA8A7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082D84D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3B80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24C2315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第4边的贡献最大值</w:t>
            </w:r>
          </w:p>
        </w:tc>
        <w:tc>
          <w:tcPr>
            <w:tcW w:w="869" w:type="dxa"/>
            <w:shd w:val="clear" w:color="auto" w:fill="auto"/>
            <w:vAlign w:val="center"/>
          </w:tcPr>
          <w:p w14:paraId="0C14AAA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53.25</w:t>
            </w:r>
          </w:p>
        </w:tc>
        <w:tc>
          <w:tcPr>
            <w:tcW w:w="869" w:type="dxa"/>
            <w:shd w:val="clear" w:color="auto" w:fill="auto"/>
            <w:vAlign w:val="center"/>
          </w:tcPr>
          <w:p w14:paraId="70983DF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95.72</w:t>
            </w:r>
          </w:p>
        </w:tc>
        <w:tc>
          <w:tcPr>
            <w:tcW w:w="1363" w:type="dxa"/>
            <w:shd w:val="clear" w:color="auto" w:fill="auto"/>
            <w:vAlign w:val="center"/>
          </w:tcPr>
          <w:p w14:paraId="624A313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3C88A05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32.60</w:t>
            </w:r>
          </w:p>
        </w:tc>
        <w:tc>
          <w:tcPr>
            <w:tcW w:w="1258" w:type="dxa"/>
            <w:shd w:val="clear" w:color="auto" w:fill="auto"/>
            <w:vAlign w:val="center"/>
          </w:tcPr>
          <w:p w14:paraId="29D017C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1CEEA71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51AD5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3EF97DA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第5边的贡献最大值</w:t>
            </w:r>
          </w:p>
        </w:tc>
        <w:tc>
          <w:tcPr>
            <w:tcW w:w="869" w:type="dxa"/>
            <w:shd w:val="clear" w:color="auto" w:fill="auto"/>
            <w:vAlign w:val="center"/>
          </w:tcPr>
          <w:p w14:paraId="168B389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56.08</w:t>
            </w:r>
          </w:p>
        </w:tc>
        <w:tc>
          <w:tcPr>
            <w:tcW w:w="869" w:type="dxa"/>
            <w:shd w:val="clear" w:color="auto" w:fill="auto"/>
            <w:vAlign w:val="center"/>
          </w:tcPr>
          <w:p w14:paraId="7A5B4B2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105.31</w:t>
            </w:r>
          </w:p>
        </w:tc>
        <w:tc>
          <w:tcPr>
            <w:tcW w:w="1363" w:type="dxa"/>
            <w:shd w:val="clear" w:color="auto" w:fill="auto"/>
            <w:vAlign w:val="center"/>
          </w:tcPr>
          <w:p w14:paraId="608736F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74D8CA0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32.67</w:t>
            </w:r>
          </w:p>
        </w:tc>
        <w:tc>
          <w:tcPr>
            <w:tcW w:w="1258" w:type="dxa"/>
            <w:shd w:val="clear" w:color="auto" w:fill="auto"/>
            <w:vAlign w:val="center"/>
          </w:tcPr>
          <w:p w14:paraId="6087312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368BD69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0D38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1473C6C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第6边的贡献最大值</w:t>
            </w:r>
          </w:p>
        </w:tc>
        <w:tc>
          <w:tcPr>
            <w:tcW w:w="869" w:type="dxa"/>
            <w:shd w:val="clear" w:color="auto" w:fill="auto"/>
            <w:vAlign w:val="center"/>
          </w:tcPr>
          <w:p w14:paraId="023475A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60.89</w:t>
            </w:r>
          </w:p>
        </w:tc>
        <w:tc>
          <w:tcPr>
            <w:tcW w:w="869" w:type="dxa"/>
            <w:shd w:val="clear" w:color="auto" w:fill="auto"/>
            <w:vAlign w:val="center"/>
          </w:tcPr>
          <w:p w14:paraId="1F1EC40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121.62</w:t>
            </w:r>
          </w:p>
        </w:tc>
        <w:tc>
          <w:tcPr>
            <w:tcW w:w="1363" w:type="dxa"/>
            <w:shd w:val="clear" w:color="auto" w:fill="auto"/>
            <w:vAlign w:val="center"/>
          </w:tcPr>
          <w:p w14:paraId="719F02E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46EB4EB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32.65</w:t>
            </w:r>
          </w:p>
        </w:tc>
        <w:tc>
          <w:tcPr>
            <w:tcW w:w="1258" w:type="dxa"/>
            <w:shd w:val="clear" w:color="auto" w:fill="auto"/>
            <w:vAlign w:val="center"/>
          </w:tcPr>
          <w:p w14:paraId="1AC1FA7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79A6AE6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75F9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51064F1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第7边的贡献最大值</w:t>
            </w:r>
          </w:p>
        </w:tc>
        <w:tc>
          <w:tcPr>
            <w:tcW w:w="869" w:type="dxa"/>
            <w:shd w:val="clear" w:color="auto" w:fill="auto"/>
            <w:vAlign w:val="center"/>
          </w:tcPr>
          <w:p w14:paraId="6AEB120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61.32</w:t>
            </w:r>
          </w:p>
        </w:tc>
        <w:tc>
          <w:tcPr>
            <w:tcW w:w="869" w:type="dxa"/>
            <w:shd w:val="clear" w:color="auto" w:fill="auto"/>
            <w:vAlign w:val="center"/>
          </w:tcPr>
          <w:p w14:paraId="72A1701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151.35</w:t>
            </w:r>
          </w:p>
        </w:tc>
        <w:tc>
          <w:tcPr>
            <w:tcW w:w="1363" w:type="dxa"/>
            <w:shd w:val="clear" w:color="auto" w:fill="auto"/>
            <w:vAlign w:val="center"/>
          </w:tcPr>
          <w:p w14:paraId="6EF317C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6736F4E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31.74</w:t>
            </w:r>
          </w:p>
        </w:tc>
        <w:tc>
          <w:tcPr>
            <w:tcW w:w="1258" w:type="dxa"/>
            <w:shd w:val="clear" w:color="auto" w:fill="auto"/>
            <w:vAlign w:val="center"/>
          </w:tcPr>
          <w:p w14:paraId="3EDF7E5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2FD3562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5DA3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3731616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第8边的贡献最大值</w:t>
            </w:r>
          </w:p>
        </w:tc>
        <w:tc>
          <w:tcPr>
            <w:tcW w:w="869" w:type="dxa"/>
            <w:shd w:val="clear" w:color="auto" w:fill="auto"/>
            <w:vAlign w:val="center"/>
          </w:tcPr>
          <w:p w14:paraId="3C1E48A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58.35</w:t>
            </w:r>
          </w:p>
        </w:tc>
        <w:tc>
          <w:tcPr>
            <w:tcW w:w="869" w:type="dxa"/>
            <w:shd w:val="clear" w:color="auto" w:fill="auto"/>
            <w:vAlign w:val="center"/>
          </w:tcPr>
          <w:p w14:paraId="1F5D58A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162.39</w:t>
            </w:r>
          </w:p>
        </w:tc>
        <w:tc>
          <w:tcPr>
            <w:tcW w:w="1363" w:type="dxa"/>
            <w:shd w:val="clear" w:color="auto" w:fill="auto"/>
            <w:vAlign w:val="center"/>
          </w:tcPr>
          <w:p w14:paraId="54D4236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0AD6A47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31.11</w:t>
            </w:r>
          </w:p>
        </w:tc>
        <w:tc>
          <w:tcPr>
            <w:tcW w:w="1258" w:type="dxa"/>
            <w:shd w:val="clear" w:color="auto" w:fill="auto"/>
            <w:vAlign w:val="center"/>
          </w:tcPr>
          <w:p w14:paraId="0E8F581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74EFB80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2E4D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04D3A89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第9边的贡献最大值</w:t>
            </w:r>
          </w:p>
        </w:tc>
        <w:tc>
          <w:tcPr>
            <w:tcW w:w="869" w:type="dxa"/>
            <w:shd w:val="clear" w:color="auto" w:fill="auto"/>
            <w:vAlign w:val="center"/>
          </w:tcPr>
          <w:p w14:paraId="7799DAA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74.06</w:t>
            </w:r>
          </w:p>
        </w:tc>
        <w:tc>
          <w:tcPr>
            <w:tcW w:w="869" w:type="dxa"/>
            <w:shd w:val="clear" w:color="auto" w:fill="auto"/>
            <w:vAlign w:val="center"/>
          </w:tcPr>
          <w:p w14:paraId="59DF70B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196.78</w:t>
            </w:r>
          </w:p>
        </w:tc>
        <w:tc>
          <w:tcPr>
            <w:tcW w:w="1363" w:type="dxa"/>
            <w:shd w:val="clear" w:color="auto" w:fill="auto"/>
            <w:vAlign w:val="center"/>
          </w:tcPr>
          <w:p w14:paraId="4C10C19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10E34F0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30.45</w:t>
            </w:r>
          </w:p>
        </w:tc>
        <w:tc>
          <w:tcPr>
            <w:tcW w:w="1258" w:type="dxa"/>
            <w:shd w:val="clear" w:color="auto" w:fill="auto"/>
            <w:vAlign w:val="center"/>
          </w:tcPr>
          <w:p w14:paraId="61C96FE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3021358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06CE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3FE26D2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第10边的贡献最大值</w:t>
            </w:r>
          </w:p>
        </w:tc>
        <w:tc>
          <w:tcPr>
            <w:tcW w:w="869" w:type="dxa"/>
            <w:shd w:val="clear" w:color="auto" w:fill="auto"/>
            <w:vAlign w:val="center"/>
          </w:tcPr>
          <w:p w14:paraId="027658E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91.04</w:t>
            </w:r>
          </w:p>
        </w:tc>
        <w:tc>
          <w:tcPr>
            <w:tcW w:w="869" w:type="dxa"/>
            <w:shd w:val="clear" w:color="auto" w:fill="auto"/>
            <w:vAlign w:val="center"/>
          </w:tcPr>
          <w:p w14:paraId="1B63E3A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200.18</w:t>
            </w:r>
          </w:p>
        </w:tc>
        <w:tc>
          <w:tcPr>
            <w:tcW w:w="1363" w:type="dxa"/>
            <w:shd w:val="clear" w:color="auto" w:fill="auto"/>
            <w:vAlign w:val="center"/>
          </w:tcPr>
          <w:p w14:paraId="7E42F40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47DEAD0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31.13</w:t>
            </w:r>
          </w:p>
        </w:tc>
        <w:tc>
          <w:tcPr>
            <w:tcW w:w="1258" w:type="dxa"/>
            <w:shd w:val="clear" w:color="auto" w:fill="auto"/>
            <w:vAlign w:val="center"/>
          </w:tcPr>
          <w:p w14:paraId="2A83C20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2BE591E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49F2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306D44B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第11边的贡献最大值</w:t>
            </w:r>
          </w:p>
        </w:tc>
        <w:tc>
          <w:tcPr>
            <w:tcW w:w="869" w:type="dxa"/>
            <w:shd w:val="clear" w:color="auto" w:fill="auto"/>
            <w:vAlign w:val="center"/>
          </w:tcPr>
          <w:p w14:paraId="4776DE3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97.41</w:t>
            </w:r>
          </w:p>
        </w:tc>
        <w:tc>
          <w:tcPr>
            <w:tcW w:w="869" w:type="dxa"/>
            <w:shd w:val="clear" w:color="auto" w:fill="auto"/>
            <w:vAlign w:val="center"/>
          </w:tcPr>
          <w:p w14:paraId="6E584C1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200.60</w:t>
            </w:r>
          </w:p>
        </w:tc>
        <w:tc>
          <w:tcPr>
            <w:tcW w:w="1363" w:type="dxa"/>
            <w:shd w:val="clear" w:color="auto" w:fill="auto"/>
            <w:vAlign w:val="center"/>
          </w:tcPr>
          <w:p w14:paraId="0F07571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2AEB274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31.42</w:t>
            </w:r>
          </w:p>
        </w:tc>
        <w:tc>
          <w:tcPr>
            <w:tcW w:w="1258" w:type="dxa"/>
            <w:shd w:val="clear" w:color="auto" w:fill="auto"/>
            <w:vAlign w:val="center"/>
          </w:tcPr>
          <w:p w14:paraId="2294DCD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79124C9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6706E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0D25D96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第12边的贡献最大值</w:t>
            </w:r>
          </w:p>
        </w:tc>
        <w:tc>
          <w:tcPr>
            <w:tcW w:w="869" w:type="dxa"/>
            <w:shd w:val="clear" w:color="auto" w:fill="auto"/>
            <w:vAlign w:val="center"/>
          </w:tcPr>
          <w:p w14:paraId="5E828C6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111.00</w:t>
            </w:r>
          </w:p>
        </w:tc>
        <w:tc>
          <w:tcPr>
            <w:tcW w:w="869" w:type="dxa"/>
            <w:shd w:val="clear" w:color="auto" w:fill="auto"/>
            <w:vAlign w:val="center"/>
          </w:tcPr>
          <w:p w14:paraId="245EE70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204.42</w:t>
            </w:r>
          </w:p>
        </w:tc>
        <w:tc>
          <w:tcPr>
            <w:tcW w:w="1363" w:type="dxa"/>
            <w:shd w:val="clear" w:color="auto" w:fill="auto"/>
            <w:vAlign w:val="center"/>
          </w:tcPr>
          <w:p w14:paraId="3DEDCD4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5CFBC0E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31.75</w:t>
            </w:r>
          </w:p>
        </w:tc>
        <w:tc>
          <w:tcPr>
            <w:tcW w:w="1258" w:type="dxa"/>
            <w:shd w:val="clear" w:color="auto" w:fill="auto"/>
            <w:vAlign w:val="center"/>
          </w:tcPr>
          <w:p w14:paraId="336D9D8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4758781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1EB9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78F033E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第13边的贡献最大值</w:t>
            </w:r>
          </w:p>
        </w:tc>
        <w:tc>
          <w:tcPr>
            <w:tcW w:w="869" w:type="dxa"/>
            <w:shd w:val="clear" w:color="auto" w:fill="auto"/>
            <w:vAlign w:val="center"/>
          </w:tcPr>
          <w:p w14:paraId="42AAE61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140.30</w:t>
            </w:r>
          </w:p>
        </w:tc>
        <w:tc>
          <w:tcPr>
            <w:tcW w:w="869" w:type="dxa"/>
            <w:shd w:val="clear" w:color="auto" w:fill="auto"/>
            <w:vAlign w:val="center"/>
          </w:tcPr>
          <w:p w14:paraId="3FD65AA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196.78</w:t>
            </w:r>
          </w:p>
        </w:tc>
        <w:tc>
          <w:tcPr>
            <w:tcW w:w="1363" w:type="dxa"/>
            <w:shd w:val="clear" w:color="auto" w:fill="auto"/>
            <w:vAlign w:val="center"/>
          </w:tcPr>
          <w:p w14:paraId="2F440BB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66CF74A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33.42</w:t>
            </w:r>
          </w:p>
        </w:tc>
        <w:tc>
          <w:tcPr>
            <w:tcW w:w="1258" w:type="dxa"/>
            <w:shd w:val="clear" w:color="auto" w:fill="auto"/>
            <w:vAlign w:val="center"/>
          </w:tcPr>
          <w:p w14:paraId="201B85E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02EFAA8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0D77C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6119894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第14边的贡献最大值</w:t>
            </w:r>
          </w:p>
        </w:tc>
        <w:tc>
          <w:tcPr>
            <w:tcW w:w="869" w:type="dxa"/>
            <w:shd w:val="clear" w:color="auto" w:fill="auto"/>
            <w:vAlign w:val="center"/>
          </w:tcPr>
          <w:p w14:paraId="26D59F0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151.76</w:t>
            </w:r>
          </w:p>
        </w:tc>
        <w:tc>
          <w:tcPr>
            <w:tcW w:w="869" w:type="dxa"/>
            <w:shd w:val="clear" w:color="auto" w:fill="auto"/>
            <w:vAlign w:val="center"/>
          </w:tcPr>
          <w:p w14:paraId="14B9510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192.96</w:t>
            </w:r>
          </w:p>
        </w:tc>
        <w:tc>
          <w:tcPr>
            <w:tcW w:w="1363" w:type="dxa"/>
            <w:shd w:val="clear" w:color="auto" w:fill="auto"/>
            <w:vAlign w:val="center"/>
          </w:tcPr>
          <w:p w14:paraId="5688978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21D45D0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33.99</w:t>
            </w:r>
          </w:p>
        </w:tc>
        <w:tc>
          <w:tcPr>
            <w:tcW w:w="1258" w:type="dxa"/>
            <w:shd w:val="clear" w:color="auto" w:fill="auto"/>
            <w:vAlign w:val="center"/>
          </w:tcPr>
          <w:p w14:paraId="568B56F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238D9AF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1047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2A2BB25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第15边的贡献最大值</w:t>
            </w:r>
          </w:p>
        </w:tc>
        <w:tc>
          <w:tcPr>
            <w:tcW w:w="869" w:type="dxa"/>
            <w:shd w:val="clear" w:color="auto" w:fill="auto"/>
            <w:vAlign w:val="center"/>
          </w:tcPr>
          <w:p w14:paraId="5ED4104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165.35</w:t>
            </w:r>
          </w:p>
        </w:tc>
        <w:tc>
          <w:tcPr>
            <w:tcW w:w="869" w:type="dxa"/>
            <w:shd w:val="clear" w:color="auto" w:fill="auto"/>
            <w:vAlign w:val="center"/>
          </w:tcPr>
          <w:p w14:paraId="29FC34E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191.69</w:t>
            </w:r>
          </w:p>
        </w:tc>
        <w:tc>
          <w:tcPr>
            <w:tcW w:w="1363" w:type="dxa"/>
            <w:shd w:val="clear" w:color="auto" w:fill="auto"/>
            <w:vAlign w:val="center"/>
          </w:tcPr>
          <w:p w14:paraId="7D6535C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4DF9BCF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34.14</w:t>
            </w:r>
          </w:p>
        </w:tc>
        <w:tc>
          <w:tcPr>
            <w:tcW w:w="1258" w:type="dxa"/>
            <w:shd w:val="clear" w:color="auto" w:fill="auto"/>
            <w:vAlign w:val="center"/>
          </w:tcPr>
          <w:p w14:paraId="19336D5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2781B12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5484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24A98CB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第16边的贡献最大值</w:t>
            </w:r>
          </w:p>
        </w:tc>
        <w:tc>
          <w:tcPr>
            <w:tcW w:w="869" w:type="dxa"/>
            <w:shd w:val="clear" w:color="auto" w:fill="auto"/>
            <w:vAlign w:val="center"/>
          </w:tcPr>
          <w:p w14:paraId="425FA33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164.93</w:t>
            </w:r>
          </w:p>
        </w:tc>
        <w:tc>
          <w:tcPr>
            <w:tcW w:w="869" w:type="dxa"/>
            <w:shd w:val="clear" w:color="auto" w:fill="auto"/>
            <w:vAlign w:val="center"/>
          </w:tcPr>
          <w:p w14:paraId="1AD6259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150.07</w:t>
            </w:r>
          </w:p>
        </w:tc>
        <w:tc>
          <w:tcPr>
            <w:tcW w:w="1363" w:type="dxa"/>
            <w:shd w:val="clear" w:color="auto" w:fill="auto"/>
            <w:vAlign w:val="center"/>
          </w:tcPr>
          <w:p w14:paraId="156FF80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071A7F2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42.06</w:t>
            </w:r>
          </w:p>
        </w:tc>
        <w:tc>
          <w:tcPr>
            <w:tcW w:w="1258" w:type="dxa"/>
            <w:shd w:val="clear" w:color="auto" w:fill="auto"/>
            <w:vAlign w:val="center"/>
          </w:tcPr>
          <w:p w14:paraId="10353ED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16F7228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4990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282268E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第17边的贡献最大值</w:t>
            </w:r>
          </w:p>
        </w:tc>
        <w:tc>
          <w:tcPr>
            <w:tcW w:w="869" w:type="dxa"/>
            <w:shd w:val="clear" w:color="auto" w:fill="auto"/>
            <w:vAlign w:val="center"/>
          </w:tcPr>
          <w:p w14:paraId="1B81BD4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164.93</w:t>
            </w:r>
          </w:p>
        </w:tc>
        <w:tc>
          <w:tcPr>
            <w:tcW w:w="869" w:type="dxa"/>
            <w:shd w:val="clear" w:color="auto" w:fill="auto"/>
            <w:vAlign w:val="center"/>
          </w:tcPr>
          <w:p w14:paraId="4FA2CCC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150.07</w:t>
            </w:r>
          </w:p>
        </w:tc>
        <w:tc>
          <w:tcPr>
            <w:tcW w:w="1363" w:type="dxa"/>
            <w:shd w:val="clear" w:color="auto" w:fill="auto"/>
            <w:vAlign w:val="center"/>
          </w:tcPr>
          <w:p w14:paraId="03BF173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44F34F3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42.06</w:t>
            </w:r>
          </w:p>
        </w:tc>
        <w:tc>
          <w:tcPr>
            <w:tcW w:w="1258" w:type="dxa"/>
            <w:shd w:val="clear" w:color="auto" w:fill="auto"/>
            <w:vAlign w:val="center"/>
          </w:tcPr>
          <w:p w14:paraId="596F751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4FEAC10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7744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5D434B9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第18边的贡献最大值</w:t>
            </w:r>
          </w:p>
        </w:tc>
        <w:tc>
          <w:tcPr>
            <w:tcW w:w="869" w:type="dxa"/>
            <w:shd w:val="clear" w:color="auto" w:fill="auto"/>
            <w:vAlign w:val="center"/>
          </w:tcPr>
          <w:p w14:paraId="19CE18D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178.52</w:t>
            </w:r>
          </w:p>
        </w:tc>
        <w:tc>
          <w:tcPr>
            <w:tcW w:w="869" w:type="dxa"/>
            <w:shd w:val="clear" w:color="auto" w:fill="auto"/>
            <w:vAlign w:val="center"/>
          </w:tcPr>
          <w:p w14:paraId="12C2092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150.92</w:t>
            </w:r>
          </w:p>
        </w:tc>
        <w:tc>
          <w:tcPr>
            <w:tcW w:w="1363" w:type="dxa"/>
            <w:shd w:val="clear" w:color="auto" w:fill="auto"/>
            <w:vAlign w:val="center"/>
          </w:tcPr>
          <w:p w14:paraId="01EFCD9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4875A14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40.96</w:t>
            </w:r>
          </w:p>
        </w:tc>
        <w:tc>
          <w:tcPr>
            <w:tcW w:w="1258" w:type="dxa"/>
            <w:shd w:val="clear" w:color="auto" w:fill="auto"/>
            <w:vAlign w:val="center"/>
          </w:tcPr>
          <w:p w14:paraId="203E826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64F271F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6E42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20C7F90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第19边的贡献最大值</w:t>
            </w:r>
          </w:p>
        </w:tc>
        <w:tc>
          <w:tcPr>
            <w:tcW w:w="869" w:type="dxa"/>
            <w:shd w:val="clear" w:color="auto" w:fill="auto"/>
            <w:vAlign w:val="center"/>
          </w:tcPr>
          <w:p w14:paraId="673479F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178.52</w:t>
            </w:r>
          </w:p>
        </w:tc>
        <w:tc>
          <w:tcPr>
            <w:tcW w:w="869" w:type="dxa"/>
            <w:shd w:val="clear" w:color="auto" w:fill="auto"/>
            <w:vAlign w:val="center"/>
          </w:tcPr>
          <w:p w14:paraId="4AA3BE6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164.51</w:t>
            </w:r>
          </w:p>
        </w:tc>
        <w:tc>
          <w:tcPr>
            <w:tcW w:w="1363" w:type="dxa"/>
            <w:shd w:val="clear" w:color="auto" w:fill="auto"/>
            <w:vAlign w:val="center"/>
          </w:tcPr>
          <w:p w14:paraId="2C2152C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44AF116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37.73</w:t>
            </w:r>
          </w:p>
        </w:tc>
        <w:tc>
          <w:tcPr>
            <w:tcW w:w="1258" w:type="dxa"/>
            <w:shd w:val="clear" w:color="auto" w:fill="auto"/>
            <w:vAlign w:val="center"/>
          </w:tcPr>
          <w:p w14:paraId="77EDEC0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305E9BD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2247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503BEA1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第20边的贡献最大值</w:t>
            </w:r>
          </w:p>
        </w:tc>
        <w:tc>
          <w:tcPr>
            <w:tcW w:w="869" w:type="dxa"/>
            <w:shd w:val="clear" w:color="auto" w:fill="auto"/>
            <w:vAlign w:val="center"/>
          </w:tcPr>
          <w:p w14:paraId="39C133F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188.28</w:t>
            </w:r>
          </w:p>
        </w:tc>
        <w:tc>
          <w:tcPr>
            <w:tcW w:w="869" w:type="dxa"/>
            <w:shd w:val="clear" w:color="auto" w:fill="auto"/>
            <w:vAlign w:val="center"/>
          </w:tcPr>
          <w:p w14:paraId="5290466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166.21</w:t>
            </w:r>
          </w:p>
        </w:tc>
        <w:tc>
          <w:tcPr>
            <w:tcW w:w="1363" w:type="dxa"/>
            <w:shd w:val="clear" w:color="auto" w:fill="auto"/>
            <w:vAlign w:val="center"/>
          </w:tcPr>
          <w:p w14:paraId="43429A1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5236567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36.86</w:t>
            </w:r>
          </w:p>
        </w:tc>
        <w:tc>
          <w:tcPr>
            <w:tcW w:w="1258" w:type="dxa"/>
            <w:shd w:val="clear" w:color="auto" w:fill="auto"/>
            <w:vAlign w:val="center"/>
          </w:tcPr>
          <w:p w14:paraId="5F2739B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37FE451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23D9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24A0386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第21边的贡献最大值</w:t>
            </w:r>
          </w:p>
        </w:tc>
        <w:tc>
          <w:tcPr>
            <w:tcW w:w="869" w:type="dxa"/>
            <w:shd w:val="clear" w:color="auto" w:fill="auto"/>
            <w:vAlign w:val="center"/>
          </w:tcPr>
          <w:p w14:paraId="6B6E9F6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209.94</w:t>
            </w:r>
          </w:p>
        </w:tc>
        <w:tc>
          <w:tcPr>
            <w:tcW w:w="869" w:type="dxa"/>
            <w:shd w:val="clear" w:color="auto" w:fill="auto"/>
            <w:vAlign w:val="center"/>
          </w:tcPr>
          <w:p w14:paraId="195D8DA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168.33</w:t>
            </w:r>
          </w:p>
        </w:tc>
        <w:tc>
          <w:tcPr>
            <w:tcW w:w="1363" w:type="dxa"/>
            <w:shd w:val="clear" w:color="auto" w:fill="auto"/>
            <w:vAlign w:val="center"/>
          </w:tcPr>
          <w:p w14:paraId="7025E80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211B61A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35.40</w:t>
            </w:r>
          </w:p>
        </w:tc>
        <w:tc>
          <w:tcPr>
            <w:tcW w:w="1258" w:type="dxa"/>
            <w:shd w:val="clear" w:color="auto" w:fill="auto"/>
            <w:vAlign w:val="center"/>
          </w:tcPr>
          <w:p w14:paraId="129B80E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396EDC4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2394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1F07C4F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第22边的贡献最大值</w:t>
            </w:r>
          </w:p>
        </w:tc>
        <w:tc>
          <w:tcPr>
            <w:tcW w:w="869" w:type="dxa"/>
            <w:shd w:val="clear" w:color="auto" w:fill="auto"/>
            <w:vAlign w:val="center"/>
          </w:tcPr>
          <w:p w14:paraId="51E846C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237.54</w:t>
            </w:r>
          </w:p>
        </w:tc>
        <w:tc>
          <w:tcPr>
            <w:tcW w:w="869" w:type="dxa"/>
            <w:shd w:val="clear" w:color="auto" w:fill="auto"/>
            <w:vAlign w:val="center"/>
          </w:tcPr>
          <w:p w14:paraId="4C2830A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170.45</w:t>
            </w:r>
          </w:p>
        </w:tc>
        <w:tc>
          <w:tcPr>
            <w:tcW w:w="1363" w:type="dxa"/>
            <w:shd w:val="clear" w:color="auto" w:fill="auto"/>
            <w:vAlign w:val="center"/>
          </w:tcPr>
          <w:p w14:paraId="2C393FC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41016D5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34.58</w:t>
            </w:r>
          </w:p>
        </w:tc>
        <w:tc>
          <w:tcPr>
            <w:tcW w:w="1258" w:type="dxa"/>
            <w:shd w:val="clear" w:color="auto" w:fill="auto"/>
            <w:vAlign w:val="center"/>
          </w:tcPr>
          <w:p w14:paraId="4162DC6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6B78614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660B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461E3A3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第23边的贡献最大值</w:t>
            </w:r>
          </w:p>
        </w:tc>
        <w:tc>
          <w:tcPr>
            <w:tcW w:w="869" w:type="dxa"/>
            <w:shd w:val="clear" w:color="auto" w:fill="auto"/>
            <w:vAlign w:val="center"/>
          </w:tcPr>
          <w:p w14:paraId="5D4734D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260.47</w:t>
            </w:r>
          </w:p>
        </w:tc>
        <w:tc>
          <w:tcPr>
            <w:tcW w:w="869" w:type="dxa"/>
            <w:shd w:val="clear" w:color="auto" w:fill="auto"/>
            <w:vAlign w:val="center"/>
          </w:tcPr>
          <w:p w14:paraId="3C1B6B3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173.43</w:t>
            </w:r>
          </w:p>
        </w:tc>
        <w:tc>
          <w:tcPr>
            <w:tcW w:w="1363" w:type="dxa"/>
            <w:shd w:val="clear" w:color="auto" w:fill="auto"/>
            <w:vAlign w:val="center"/>
          </w:tcPr>
          <w:p w14:paraId="58585C6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5E4B993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32.85</w:t>
            </w:r>
          </w:p>
        </w:tc>
        <w:tc>
          <w:tcPr>
            <w:tcW w:w="1258" w:type="dxa"/>
            <w:shd w:val="clear" w:color="auto" w:fill="auto"/>
            <w:vAlign w:val="center"/>
          </w:tcPr>
          <w:p w14:paraId="0A9D049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5F286E8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0517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502FEF1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第24边的贡献最大值</w:t>
            </w:r>
          </w:p>
        </w:tc>
        <w:tc>
          <w:tcPr>
            <w:tcW w:w="869" w:type="dxa"/>
            <w:shd w:val="clear" w:color="auto" w:fill="auto"/>
            <w:vAlign w:val="center"/>
          </w:tcPr>
          <w:p w14:paraId="63B194B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299.54</w:t>
            </w:r>
          </w:p>
        </w:tc>
        <w:tc>
          <w:tcPr>
            <w:tcW w:w="869" w:type="dxa"/>
            <w:shd w:val="clear" w:color="auto" w:fill="auto"/>
            <w:vAlign w:val="center"/>
          </w:tcPr>
          <w:p w14:paraId="47F9EBB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143.70</w:t>
            </w:r>
          </w:p>
        </w:tc>
        <w:tc>
          <w:tcPr>
            <w:tcW w:w="1363" w:type="dxa"/>
            <w:shd w:val="clear" w:color="auto" w:fill="auto"/>
            <w:vAlign w:val="center"/>
          </w:tcPr>
          <w:p w14:paraId="440D2BD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24A2477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35.73</w:t>
            </w:r>
          </w:p>
        </w:tc>
        <w:tc>
          <w:tcPr>
            <w:tcW w:w="1258" w:type="dxa"/>
            <w:shd w:val="clear" w:color="auto" w:fill="auto"/>
            <w:vAlign w:val="center"/>
          </w:tcPr>
          <w:p w14:paraId="027E029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738565D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42DD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61BD4BB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第25边的贡献最大值</w:t>
            </w:r>
          </w:p>
        </w:tc>
        <w:tc>
          <w:tcPr>
            <w:tcW w:w="869" w:type="dxa"/>
            <w:shd w:val="clear" w:color="auto" w:fill="auto"/>
            <w:vAlign w:val="center"/>
          </w:tcPr>
          <w:p w14:paraId="6099DC9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299.54</w:t>
            </w:r>
          </w:p>
        </w:tc>
        <w:tc>
          <w:tcPr>
            <w:tcW w:w="869" w:type="dxa"/>
            <w:shd w:val="clear" w:color="auto" w:fill="auto"/>
            <w:vAlign w:val="center"/>
          </w:tcPr>
          <w:p w14:paraId="5D19834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143.70</w:t>
            </w:r>
          </w:p>
        </w:tc>
        <w:tc>
          <w:tcPr>
            <w:tcW w:w="1363" w:type="dxa"/>
            <w:shd w:val="clear" w:color="auto" w:fill="auto"/>
            <w:vAlign w:val="center"/>
          </w:tcPr>
          <w:p w14:paraId="5CCEA59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0C981C6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35.73</w:t>
            </w:r>
          </w:p>
        </w:tc>
        <w:tc>
          <w:tcPr>
            <w:tcW w:w="1258" w:type="dxa"/>
            <w:shd w:val="clear" w:color="auto" w:fill="auto"/>
            <w:vAlign w:val="center"/>
          </w:tcPr>
          <w:p w14:paraId="2C5A90B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233F2A3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4FA8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0372B40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第26边的贡献最大值</w:t>
            </w:r>
          </w:p>
        </w:tc>
        <w:tc>
          <w:tcPr>
            <w:tcW w:w="869" w:type="dxa"/>
            <w:shd w:val="clear" w:color="auto" w:fill="auto"/>
            <w:vAlign w:val="center"/>
          </w:tcPr>
          <w:p w14:paraId="335B511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302.08</w:t>
            </w:r>
          </w:p>
        </w:tc>
        <w:tc>
          <w:tcPr>
            <w:tcW w:w="869" w:type="dxa"/>
            <w:shd w:val="clear" w:color="auto" w:fill="auto"/>
            <w:vAlign w:val="center"/>
          </w:tcPr>
          <w:p w14:paraId="535690C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111.85</w:t>
            </w:r>
          </w:p>
        </w:tc>
        <w:tc>
          <w:tcPr>
            <w:tcW w:w="1363" w:type="dxa"/>
            <w:shd w:val="clear" w:color="auto" w:fill="auto"/>
            <w:vAlign w:val="center"/>
          </w:tcPr>
          <w:p w14:paraId="26D485A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384BC5F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32.38</w:t>
            </w:r>
          </w:p>
        </w:tc>
        <w:tc>
          <w:tcPr>
            <w:tcW w:w="1258" w:type="dxa"/>
            <w:shd w:val="clear" w:color="auto" w:fill="auto"/>
            <w:vAlign w:val="center"/>
          </w:tcPr>
          <w:p w14:paraId="5A12723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1A0617B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6516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0C05398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第27边的贡献最大值</w:t>
            </w:r>
          </w:p>
        </w:tc>
        <w:tc>
          <w:tcPr>
            <w:tcW w:w="869" w:type="dxa"/>
            <w:shd w:val="clear" w:color="auto" w:fill="auto"/>
            <w:vAlign w:val="center"/>
          </w:tcPr>
          <w:p w14:paraId="3A67969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305.06</w:t>
            </w:r>
          </w:p>
        </w:tc>
        <w:tc>
          <w:tcPr>
            <w:tcW w:w="869" w:type="dxa"/>
            <w:shd w:val="clear" w:color="auto" w:fill="auto"/>
            <w:vAlign w:val="center"/>
          </w:tcPr>
          <w:p w14:paraId="4BA6977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82.55</w:t>
            </w:r>
          </w:p>
        </w:tc>
        <w:tc>
          <w:tcPr>
            <w:tcW w:w="1363" w:type="dxa"/>
            <w:shd w:val="clear" w:color="auto" w:fill="auto"/>
            <w:vAlign w:val="center"/>
          </w:tcPr>
          <w:p w14:paraId="223A95E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1E4390B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30.72</w:t>
            </w:r>
          </w:p>
        </w:tc>
        <w:tc>
          <w:tcPr>
            <w:tcW w:w="1258" w:type="dxa"/>
            <w:shd w:val="clear" w:color="auto" w:fill="auto"/>
            <w:vAlign w:val="center"/>
          </w:tcPr>
          <w:p w14:paraId="044CF45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7BE310D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42B1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5677CBE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第28边的贡献最大值</w:t>
            </w:r>
          </w:p>
        </w:tc>
        <w:tc>
          <w:tcPr>
            <w:tcW w:w="869" w:type="dxa"/>
            <w:shd w:val="clear" w:color="auto" w:fill="auto"/>
            <w:vAlign w:val="center"/>
          </w:tcPr>
          <w:p w14:paraId="74E5468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307.18</w:t>
            </w:r>
          </w:p>
        </w:tc>
        <w:tc>
          <w:tcPr>
            <w:tcW w:w="869" w:type="dxa"/>
            <w:shd w:val="clear" w:color="auto" w:fill="auto"/>
            <w:vAlign w:val="center"/>
          </w:tcPr>
          <w:p w14:paraId="10FC23E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56.65</w:t>
            </w:r>
          </w:p>
        </w:tc>
        <w:tc>
          <w:tcPr>
            <w:tcW w:w="1363" w:type="dxa"/>
            <w:shd w:val="clear" w:color="auto" w:fill="auto"/>
            <w:vAlign w:val="center"/>
          </w:tcPr>
          <w:p w14:paraId="4EECED5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1BDAE72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30.03</w:t>
            </w:r>
          </w:p>
        </w:tc>
        <w:tc>
          <w:tcPr>
            <w:tcW w:w="1258" w:type="dxa"/>
            <w:shd w:val="clear" w:color="auto" w:fill="auto"/>
            <w:vAlign w:val="center"/>
          </w:tcPr>
          <w:p w14:paraId="204BAA2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6A9AACF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7E18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104055D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第29边的贡献最大值</w:t>
            </w:r>
          </w:p>
        </w:tc>
        <w:tc>
          <w:tcPr>
            <w:tcW w:w="869" w:type="dxa"/>
            <w:shd w:val="clear" w:color="auto" w:fill="auto"/>
            <w:vAlign w:val="center"/>
          </w:tcPr>
          <w:p w14:paraId="190A9ED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311.00</w:t>
            </w:r>
          </w:p>
        </w:tc>
        <w:tc>
          <w:tcPr>
            <w:tcW w:w="869" w:type="dxa"/>
            <w:shd w:val="clear" w:color="auto" w:fill="auto"/>
            <w:vAlign w:val="center"/>
          </w:tcPr>
          <w:p w14:paraId="212372C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25.65</w:t>
            </w:r>
          </w:p>
        </w:tc>
        <w:tc>
          <w:tcPr>
            <w:tcW w:w="1363" w:type="dxa"/>
            <w:shd w:val="clear" w:color="auto" w:fill="auto"/>
            <w:vAlign w:val="center"/>
          </w:tcPr>
          <w:p w14:paraId="430E8BB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658FD28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28.96</w:t>
            </w:r>
          </w:p>
        </w:tc>
        <w:tc>
          <w:tcPr>
            <w:tcW w:w="1258" w:type="dxa"/>
            <w:shd w:val="clear" w:color="auto" w:fill="auto"/>
            <w:vAlign w:val="center"/>
          </w:tcPr>
          <w:p w14:paraId="36B5FB2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4E04C23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6852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6BA3A87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第30边的贡献最大值</w:t>
            </w:r>
          </w:p>
        </w:tc>
        <w:tc>
          <w:tcPr>
            <w:tcW w:w="869" w:type="dxa"/>
            <w:shd w:val="clear" w:color="auto" w:fill="auto"/>
            <w:vAlign w:val="center"/>
          </w:tcPr>
          <w:p w14:paraId="10C3B87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313.55</w:t>
            </w:r>
          </w:p>
        </w:tc>
        <w:tc>
          <w:tcPr>
            <w:tcW w:w="869" w:type="dxa"/>
            <w:shd w:val="clear" w:color="auto" w:fill="auto"/>
            <w:vAlign w:val="center"/>
          </w:tcPr>
          <w:p w14:paraId="77ABB96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1.03</w:t>
            </w:r>
          </w:p>
        </w:tc>
        <w:tc>
          <w:tcPr>
            <w:tcW w:w="1363" w:type="dxa"/>
            <w:shd w:val="clear" w:color="auto" w:fill="auto"/>
            <w:vAlign w:val="center"/>
          </w:tcPr>
          <w:p w14:paraId="525B6CC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3358416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28.10</w:t>
            </w:r>
          </w:p>
        </w:tc>
        <w:tc>
          <w:tcPr>
            <w:tcW w:w="1258" w:type="dxa"/>
            <w:shd w:val="clear" w:color="auto" w:fill="auto"/>
            <w:vAlign w:val="center"/>
          </w:tcPr>
          <w:p w14:paraId="5E11D46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52AE828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1957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71BBEDB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第31边的贡献最大值</w:t>
            </w:r>
          </w:p>
        </w:tc>
        <w:tc>
          <w:tcPr>
            <w:tcW w:w="869" w:type="dxa"/>
            <w:shd w:val="clear" w:color="auto" w:fill="auto"/>
            <w:vAlign w:val="center"/>
          </w:tcPr>
          <w:p w14:paraId="3FDD09D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234.57</w:t>
            </w:r>
          </w:p>
        </w:tc>
        <w:tc>
          <w:tcPr>
            <w:tcW w:w="869" w:type="dxa"/>
            <w:shd w:val="clear" w:color="auto" w:fill="auto"/>
            <w:vAlign w:val="center"/>
          </w:tcPr>
          <w:p w14:paraId="4C2A985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-14.69</w:t>
            </w:r>
          </w:p>
        </w:tc>
        <w:tc>
          <w:tcPr>
            <w:tcW w:w="1363" w:type="dxa"/>
            <w:shd w:val="clear" w:color="auto" w:fill="auto"/>
            <w:vAlign w:val="center"/>
          </w:tcPr>
          <w:p w14:paraId="02C4A3A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47C7B00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31.19</w:t>
            </w:r>
          </w:p>
        </w:tc>
        <w:tc>
          <w:tcPr>
            <w:tcW w:w="1258" w:type="dxa"/>
            <w:shd w:val="clear" w:color="auto" w:fill="auto"/>
            <w:vAlign w:val="center"/>
          </w:tcPr>
          <w:p w14:paraId="50D3EB2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2D3836A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75CF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5012EDE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第32边的贡献最大值</w:t>
            </w:r>
          </w:p>
        </w:tc>
        <w:tc>
          <w:tcPr>
            <w:tcW w:w="869" w:type="dxa"/>
            <w:shd w:val="clear" w:color="auto" w:fill="auto"/>
            <w:vAlign w:val="center"/>
          </w:tcPr>
          <w:p w14:paraId="497808B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198.47</w:t>
            </w:r>
          </w:p>
        </w:tc>
        <w:tc>
          <w:tcPr>
            <w:tcW w:w="869" w:type="dxa"/>
            <w:shd w:val="clear" w:color="auto" w:fill="auto"/>
            <w:vAlign w:val="center"/>
          </w:tcPr>
          <w:p w14:paraId="3FA6FD1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-18.51</w:t>
            </w:r>
          </w:p>
        </w:tc>
        <w:tc>
          <w:tcPr>
            <w:tcW w:w="1363" w:type="dxa"/>
            <w:shd w:val="clear" w:color="auto" w:fill="auto"/>
            <w:vAlign w:val="center"/>
          </w:tcPr>
          <w:p w14:paraId="0996660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72B0F92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32.40</w:t>
            </w:r>
          </w:p>
        </w:tc>
        <w:tc>
          <w:tcPr>
            <w:tcW w:w="1258" w:type="dxa"/>
            <w:shd w:val="clear" w:color="auto" w:fill="auto"/>
            <w:vAlign w:val="center"/>
          </w:tcPr>
          <w:p w14:paraId="0696154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10CF77D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07F0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4D59BB5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第33边的贡献最大值</w:t>
            </w:r>
          </w:p>
        </w:tc>
        <w:tc>
          <w:tcPr>
            <w:tcW w:w="869" w:type="dxa"/>
            <w:shd w:val="clear" w:color="auto" w:fill="auto"/>
            <w:vAlign w:val="center"/>
          </w:tcPr>
          <w:p w14:paraId="54F26C7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155.59</w:t>
            </w:r>
          </w:p>
        </w:tc>
        <w:tc>
          <w:tcPr>
            <w:tcW w:w="869" w:type="dxa"/>
            <w:shd w:val="clear" w:color="auto" w:fill="auto"/>
            <w:vAlign w:val="center"/>
          </w:tcPr>
          <w:p w14:paraId="71553B6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-24.03</w:t>
            </w:r>
          </w:p>
        </w:tc>
        <w:tc>
          <w:tcPr>
            <w:tcW w:w="1363" w:type="dxa"/>
            <w:shd w:val="clear" w:color="auto" w:fill="auto"/>
            <w:vAlign w:val="center"/>
          </w:tcPr>
          <w:p w14:paraId="3FE052A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42DD653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36.20</w:t>
            </w:r>
          </w:p>
        </w:tc>
        <w:tc>
          <w:tcPr>
            <w:tcW w:w="1258" w:type="dxa"/>
            <w:shd w:val="clear" w:color="auto" w:fill="auto"/>
            <w:vAlign w:val="center"/>
          </w:tcPr>
          <w:p w14:paraId="3F88283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3C27E02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6B27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37CD860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第34边的贡献最大值</w:t>
            </w:r>
          </w:p>
        </w:tc>
        <w:tc>
          <w:tcPr>
            <w:tcW w:w="869" w:type="dxa"/>
            <w:shd w:val="clear" w:color="auto" w:fill="auto"/>
            <w:vAlign w:val="center"/>
          </w:tcPr>
          <w:p w14:paraId="764EE6F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125.75</w:t>
            </w:r>
          </w:p>
        </w:tc>
        <w:tc>
          <w:tcPr>
            <w:tcW w:w="869" w:type="dxa"/>
            <w:shd w:val="clear" w:color="auto" w:fill="auto"/>
            <w:vAlign w:val="center"/>
          </w:tcPr>
          <w:p w14:paraId="44BEA6E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-27.16</w:t>
            </w:r>
          </w:p>
        </w:tc>
        <w:tc>
          <w:tcPr>
            <w:tcW w:w="1363" w:type="dxa"/>
            <w:shd w:val="clear" w:color="auto" w:fill="auto"/>
            <w:vAlign w:val="center"/>
          </w:tcPr>
          <w:p w14:paraId="082AB9A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1250F7C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39.17</w:t>
            </w:r>
          </w:p>
        </w:tc>
        <w:tc>
          <w:tcPr>
            <w:tcW w:w="1258" w:type="dxa"/>
            <w:shd w:val="clear" w:color="auto" w:fill="auto"/>
            <w:vAlign w:val="center"/>
          </w:tcPr>
          <w:p w14:paraId="5A9BEB4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3B1F895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2F9F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21" w:type="dxa"/>
            <w:shd w:val="clear" w:color="auto" w:fill="auto"/>
            <w:vAlign w:val="center"/>
          </w:tcPr>
          <w:p w14:paraId="3C63FF2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第35边的贡献最大值</w:t>
            </w:r>
          </w:p>
        </w:tc>
        <w:tc>
          <w:tcPr>
            <w:tcW w:w="869" w:type="dxa"/>
            <w:shd w:val="clear" w:color="auto" w:fill="auto"/>
            <w:vAlign w:val="center"/>
          </w:tcPr>
          <w:p w14:paraId="7E00DCA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102.93</w:t>
            </w:r>
          </w:p>
        </w:tc>
        <w:tc>
          <w:tcPr>
            <w:tcW w:w="869" w:type="dxa"/>
            <w:shd w:val="clear" w:color="auto" w:fill="auto"/>
            <w:vAlign w:val="center"/>
          </w:tcPr>
          <w:p w14:paraId="5A1BDDF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-29.55</w:t>
            </w:r>
          </w:p>
        </w:tc>
        <w:tc>
          <w:tcPr>
            <w:tcW w:w="1363" w:type="dxa"/>
            <w:shd w:val="clear" w:color="auto" w:fill="auto"/>
            <w:vAlign w:val="center"/>
          </w:tcPr>
          <w:p w14:paraId="62A3CF8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4C845E4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36.39</w:t>
            </w:r>
          </w:p>
        </w:tc>
        <w:tc>
          <w:tcPr>
            <w:tcW w:w="1258" w:type="dxa"/>
            <w:shd w:val="clear" w:color="auto" w:fill="auto"/>
            <w:vAlign w:val="center"/>
          </w:tcPr>
          <w:p w14:paraId="52FA54D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2663772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4AF7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149A4BE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第36边的贡献最大值</w:t>
            </w:r>
          </w:p>
        </w:tc>
        <w:tc>
          <w:tcPr>
            <w:tcW w:w="869" w:type="dxa"/>
            <w:shd w:val="clear" w:color="auto" w:fill="auto"/>
            <w:vAlign w:val="center"/>
          </w:tcPr>
          <w:p w14:paraId="2C2CB6D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50.70</w:t>
            </w:r>
          </w:p>
        </w:tc>
        <w:tc>
          <w:tcPr>
            <w:tcW w:w="869" w:type="dxa"/>
            <w:shd w:val="clear" w:color="auto" w:fill="auto"/>
            <w:vAlign w:val="center"/>
          </w:tcPr>
          <w:p w14:paraId="0464E24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-17.66</w:t>
            </w:r>
          </w:p>
        </w:tc>
        <w:tc>
          <w:tcPr>
            <w:tcW w:w="1363" w:type="dxa"/>
            <w:shd w:val="clear" w:color="auto" w:fill="auto"/>
            <w:vAlign w:val="center"/>
          </w:tcPr>
          <w:p w14:paraId="12E8D7B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2ACAA9E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30.74</w:t>
            </w:r>
          </w:p>
        </w:tc>
        <w:tc>
          <w:tcPr>
            <w:tcW w:w="1258" w:type="dxa"/>
            <w:shd w:val="clear" w:color="auto" w:fill="auto"/>
            <w:vAlign w:val="center"/>
          </w:tcPr>
          <w:p w14:paraId="3574EC3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4043853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2724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553E2C9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第37边的贡献最大值</w:t>
            </w:r>
          </w:p>
        </w:tc>
        <w:tc>
          <w:tcPr>
            <w:tcW w:w="869" w:type="dxa"/>
            <w:shd w:val="clear" w:color="auto" w:fill="auto"/>
            <w:vAlign w:val="center"/>
          </w:tcPr>
          <w:p w14:paraId="5488B6E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0.60</w:t>
            </w:r>
          </w:p>
        </w:tc>
        <w:tc>
          <w:tcPr>
            <w:tcW w:w="869" w:type="dxa"/>
            <w:shd w:val="clear" w:color="auto" w:fill="auto"/>
            <w:vAlign w:val="center"/>
          </w:tcPr>
          <w:p w14:paraId="3D792EC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0.18</w:t>
            </w:r>
          </w:p>
        </w:tc>
        <w:tc>
          <w:tcPr>
            <w:tcW w:w="1363" w:type="dxa"/>
            <w:shd w:val="clear" w:color="auto" w:fill="auto"/>
            <w:vAlign w:val="center"/>
          </w:tcPr>
          <w:p w14:paraId="622278C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25FA79D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27.44</w:t>
            </w:r>
          </w:p>
        </w:tc>
        <w:tc>
          <w:tcPr>
            <w:tcW w:w="1258" w:type="dxa"/>
            <w:shd w:val="clear" w:color="auto" w:fill="auto"/>
            <w:vAlign w:val="center"/>
          </w:tcPr>
          <w:p w14:paraId="07883AC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13ADD8B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3B88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2453051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贡献最大值</w:t>
            </w:r>
          </w:p>
        </w:tc>
        <w:tc>
          <w:tcPr>
            <w:tcW w:w="869" w:type="dxa"/>
            <w:shd w:val="clear" w:color="auto" w:fill="auto"/>
            <w:vAlign w:val="center"/>
          </w:tcPr>
          <w:p w14:paraId="5F2E7B4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164.93</w:t>
            </w:r>
          </w:p>
        </w:tc>
        <w:tc>
          <w:tcPr>
            <w:tcW w:w="869" w:type="dxa"/>
            <w:shd w:val="clear" w:color="auto" w:fill="auto"/>
            <w:vAlign w:val="center"/>
          </w:tcPr>
          <w:p w14:paraId="6EC3454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150.07</w:t>
            </w:r>
          </w:p>
        </w:tc>
        <w:tc>
          <w:tcPr>
            <w:tcW w:w="1363" w:type="dxa"/>
            <w:shd w:val="clear" w:color="auto" w:fill="auto"/>
            <w:vAlign w:val="center"/>
          </w:tcPr>
          <w:p w14:paraId="2999C99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52002AF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42.06</w:t>
            </w:r>
          </w:p>
        </w:tc>
        <w:tc>
          <w:tcPr>
            <w:tcW w:w="1258" w:type="dxa"/>
            <w:shd w:val="clear" w:color="auto" w:fill="auto"/>
            <w:vAlign w:val="center"/>
          </w:tcPr>
          <w:p w14:paraId="6F67FC7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0ED7AE1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r w14:paraId="5E65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121" w:type="dxa"/>
            <w:shd w:val="clear" w:color="auto" w:fill="auto"/>
            <w:vAlign w:val="center"/>
          </w:tcPr>
          <w:p w14:paraId="5F3451D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贡献最小值</w:t>
            </w:r>
          </w:p>
        </w:tc>
        <w:tc>
          <w:tcPr>
            <w:tcW w:w="869" w:type="dxa"/>
            <w:shd w:val="clear" w:color="auto" w:fill="auto"/>
            <w:vAlign w:val="center"/>
          </w:tcPr>
          <w:p w14:paraId="1AAEA22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0.60</w:t>
            </w:r>
          </w:p>
        </w:tc>
        <w:tc>
          <w:tcPr>
            <w:tcW w:w="869" w:type="dxa"/>
            <w:shd w:val="clear" w:color="auto" w:fill="auto"/>
            <w:vAlign w:val="center"/>
          </w:tcPr>
          <w:p w14:paraId="5697048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-0.25</w:t>
            </w:r>
          </w:p>
        </w:tc>
        <w:tc>
          <w:tcPr>
            <w:tcW w:w="1363" w:type="dxa"/>
            <w:shd w:val="clear" w:color="auto" w:fill="auto"/>
            <w:vAlign w:val="center"/>
          </w:tcPr>
          <w:p w14:paraId="502EBF8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1258" w:type="dxa"/>
            <w:shd w:val="clear" w:color="auto" w:fill="auto"/>
            <w:vAlign w:val="center"/>
          </w:tcPr>
          <w:p w14:paraId="3989C09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27.43</w:t>
            </w:r>
          </w:p>
        </w:tc>
        <w:tc>
          <w:tcPr>
            <w:tcW w:w="1258" w:type="dxa"/>
            <w:shd w:val="clear" w:color="auto" w:fill="auto"/>
            <w:vAlign w:val="center"/>
          </w:tcPr>
          <w:p w14:paraId="1CB7406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w:t>
            </w:r>
          </w:p>
        </w:tc>
        <w:tc>
          <w:tcPr>
            <w:tcW w:w="1052" w:type="dxa"/>
            <w:shd w:val="clear" w:color="auto" w:fill="auto"/>
            <w:vAlign w:val="center"/>
          </w:tcPr>
          <w:p w14:paraId="3FBC117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是</w:t>
            </w:r>
          </w:p>
        </w:tc>
      </w:tr>
    </w:tbl>
    <w:p w14:paraId="39CBF2C6">
      <w:pP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bidi="zh-CN"/>
        </w:rPr>
        <w:t>注：</w:t>
      </w:r>
      <w:r>
        <w:rPr>
          <w:rFonts w:hint="default" w:ascii="Times New Roman" w:hAnsi="Times New Roman" w:cs="Times New Roman"/>
          <w:b/>
          <w:bCs/>
          <w:color w:val="auto"/>
          <w:sz w:val="21"/>
          <w:szCs w:val="21"/>
        </w:rPr>
        <w:t>表中坐标以103°29′27.384″,24°16′56.784″设置为</w:t>
      </w:r>
      <w:r>
        <w:rPr>
          <w:rFonts w:hint="default" w:ascii="Times New Roman" w:hAnsi="Times New Roman" w:cs="Times New Roman"/>
          <w:b/>
          <w:bCs/>
          <w:color w:val="auto"/>
          <w:sz w:val="21"/>
          <w:szCs w:val="21"/>
          <w:lang w:val="en-US" w:eastAsia="zh-CN"/>
        </w:rPr>
        <w:t>原点</w:t>
      </w:r>
      <w:r>
        <w:rPr>
          <w:rFonts w:hint="default" w:ascii="Times New Roman" w:hAnsi="Times New Roman" w:cs="Times New Roman"/>
          <w:b/>
          <w:bCs/>
          <w:color w:val="auto"/>
          <w:sz w:val="21"/>
          <w:szCs w:val="21"/>
        </w:rPr>
        <w:t>（0,0），正东向为X轴正方向，正北向为Y轴正方向</w:t>
      </w:r>
      <w:r>
        <w:rPr>
          <w:rFonts w:hint="default" w:ascii="Times New Roman" w:hAnsi="Times New Roman" w:cs="Times New Roman"/>
          <w:b/>
          <w:bCs/>
          <w:color w:val="auto"/>
          <w:sz w:val="21"/>
          <w:szCs w:val="21"/>
          <w:lang w:eastAsia="zh-CN"/>
        </w:rPr>
        <w:t>。</w:t>
      </w:r>
    </w:p>
    <w:p w14:paraId="18CA1AED">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表5.2.4-3    项目运营期生产设备噪声衰减至厂界的贡献值（夜间）   单位：dB（A）</w:t>
      </w:r>
    </w:p>
    <w:tbl>
      <w:tblPr>
        <w:tblStyle w:val="23"/>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263"/>
        <w:gridCol w:w="876"/>
        <w:gridCol w:w="923"/>
        <w:gridCol w:w="1157"/>
        <w:gridCol w:w="1404"/>
        <w:gridCol w:w="1110"/>
        <w:gridCol w:w="1057"/>
      </w:tblGrid>
      <w:tr w14:paraId="3201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263" w:type="dxa"/>
            <w:vMerge w:val="restart"/>
            <w:shd w:val="clear" w:color="auto" w:fill="auto"/>
            <w:vAlign w:val="center"/>
          </w:tcPr>
          <w:p w14:paraId="05E8CE39">
            <w:pPr>
              <w:ind w:firstLine="720" w:firstLineChars="400"/>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名称</w:t>
            </w:r>
          </w:p>
        </w:tc>
        <w:tc>
          <w:tcPr>
            <w:tcW w:w="876" w:type="dxa"/>
            <w:vMerge w:val="restart"/>
            <w:shd w:val="clear" w:color="auto" w:fill="auto"/>
            <w:vAlign w:val="center"/>
          </w:tcPr>
          <w:p w14:paraId="185B1519">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X(m)</w:t>
            </w:r>
          </w:p>
        </w:tc>
        <w:tc>
          <w:tcPr>
            <w:tcW w:w="923" w:type="dxa"/>
            <w:vMerge w:val="restart"/>
            <w:shd w:val="clear" w:color="auto" w:fill="auto"/>
            <w:vAlign w:val="center"/>
          </w:tcPr>
          <w:p w14:paraId="1DA1B58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Y(m)</w:t>
            </w:r>
          </w:p>
        </w:tc>
        <w:tc>
          <w:tcPr>
            <w:tcW w:w="1157" w:type="dxa"/>
            <w:vMerge w:val="restart"/>
            <w:shd w:val="clear" w:color="auto" w:fill="auto"/>
            <w:vAlign w:val="center"/>
          </w:tcPr>
          <w:p w14:paraId="2E72DDD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离地高度(m)</w:t>
            </w:r>
          </w:p>
        </w:tc>
        <w:tc>
          <w:tcPr>
            <w:tcW w:w="1404" w:type="dxa"/>
            <w:shd w:val="clear" w:color="auto" w:fill="auto"/>
            <w:vAlign w:val="center"/>
          </w:tcPr>
          <w:p w14:paraId="2BFAD60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夜间</w:t>
            </w:r>
          </w:p>
        </w:tc>
        <w:tc>
          <w:tcPr>
            <w:tcW w:w="2167" w:type="dxa"/>
            <w:gridSpan w:val="2"/>
            <w:shd w:val="clear" w:color="auto" w:fill="auto"/>
            <w:vAlign w:val="center"/>
          </w:tcPr>
          <w:p w14:paraId="6ABAD64C">
            <w:pPr>
              <w:rPr>
                <w:rFonts w:hint="default" w:ascii="Times New Roman" w:hAnsi="Times New Roman" w:cs="Times New Roman"/>
                <w:color w:val="auto"/>
                <w:sz w:val="18"/>
                <w:szCs w:val="18"/>
                <w:shd w:val="clear" w:color="auto" w:fill="auto"/>
                <w:lang w:val="en-US" w:eastAsia="zh-CN"/>
              </w:rPr>
            </w:pPr>
            <w:r>
              <w:rPr>
                <w:rFonts w:hint="default" w:ascii="Times New Roman" w:hAnsi="Times New Roman" w:cs="Times New Roman"/>
                <w:color w:val="auto"/>
                <w:sz w:val="18"/>
                <w:szCs w:val="18"/>
                <w:shd w:val="clear" w:color="auto" w:fill="auto"/>
                <w:lang w:val="en-US" w:eastAsia="zh-CN"/>
              </w:rPr>
              <w:t>场界标准</w:t>
            </w:r>
          </w:p>
        </w:tc>
      </w:tr>
      <w:tr w14:paraId="2BE8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263" w:type="dxa"/>
            <w:vMerge w:val="continue"/>
            <w:shd w:val="clear" w:color="auto" w:fill="auto"/>
            <w:vAlign w:val="center"/>
          </w:tcPr>
          <w:p w14:paraId="1AC6A5FE">
            <w:pPr>
              <w:rPr>
                <w:rFonts w:hint="default" w:ascii="Times New Roman" w:hAnsi="Times New Roman" w:cs="Times New Roman"/>
                <w:color w:val="auto"/>
                <w:sz w:val="18"/>
                <w:szCs w:val="18"/>
                <w:shd w:val="clear" w:color="auto" w:fill="auto"/>
              </w:rPr>
            </w:pPr>
          </w:p>
        </w:tc>
        <w:tc>
          <w:tcPr>
            <w:tcW w:w="876" w:type="dxa"/>
            <w:vMerge w:val="continue"/>
            <w:shd w:val="clear" w:color="auto" w:fill="auto"/>
            <w:vAlign w:val="center"/>
          </w:tcPr>
          <w:p w14:paraId="143ADB81">
            <w:pPr>
              <w:rPr>
                <w:rFonts w:hint="default" w:ascii="Times New Roman" w:hAnsi="Times New Roman" w:cs="Times New Roman"/>
                <w:color w:val="auto"/>
                <w:sz w:val="18"/>
                <w:szCs w:val="18"/>
                <w:shd w:val="clear" w:color="auto" w:fill="auto"/>
              </w:rPr>
            </w:pPr>
          </w:p>
        </w:tc>
        <w:tc>
          <w:tcPr>
            <w:tcW w:w="923" w:type="dxa"/>
            <w:vMerge w:val="continue"/>
            <w:shd w:val="clear" w:color="auto" w:fill="auto"/>
            <w:vAlign w:val="center"/>
          </w:tcPr>
          <w:p w14:paraId="2025A3F8">
            <w:pPr>
              <w:rPr>
                <w:rFonts w:hint="default" w:ascii="Times New Roman" w:hAnsi="Times New Roman" w:cs="Times New Roman"/>
                <w:color w:val="auto"/>
                <w:sz w:val="18"/>
                <w:szCs w:val="18"/>
                <w:shd w:val="clear" w:color="auto" w:fill="auto"/>
              </w:rPr>
            </w:pPr>
          </w:p>
        </w:tc>
        <w:tc>
          <w:tcPr>
            <w:tcW w:w="1157" w:type="dxa"/>
            <w:vMerge w:val="continue"/>
            <w:shd w:val="clear" w:color="auto" w:fill="auto"/>
            <w:vAlign w:val="center"/>
          </w:tcPr>
          <w:p w14:paraId="74CBDA84">
            <w:pPr>
              <w:rPr>
                <w:rFonts w:hint="default" w:ascii="Times New Roman" w:hAnsi="Times New Roman" w:cs="Times New Roman"/>
                <w:color w:val="auto"/>
                <w:sz w:val="18"/>
                <w:szCs w:val="18"/>
                <w:shd w:val="clear" w:color="auto" w:fill="auto"/>
              </w:rPr>
            </w:pPr>
          </w:p>
        </w:tc>
        <w:tc>
          <w:tcPr>
            <w:tcW w:w="1404" w:type="dxa"/>
            <w:shd w:val="clear" w:color="auto" w:fill="auto"/>
            <w:vAlign w:val="center"/>
          </w:tcPr>
          <w:p w14:paraId="1721908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贡献值(dB)</w:t>
            </w:r>
          </w:p>
        </w:tc>
        <w:tc>
          <w:tcPr>
            <w:tcW w:w="1110" w:type="dxa"/>
            <w:shd w:val="clear" w:color="auto" w:fill="auto"/>
            <w:vAlign w:val="center"/>
          </w:tcPr>
          <w:p w14:paraId="4F6A841E">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场界标准值</w:t>
            </w:r>
          </w:p>
        </w:tc>
        <w:tc>
          <w:tcPr>
            <w:tcW w:w="1057" w:type="dxa"/>
            <w:shd w:val="clear" w:color="auto" w:fill="auto"/>
            <w:vAlign w:val="center"/>
          </w:tcPr>
          <w:p w14:paraId="7FE0D50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是否达标</w:t>
            </w:r>
          </w:p>
        </w:tc>
      </w:tr>
      <w:tr w14:paraId="3AD1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6C0A55C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第1边的贡献最大值</w:t>
            </w:r>
          </w:p>
        </w:tc>
        <w:tc>
          <w:tcPr>
            <w:tcW w:w="876" w:type="dxa"/>
            <w:shd w:val="clear" w:color="auto" w:fill="auto"/>
            <w:vAlign w:val="center"/>
          </w:tcPr>
          <w:p w14:paraId="01C91E1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18.43</w:t>
            </w:r>
          </w:p>
        </w:tc>
        <w:tc>
          <w:tcPr>
            <w:tcW w:w="923" w:type="dxa"/>
            <w:shd w:val="clear" w:color="auto" w:fill="auto"/>
            <w:vAlign w:val="center"/>
          </w:tcPr>
          <w:p w14:paraId="74EFE21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27.78</w:t>
            </w:r>
          </w:p>
        </w:tc>
        <w:tc>
          <w:tcPr>
            <w:tcW w:w="1157" w:type="dxa"/>
            <w:shd w:val="clear" w:color="auto" w:fill="auto"/>
            <w:vAlign w:val="center"/>
          </w:tcPr>
          <w:p w14:paraId="673C694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3665A5D7">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18.78</w:t>
            </w:r>
          </w:p>
        </w:tc>
        <w:tc>
          <w:tcPr>
            <w:tcW w:w="1110" w:type="dxa"/>
            <w:shd w:val="clear" w:color="auto" w:fill="auto"/>
            <w:vAlign w:val="center"/>
          </w:tcPr>
          <w:p w14:paraId="6A978FD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007BC5A7">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7091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263" w:type="dxa"/>
            <w:shd w:val="clear" w:color="auto" w:fill="auto"/>
            <w:vAlign w:val="center"/>
          </w:tcPr>
          <w:p w14:paraId="1B4F709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第2边的贡献最大值</w:t>
            </w:r>
          </w:p>
        </w:tc>
        <w:tc>
          <w:tcPr>
            <w:tcW w:w="876" w:type="dxa"/>
            <w:shd w:val="clear" w:color="auto" w:fill="auto"/>
            <w:vAlign w:val="center"/>
          </w:tcPr>
          <w:p w14:paraId="15ABC2C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26.92</w:t>
            </w:r>
          </w:p>
        </w:tc>
        <w:tc>
          <w:tcPr>
            <w:tcW w:w="923" w:type="dxa"/>
            <w:shd w:val="clear" w:color="auto" w:fill="auto"/>
            <w:vAlign w:val="center"/>
          </w:tcPr>
          <w:p w14:paraId="16DEF9D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45.61</w:t>
            </w:r>
          </w:p>
        </w:tc>
        <w:tc>
          <w:tcPr>
            <w:tcW w:w="1157" w:type="dxa"/>
            <w:shd w:val="clear" w:color="auto" w:fill="auto"/>
            <w:vAlign w:val="center"/>
          </w:tcPr>
          <w:p w14:paraId="52EDE4F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7E0298F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20.17</w:t>
            </w:r>
          </w:p>
        </w:tc>
        <w:tc>
          <w:tcPr>
            <w:tcW w:w="1110" w:type="dxa"/>
            <w:shd w:val="clear" w:color="auto" w:fill="auto"/>
            <w:vAlign w:val="center"/>
          </w:tcPr>
          <w:p w14:paraId="6876676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60143F5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1FF90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5DEEB79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第3边的贡献最大值</w:t>
            </w:r>
          </w:p>
        </w:tc>
        <w:tc>
          <w:tcPr>
            <w:tcW w:w="876" w:type="dxa"/>
            <w:shd w:val="clear" w:color="auto" w:fill="auto"/>
            <w:vAlign w:val="center"/>
          </w:tcPr>
          <w:p w14:paraId="64315E9E">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44.33</w:t>
            </w:r>
          </w:p>
        </w:tc>
        <w:tc>
          <w:tcPr>
            <w:tcW w:w="923" w:type="dxa"/>
            <w:shd w:val="clear" w:color="auto" w:fill="auto"/>
            <w:vAlign w:val="center"/>
          </w:tcPr>
          <w:p w14:paraId="51522E96">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73.21</w:t>
            </w:r>
          </w:p>
        </w:tc>
        <w:tc>
          <w:tcPr>
            <w:tcW w:w="1157" w:type="dxa"/>
            <w:shd w:val="clear" w:color="auto" w:fill="auto"/>
            <w:vAlign w:val="center"/>
          </w:tcPr>
          <w:p w14:paraId="240FC64F">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6922170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23.23</w:t>
            </w:r>
          </w:p>
        </w:tc>
        <w:tc>
          <w:tcPr>
            <w:tcW w:w="1110" w:type="dxa"/>
            <w:shd w:val="clear" w:color="auto" w:fill="auto"/>
            <w:vAlign w:val="center"/>
          </w:tcPr>
          <w:p w14:paraId="3C454CA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3E55CBF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5B37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263" w:type="dxa"/>
            <w:shd w:val="clear" w:color="auto" w:fill="auto"/>
            <w:vAlign w:val="center"/>
          </w:tcPr>
          <w:p w14:paraId="50FDA0B6">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第4边的贡献最大值</w:t>
            </w:r>
          </w:p>
        </w:tc>
        <w:tc>
          <w:tcPr>
            <w:tcW w:w="876" w:type="dxa"/>
            <w:shd w:val="clear" w:color="auto" w:fill="auto"/>
            <w:vAlign w:val="center"/>
          </w:tcPr>
          <w:p w14:paraId="3D973C39">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53.25</w:t>
            </w:r>
          </w:p>
        </w:tc>
        <w:tc>
          <w:tcPr>
            <w:tcW w:w="923" w:type="dxa"/>
            <w:shd w:val="clear" w:color="auto" w:fill="auto"/>
            <w:vAlign w:val="center"/>
          </w:tcPr>
          <w:p w14:paraId="436D36C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95.72</w:t>
            </w:r>
          </w:p>
        </w:tc>
        <w:tc>
          <w:tcPr>
            <w:tcW w:w="1157" w:type="dxa"/>
            <w:shd w:val="clear" w:color="auto" w:fill="auto"/>
            <w:vAlign w:val="center"/>
          </w:tcPr>
          <w:p w14:paraId="358E6B7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52C52A3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25.05</w:t>
            </w:r>
          </w:p>
        </w:tc>
        <w:tc>
          <w:tcPr>
            <w:tcW w:w="1110" w:type="dxa"/>
            <w:shd w:val="clear" w:color="auto" w:fill="auto"/>
            <w:vAlign w:val="center"/>
          </w:tcPr>
          <w:p w14:paraId="51159452">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38E3962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7314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34124A4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第5边的贡献最大值</w:t>
            </w:r>
          </w:p>
        </w:tc>
        <w:tc>
          <w:tcPr>
            <w:tcW w:w="876" w:type="dxa"/>
            <w:shd w:val="clear" w:color="auto" w:fill="auto"/>
            <w:vAlign w:val="center"/>
          </w:tcPr>
          <w:p w14:paraId="140D8102">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53.25</w:t>
            </w:r>
          </w:p>
        </w:tc>
        <w:tc>
          <w:tcPr>
            <w:tcW w:w="923" w:type="dxa"/>
            <w:shd w:val="clear" w:color="auto" w:fill="auto"/>
            <w:vAlign w:val="center"/>
          </w:tcPr>
          <w:p w14:paraId="6028E706">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95.72</w:t>
            </w:r>
          </w:p>
        </w:tc>
        <w:tc>
          <w:tcPr>
            <w:tcW w:w="1157" w:type="dxa"/>
            <w:shd w:val="clear" w:color="auto" w:fill="auto"/>
            <w:vAlign w:val="center"/>
          </w:tcPr>
          <w:p w14:paraId="094EC46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387CF6D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25.05</w:t>
            </w:r>
          </w:p>
        </w:tc>
        <w:tc>
          <w:tcPr>
            <w:tcW w:w="1110" w:type="dxa"/>
            <w:shd w:val="clear" w:color="auto" w:fill="auto"/>
            <w:vAlign w:val="center"/>
          </w:tcPr>
          <w:p w14:paraId="0E12546E">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3DD2649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67A6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17F09A69">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第6边的贡献最大值</w:t>
            </w:r>
          </w:p>
        </w:tc>
        <w:tc>
          <w:tcPr>
            <w:tcW w:w="876" w:type="dxa"/>
            <w:shd w:val="clear" w:color="auto" w:fill="auto"/>
            <w:vAlign w:val="center"/>
          </w:tcPr>
          <w:p w14:paraId="19905AF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60.89</w:t>
            </w:r>
          </w:p>
        </w:tc>
        <w:tc>
          <w:tcPr>
            <w:tcW w:w="923" w:type="dxa"/>
            <w:shd w:val="clear" w:color="auto" w:fill="auto"/>
            <w:vAlign w:val="center"/>
          </w:tcPr>
          <w:p w14:paraId="5549553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121.62</w:t>
            </w:r>
          </w:p>
        </w:tc>
        <w:tc>
          <w:tcPr>
            <w:tcW w:w="1157" w:type="dxa"/>
            <w:shd w:val="clear" w:color="auto" w:fill="auto"/>
            <w:vAlign w:val="center"/>
          </w:tcPr>
          <w:p w14:paraId="701A61AE">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7C70B5A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23.47</w:t>
            </w:r>
          </w:p>
        </w:tc>
        <w:tc>
          <w:tcPr>
            <w:tcW w:w="1110" w:type="dxa"/>
            <w:shd w:val="clear" w:color="auto" w:fill="auto"/>
            <w:vAlign w:val="center"/>
          </w:tcPr>
          <w:p w14:paraId="20943E56">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23AA80FB">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146C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007F3C62">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第7边的贡献最大值</w:t>
            </w:r>
          </w:p>
        </w:tc>
        <w:tc>
          <w:tcPr>
            <w:tcW w:w="876" w:type="dxa"/>
            <w:shd w:val="clear" w:color="auto" w:fill="auto"/>
            <w:vAlign w:val="center"/>
          </w:tcPr>
          <w:p w14:paraId="1D4E51BB">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61.32</w:t>
            </w:r>
          </w:p>
        </w:tc>
        <w:tc>
          <w:tcPr>
            <w:tcW w:w="923" w:type="dxa"/>
            <w:shd w:val="clear" w:color="auto" w:fill="auto"/>
            <w:vAlign w:val="center"/>
          </w:tcPr>
          <w:p w14:paraId="6A44833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151.35</w:t>
            </w:r>
          </w:p>
        </w:tc>
        <w:tc>
          <w:tcPr>
            <w:tcW w:w="1157" w:type="dxa"/>
            <w:shd w:val="clear" w:color="auto" w:fill="auto"/>
            <w:vAlign w:val="center"/>
          </w:tcPr>
          <w:p w14:paraId="287EA699">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4AD2737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21.60</w:t>
            </w:r>
          </w:p>
        </w:tc>
        <w:tc>
          <w:tcPr>
            <w:tcW w:w="1110" w:type="dxa"/>
            <w:shd w:val="clear" w:color="auto" w:fill="auto"/>
            <w:vAlign w:val="center"/>
          </w:tcPr>
          <w:p w14:paraId="766B002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5EC06EF6">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77D7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263" w:type="dxa"/>
            <w:shd w:val="clear" w:color="auto" w:fill="auto"/>
            <w:vAlign w:val="center"/>
          </w:tcPr>
          <w:p w14:paraId="44F3F52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第8边的贡献最大值</w:t>
            </w:r>
          </w:p>
        </w:tc>
        <w:tc>
          <w:tcPr>
            <w:tcW w:w="876" w:type="dxa"/>
            <w:shd w:val="clear" w:color="auto" w:fill="auto"/>
            <w:vAlign w:val="center"/>
          </w:tcPr>
          <w:p w14:paraId="3E3853A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58.35</w:t>
            </w:r>
          </w:p>
        </w:tc>
        <w:tc>
          <w:tcPr>
            <w:tcW w:w="923" w:type="dxa"/>
            <w:shd w:val="clear" w:color="auto" w:fill="auto"/>
            <w:vAlign w:val="center"/>
          </w:tcPr>
          <w:p w14:paraId="01185FE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162.39</w:t>
            </w:r>
          </w:p>
        </w:tc>
        <w:tc>
          <w:tcPr>
            <w:tcW w:w="1157" w:type="dxa"/>
            <w:shd w:val="clear" w:color="auto" w:fill="auto"/>
            <w:vAlign w:val="center"/>
          </w:tcPr>
          <w:p w14:paraId="28B0348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6DAF233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21.00</w:t>
            </w:r>
          </w:p>
        </w:tc>
        <w:tc>
          <w:tcPr>
            <w:tcW w:w="1110" w:type="dxa"/>
            <w:shd w:val="clear" w:color="auto" w:fill="auto"/>
            <w:vAlign w:val="center"/>
          </w:tcPr>
          <w:p w14:paraId="462979C6">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153267A9">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3A3D6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77C4DEDE">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第9边的贡献最大值</w:t>
            </w:r>
          </w:p>
        </w:tc>
        <w:tc>
          <w:tcPr>
            <w:tcW w:w="876" w:type="dxa"/>
            <w:shd w:val="clear" w:color="auto" w:fill="auto"/>
            <w:vAlign w:val="center"/>
          </w:tcPr>
          <w:p w14:paraId="1DCE425B">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74.06</w:t>
            </w:r>
          </w:p>
        </w:tc>
        <w:tc>
          <w:tcPr>
            <w:tcW w:w="923" w:type="dxa"/>
            <w:shd w:val="clear" w:color="auto" w:fill="auto"/>
            <w:vAlign w:val="center"/>
          </w:tcPr>
          <w:p w14:paraId="134F6A1E">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196.78</w:t>
            </w:r>
          </w:p>
        </w:tc>
        <w:tc>
          <w:tcPr>
            <w:tcW w:w="1157" w:type="dxa"/>
            <w:shd w:val="clear" w:color="auto" w:fill="auto"/>
            <w:vAlign w:val="center"/>
          </w:tcPr>
          <w:p w14:paraId="74AD625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5386954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20.67</w:t>
            </w:r>
          </w:p>
        </w:tc>
        <w:tc>
          <w:tcPr>
            <w:tcW w:w="1110" w:type="dxa"/>
            <w:shd w:val="clear" w:color="auto" w:fill="auto"/>
            <w:vAlign w:val="center"/>
          </w:tcPr>
          <w:p w14:paraId="4706CD3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4D74628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470C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5EBB0C9E">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第10边的贡献最大值</w:t>
            </w:r>
          </w:p>
        </w:tc>
        <w:tc>
          <w:tcPr>
            <w:tcW w:w="876" w:type="dxa"/>
            <w:shd w:val="clear" w:color="auto" w:fill="auto"/>
            <w:vAlign w:val="center"/>
          </w:tcPr>
          <w:p w14:paraId="4DBC2417">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91.04</w:t>
            </w:r>
          </w:p>
        </w:tc>
        <w:tc>
          <w:tcPr>
            <w:tcW w:w="923" w:type="dxa"/>
            <w:shd w:val="clear" w:color="auto" w:fill="auto"/>
            <w:vAlign w:val="center"/>
          </w:tcPr>
          <w:p w14:paraId="655C901F">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200.18</w:t>
            </w:r>
          </w:p>
        </w:tc>
        <w:tc>
          <w:tcPr>
            <w:tcW w:w="1157" w:type="dxa"/>
            <w:shd w:val="clear" w:color="auto" w:fill="auto"/>
            <w:vAlign w:val="center"/>
          </w:tcPr>
          <w:p w14:paraId="33638BFE">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50BE73F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21.40</w:t>
            </w:r>
          </w:p>
        </w:tc>
        <w:tc>
          <w:tcPr>
            <w:tcW w:w="1110" w:type="dxa"/>
            <w:shd w:val="clear" w:color="auto" w:fill="auto"/>
            <w:vAlign w:val="center"/>
          </w:tcPr>
          <w:p w14:paraId="0A2EE276">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0CCCFA8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6401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3B369ACE">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第11边的贡献最大值</w:t>
            </w:r>
          </w:p>
        </w:tc>
        <w:tc>
          <w:tcPr>
            <w:tcW w:w="876" w:type="dxa"/>
            <w:shd w:val="clear" w:color="auto" w:fill="auto"/>
            <w:vAlign w:val="center"/>
          </w:tcPr>
          <w:p w14:paraId="13A03D7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97.41</w:t>
            </w:r>
          </w:p>
        </w:tc>
        <w:tc>
          <w:tcPr>
            <w:tcW w:w="923" w:type="dxa"/>
            <w:shd w:val="clear" w:color="auto" w:fill="auto"/>
            <w:vAlign w:val="center"/>
          </w:tcPr>
          <w:p w14:paraId="5DBDA34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200.60</w:t>
            </w:r>
          </w:p>
        </w:tc>
        <w:tc>
          <w:tcPr>
            <w:tcW w:w="1157" w:type="dxa"/>
            <w:shd w:val="clear" w:color="auto" w:fill="auto"/>
            <w:vAlign w:val="center"/>
          </w:tcPr>
          <w:p w14:paraId="73EE4BF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5F6983A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21.69</w:t>
            </w:r>
          </w:p>
        </w:tc>
        <w:tc>
          <w:tcPr>
            <w:tcW w:w="1110" w:type="dxa"/>
            <w:shd w:val="clear" w:color="auto" w:fill="auto"/>
            <w:vAlign w:val="center"/>
          </w:tcPr>
          <w:p w14:paraId="50C5ACA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08B1BFC9">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097C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1F1A341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第12边的贡献最大值</w:t>
            </w:r>
          </w:p>
        </w:tc>
        <w:tc>
          <w:tcPr>
            <w:tcW w:w="876" w:type="dxa"/>
            <w:shd w:val="clear" w:color="auto" w:fill="auto"/>
            <w:vAlign w:val="center"/>
          </w:tcPr>
          <w:p w14:paraId="2E3308C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111.00</w:t>
            </w:r>
          </w:p>
        </w:tc>
        <w:tc>
          <w:tcPr>
            <w:tcW w:w="923" w:type="dxa"/>
            <w:shd w:val="clear" w:color="auto" w:fill="auto"/>
            <w:vAlign w:val="center"/>
          </w:tcPr>
          <w:p w14:paraId="5CF92DB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204.42</w:t>
            </w:r>
          </w:p>
        </w:tc>
        <w:tc>
          <w:tcPr>
            <w:tcW w:w="1157" w:type="dxa"/>
            <w:shd w:val="clear" w:color="auto" w:fill="auto"/>
            <w:vAlign w:val="center"/>
          </w:tcPr>
          <w:p w14:paraId="64E9E68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1E5EA67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22.16</w:t>
            </w:r>
          </w:p>
        </w:tc>
        <w:tc>
          <w:tcPr>
            <w:tcW w:w="1110" w:type="dxa"/>
            <w:shd w:val="clear" w:color="auto" w:fill="auto"/>
            <w:vAlign w:val="center"/>
          </w:tcPr>
          <w:p w14:paraId="3C6EE8A7">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6156611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239F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5A107F0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第13边的贡献最大值</w:t>
            </w:r>
          </w:p>
        </w:tc>
        <w:tc>
          <w:tcPr>
            <w:tcW w:w="876" w:type="dxa"/>
            <w:shd w:val="clear" w:color="auto" w:fill="auto"/>
            <w:vAlign w:val="center"/>
          </w:tcPr>
          <w:p w14:paraId="2C7C281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140.30</w:t>
            </w:r>
          </w:p>
        </w:tc>
        <w:tc>
          <w:tcPr>
            <w:tcW w:w="923" w:type="dxa"/>
            <w:shd w:val="clear" w:color="auto" w:fill="auto"/>
            <w:vAlign w:val="center"/>
          </w:tcPr>
          <w:p w14:paraId="5377B4D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196.78</w:t>
            </w:r>
          </w:p>
        </w:tc>
        <w:tc>
          <w:tcPr>
            <w:tcW w:w="1157" w:type="dxa"/>
            <w:shd w:val="clear" w:color="auto" w:fill="auto"/>
            <w:vAlign w:val="center"/>
          </w:tcPr>
          <w:p w14:paraId="038EAB7B">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4213DEA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23.99</w:t>
            </w:r>
          </w:p>
        </w:tc>
        <w:tc>
          <w:tcPr>
            <w:tcW w:w="1110" w:type="dxa"/>
            <w:shd w:val="clear" w:color="auto" w:fill="auto"/>
            <w:vAlign w:val="center"/>
          </w:tcPr>
          <w:p w14:paraId="10470D2B">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5C97EB1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715E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31DEBBCE">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第14边的贡献最大值</w:t>
            </w:r>
          </w:p>
        </w:tc>
        <w:tc>
          <w:tcPr>
            <w:tcW w:w="876" w:type="dxa"/>
            <w:shd w:val="clear" w:color="auto" w:fill="auto"/>
            <w:vAlign w:val="center"/>
          </w:tcPr>
          <w:p w14:paraId="6CA1B32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151.76</w:t>
            </w:r>
          </w:p>
        </w:tc>
        <w:tc>
          <w:tcPr>
            <w:tcW w:w="923" w:type="dxa"/>
            <w:shd w:val="clear" w:color="auto" w:fill="auto"/>
            <w:vAlign w:val="center"/>
          </w:tcPr>
          <w:p w14:paraId="7F5BDEB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192.96</w:t>
            </w:r>
          </w:p>
        </w:tc>
        <w:tc>
          <w:tcPr>
            <w:tcW w:w="1157" w:type="dxa"/>
            <w:shd w:val="clear" w:color="auto" w:fill="auto"/>
            <w:vAlign w:val="center"/>
          </w:tcPr>
          <w:p w14:paraId="695E2CF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7D43C54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24.86</w:t>
            </w:r>
          </w:p>
        </w:tc>
        <w:tc>
          <w:tcPr>
            <w:tcW w:w="1110" w:type="dxa"/>
            <w:shd w:val="clear" w:color="auto" w:fill="auto"/>
            <w:vAlign w:val="center"/>
          </w:tcPr>
          <w:p w14:paraId="064455AF">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722CBDA6">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617F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25BDA06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第15边的贡献最大值</w:t>
            </w:r>
          </w:p>
        </w:tc>
        <w:tc>
          <w:tcPr>
            <w:tcW w:w="876" w:type="dxa"/>
            <w:shd w:val="clear" w:color="auto" w:fill="auto"/>
            <w:vAlign w:val="center"/>
          </w:tcPr>
          <w:p w14:paraId="6800AEC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165.35</w:t>
            </w:r>
          </w:p>
        </w:tc>
        <w:tc>
          <w:tcPr>
            <w:tcW w:w="923" w:type="dxa"/>
            <w:shd w:val="clear" w:color="auto" w:fill="auto"/>
            <w:vAlign w:val="center"/>
          </w:tcPr>
          <w:p w14:paraId="77DBAEF6">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191.69</w:t>
            </w:r>
          </w:p>
        </w:tc>
        <w:tc>
          <w:tcPr>
            <w:tcW w:w="1157" w:type="dxa"/>
            <w:shd w:val="clear" w:color="auto" w:fill="auto"/>
            <w:vAlign w:val="center"/>
          </w:tcPr>
          <w:p w14:paraId="4445E80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444CD60F">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25.66</w:t>
            </w:r>
          </w:p>
        </w:tc>
        <w:tc>
          <w:tcPr>
            <w:tcW w:w="1110" w:type="dxa"/>
            <w:shd w:val="clear" w:color="auto" w:fill="auto"/>
            <w:vAlign w:val="center"/>
          </w:tcPr>
          <w:p w14:paraId="6660101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4092662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5331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1231BFF2">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第16边的贡献最大值</w:t>
            </w:r>
          </w:p>
        </w:tc>
        <w:tc>
          <w:tcPr>
            <w:tcW w:w="876" w:type="dxa"/>
            <w:shd w:val="clear" w:color="auto" w:fill="auto"/>
            <w:vAlign w:val="center"/>
          </w:tcPr>
          <w:p w14:paraId="3955855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164.93</w:t>
            </w:r>
          </w:p>
        </w:tc>
        <w:tc>
          <w:tcPr>
            <w:tcW w:w="923" w:type="dxa"/>
            <w:shd w:val="clear" w:color="auto" w:fill="auto"/>
            <w:vAlign w:val="center"/>
          </w:tcPr>
          <w:p w14:paraId="3361AD6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150.07</w:t>
            </w:r>
          </w:p>
        </w:tc>
        <w:tc>
          <w:tcPr>
            <w:tcW w:w="1157" w:type="dxa"/>
            <w:shd w:val="clear" w:color="auto" w:fill="auto"/>
            <w:vAlign w:val="center"/>
          </w:tcPr>
          <w:p w14:paraId="48E3E1F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084B097B">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31.87</w:t>
            </w:r>
          </w:p>
        </w:tc>
        <w:tc>
          <w:tcPr>
            <w:tcW w:w="1110" w:type="dxa"/>
            <w:shd w:val="clear" w:color="auto" w:fill="auto"/>
            <w:vAlign w:val="center"/>
          </w:tcPr>
          <w:p w14:paraId="52CEB8AB">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558DCE7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3BAE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56B26FC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第17边的贡献最大值</w:t>
            </w:r>
          </w:p>
        </w:tc>
        <w:tc>
          <w:tcPr>
            <w:tcW w:w="876" w:type="dxa"/>
            <w:shd w:val="clear" w:color="auto" w:fill="auto"/>
            <w:vAlign w:val="center"/>
          </w:tcPr>
          <w:p w14:paraId="609D7309">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178.52</w:t>
            </w:r>
          </w:p>
        </w:tc>
        <w:tc>
          <w:tcPr>
            <w:tcW w:w="923" w:type="dxa"/>
            <w:shd w:val="clear" w:color="auto" w:fill="auto"/>
            <w:vAlign w:val="center"/>
          </w:tcPr>
          <w:p w14:paraId="71BBCEC9">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150.92</w:t>
            </w:r>
          </w:p>
        </w:tc>
        <w:tc>
          <w:tcPr>
            <w:tcW w:w="1157" w:type="dxa"/>
            <w:shd w:val="clear" w:color="auto" w:fill="auto"/>
            <w:vAlign w:val="center"/>
          </w:tcPr>
          <w:p w14:paraId="4679255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485CA72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35.90</w:t>
            </w:r>
          </w:p>
        </w:tc>
        <w:tc>
          <w:tcPr>
            <w:tcW w:w="1110" w:type="dxa"/>
            <w:shd w:val="clear" w:color="auto" w:fill="auto"/>
            <w:vAlign w:val="center"/>
          </w:tcPr>
          <w:p w14:paraId="74A5D2F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3AA6277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0749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4BCCF30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第18边的贡献最大值</w:t>
            </w:r>
          </w:p>
        </w:tc>
        <w:tc>
          <w:tcPr>
            <w:tcW w:w="876" w:type="dxa"/>
            <w:shd w:val="clear" w:color="auto" w:fill="auto"/>
            <w:vAlign w:val="center"/>
          </w:tcPr>
          <w:p w14:paraId="4E3AC93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178.52</w:t>
            </w:r>
          </w:p>
        </w:tc>
        <w:tc>
          <w:tcPr>
            <w:tcW w:w="923" w:type="dxa"/>
            <w:shd w:val="clear" w:color="auto" w:fill="auto"/>
            <w:vAlign w:val="center"/>
          </w:tcPr>
          <w:p w14:paraId="66AE8F1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150.92</w:t>
            </w:r>
          </w:p>
        </w:tc>
        <w:tc>
          <w:tcPr>
            <w:tcW w:w="1157" w:type="dxa"/>
            <w:shd w:val="clear" w:color="auto" w:fill="auto"/>
            <w:vAlign w:val="center"/>
          </w:tcPr>
          <w:p w14:paraId="7F78A717">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569AA209">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35.90</w:t>
            </w:r>
          </w:p>
        </w:tc>
        <w:tc>
          <w:tcPr>
            <w:tcW w:w="1110" w:type="dxa"/>
            <w:shd w:val="clear" w:color="auto" w:fill="auto"/>
            <w:vAlign w:val="center"/>
          </w:tcPr>
          <w:p w14:paraId="1423DEC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5995057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5FF4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6F787F3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第19边的贡献最大值</w:t>
            </w:r>
          </w:p>
        </w:tc>
        <w:tc>
          <w:tcPr>
            <w:tcW w:w="876" w:type="dxa"/>
            <w:shd w:val="clear" w:color="auto" w:fill="auto"/>
            <w:vAlign w:val="center"/>
          </w:tcPr>
          <w:p w14:paraId="7EC5862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188.28</w:t>
            </w:r>
          </w:p>
        </w:tc>
        <w:tc>
          <w:tcPr>
            <w:tcW w:w="923" w:type="dxa"/>
            <w:shd w:val="clear" w:color="auto" w:fill="auto"/>
            <w:vAlign w:val="center"/>
          </w:tcPr>
          <w:p w14:paraId="00DCB37B">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166.21</w:t>
            </w:r>
          </w:p>
        </w:tc>
        <w:tc>
          <w:tcPr>
            <w:tcW w:w="1157" w:type="dxa"/>
            <w:shd w:val="clear" w:color="auto" w:fill="auto"/>
            <w:vAlign w:val="center"/>
          </w:tcPr>
          <w:p w14:paraId="28311577">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651BFBE6">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30.35</w:t>
            </w:r>
          </w:p>
        </w:tc>
        <w:tc>
          <w:tcPr>
            <w:tcW w:w="1110" w:type="dxa"/>
            <w:shd w:val="clear" w:color="auto" w:fill="auto"/>
            <w:vAlign w:val="center"/>
          </w:tcPr>
          <w:p w14:paraId="4A228AE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05D80226">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1D58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7C6CC2A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第20边的贡献最大值</w:t>
            </w:r>
          </w:p>
        </w:tc>
        <w:tc>
          <w:tcPr>
            <w:tcW w:w="876" w:type="dxa"/>
            <w:shd w:val="clear" w:color="auto" w:fill="auto"/>
            <w:vAlign w:val="center"/>
          </w:tcPr>
          <w:p w14:paraId="0AF0BB99">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209.94</w:t>
            </w:r>
          </w:p>
        </w:tc>
        <w:tc>
          <w:tcPr>
            <w:tcW w:w="923" w:type="dxa"/>
            <w:shd w:val="clear" w:color="auto" w:fill="auto"/>
            <w:vAlign w:val="center"/>
          </w:tcPr>
          <w:p w14:paraId="36F4D4B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168.33</w:t>
            </w:r>
          </w:p>
        </w:tc>
        <w:tc>
          <w:tcPr>
            <w:tcW w:w="1157" w:type="dxa"/>
            <w:shd w:val="clear" w:color="auto" w:fill="auto"/>
            <w:vAlign w:val="center"/>
          </w:tcPr>
          <w:p w14:paraId="407A26F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18127C3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30.54</w:t>
            </w:r>
          </w:p>
        </w:tc>
        <w:tc>
          <w:tcPr>
            <w:tcW w:w="1110" w:type="dxa"/>
            <w:shd w:val="clear" w:color="auto" w:fill="auto"/>
            <w:vAlign w:val="center"/>
          </w:tcPr>
          <w:p w14:paraId="2545293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3F2B2B9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7FD1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4CCCA70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第21边的贡献最大值</w:t>
            </w:r>
          </w:p>
        </w:tc>
        <w:tc>
          <w:tcPr>
            <w:tcW w:w="876" w:type="dxa"/>
            <w:shd w:val="clear" w:color="auto" w:fill="auto"/>
            <w:vAlign w:val="center"/>
          </w:tcPr>
          <w:p w14:paraId="1F8D6A3E">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237.54</w:t>
            </w:r>
          </w:p>
        </w:tc>
        <w:tc>
          <w:tcPr>
            <w:tcW w:w="923" w:type="dxa"/>
            <w:shd w:val="clear" w:color="auto" w:fill="auto"/>
            <w:vAlign w:val="center"/>
          </w:tcPr>
          <w:p w14:paraId="650DA8D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170.45</w:t>
            </w:r>
          </w:p>
        </w:tc>
        <w:tc>
          <w:tcPr>
            <w:tcW w:w="1157" w:type="dxa"/>
            <w:shd w:val="clear" w:color="auto" w:fill="auto"/>
            <w:vAlign w:val="center"/>
          </w:tcPr>
          <w:p w14:paraId="1B7FB76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036A5F82">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31.64</w:t>
            </w:r>
          </w:p>
        </w:tc>
        <w:tc>
          <w:tcPr>
            <w:tcW w:w="1110" w:type="dxa"/>
            <w:shd w:val="clear" w:color="auto" w:fill="auto"/>
            <w:vAlign w:val="center"/>
          </w:tcPr>
          <w:p w14:paraId="78540CD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101F880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3329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5C7BE1C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第22边的贡献最大值</w:t>
            </w:r>
          </w:p>
        </w:tc>
        <w:tc>
          <w:tcPr>
            <w:tcW w:w="876" w:type="dxa"/>
            <w:shd w:val="clear" w:color="auto" w:fill="auto"/>
            <w:vAlign w:val="center"/>
          </w:tcPr>
          <w:p w14:paraId="5BCBB6A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237.54</w:t>
            </w:r>
          </w:p>
        </w:tc>
        <w:tc>
          <w:tcPr>
            <w:tcW w:w="923" w:type="dxa"/>
            <w:shd w:val="clear" w:color="auto" w:fill="auto"/>
            <w:vAlign w:val="center"/>
          </w:tcPr>
          <w:p w14:paraId="32B5581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170.45</w:t>
            </w:r>
          </w:p>
        </w:tc>
        <w:tc>
          <w:tcPr>
            <w:tcW w:w="1157" w:type="dxa"/>
            <w:shd w:val="clear" w:color="auto" w:fill="auto"/>
            <w:vAlign w:val="center"/>
          </w:tcPr>
          <w:p w14:paraId="7D92FE5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06906A3B">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31.64</w:t>
            </w:r>
          </w:p>
        </w:tc>
        <w:tc>
          <w:tcPr>
            <w:tcW w:w="1110" w:type="dxa"/>
            <w:shd w:val="clear" w:color="auto" w:fill="auto"/>
            <w:vAlign w:val="center"/>
          </w:tcPr>
          <w:p w14:paraId="35F4103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093F488F">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3C03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1AA2F18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第23边的贡献最大值</w:t>
            </w:r>
          </w:p>
        </w:tc>
        <w:tc>
          <w:tcPr>
            <w:tcW w:w="876" w:type="dxa"/>
            <w:shd w:val="clear" w:color="auto" w:fill="auto"/>
            <w:vAlign w:val="center"/>
          </w:tcPr>
          <w:p w14:paraId="6EFBDB2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260.47</w:t>
            </w:r>
          </w:p>
        </w:tc>
        <w:tc>
          <w:tcPr>
            <w:tcW w:w="923" w:type="dxa"/>
            <w:shd w:val="clear" w:color="auto" w:fill="auto"/>
            <w:vAlign w:val="center"/>
          </w:tcPr>
          <w:p w14:paraId="2752A63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173.43</w:t>
            </w:r>
          </w:p>
        </w:tc>
        <w:tc>
          <w:tcPr>
            <w:tcW w:w="1157" w:type="dxa"/>
            <w:shd w:val="clear" w:color="auto" w:fill="auto"/>
            <w:vAlign w:val="center"/>
          </w:tcPr>
          <w:p w14:paraId="31B0733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756C1EE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29.88</w:t>
            </w:r>
          </w:p>
        </w:tc>
        <w:tc>
          <w:tcPr>
            <w:tcW w:w="1110" w:type="dxa"/>
            <w:shd w:val="clear" w:color="auto" w:fill="auto"/>
            <w:vAlign w:val="center"/>
          </w:tcPr>
          <w:p w14:paraId="62BA0179">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037DCA4E">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059C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263" w:type="dxa"/>
            <w:shd w:val="clear" w:color="auto" w:fill="auto"/>
            <w:vAlign w:val="center"/>
          </w:tcPr>
          <w:p w14:paraId="123EFE9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第24边的贡献最大值</w:t>
            </w:r>
          </w:p>
        </w:tc>
        <w:tc>
          <w:tcPr>
            <w:tcW w:w="876" w:type="dxa"/>
            <w:shd w:val="clear" w:color="auto" w:fill="auto"/>
            <w:vAlign w:val="center"/>
          </w:tcPr>
          <w:p w14:paraId="56B7DC8F">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299.54</w:t>
            </w:r>
          </w:p>
        </w:tc>
        <w:tc>
          <w:tcPr>
            <w:tcW w:w="923" w:type="dxa"/>
            <w:shd w:val="clear" w:color="auto" w:fill="auto"/>
            <w:vAlign w:val="center"/>
          </w:tcPr>
          <w:p w14:paraId="57A9A9B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143.70</w:t>
            </w:r>
          </w:p>
        </w:tc>
        <w:tc>
          <w:tcPr>
            <w:tcW w:w="1157" w:type="dxa"/>
            <w:shd w:val="clear" w:color="auto" w:fill="auto"/>
            <w:vAlign w:val="center"/>
          </w:tcPr>
          <w:p w14:paraId="19081D77">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03A3CEE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34.89</w:t>
            </w:r>
          </w:p>
        </w:tc>
        <w:tc>
          <w:tcPr>
            <w:tcW w:w="1110" w:type="dxa"/>
            <w:shd w:val="clear" w:color="auto" w:fill="auto"/>
            <w:vAlign w:val="center"/>
          </w:tcPr>
          <w:p w14:paraId="61C3703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0B4F2FD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0CCE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4B809C5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第25边的贡献最大值</w:t>
            </w:r>
          </w:p>
        </w:tc>
        <w:tc>
          <w:tcPr>
            <w:tcW w:w="876" w:type="dxa"/>
            <w:shd w:val="clear" w:color="auto" w:fill="auto"/>
            <w:vAlign w:val="center"/>
          </w:tcPr>
          <w:p w14:paraId="52102B8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299.54</w:t>
            </w:r>
          </w:p>
        </w:tc>
        <w:tc>
          <w:tcPr>
            <w:tcW w:w="923" w:type="dxa"/>
            <w:shd w:val="clear" w:color="auto" w:fill="auto"/>
            <w:vAlign w:val="center"/>
          </w:tcPr>
          <w:p w14:paraId="1E09853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143.70</w:t>
            </w:r>
          </w:p>
        </w:tc>
        <w:tc>
          <w:tcPr>
            <w:tcW w:w="1157" w:type="dxa"/>
            <w:shd w:val="clear" w:color="auto" w:fill="auto"/>
            <w:vAlign w:val="center"/>
          </w:tcPr>
          <w:p w14:paraId="19F1DDD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4AD619A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34.89</w:t>
            </w:r>
          </w:p>
        </w:tc>
        <w:tc>
          <w:tcPr>
            <w:tcW w:w="1110" w:type="dxa"/>
            <w:shd w:val="clear" w:color="auto" w:fill="auto"/>
            <w:vAlign w:val="center"/>
          </w:tcPr>
          <w:p w14:paraId="0F837BE6">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6F1DB00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4431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19CA7EE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第26边的贡献最大值</w:t>
            </w:r>
          </w:p>
        </w:tc>
        <w:tc>
          <w:tcPr>
            <w:tcW w:w="876" w:type="dxa"/>
            <w:shd w:val="clear" w:color="auto" w:fill="auto"/>
            <w:vAlign w:val="center"/>
          </w:tcPr>
          <w:p w14:paraId="0D2B2BD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302.08</w:t>
            </w:r>
          </w:p>
        </w:tc>
        <w:tc>
          <w:tcPr>
            <w:tcW w:w="923" w:type="dxa"/>
            <w:shd w:val="clear" w:color="auto" w:fill="auto"/>
            <w:vAlign w:val="center"/>
          </w:tcPr>
          <w:p w14:paraId="7BA46F9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111.85</w:t>
            </w:r>
          </w:p>
        </w:tc>
        <w:tc>
          <w:tcPr>
            <w:tcW w:w="1157" w:type="dxa"/>
            <w:shd w:val="clear" w:color="auto" w:fill="auto"/>
            <w:vAlign w:val="center"/>
          </w:tcPr>
          <w:p w14:paraId="0817B5EB">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658AC55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30.17</w:t>
            </w:r>
          </w:p>
        </w:tc>
        <w:tc>
          <w:tcPr>
            <w:tcW w:w="1110" w:type="dxa"/>
            <w:shd w:val="clear" w:color="auto" w:fill="auto"/>
            <w:vAlign w:val="center"/>
          </w:tcPr>
          <w:p w14:paraId="2466683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59B99B9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2ACF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2CDE4A1B">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第27边的贡献最大值</w:t>
            </w:r>
          </w:p>
        </w:tc>
        <w:tc>
          <w:tcPr>
            <w:tcW w:w="876" w:type="dxa"/>
            <w:shd w:val="clear" w:color="auto" w:fill="auto"/>
            <w:vAlign w:val="center"/>
          </w:tcPr>
          <w:p w14:paraId="47BD2AA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305.06</w:t>
            </w:r>
          </w:p>
        </w:tc>
        <w:tc>
          <w:tcPr>
            <w:tcW w:w="923" w:type="dxa"/>
            <w:shd w:val="clear" w:color="auto" w:fill="auto"/>
            <w:vAlign w:val="center"/>
          </w:tcPr>
          <w:p w14:paraId="46AFB9E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82.55</w:t>
            </w:r>
          </w:p>
        </w:tc>
        <w:tc>
          <w:tcPr>
            <w:tcW w:w="1157" w:type="dxa"/>
            <w:shd w:val="clear" w:color="auto" w:fill="auto"/>
            <w:vAlign w:val="center"/>
          </w:tcPr>
          <w:p w14:paraId="2CDFF8F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0FA0611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27.11</w:t>
            </w:r>
          </w:p>
        </w:tc>
        <w:tc>
          <w:tcPr>
            <w:tcW w:w="1110" w:type="dxa"/>
            <w:shd w:val="clear" w:color="auto" w:fill="auto"/>
            <w:vAlign w:val="center"/>
          </w:tcPr>
          <w:p w14:paraId="3DD3EBCF">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21F53FD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1874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612D242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第28边的贡献最大值</w:t>
            </w:r>
          </w:p>
        </w:tc>
        <w:tc>
          <w:tcPr>
            <w:tcW w:w="876" w:type="dxa"/>
            <w:shd w:val="clear" w:color="auto" w:fill="auto"/>
            <w:vAlign w:val="center"/>
          </w:tcPr>
          <w:p w14:paraId="3FF02DE6">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307.18</w:t>
            </w:r>
          </w:p>
        </w:tc>
        <w:tc>
          <w:tcPr>
            <w:tcW w:w="923" w:type="dxa"/>
            <w:shd w:val="clear" w:color="auto" w:fill="auto"/>
            <w:vAlign w:val="center"/>
          </w:tcPr>
          <w:p w14:paraId="304DB8BB">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56.65</w:t>
            </w:r>
          </w:p>
        </w:tc>
        <w:tc>
          <w:tcPr>
            <w:tcW w:w="1157" w:type="dxa"/>
            <w:shd w:val="clear" w:color="auto" w:fill="auto"/>
            <w:vAlign w:val="center"/>
          </w:tcPr>
          <w:p w14:paraId="2F9D5D5F">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6EB5D33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25.99</w:t>
            </w:r>
          </w:p>
        </w:tc>
        <w:tc>
          <w:tcPr>
            <w:tcW w:w="1110" w:type="dxa"/>
            <w:shd w:val="clear" w:color="auto" w:fill="auto"/>
            <w:vAlign w:val="center"/>
          </w:tcPr>
          <w:p w14:paraId="4ED08D4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6A141659">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04B2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263" w:type="dxa"/>
            <w:shd w:val="clear" w:color="auto" w:fill="auto"/>
            <w:vAlign w:val="center"/>
          </w:tcPr>
          <w:p w14:paraId="08BF30FE">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第29边的贡献最大值</w:t>
            </w:r>
          </w:p>
        </w:tc>
        <w:tc>
          <w:tcPr>
            <w:tcW w:w="876" w:type="dxa"/>
            <w:shd w:val="clear" w:color="auto" w:fill="auto"/>
            <w:vAlign w:val="center"/>
          </w:tcPr>
          <w:p w14:paraId="06FF5FD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311.00</w:t>
            </w:r>
          </w:p>
        </w:tc>
        <w:tc>
          <w:tcPr>
            <w:tcW w:w="923" w:type="dxa"/>
            <w:shd w:val="clear" w:color="auto" w:fill="auto"/>
            <w:vAlign w:val="center"/>
          </w:tcPr>
          <w:p w14:paraId="397AC70F">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25.65</w:t>
            </w:r>
          </w:p>
        </w:tc>
        <w:tc>
          <w:tcPr>
            <w:tcW w:w="1157" w:type="dxa"/>
            <w:shd w:val="clear" w:color="auto" w:fill="auto"/>
            <w:vAlign w:val="center"/>
          </w:tcPr>
          <w:p w14:paraId="666B2AC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651BC51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24.42</w:t>
            </w:r>
          </w:p>
        </w:tc>
        <w:tc>
          <w:tcPr>
            <w:tcW w:w="1110" w:type="dxa"/>
            <w:shd w:val="clear" w:color="auto" w:fill="auto"/>
            <w:vAlign w:val="center"/>
          </w:tcPr>
          <w:p w14:paraId="35D3E1C6">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7AC89A0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4234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263" w:type="dxa"/>
            <w:shd w:val="clear" w:color="auto" w:fill="auto"/>
            <w:vAlign w:val="center"/>
          </w:tcPr>
          <w:p w14:paraId="5EDED929">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第30边的贡献最大值</w:t>
            </w:r>
          </w:p>
        </w:tc>
        <w:tc>
          <w:tcPr>
            <w:tcW w:w="876" w:type="dxa"/>
            <w:shd w:val="clear" w:color="auto" w:fill="auto"/>
            <w:vAlign w:val="center"/>
          </w:tcPr>
          <w:p w14:paraId="64F255A2">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313.55</w:t>
            </w:r>
          </w:p>
        </w:tc>
        <w:tc>
          <w:tcPr>
            <w:tcW w:w="923" w:type="dxa"/>
            <w:shd w:val="clear" w:color="auto" w:fill="auto"/>
            <w:vAlign w:val="center"/>
          </w:tcPr>
          <w:p w14:paraId="22DED44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1.03</w:t>
            </w:r>
          </w:p>
        </w:tc>
        <w:tc>
          <w:tcPr>
            <w:tcW w:w="1157" w:type="dxa"/>
            <w:shd w:val="clear" w:color="auto" w:fill="auto"/>
            <w:vAlign w:val="center"/>
          </w:tcPr>
          <w:p w14:paraId="2E0E696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16BFC3B2">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23.07</w:t>
            </w:r>
          </w:p>
        </w:tc>
        <w:tc>
          <w:tcPr>
            <w:tcW w:w="1110" w:type="dxa"/>
            <w:shd w:val="clear" w:color="auto" w:fill="auto"/>
            <w:vAlign w:val="center"/>
          </w:tcPr>
          <w:p w14:paraId="44CFE0C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770626F6">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22F0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11F1B54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第31边的贡献最大值</w:t>
            </w:r>
          </w:p>
        </w:tc>
        <w:tc>
          <w:tcPr>
            <w:tcW w:w="876" w:type="dxa"/>
            <w:shd w:val="clear" w:color="auto" w:fill="auto"/>
            <w:vAlign w:val="center"/>
          </w:tcPr>
          <w:p w14:paraId="3DDFD37E">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234.57</w:t>
            </w:r>
          </w:p>
        </w:tc>
        <w:tc>
          <w:tcPr>
            <w:tcW w:w="923" w:type="dxa"/>
            <w:shd w:val="clear" w:color="auto" w:fill="auto"/>
            <w:vAlign w:val="center"/>
          </w:tcPr>
          <w:p w14:paraId="27550907">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-14.69</w:t>
            </w:r>
          </w:p>
        </w:tc>
        <w:tc>
          <w:tcPr>
            <w:tcW w:w="1157" w:type="dxa"/>
            <w:shd w:val="clear" w:color="auto" w:fill="auto"/>
            <w:vAlign w:val="center"/>
          </w:tcPr>
          <w:p w14:paraId="148DC00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142C69F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25.66</w:t>
            </w:r>
          </w:p>
        </w:tc>
        <w:tc>
          <w:tcPr>
            <w:tcW w:w="1110" w:type="dxa"/>
            <w:shd w:val="clear" w:color="auto" w:fill="auto"/>
            <w:vAlign w:val="center"/>
          </w:tcPr>
          <w:p w14:paraId="6E56E1C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428AEFF2">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12BC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5B05B21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第32边的贡献最大值</w:t>
            </w:r>
          </w:p>
        </w:tc>
        <w:tc>
          <w:tcPr>
            <w:tcW w:w="876" w:type="dxa"/>
            <w:shd w:val="clear" w:color="auto" w:fill="auto"/>
            <w:vAlign w:val="center"/>
          </w:tcPr>
          <w:p w14:paraId="50B7693B">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224.63</w:t>
            </w:r>
          </w:p>
        </w:tc>
        <w:tc>
          <w:tcPr>
            <w:tcW w:w="923" w:type="dxa"/>
            <w:shd w:val="clear" w:color="auto" w:fill="auto"/>
            <w:vAlign w:val="center"/>
          </w:tcPr>
          <w:p w14:paraId="41C83D2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-15.74</w:t>
            </w:r>
          </w:p>
        </w:tc>
        <w:tc>
          <w:tcPr>
            <w:tcW w:w="1157" w:type="dxa"/>
            <w:shd w:val="clear" w:color="auto" w:fill="auto"/>
            <w:vAlign w:val="center"/>
          </w:tcPr>
          <w:p w14:paraId="37CA6AD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066719E2">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25.67</w:t>
            </w:r>
          </w:p>
        </w:tc>
        <w:tc>
          <w:tcPr>
            <w:tcW w:w="1110" w:type="dxa"/>
            <w:shd w:val="clear" w:color="auto" w:fill="auto"/>
            <w:vAlign w:val="center"/>
          </w:tcPr>
          <w:p w14:paraId="3B62C32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71E83CB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38C7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6A47C14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第33边的贡献最大值</w:t>
            </w:r>
          </w:p>
        </w:tc>
        <w:tc>
          <w:tcPr>
            <w:tcW w:w="876" w:type="dxa"/>
            <w:shd w:val="clear" w:color="auto" w:fill="auto"/>
            <w:vAlign w:val="center"/>
          </w:tcPr>
          <w:p w14:paraId="7C7F207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198.47</w:t>
            </w:r>
          </w:p>
        </w:tc>
        <w:tc>
          <w:tcPr>
            <w:tcW w:w="923" w:type="dxa"/>
            <w:shd w:val="clear" w:color="auto" w:fill="auto"/>
            <w:vAlign w:val="center"/>
          </w:tcPr>
          <w:p w14:paraId="77B798D7">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-18.51</w:t>
            </w:r>
          </w:p>
        </w:tc>
        <w:tc>
          <w:tcPr>
            <w:tcW w:w="1157" w:type="dxa"/>
            <w:shd w:val="clear" w:color="auto" w:fill="auto"/>
            <w:vAlign w:val="center"/>
          </w:tcPr>
          <w:p w14:paraId="746C409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51573827">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25.31</w:t>
            </w:r>
          </w:p>
        </w:tc>
        <w:tc>
          <w:tcPr>
            <w:tcW w:w="1110" w:type="dxa"/>
            <w:shd w:val="clear" w:color="auto" w:fill="auto"/>
            <w:vAlign w:val="center"/>
          </w:tcPr>
          <w:p w14:paraId="02B0D0E6">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6B57EE0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2BD3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005D1B3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第34边的贡献最大值</w:t>
            </w:r>
          </w:p>
        </w:tc>
        <w:tc>
          <w:tcPr>
            <w:tcW w:w="876" w:type="dxa"/>
            <w:shd w:val="clear" w:color="auto" w:fill="auto"/>
            <w:vAlign w:val="center"/>
          </w:tcPr>
          <w:p w14:paraId="58AF8152">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155.59</w:t>
            </w:r>
          </w:p>
        </w:tc>
        <w:tc>
          <w:tcPr>
            <w:tcW w:w="923" w:type="dxa"/>
            <w:shd w:val="clear" w:color="auto" w:fill="auto"/>
            <w:vAlign w:val="center"/>
          </w:tcPr>
          <w:p w14:paraId="59239BA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-24.03</w:t>
            </w:r>
          </w:p>
        </w:tc>
        <w:tc>
          <w:tcPr>
            <w:tcW w:w="1157" w:type="dxa"/>
            <w:shd w:val="clear" w:color="auto" w:fill="auto"/>
            <w:vAlign w:val="center"/>
          </w:tcPr>
          <w:p w14:paraId="6B6BA11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74195FD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23.54</w:t>
            </w:r>
          </w:p>
        </w:tc>
        <w:tc>
          <w:tcPr>
            <w:tcW w:w="1110" w:type="dxa"/>
            <w:shd w:val="clear" w:color="auto" w:fill="auto"/>
            <w:vAlign w:val="center"/>
          </w:tcPr>
          <w:p w14:paraId="79F23BE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0B1EC83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52A4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263" w:type="dxa"/>
            <w:shd w:val="clear" w:color="auto" w:fill="auto"/>
            <w:vAlign w:val="center"/>
          </w:tcPr>
          <w:p w14:paraId="0DAF7D4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第35边的贡献最大值</w:t>
            </w:r>
          </w:p>
        </w:tc>
        <w:tc>
          <w:tcPr>
            <w:tcW w:w="876" w:type="dxa"/>
            <w:shd w:val="clear" w:color="auto" w:fill="auto"/>
            <w:vAlign w:val="center"/>
          </w:tcPr>
          <w:p w14:paraId="349B36A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102.93</w:t>
            </w:r>
          </w:p>
        </w:tc>
        <w:tc>
          <w:tcPr>
            <w:tcW w:w="923" w:type="dxa"/>
            <w:shd w:val="clear" w:color="auto" w:fill="auto"/>
            <w:vAlign w:val="center"/>
          </w:tcPr>
          <w:p w14:paraId="2F1DA354">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-29.55</w:t>
            </w:r>
          </w:p>
        </w:tc>
        <w:tc>
          <w:tcPr>
            <w:tcW w:w="1157" w:type="dxa"/>
            <w:shd w:val="clear" w:color="auto" w:fill="auto"/>
            <w:vAlign w:val="center"/>
          </w:tcPr>
          <w:p w14:paraId="78F94AB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12470A6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20.58</w:t>
            </w:r>
          </w:p>
        </w:tc>
        <w:tc>
          <w:tcPr>
            <w:tcW w:w="1110" w:type="dxa"/>
            <w:shd w:val="clear" w:color="auto" w:fill="auto"/>
            <w:vAlign w:val="center"/>
          </w:tcPr>
          <w:p w14:paraId="6C52A5FE">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5138CF4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6696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263" w:type="dxa"/>
            <w:shd w:val="clear" w:color="auto" w:fill="auto"/>
            <w:vAlign w:val="center"/>
          </w:tcPr>
          <w:p w14:paraId="215F70F2">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第36边的贡献最大值</w:t>
            </w:r>
          </w:p>
        </w:tc>
        <w:tc>
          <w:tcPr>
            <w:tcW w:w="876" w:type="dxa"/>
            <w:shd w:val="clear" w:color="auto" w:fill="auto"/>
            <w:vAlign w:val="center"/>
          </w:tcPr>
          <w:p w14:paraId="27A63AF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50.70</w:t>
            </w:r>
          </w:p>
        </w:tc>
        <w:tc>
          <w:tcPr>
            <w:tcW w:w="923" w:type="dxa"/>
            <w:shd w:val="clear" w:color="auto" w:fill="auto"/>
            <w:vAlign w:val="center"/>
          </w:tcPr>
          <w:p w14:paraId="4B4C26F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-17.66</w:t>
            </w:r>
          </w:p>
        </w:tc>
        <w:tc>
          <w:tcPr>
            <w:tcW w:w="1157" w:type="dxa"/>
            <w:shd w:val="clear" w:color="auto" w:fill="auto"/>
            <w:vAlign w:val="center"/>
          </w:tcPr>
          <w:p w14:paraId="28EB166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2D4BB3B5">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18.62</w:t>
            </w:r>
          </w:p>
        </w:tc>
        <w:tc>
          <w:tcPr>
            <w:tcW w:w="1110" w:type="dxa"/>
            <w:shd w:val="clear" w:color="auto" w:fill="auto"/>
            <w:vAlign w:val="center"/>
          </w:tcPr>
          <w:p w14:paraId="3C31F092">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23091417">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61EF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05742753">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第37边的贡献最大值</w:t>
            </w:r>
          </w:p>
        </w:tc>
        <w:tc>
          <w:tcPr>
            <w:tcW w:w="876" w:type="dxa"/>
            <w:shd w:val="clear" w:color="auto" w:fill="auto"/>
            <w:vAlign w:val="center"/>
          </w:tcPr>
          <w:p w14:paraId="44582597">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0.60</w:t>
            </w:r>
          </w:p>
        </w:tc>
        <w:tc>
          <w:tcPr>
            <w:tcW w:w="923" w:type="dxa"/>
            <w:shd w:val="clear" w:color="auto" w:fill="auto"/>
            <w:vAlign w:val="center"/>
          </w:tcPr>
          <w:p w14:paraId="49D0300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0.18</w:t>
            </w:r>
          </w:p>
        </w:tc>
        <w:tc>
          <w:tcPr>
            <w:tcW w:w="1157" w:type="dxa"/>
            <w:shd w:val="clear" w:color="auto" w:fill="auto"/>
            <w:vAlign w:val="center"/>
          </w:tcPr>
          <w:p w14:paraId="489F123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2D6019D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17.09</w:t>
            </w:r>
          </w:p>
        </w:tc>
        <w:tc>
          <w:tcPr>
            <w:tcW w:w="1110" w:type="dxa"/>
            <w:shd w:val="clear" w:color="auto" w:fill="auto"/>
            <w:vAlign w:val="center"/>
          </w:tcPr>
          <w:p w14:paraId="078FB2D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6592D18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6403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1A300F12">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贡献最大值</w:t>
            </w:r>
          </w:p>
        </w:tc>
        <w:tc>
          <w:tcPr>
            <w:tcW w:w="876" w:type="dxa"/>
            <w:shd w:val="clear" w:color="auto" w:fill="auto"/>
            <w:vAlign w:val="center"/>
          </w:tcPr>
          <w:p w14:paraId="1ED2548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178.52</w:t>
            </w:r>
          </w:p>
        </w:tc>
        <w:tc>
          <w:tcPr>
            <w:tcW w:w="923" w:type="dxa"/>
            <w:shd w:val="clear" w:color="auto" w:fill="auto"/>
            <w:vAlign w:val="center"/>
          </w:tcPr>
          <w:p w14:paraId="2F811F3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150.92</w:t>
            </w:r>
          </w:p>
        </w:tc>
        <w:tc>
          <w:tcPr>
            <w:tcW w:w="1157" w:type="dxa"/>
            <w:shd w:val="clear" w:color="auto" w:fill="auto"/>
            <w:vAlign w:val="center"/>
          </w:tcPr>
          <w:p w14:paraId="6E6348D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118D3B31">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35.90</w:t>
            </w:r>
          </w:p>
        </w:tc>
        <w:tc>
          <w:tcPr>
            <w:tcW w:w="1110" w:type="dxa"/>
            <w:shd w:val="clear" w:color="auto" w:fill="auto"/>
            <w:vAlign w:val="center"/>
          </w:tcPr>
          <w:p w14:paraId="60C2EBA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2F364957">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r w14:paraId="15CE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63" w:type="dxa"/>
            <w:shd w:val="clear" w:color="auto" w:fill="auto"/>
            <w:vAlign w:val="center"/>
          </w:tcPr>
          <w:p w14:paraId="3269EC9A">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贡献最小值</w:t>
            </w:r>
          </w:p>
        </w:tc>
        <w:tc>
          <w:tcPr>
            <w:tcW w:w="876" w:type="dxa"/>
            <w:shd w:val="clear" w:color="auto" w:fill="auto"/>
            <w:vAlign w:val="center"/>
          </w:tcPr>
          <w:p w14:paraId="3379AE5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0.60</w:t>
            </w:r>
          </w:p>
        </w:tc>
        <w:tc>
          <w:tcPr>
            <w:tcW w:w="923" w:type="dxa"/>
            <w:shd w:val="clear" w:color="auto" w:fill="auto"/>
            <w:vAlign w:val="center"/>
          </w:tcPr>
          <w:p w14:paraId="08C93308">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-0.25</w:t>
            </w:r>
          </w:p>
        </w:tc>
        <w:tc>
          <w:tcPr>
            <w:tcW w:w="1157" w:type="dxa"/>
            <w:shd w:val="clear" w:color="auto" w:fill="auto"/>
            <w:vAlign w:val="center"/>
          </w:tcPr>
          <w:p w14:paraId="58DF80AF">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1.20</w:t>
            </w:r>
          </w:p>
        </w:tc>
        <w:tc>
          <w:tcPr>
            <w:tcW w:w="1404" w:type="dxa"/>
            <w:shd w:val="clear" w:color="auto" w:fill="auto"/>
            <w:vAlign w:val="center"/>
          </w:tcPr>
          <w:p w14:paraId="03D36090">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17.08</w:t>
            </w:r>
          </w:p>
        </w:tc>
        <w:tc>
          <w:tcPr>
            <w:tcW w:w="1110" w:type="dxa"/>
            <w:shd w:val="clear" w:color="auto" w:fill="auto"/>
            <w:vAlign w:val="center"/>
          </w:tcPr>
          <w:p w14:paraId="5214C9AD">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50</w:t>
            </w:r>
          </w:p>
        </w:tc>
        <w:tc>
          <w:tcPr>
            <w:tcW w:w="1057" w:type="dxa"/>
            <w:shd w:val="clear" w:color="auto" w:fill="auto"/>
            <w:vAlign w:val="center"/>
          </w:tcPr>
          <w:p w14:paraId="3489569C">
            <w:pPr>
              <w:rPr>
                <w:rFonts w:hint="default" w:ascii="Times New Roman" w:hAnsi="Times New Roman" w:cs="Times New Roman"/>
                <w:color w:val="auto"/>
                <w:sz w:val="18"/>
                <w:szCs w:val="18"/>
                <w:shd w:val="clear" w:color="auto" w:fill="auto"/>
              </w:rPr>
            </w:pPr>
            <w:r>
              <w:rPr>
                <w:rFonts w:hint="default" w:ascii="Times New Roman" w:hAnsi="Times New Roman" w:cs="Times New Roman"/>
                <w:color w:val="auto"/>
                <w:sz w:val="18"/>
                <w:szCs w:val="18"/>
                <w:shd w:val="clear" w:color="auto" w:fill="auto"/>
                <w:lang w:val="en-US" w:eastAsia="zh-CN"/>
              </w:rPr>
              <w:t>是</w:t>
            </w:r>
          </w:p>
        </w:tc>
      </w:tr>
    </w:tbl>
    <w:p w14:paraId="22701F0A">
      <w:pP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bidi="zh-CN"/>
        </w:rPr>
        <w:t>注：</w:t>
      </w:r>
      <w:r>
        <w:rPr>
          <w:rFonts w:hint="default" w:ascii="Times New Roman" w:hAnsi="Times New Roman" w:cs="Times New Roman"/>
          <w:b/>
          <w:bCs/>
          <w:color w:val="auto"/>
          <w:sz w:val="21"/>
          <w:szCs w:val="21"/>
        </w:rPr>
        <w:t>表中坐标以103°29′27.384″,24°16′56.784″设置为</w:t>
      </w:r>
      <w:r>
        <w:rPr>
          <w:rFonts w:hint="default" w:ascii="Times New Roman" w:hAnsi="Times New Roman" w:cs="Times New Roman"/>
          <w:b/>
          <w:bCs/>
          <w:color w:val="auto"/>
          <w:sz w:val="21"/>
          <w:szCs w:val="21"/>
          <w:lang w:val="en-US" w:eastAsia="zh-CN"/>
        </w:rPr>
        <w:t>原点</w:t>
      </w:r>
      <w:r>
        <w:rPr>
          <w:rFonts w:hint="default" w:ascii="Times New Roman" w:hAnsi="Times New Roman" w:cs="Times New Roman"/>
          <w:b/>
          <w:bCs/>
          <w:color w:val="auto"/>
          <w:sz w:val="21"/>
          <w:szCs w:val="21"/>
        </w:rPr>
        <w:t>（0,0），正东向为X轴正方向，正北向为Y轴正方向</w:t>
      </w:r>
      <w:r>
        <w:rPr>
          <w:rFonts w:hint="default" w:ascii="Times New Roman" w:hAnsi="Times New Roman" w:cs="Times New Roman"/>
          <w:b/>
          <w:bCs/>
          <w:color w:val="auto"/>
          <w:sz w:val="21"/>
          <w:szCs w:val="21"/>
          <w:lang w:eastAsia="zh-CN"/>
        </w:rPr>
        <w:t>。</w:t>
      </w:r>
    </w:p>
    <w:p w14:paraId="3CE685D0">
      <w:pPr>
        <w:snapToGrid w:val="0"/>
        <w:spacing w:before="156" w:beforeLines="50" w:line="360" w:lineRule="auto"/>
        <w:ind w:right="25" w:rightChars="12"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根据表5.2.4-2、5.2.4-3预测结果，项目生产设备噪声经距离衰减至项目厂界时，厂界</w:t>
      </w:r>
      <w:r>
        <w:rPr>
          <w:rFonts w:hint="eastAsia" w:ascii="Times New Roman" w:hAnsi="Times New Roman" w:cs="Times New Roman"/>
          <w:color w:val="auto"/>
          <w:kern w:val="0"/>
          <w:sz w:val="24"/>
          <w:highlight w:val="none"/>
          <w:lang w:eastAsia="zh-CN"/>
        </w:rPr>
        <w:t>噪声</w:t>
      </w:r>
      <w:r>
        <w:rPr>
          <w:rFonts w:hint="default" w:ascii="Times New Roman" w:hAnsi="Times New Roman" w:cs="Times New Roman"/>
          <w:color w:val="auto"/>
          <w:kern w:val="0"/>
          <w:sz w:val="24"/>
          <w:highlight w:val="none"/>
        </w:rPr>
        <w:t>能达《工业企业厂界环境噪声排放标准》（GB12348-2008）2类标准限值，即昼间≤60dB（A）、夜间≤50dB（A）。</w:t>
      </w:r>
    </w:p>
    <w:p w14:paraId="61D0D71E">
      <w:pPr>
        <w:autoSpaceDE w:val="0"/>
        <w:autoSpaceDN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昼夜厂界噪声等声值线图见5.2</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、5.2</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p>
    <w:p w14:paraId="3A984956">
      <w:pPr>
        <w:pStyle w:val="15"/>
        <w:ind w:firstLine="0"/>
        <w:rPr>
          <w:rFonts w:hint="default" w:ascii="Times New Roman" w:hAnsi="Times New Roman" w:eastAsia="宋体" w:cs="Times New Roman"/>
          <w:color w:val="auto"/>
          <w:szCs w:val="20"/>
          <w:highlight w:val="none"/>
          <w:lang w:eastAsia="zh-CN"/>
        </w:rPr>
      </w:pPr>
      <w:r>
        <w:rPr>
          <w:rFonts w:hint="default" w:ascii="Times New Roman" w:hAnsi="Times New Roman" w:eastAsia="宋体" w:cs="Times New Roman"/>
          <w:color w:val="auto"/>
          <w:szCs w:val="20"/>
          <w:highlight w:val="none"/>
          <w:lang w:eastAsia="zh-CN"/>
        </w:rPr>
        <w:drawing>
          <wp:inline distT="0" distB="0" distL="114300" distR="114300">
            <wp:extent cx="5447030" cy="3368040"/>
            <wp:effectExtent l="0" t="0" r="1270" b="3810"/>
            <wp:docPr id="24" name="图片 24" descr="174815496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48154966012"/>
                    <pic:cNvPicPr>
                      <a:picLocks noChangeAspect="1"/>
                    </pic:cNvPicPr>
                  </pic:nvPicPr>
                  <pic:blipFill>
                    <a:blip r:embed="rId65"/>
                    <a:stretch>
                      <a:fillRect/>
                    </a:stretch>
                  </pic:blipFill>
                  <pic:spPr>
                    <a:xfrm>
                      <a:off x="0" y="0"/>
                      <a:ext cx="5447030" cy="3368040"/>
                    </a:xfrm>
                    <a:prstGeom prst="rect">
                      <a:avLst/>
                    </a:prstGeom>
                  </pic:spPr>
                </pic:pic>
              </a:graphicData>
            </a:graphic>
          </wp:inline>
        </w:drawing>
      </w:r>
    </w:p>
    <w:p w14:paraId="50FA5C4D">
      <w:pPr>
        <w:jc w:val="center"/>
        <w:rPr>
          <w:rFonts w:hint="default" w:ascii="Times New Roman" w:hAnsi="Times New Roman" w:cs="Times New Roman"/>
          <w:color w:val="auto"/>
          <w:highlight w:val="none"/>
        </w:rPr>
      </w:pPr>
      <w:r>
        <w:rPr>
          <w:rFonts w:hint="default" w:ascii="Times New Roman" w:hAnsi="Times New Roman" w:cs="Times New Roman"/>
          <w:b/>
          <w:color w:val="auto"/>
          <w:sz w:val="24"/>
          <w:highlight w:val="none"/>
        </w:rPr>
        <w:t>图5.2</w:t>
      </w: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1</w:t>
      </w:r>
      <w:r>
        <w:rPr>
          <w:rFonts w:hint="default" w:ascii="Times New Roman" w:hAnsi="Times New Roman" w:cs="Times New Roman"/>
          <w:b/>
          <w:color w:val="auto"/>
          <w:sz w:val="24"/>
          <w:highlight w:val="none"/>
        </w:rPr>
        <w:t xml:space="preserve">  昼间厂界噪声等声值线图</w:t>
      </w:r>
    </w:p>
    <w:p w14:paraId="1B5F3A03">
      <w:pPr>
        <w:pStyle w:val="15"/>
        <w:rPr>
          <w:rFonts w:hint="default" w:ascii="Times New Roman" w:hAnsi="Times New Roman" w:cs="Times New Roman"/>
          <w:color w:val="auto"/>
          <w:szCs w:val="20"/>
          <w:highlight w:val="none"/>
        </w:rPr>
      </w:pPr>
    </w:p>
    <w:p w14:paraId="0C993DC1">
      <w:pPr>
        <w:autoSpaceDE w:val="0"/>
        <w:autoSpaceDN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drawing>
          <wp:inline distT="0" distB="0" distL="114300" distR="114300">
            <wp:extent cx="5441950" cy="3338195"/>
            <wp:effectExtent l="0" t="0" r="6350" b="14605"/>
            <wp:docPr id="25" name="图片 25" descr="174815500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48155008576"/>
                    <pic:cNvPicPr>
                      <a:picLocks noChangeAspect="1"/>
                    </pic:cNvPicPr>
                  </pic:nvPicPr>
                  <pic:blipFill>
                    <a:blip r:embed="rId66"/>
                    <a:stretch>
                      <a:fillRect/>
                    </a:stretch>
                  </pic:blipFill>
                  <pic:spPr>
                    <a:xfrm>
                      <a:off x="0" y="0"/>
                      <a:ext cx="5441950" cy="3338195"/>
                    </a:xfrm>
                    <a:prstGeom prst="rect">
                      <a:avLst/>
                    </a:prstGeom>
                  </pic:spPr>
                </pic:pic>
              </a:graphicData>
            </a:graphic>
          </wp:inline>
        </w:drawing>
      </w:r>
    </w:p>
    <w:p w14:paraId="4B56F598">
      <w:pPr>
        <w:jc w:val="center"/>
        <w:rPr>
          <w:rFonts w:hint="default" w:ascii="Times New Roman" w:hAnsi="Times New Roman" w:cs="Times New Roman"/>
          <w:color w:val="auto"/>
          <w:highlight w:val="none"/>
        </w:rPr>
      </w:pPr>
      <w:r>
        <w:rPr>
          <w:rFonts w:hint="default" w:ascii="Times New Roman" w:hAnsi="Times New Roman" w:cs="Times New Roman"/>
          <w:b/>
          <w:color w:val="auto"/>
          <w:sz w:val="24"/>
          <w:highlight w:val="none"/>
        </w:rPr>
        <w:t>图5.2</w:t>
      </w: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rPr>
        <w:t xml:space="preserve">  夜间厂界噪声等声值线图</w:t>
      </w:r>
    </w:p>
    <w:p w14:paraId="1DD05EF9">
      <w:p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cs="Times New Roman"/>
          <w:b/>
          <w:bCs w:val="0"/>
          <w:color w:val="auto"/>
          <w:sz w:val="24"/>
          <w:highlight w:val="none"/>
          <w:lang w:val="en-US" w:eastAsia="zh-CN"/>
        </w:rPr>
        <w:t>5、备用发电机噪声</w:t>
      </w:r>
    </w:p>
    <w:p w14:paraId="69F8B906">
      <w:pPr>
        <w:adjustRightInd w:val="0"/>
        <w:snapToGrid w:val="0"/>
        <w:spacing w:line="360" w:lineRule="auto"/>
        <w:ind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项目设置1台发电机作为备用电源，设置在</w:t>
      </w:r>
      <w:r>
        <w:rPr>
          <w:rFonts w:hint="default" w:ascii="Times New Roman" w:hAnsi="Times New Roman" w:cs="Times New Roman"/>
          <w:b w:val="0"/>
          <w:bCs/>
          <w:color w:val="auto"/>
          <w:sz w:val="24"/>
          <w:highlight w:val="none"/>
          <w:lang w:eastAsia="zh-CN"/>
        </w:rPr>
        <w:t>配电房</w:t>
      </w:r>
      <w:r>
        <w:rPr>
          <w:rFonts w:hint="default" w:ascii="Times New Roman" w:hAnsi="Times New Roman" w:cs="Times New Roman"/>
          <w:b w:val="0"/>
          <w:bCs/>
          <w:color w:val="auto"/>
          <w:sz w:val="24"/>
          <w:highlight w:val="none"/>
        </w:rPr>
        <w:t>内，仅在停电时运行，</w:t>
      </w:r>
      <w:r>
        <w:rPr>
          <w:rFonts w:hint="default" w:ascii="Times New Roman" w:hAnsi="Times New Roman" w:cs="Times New Roman"/>
          <w:b w:val="0"/>
          <w:bCs/>
          <w:color w:val="auto"/>
          <w:sz w:val="24"/>
          <w:highlight w:val="none"/>
          <w:lang w:eastAsia="zh-CN"/>
        </w:rPr>
        <w:t>备用发电机运行时噪声源强约为</w:t>
      </w:r>
      <w:r>
        <w:rPr>
          <w:rFonts w:hint="default" w:ascii="Times New Roman" w:hAnsi="Times New Roman" w:cs="Times New Roman"/>
          <w:b w:val="0"/>
          <w:bCs/>
          <w:color w:val="auto"/>
          <w:sz w:val="24"/>
          <w:highlight w:val="none"/>
          <w:lang w:val="en-US" w:eastAsia="zh-CN"/>
        </w:rPr>
        <w:t>85</w:t>
      </w:r>
      <w:r>
        <w:rPr>
          <w:rFonts w:hint="default" w:ascii="Times New Roman" w:hAnsi="Times New Roman" w:cs="Times New Roman"/>
          <w:color w:val="auto"/>
          <w:kern w:val="0"/>
          <w:sz w:val="24"/>
          <w:highlight w:val="none"/>
        </w:rPr>
        <w:t>dB（A）</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b w:val="0"/>
          <w:bCs/>
          <w:color w:val="auto"/>
          <w:sz w:val="24"/>
          <w:highlight w:val="none"/>
        </w:rPr>
        <w:t>项目对发电机采取基础减振的措施降噪，</w:t>
      </w:r>
      <w:r>
        <w:rPr>
          <w:rFonts w:hint="default" w:ascii="Times New Roman" w:hAnsi="Times New Roman" w:cs="Times New Roman"/>
          <w:b w:val="0"/>
          <w:bCs/>
          <w:color w:val="auto"/>
          <w:sz w:val="24"/>
          <w:highlight w:val="none"/>
          <w:lang w:eastAsia="zh-CN"/>
        </w:rPr>
        <w:t>并经过建筑隔声、距离衰减等措施后对周边声环境影响较小，且备用发电机仅在停电时使用，使用频次及时间不高，属于偶发噪声，</w:t>
      </w:r>
      <w:r>
        <w:rPr>
          <w:rFonts w:hint="default" w:ascii="Times New Roman" w:hAnsi="Times New Roman" w:cs="Times New Roman"/>
          <w:b w:val="0"/>
          <w:bCs/>
          <w:color w:val="auto"/>
          <w:sz w:val="24"/>
          <w:highlight w:val="none"/>
        </w:rPr>
        <w:t>因此</w:t>
      </w:r>
      <w:r>
        <w:rPr>
          <w:rFonts w:hint="default" w:ascii="Times New Roman" w:hAnsi="Times New Roman" w:cs="Times New Roman"/>
          <w:b w:val="0"/>
          <w:bCs/>
          <w:color w:val="auto"/>
          <w:sz w:val="24"/>
          <w:highlight w:val="none"/>
          <w:lang w:eastAsia="zh-CN"/>
        </w:rPr>
        <w:t>备用</w:t>
      </w:r>
      <w:r>
        <w:rPr>
          <w:rFonts w:hint="default" w:ascii="Times New Roman" w:hAnsi="Times New Roman" w:cs="Times New Roman"/>
          <w:b w:val="0"/>
          <w:bCs/>
          <w:color w:val="auto"/>
          <w:sz w:val="24"/>
          <w:highlight w:val="none"/>
        </w:rPr>
        <w:t>发电机噪声</w:t>
      </w:r>
      <w:r>
        <w:rPr>
          <w:rFonts w:hint="default" w:ascii="Times New Roman" w:hAnsi="Times New Roman" w:cs="Times New Roman"/>
          <w:b w:val="0"/>
          <w:bCs/>
          <w:color w:val="auto"/>
          <w:sz w:val="24"/>
          <w:highlight w:val="none"/>
          <w:lang w:eastAsia="zh-CN"/>
        </w:rPr>
        <w:t>对声环境影响可接受</w:t>
      </w:r>
      <w:r>
        <w:rPr>
          <w:rFonts w:hint="default" w:ascii="Times New Roman" w:hAnsi="Times New Roman" w:cs="Times New Roman"/>
          <w:b w:val="0"/>
          <w:bCs/>
          <w:color w:val="auto"/>
          <w:sz w:val="24"/>
          <w:highlight w:val="none"/>
        </w:rPr>
        <w:t>。</w:t>
      </w:r>
    </w:p>
    <w:p w14:paraId="71090A20">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6</w:t>
      </w:r>
      <w:r>
        <w:rPr>
          <w:rFonts w:hint="default" w:ascii="Times New Roman" w:hAnsi="Times New Roman" w:cs="Times New Roman"/>
          <w:b/>
          <w:color w:val="auto"/>
          <w:sz w:val="24"/>
          <w:highlight w:val="none"/>
        </w:rPr>
        <w:t>、小结</w:t>
      </w:r>
    </w:p>
    <w:p w14:paraId="0FB7F72B">
      <w:pPr>
        <w:autoSpaceDE w:val="0"/>
        <w:autoSpaceDN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根据预测，项目生产设备噪声至厂界时，</w:t>
      </w:r>
      <w:r>
        <w:rPr>
          <w:rFonts w:hint="default" w:ascii="Times New Roman" w:hAnsi="Times New Roman" w:cs="Times New Roman"/>
          <w:color w:val="auto"/>
          <w:kern w:val="0"/>
          <w:sz w:val="24"/>
          <w:highlight w:val="none"/>
        </w:rPr>
        <w:t>昼间、夜间满足《工业企业厂界环境噪声排放标准》（GB12348-2008）2 类标准要求</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sz w:val="24"/>
          <w:highlight w:val="none"/>
        </w:rPr>
        <w:t>项目建设前后环境噪声增加量不明显。项目运营期生产设备噪声对声环境造成影响较小。</w:t>
      </w:r>
    </w:p>
    <w:p w14:paraId="7C42F205">
      <w:pPr>
        <w:pStyle w:val="4"/>
        <w:adjustRightInd w:val="0"/>
        <w:snapToGrid w:val="0"/>
        <w:spacing w:before="0" w:beforeLines="0" w:after="0" w:afterLines="0" w:line="360" w:lineRule="auto"/>
        <w:ind w:firstLine="0" w:firstLineChars="0"/>
        <w:rPr>
          <w:rFonts w:hint="default" w:ascii="Times New Roman" w:hAnsi="Times New Roman" w:cs="Times New Roman"/>
          <w:color w:val="auto"/>
          <w:szCs w:val="20"/>
          <w:highlight w:val="none"/>
        </w:rPr>
      </w:pPr>
      <w:bookmarkStart w:id="301" w:name="_Toc30499"/>
      <w:r>
        <w:rPr>
          <w:rStyle w:val="35"/>
          <w:rFonts w:hint="default" w:ascii="Times New Roman" w:hAnsi="Times New Roman" w:eastAsia="宋体" w:cs="Times New Roman"/>
          <w:color w:val="auto"/>
          <w:sz w:val="24"/>
          <w:szCs w:val="24"/>
          <w:highlight w:val="none"/>
        </w:rPr>
        <w:t>5.2.5固体废物影响分析</w:t>
      </w:r>
      <w:bookmarkEnd w:id="301"/>
    </w:p>
    <w:p w14:paraId="5F2FBD6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项目运营期固废包括猪粪</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病死猪、饲料残渣、</w:t>
      </w:r>
      <w:r>
        <w:rPr>
          <w:rFonts w:hint="default" w:ascii="Times New Roman" w:hAnsi="Times New Roman" w:cs="Times New Roman"/>
          <w:color w:val="auto"/>
          <w:sz w:val="24"/>
          <w:highlight w:val="none"/>
          <w:lang w:val="en-US" w:eastAsia="zh-CN"/>
        </w:rPr>
        <w:t>防疫固废、</w:t>
      </w:r>
      <w:r>
        <w:rPr>
          <w:rFonts w:hint="default" w:ascii="Times New Roman" w:hAnsi="Times New Roman" w:cs="Times New Roman"/>
          <w:color w:val="auto"/>
          <w:sz w:val="24"/>
          <w:highlight w:val="none"/>
        </w:rPr>
        <w:t>废弃包装材料、生活垃圾、隔油池废油、化粪池污泥；危险废物</w:t>
      </w:r>
      <w:r>
        <w:rPr>
          <w:rFonts w:hint="default" w:ascii="Times New Roman" w:hAnsi="Times New Roman" w:cs="Times New Roman"/>
          <w:color w:val="auto"/>
          <w:sz w:val="24"/>
          <w:highlight w:val="none"/>
          <w:lang w:val="en-US" w:eastAsia="zh-CN"/>
        </w:rPr>
        <w:t>为</w:t>
      </w:r>
      <w:r>
        <w:rPr>
          <w:rFonts w:hint="default" w:ascii="Times New Roman" w:hAnsi="Times New Roman" w:cs="Times New Roman"/>
          <w:color w:val="auto"/>
          <w:sz w:val="24"/>
          <w:highlight w:val="none"/>
        </w:rPr>
        <w:t>废机油。</w:t>
      </w:r>
    </w:p>
    <w:p w14:paraId="6CEC6ECB">
      <w:pPr>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1、一般固废处置情况</w:t>
      </w:r>
    </w:p>
    <w:p w14:paraId="25FBDDEF">
      <w:pPr>
        <w:snapToGrid w:val="0"/>
        <w:spacing w:line="360" w:lineRule="auto"/>
        <w:ind w:firstLine="482" w:firstLineChars="200"/>
        <w:rPr>
          <w:rFonts w:hint="default" w:ascii="Times New Roman" w:hAnsi="Times New Roman" w:eastAsia="宋体" w:cs="Times New Roman"/>
          <w:b/>
          <w:bCs/>
          <w:color w:val="auto"/>
          <w:sz w:val="24"/>
          <w:highlight w:val="none"/>
          <w:lang w:eastAsia="zh-CN"/>
        </w:rPr>
      </w:pPr>
      <w:r>
        <w:rPr>
          <w:rFonts w:hint="default" w:ascii="Times New Roman" w:hAnsi="Times New Roman" w:cs="Times New Roman"/>
          <w:b/>
          <w:bCs/>
          <w:color w:val="auto"/>
          <w:sz w:val="24"/>
          <w:highlight w:val="none"/>
        </w:rPr>
        <w:t>（1）</w:t>
      </w:r>
      <w:r>
        <w:rPr>
          <w:rFonts w:hint="default" w:ascii="Times New Roman" w:hAnsi="Times New Roman" w:cs="Times New Roman"/>
          <w:color w:val="auto"/>
          <w:sz w:val="24"/>
          <w:highlight w:val="none"/>
        </w:rPr>
        <w:t>猪粪</w:t>
      </w:r>
      <w:r>
        <w:rPr>
          <w:rFonts w:hint="default" w:ascii="Times New Roman" w:hAnsi="Times New Roman" w:cs="Times New Roman"/>
          <w:color w:val="auto"/>
          <w:sz w:val="24"/>
          <w:highlight w:val="none"/>
          <w:lang w:eastAsia="zh-CN"/>
        </w:rPr>
        <w:t>、</w:t>
      </w:r>
      <w:r>
        <w:rPr>
          <w:rFonts w:hint="default" w:ascii="Times New Roman" w:hAnsi="Times New Roman" w:cs="Times New Roman"/>
          <w:bCs/>
          <w:color w:val="auto"/>
          <w:sz w:val="24"/>
          <w:highlight w:val="none"/>
        </w:rPr>
        <w:t>饲料残渣</w:t>
      </w:r>
    </w:p>
    <w:p w14:paraId="22F66D0F">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w:t>
      </w:r>
      <w:r>
        <w:rPr>
          <w:rFonts w:hint="default" w:ascii="Times New Roman" w:hAnsi="Times New Roman" w:cs="Times New Roman"/>
          <w:bCs/>
          <w:color w:val="auto"/>
          <w:sz w:val="24"/>
          <w:highlight w:val="none"/>
        </w:rPr>
        <w:t>产生</w:t>
      </w:r>
      <w:r>
        <w:rPr>
          <w:rFonts w:hint="default" w:ascii="Times New Roman" w:hAnsi="Times New Roman" w:cs="Times New Roman"/>
          <w:bCs/>
          <w:color w:val="auto"/>
          <w:sz w:val="24"/>
          <w:highlight w:val="none"/>
          <w:lang w:eastAsia="zh-CN"/>
        </w:rPr>
        <w:t>的</w:t>
      </w:r>
      <w:r>
        <w:rPr>
          <w:rFonts w:hint="default" w:ascii="Times New Roman" w:hAnsi="Times New Roman" w:cs="Times New Roman"/>
          <w:color w:val="auto"/>
          <w:sz w:val="24"/>
          <w:highlight w:val="none"/>
        </w:rPr>
        <w:t>猪粪</w:t>
      </w:r>
      <w:r>
        <w:rPr>
          <w:rFonts w:hint="default" w:ascii="Times New Roman" w:hAnsi="Times New Roman" w:cs="Times New Roman"/>
          <w:bCs/>
          <w:color w:val="auto"/>
          <w:sz w:val="24"/>
          <w:highlight w:val="none"/>
        </w:rPr>
        <w:t>、饲料残渣</w:t>
      </w:r>
      <w:r>
        <w:rPr>
          <w:rFonts w:hint="default" w:ascii="Times New Roman" w:hAnsi="Times New Roman" w:cs="Times New Roman"/>
          <w:bCs/>
          <w:color w:val="auto"/>
          <w:sz w:val="24"/>
          <w:highlight w:val="none"/>
          <w:lang w:eastAsia="zh-CN"/>
        </w:rPr>
        <w:t>等</w:t>
      </w:r>
      <w:r>
        <w:rPr>
          <w:rFonts w:hint="default" w:ascii="Times New Roman" w:hAnsi="Times New Roman" w:cs="Times New Roman"/>
          <w:bCs/>
          <w:color w:val="auto"/>
          <w:sz w:val="24"/>
          <w:highlight w:val="none"/>
        </w:rPr>
        <w:t>收集后清运至</w:t>
      </w:r>
      <w:r>
        <w:rPr>
          <w:rFonts w:hint="default" w:ascii="Times New Roman" w:hAnsi="Times New Roman" w:cs="Times New Roman"/>
          <w:bCs/>
          <w:color w:val="auto"/>
          <w:sz w:val="24"/>
          <w:highlight w:val="none"/>
          <w:lang w:eastAsia="zh-CN"/>
        </w:rPr>
        <w:t>堆粪棚</w:t>
      </w:r>
      <w:r>
        <w:rPr>
          <w:rFonts w:hint="default" w:ascii="Times New Roman" w:hAnsi="Times New Roman" w:cs="Times New Roman"/>
          <w:bCs/>
          <w:color w:val="auto"/>
          <w:sz w:val="24"/>
          <w:highlight w:val="none"/>
        </w:rPr>
        <w:t>进行发酵堆肥后</w:t>
      </w:r>
      <w:r>
        <w:rPr>
          <w:rFonts w:hint="default" w:ascii="Times New Roman" w:hAnsi="Times New Roman" w:cs="Times New Roman"/>
          <w:color w:val="auto"/>
          <w:sz w:val="24"/>
          <w:highlight w:val="none"/>
          <w:lang w:eastAsia="zh-CN"/>
        </w:rPr>
        <w:t>用于还田施肥</w:t>
      </w:r>
      <w:r>
        <w:rPr>
          <w:rFonts w:hint="default" w:ascii="Times New Roman" w:hAnsi="Times New Roman" w:cs="Times New Roman"/>
          <w:color w:val="auto"/>
          <w:sz w:val="24"/>
          <w:highlight w:val="none"/>
        </w:rPr>
        <w:t>。</w:t>
      </w:r>
    </w:p>
    <w:p w14:paraId="656C44CF">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eastAsia="zh-CN"/>
        </w:rPr>
        <w:t>堆粪棚</w:t>
      </w:r>
      <w:r>
        <w:rPr>
          <w:rFonts w:hint="default" w:ascii="Times New Roman" w:hAnsi="Times New Roman" w:cs="Times New Roman"/>
          <w:color w:val="auto"/>
          <w:sz w:val="24"/>
          <w:highlight w:val="none"/>
        </w:rPr>
        <w:t>设置的符合性分析</w:t>
      </w:r>
    </w:p>
    <w:p w14:paraId="53F8129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按照《畜禽养殖业污染治理工程技术规范》（HJ497-2009）中“8.固体粪便处理”规定，</w:t>
      </w:r>
      <w:r>
        <w:rPr>
          <w:rFonts w:hint="default" w:ascii="Times New Roman" w:hAnsi="Times New Roman" w:cs="Times New Roman"/>
          <w:color w:val="auto"/>
          <w:sz w:val="24"/>
          <w:highlight w:val="none"/>
          <w:lang w:eastAsia="zh-CN"/>
        </w:rPr>
        <w:t>堆粪棚</w:t>
      </w:r>
      <w:r>
        <w:rPr>
          <w:rFonts w:hint="default" w:ascii="Times New Roman" w:hAnsi="Times New Roman" w:cs="Times New Roman"/>
          <w:color w:val="auto"/>
          <w:sz w:val="24"/>
          <w:highlight w:val="none"/>
        </w:rPr>
        <w:t>应满足以下规定：</w:t>
      </w:r>
    </w:p>
    <w:p w14:paraId="7A714E6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①场内应建立收集堆肥渗滤液的贮存池；</w:t>
      </w:r>
    </w:p>
    <w:p w14:paraId="49A4FE35">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②应考虑防渗漏措施，不得对地下水造成污染；</w:t>
      </w:r>
    </w:p>
    <w:p w14:paraId="4265AF36">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③应配置防雨淋设施和雨水排水系统。</w:t>
      </w:r>
    </w:p>
    <w:p w14:paraId="47D33609">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w:t>
      </w:r>
      <w:r>
        <w:rPr>
          <w:rFonts w:hint="default" w:ascii="Times New Roman" w:hAnsi="Times New Roman" w:cs="Times New Roman"/>
          <w:color w:val="auto"/>
          <w:sz w:val="24"/>
          <w:highlight w:val="none"/>
          <w:lang w:eastAsia="zh-CN"/>
        </w:rPr>
        <w:t>堆粪棚</w:t>
      </w:r>
      <w:r>
        <w:rPr>
          <w:rFonts w:hint="default" w:ascii="Times New Roman" w:hAnsi="Times New Roman" w:cs="Times New Roman"/>
          <w:color w:val="auto"/>
          <w:sz w:val="24"/>
          <w:highlight w:val="none"/>
        </w:rPr>
        <w:t>设防雨顶棚，地面按照重点防渗要求进行防渗，环评要求在四周设渗滤液收集沟，</w:t>
      </w:r>
      <w:r>
        <w:rPr>
          <w:rFonts w:hint="default" w:ascii="Times New Roman" w:hAnsi="Times New Roman" w:cs="Times New Roman"/>
          <w:color w:val="auto"/>
          <w:sz w:val="24"/>
          <w:highlight w:val="none"/>
          <w:lang w:val="en-US" w:eastAsia="zh-CN"/>
        </w:rPr>
        <w:t>收集至废水收集池</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为满足不同入场批的物料堆肥时间要求，</w:t>
      </w:r>
      <w:r>
        <w:rPr>
          <w:rFonts w:hint="default" w:ascii="Times New Roman" w:hAnsi="Times New Roman" w:cs="Times New Roman"/>
          <w:color w:val="auto"/>
          <w:sz w:val="24"/>
          <w:highlight w:val="none"/>
          <w:lang w:val="en-US" w:eastAsia="zh-CN"/>
        </w:rPr>
        <w:t>堆粪棚为2格式，2个堆槽交替使用。</w:t>
      </w:r>
    </w:p>
    <w:p w14:paraId="20583DC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2）堆肥工艺的可行性分析</w:t>
      </w:r>
    </w:p>
    <w:p w14:paraId="0A8856F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采用的槽式好氧堆肥方式属于《畜禽养殖业污染治理工程技术规范》（HJ497-2009）中推荐的无害化处理方式。根据《畜禽粪便无害化处理技术规范》（GB/T36195-2018）相关要求：宜采用反应器、静态垛式等好氧堆肥技术进行无害化处理，其堆体温度维持50℃以上的时间不少于7d，或者45℃以上不少于10d。</w:t>
      </w:r>
    </w:p>
    <w:p w14:paraId="5D7447E3">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根据工程分析，项目一次发酵</w:t>
      </w:r>
      <w:r>
        <w:rPr>
          <w:rFonts w:hint="default" w:ascii="Times New Roman" w:hAnsi="Times New Roman" w:cs="Times New Roman"/>
          <w:color w:val="auto"/>
          <w:sz w:val="24"/>
          <w:highlight w:val="none"/>
          <w:lang w:bidi="en-US"/>
        </w:rPr>
        <w:t>堆肥周期约为7</w:t>
      </w:r>
      <w:r>
        <w:rPr>
          <w:rFonts w:hint="eastAsia" w:ascii="Times New Roman" w:hAnsi="Times New Roman" w:cs="Times New Roman"/>
          <w:color w:val="auto"/>
          <w:sz w:val="24"/>
          <w:highlight w:val="none"/>
          <w:lang w:eastAsia="zh-CN" w:bidi="en-US"/>
        </w:rPr>
        <w:t>～</w:t>
      </w:r>
      <w:r>
        <w:rPr>
          <w:rFonts w:hint="default" w:ascii="Times New Roman" w:hAnsi="Times New Roman" w:cs="Times New Roman"/>
          <w:color w:val="auto"/>
          <w:sz w:val="24"/>
          <w:highlight w:val="none"/>
          <w:lang w:bidi="en-US"/>
        </w:rPr>
        <w:t>12d，堆肥温度可以上升至50°C以上，其中采用曝气、翻耙搅拌等措施将温度控制在55℃~60℃以上维持7</w:t>
      </w:r>
      <w:r>
        <w:rPr>
          <w:rFonts w:hint="eastAsia" w:ascii="Times New Roman" w:hAnsi="Times New Roman" w:cs="Times New Roman"/>
          <w:color w:val="auto"/>
          <w:sz w:val="24"/>
          <w:highlight w:val="none"/>
          <w:lang w:eastAsia="zh-CN" w:bidi="en-US"/>
        </w:rPr>
        <w:t>～</w:t>
      </w:r>
      <w:r>
        <w:rPr>
          <w:rFonts w:hint="default" w:ascii="Times New Roman" w:hAnsi="Times New Roman" w:cs="Times New Roman"/>
          <w:color w:val="auto"/>
          <w:sz w:val="24"/>
          <w:highlight w:val="none"/>
          <w:lang w:bidi="en-US"/>
        </w:rPr>
        <w:t>10d，以起到杀死病原菌、寄生虫卵作用；二次发酵（陈化）周期约为10</w:t>
      </w:r>
      <w:r>
        <w:rPr>
          <w:rFonts w:hint="eastAsia" w:ascii="Times New Roman" w:hAnsi="Times New Roman" w:cs="Times New Roman"/>
          <w:color w:val="auto"/>
          <w:sz w:val="24"/>
          <w:highlight w:val="none"/>
          <w:lang w:eastAsia="zh-CN" w:bidi="en-US"/>
        </w:rPr>
        <w:t>～</w:t>
      </w:r>
      <w:r>
        <w:rPr>
          <w:rFonts w:hint="default" w:ascii="Times New Roman" w:hAnsi="Times New Roman" w:cs="Times New Roman"/>
          <w:color w:val="auto"/>
          <w:sz w:val="24"/>
          <w:highlight w:val="none"/>
          <w:lang w:bidi="en-US"/>
        </w:rPr>
        <w:t>15d，堆肥的温度在40°C左右。因此项目堆肥工艺满足《</w:t>
      </w:r>
      <w:r>
        <w:rPr>
          <w:rFonts w:hint="default" w:ascii="Times New Roman" w:hAnsi="Times New Roman" w:cs="Times New Roman"/>
          <w:color w:val="auto"/>
          <w:sz w:val="24"/>
          <w:highlight w:val="none"/>
        </w:rPr>
        <w:t>畜禽粪便无害化处理技术规范》（GB/T36195-2018）相关要求，堆肥后作为农肥还田利用可行。</w:t>
      </w:r>
    </w:p>
    <w:p w14:paraId="379F0055">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hint="default" w:ascii="Times New Roman" w:hAnsi="Times New Roman" w:cs="Times New Roman"/>
          <w:color w:val="auto"/>
          <w:sz w:val="24"/>
          <w:highlight w:val="none"/>
          <w:lang w:eastAsia="zh-CN"/>
        </w:rPr>
        <w:t>堆粪棚</w:t>
      </w:r>
      <w:r>
        <w:rPr>
          <w:rFonts w:hint="default" w:ascii="Times New Roman" w:hAnsi="Times New Roman" w:cs="Times New Roman"/>
          <w:color w:val="auto"/>
          <w:sz w:val="24"/>
          <w:highlight w:val="none"/>
        </w:rPr>
        <w:t>容积的可行性分析</w:t>
      </w:r>
    </w:p>
    <w:p w14:paraId="4F80E56C">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根据“农业农村部办公厅 生态环境部办公厅关于印发《畜禽养殖场（户）粪污处理设施建设技术指南》的通知（农办牧〔2022〕19号）”，堆（沤）肥设施发酵容积不小于单位畜禽固体粪污日产生量（立方米/天·头、只、羽）×发酵周期（天）×设计存栏量（头、只、羽）。项目固体粪污日产生量为2kg/d·头，猪粪的密度按照</w:t>
      </w:r>
      <w:r>
        <w:rPr>
          <w:rFonts w:hint="default" w:ascii="Times New Roman" w:hAnsi="Times New Roman" w:cs="Times New Roman"/>
          <w:color w:val="auto"/>
          <w:sz w:val="24"/>
          <w:highlight w:val="none"/>
          <w:lang w:val="en-US" w:eastAsia="zh-CN"/>
        </w:rPr>
        <w:t>990</w:t>
      </w:r>
      <w:r>
        <w:rPr>
          <w:rFonts w:hint="default" w:ascii="Times New Roman" w:hAnsi="Times New Roman" w:cs="Times New Roman"/>
          <w:color w:val="auto"/>
          <w:sz w:val="24"/>
          <w:highlight w:val="none"/>
        </w:rPr>
        <w:t>kg/m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，产生量为0.00</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/d·头，发酵周期按照30天计，则项目应配套的</w:t>
      </w:r>
      <w:r>
        <w:rPr>
          <w:rFonts w:hint="default" w:ascii="Times New Roman" w:hAnsi="Times New Roman" w:cs="Times New Roman"/>
          <w:color w:val="auto"/>
          <w:sz w:val="24"/>
          <w:highlight w:val="none"/>
          <w:lang w:eastAsia="zh-CN"/>
        </w:rPr>
        <w:t>堆粪棚</w:t>
      </w:r>
      <w:r>
        <w:rPr>
          <w:rFonts w:hint="default" w:ascii="Times New Roman" w:hAnsi="Times New Roman" w:cs="Times New Roman"/>
          <w:color w:val="auto"/>
          <w:sz w:val="24"/>
          <w:highlight w:val="none"/>
        </w:rPr>
        <w:t>容积为：0.00</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×30×</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000=</w:t>
      </w:r>
      <w:r>
        <w:rPr>
          <w:rFonts w:hint="default" w:ascii="Times New Roman" w:hAnsi="Times New Roman" w:cs="Times New Roman"/>
          <w:color w:val="auto"/>
          <w:sz w:val="24"/>
          <w:highlight w:val="none"/>
          <w:lang w:val="en-US" w:eastAsia="zh-CN"/>
        </w:rPr>
        <w:t>240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p>
    <w:p w14:paraId="20CAB99D">
      <w:pPr>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项目</w:t>
      </w:r>
      <w:r>
        <w:rPr>
          <w:rFonts w:hint="default" w:ascii="Times New Roman" w:hAnsi="Times New Roman" w:cs="Times New Roman"/>
          <w:color w:val="auto"/>
          <w:sz w:val="24"/>
          <w:highlight w:val="none"/>
          <w:lang w:eastAsia="zh-CN"/>
        </w:rPr>
        <w:t>堆粪棚</w:t>
      </w:r>
      <w:r>
        <w:rPr>
          <w:rFonts w:hint="default" w:ascii="Times New Roman" w:hAnsi="Times New Roman" w:cs="Times New Roman"/>
          <w:color w:val="auto"/>
          <w:sz w:val="24"/>
          <w:highlight w:val="none"/>
        </w:rPr>
        <w:t>建筑面积</w:t>
      </w:r>
      <w:r>
        <w:rPr>
          <w:rFonts w:hint="default" w:ascii="Times New Roman" w:hAnsi="Times New Roman" w:cs="Times New Roman"/>
          <w:color w:val="auto"/>
          <w:sz w:val="24"/>
          <w:highlight w:val="none"/>
          <w:lang w:val="en-US" w:eastAsia="zh-CN"/>
        </w:rPr>
        <w:t>300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，堆槽高4m，堆槽</w:t>
      </w:r>
      <w:r>
        <w:rPr>
          <w:rFonts w:hint="default" w:ascii="Times New Roman" w:hAnsi="Times New Roman" w:cs="Times New Roman"/>
          <w:color w:val="auto"/>
          <w:sz w:val="24"/>
          <w:highlight w:val="none"/>
          <w:lang w:eastAsia="zh-CN"/>
        </w:rPr>
        <w:t>总</w:t>
      </w:r>
      <w:r>
        <w:rPr>
          <w:rFonts w:hint="default" w:ascii="Times New Roman" w:hAnsi="Times New Roman" w:cs="Times New Roman"/>
          <w:color w:val="auto"/>
          <w:sz w:val="24"/>
          <w:highlight w:val="none"/>
        </w:rPr>
        <w:t>容积约为</w:t>
      </w:r>
      <w:r>
        <w:rPr>
          <w:rFonts w:hint="default" w:ascii="Times New Roman" w:hAnsi="Times New Roman" w:cs="Times New Roman"/>
          <w:color w:val="auto"/>
          <w:sz w:val="24"/>
          <w:highlight w:val="none"/>
          <w:lang w:val="en-US" w:eastAsia="zh-CN"/>
        </w:rPr>
        <w:t>1200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可满足</w:t>
      </w:r>
      <w:r>
        <w:rPr>
          <w:rFonts w:hint="default" w:ascii="Times New Roman" w:hAnsi="Times New Roman" w:cs="Times New Roman"/>
          <w:color w:val="auto"/>
          <w:sz w:val="24"/>
          <w:highlight w:val="none"/>
          <w:lang w:val="en-US" w:eastAsia="zh-CN"/>
        </w:rPr>
        <w:t>5个批次的堆肥容量要求，符合</w:t>
      </w:r>
      <w:r>
        <w:rPr>
          <w:rFonts w:hint="default" w:ascii="Times New Roman" w:hAnsi="Times New Roman" w:cs="Times New Roman"/>
          <w:color w:val="auto"/>
          <w:sz w:val="24"/>
          <w:highlight w:val="none"/>
        </w:rPr>
        <w:t>《畜禽养殖场（户）粪污处理设施建设技术指南》（农办牧〔2022〕19号）提出的堆肥设施容积要求。</w:t>
      </w:r>
      <w:r>
        <w:rPr>
          <w:rFonts w:hint="default" w:ascii="Times New Roman" w:hAnsi="Times New Roman" w:cs="Times New Roman"/>
          <w:bCs/>
          <w:color w:val="auto"/>
          <w:sz w:val="24"/>
          <w:highlight w:val="none"/>
        </w:rPr>
        <w:t>堆肥</w:t>
      </w:r>
      <w:r>
        <w:rPr>
          <w:rFonts w:hint="default" w:ascii="Times New Roman" w:hAnsi="Times New Roman" w:cs="Times New Roman"/>
          <w:bCs/>
          <w:color w:val="auto"/>
          <w:sz w:val="24"/>
          <w:highlight w:val="none"/>
          <w:lang w:eastAsia="zh-CN"/>
        </w:rPr>
        <w:t>发酵</w:t>
      </w:r>
      <w:r>
        <w:rPr>
          <w:rFonts w:hint="default" w:ascii="Times New Roman" w:hAnsi="Times New Roman" w:cs="Times New Roman"/>
          <w:bCs/>
          <w:color w:val="auto"/>
          <w:sz w:val="24"/>
          <w:highlight w:val="none"/>
        </w:rPr>
        <w:t>后</w:t>
      </w:r>
      <w:r>
        <w:rPr>
          <w:rFonts w:hint="default" w:ascii="Times New Roman" w:hAnsi="Times New Roman" w:cs="Times New Roman"/>
          <w:bCs/>
          <w:color w:val="auto"/>
          <w:sz w:val="24"/>
          <w:highlight w:val="none"/>
          <w:lang w:eastAsia="zh-CN"/>
        </w:rPr>
        <w:t>，</w:t>
      </w:r>
      <w:r>
        <w:rPr>
          <w:rFonts w:hint="default" w:ascii="Times New Roman" w:hAnsi="Times New Roman" w:cs="Times New Roman"/>
          <w:color w:val="auto"/>
          <w:sz w:val="24"/>
          <w:highlight w:val="none"/>
          <w:lang w:eastAsia="zh-CN"/>
        </w:rPr>
        <w:t>粪肥用于还田施肥。</w:t>
      </w:r>
    </w:p>
    <w:p w14:paraId="7E2DAC08">
      <w:pPr>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color w:val="auto"/>
          <w:sz w:val="24"/>
          <w:highlight w:val="none"/>
          <w:lang w:eastAsia="zh-CN"/>
        </w:rPr>
        <w:t>施肥间隔期</w:t>
      </w:r>
      <w:r>
        <w:rPr>
          <w:rFonts w:hint="default" w:ascii="Times New Roman" w:hAnsi="Times New Roman" w:cs="Times New Roman"/>
          <w:bCs/>
          <w:color w:val="auto"/>
          <w:sz w:val="24"/>
          <w:highlight w:val="none"/>
          <w:lang w:eastAsia="zh-CN"/>
        </w:rPr>
        <w:t>暂存规模分析：</w:t>
      </w:r>
      <w:r>
        <w:rPr>
          <w:rFonts w:hint="default" w:ascii="Times New Roman" w:hAnsi="Times New Roman" w:cs="Times New Roman"/>
          <w:bCs/>
          <w:color w:val="auto"/>
          <w:sz w:val="24"/>
          <w:highlight w:val="none"/>
          <w:lang w:val="en-US" w:eastAsia="zh-CN"/>
        </w:rPr>
        <w:t>项目粪肥施用间隔期最大的为10月-11月，2个月内固体粪便的暂存规模为484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堆槽</w:t>
      </w:r>
      <w:r>
        <w:rPr>
          <w:rFonts w:hint="default" w:ascii="Times New Roman" w:hAnsi="Times New Roman" w:cs="Times New Roman"/>
          <w:color w:val="auto"/>
          <w:sz w:val="24"/>
          <w:highlight w:val="none"/>
          <w:lang w:eastAsia="zh-CN"/>
        </w:rPr>
        <w:t>总</w:t>
      </w:r>
      <w:r>
        <w:rPr>
          <w:rFonts w:hint="default" w:ascii="Times New Roman" w:hAnsi="Times New Roman" w:cs="Times New Roman"/>
          <w:color w:val="auto"/>
          <w:sz w:val="24"/>
          <w:highlight w:val="none"/>
        </w:rPr>
        <w:t>容积</w:t>
      </w:r>
      <w:r>
        <w:rPr>
          <w:rFonts w:hint="default" w:ascii="Times New Roman" w:hAnsi="Times New Roman" w:cs="Times New Roman"/>
          <w:color w:val="auto"/>
          <w:sz w:val="24"/>
          <w:highlight w:val="none"/>
          <w:lang w:val="en-US" w:eastAsia="zh-CN"/>
        </w:rPr>
        <w:t>1200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故项目</w:t>
      </w:r>
      <w:r>
        <w:rPr>
          <w:rFonts w:hint="default" w:ascii="Times New Roman" w:hAnsi="Times New Roman" w:cs="Times New Roman"/>
          <w:bCs/>
          <w:color w:val="auto"/>
          <w:sz w:val="24"/>
          <w:highlight w:val="none"/>
          <w:lang w:val="en-US" w:eastAsia="zh-CN"/>
        </w:rPr>
        <w:t>粪肥施用期</w:t>
      </w:r>
      <w:r>
        <w:rPr>
          <w:rFonts w:hint="default" w:ascii="Times New Roman" w:hAnsi="Times New Roman" w:cs="Times New Roman"/>
          <w:color w:val="auto"/>
          <w:sz w:val="24"/>
          <w:highlight w:val="none"/>
        </w:rPr>
        <w:t>堆槽</w:t>
      </w:r>
      <w:r>
        <w:rPr>
          <w:rFonts w:hint="default" w:ascii="Times New Roman" w:hAnsi="Times New Roman" w:cs="Times New Roman"/>
          <w:color w:val="auto"/>
          <w:sz w:val="24"/>
          <w:highlight w:val="none"/>
          <w:lang w:eastAsia="zh-CN"/>
        </w:rPr>
        <w:t>内暂存固体粪肥可满足要求，待</w:t>
      </w:r>
      <w:r>
        <w:rPr>
          <w:rFonts w:hint="default" w:ascii="Times New Roman" w:hAnsi="Times New Roman" w:cs="Times New Roman"/>
          <w:color w:val="auto"/>
          <w:sz w:val="24"/>
          <w:highlight w:val="none"/>
          <w:lang w:val="en-US" w:eastAsia="zh-CN"/>
        </w:rPr>
        <w:t>2、5、6、9、12月</w:t>
      </w:r>
      <w:r>
        <w:rPr>
          <w:rFonts w:hint="default" w:ascii="Times New Roman" w:hAnsi="Times New Roman" w:cs="Times New Roman"/>
          <w:color w:val="auto"/>
          <w:sz w:val="24"/>
          <w:highlight w:val="none"/>
          <w:lang w:eastAsia="zh-CN"/>
        </w:rPr>
        <w:t>施肥需求量较大的季节回用于还田。</w:t>
      </w:r>
    </w:p>
    <w:p w14:paraId="0B6FACB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粪肥消纳</w:t>
      </w:r>
      <w:r>
        <w:rPr>
          <w:rFonts w:hint="default" w:ascii="Times New Roman" w:hAnsi="Times New Roman" w:cs="Times New Roman"/>
          <w:color w:val="auto"/>
          <w:sz w:val="24"/>
          <w:highlight w:val="none"/>
        </w:rPr>
        <w:t>的可行性分析</w:t>
      </w:r>
    </w:p>
    <w:p w14:paraId="2DF9F482">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本次评价根据《畜禽粪污土地承载力测算技术指南》相关数据进行核算粪污消纳区（配套土地）面积的粪肥需求量。</w:t>
      </w:r>
    </w:p>
    <w:p w14:paraId="6B015280">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区域植物粪肥养分需求量=植物养分需求量×施肥供给养分占比×粪肥占施肥比例/粪肥当季利用率；</w:t>
      </w:r>
    </w:p>
    <w:p w14:paraId="24AF166B">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区域植物养分需求量=∑（每种植物总面积×单位面积养分需求）；</w:t>
      </w:r>
    </w:p>
    <w:p w14:paraId="53D2E5EF">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根据《畜禽粪污土地承载力测算技术指南》表 1、表 2，桃树形成100kg产量需要吸收的氮量为0.21kg（折合2.1kg/t），需要吸收的磷量为0.033kg（折合0.3kg/t），目标产量为30t/hm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；韭菜形成100kg产量（参照大葱）需要吸收的氮量为0.19kg（折合1.9kg/t），需要吸收的磷量为0.036kg（折合0.36kg/t），目标产量为55t/hm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p>
    <w:p w14:paraId="4F4544D1">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施肥供给养分占比——根据土壤中氮（磷）养分，施肥比例参照《畜禽粪污土地承载力测算技术指南》表2：土壤不同氮磷养分水平下施肥供给养分占比推荐值，取Ⅱ级45%；</w:t>
      </w:r>
    </w:p>
    <w:p w14:paraId="0C25DA3C">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粪肥当季利用率——粪肥中氮素当季利用率推荐值约25%～30%，此次取 25%；</w:t>
      </w:r>
    </w:p>
    <w:p w14:paraId="727AC58A">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粪肥当季利用率——粪肥中磷素当季利用率推荐值为30%</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35%，此次取 30%；</w:t>
      </w:r>
    </w:p>
    <w:p w14:paraId="64E16C16">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粪肥占施肥比例——指南中未给出粪肥占施肥比例，指南推荐根据当地实际情况取值，经调查，按照当地施肥情况，区域粪肥占施肥比例约60%。</w:t>
      </w:r>
    </w:p>
    <w:p w14:paraId="50250734">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据“植物粪肥养分需求量=∑（每种植物总面积×单位面积养分需求）×施肥供给养分占比×粪肥占施肥比例/粪肥当季利用率”计算得到：</w:t>
      </w:r>
    </w:p>
    <w:p w14:paraId="5314C593">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粪污消纳区植物氮需求量为：</w:t>
      </w:r>
    </w:p>
    <w:p w14:paraId="05EBA584">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（666hm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×2.1kg/t×30t/hm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+5.99hm2×1.9kg/t×55t/hm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）×45%×60%/25%=56210.82kg</w:t>
      </w:r>
    </w:p>
    <w:p w14:paraId="27600E14">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粪污消纳区植物磷需求量为：</w:t>
      </w:r>
    </w:p>
    <w:p w14:paraId="44433E13">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（666hm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×0.3kg/t×30t/hm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+5.99hm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×0.36kg/t×55t/hm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）×45%×60%/25%=6601.61kg</w:t>
      </w:r>
    </w:p>
    <w:p w14:paraId="7D00EB7D">
      <w:pPr>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项目产生的粪肥养分供给量</w:t>
      </w:r>
    </w:p>
    <w:p w14:paraId="2D34710D">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highlight w:val="none"/>
        </w:rPr>
        <w:t>根据《畜禽粪污土地承载力测算技术指南》：综合考虑畜禽</w:t>
      </w:r>
      <w:r>
        <w:rPr>
          <w:rFonts w:hint="default" w:ascii="Times New Roman" w:hAnsi="Times New Roman" w:cs="Times New Roman"/>
          <w:color w:val="auto"/>
          <w:sz w:val="24"/>
          <w:highlight w:val="none"/>
          <w:lang w:eastAsia="zh-CN"/>
        </w:rPr>
        <w:t>粪污</w:t>
      </w:r>
      <w:r>
        <w:rPr>
          <w:rFonts w:hint="default" w:ascii="Times New Roman" w:hAnsi="Times New Roman" w:cs="Times New Roman"/>
          <w:color w:val="auto"/>
          <w:sz w:val="24"/>
          <w:highlight w:val="none"/>
        </w:rPr>
        <w:t>在收集、处理和贮存过程的损失后，单位猪当量氮养分供给量为7.0kg，磷养分供给量为1.2kg；</w:t>
      </w:r>
      <w:r>
        <w:rPr>
          <w:rFonts w:hint="default" w:ascii="Times New Roman" w:hAnsi="Times New Roman" w:eastAsia="宋体" w:cs="Times New Roman"/>
          <w:color w:val="auto"/>
          <w:sz w:val="24"/>
          <w:szCs w:val="24"/>
          <w:lang w:val="en-US" w:eastAsia="zh-CN"/>
        </w:rPr>
        <w:t>由于项目产生的养殖废水</w:t>
      </w:r>
      <w:r>
        <w:rPr>
          <w:rFonts w:hint="default" w:ascii="Times New Roman" w:hAnsi="Times New Roman" w:cs="Times New Roman"/>
          <w:color w:val="auto"/>
          <w:kern w:val="0"/>
          <w:sz w:val="24"/>
          <w:szCs w:val="24"/>
          <w:highlight w:val="none"/>
          <w:lang w:val="en-US" w:eastAsia="zh-CN"/>
        </w:rPr>
        <w:t>依托弥勒温氏畜牧有限公司新哨种猪场建设项目污水处理站处理达GB/T18920-2020《城市污水再生利用、城市生活杂用水水质》及</w:t>
      </w:r>
      <w:r>
        <w:rPr>
          <w:rFonts w:hint="default" w:ascii="Times New Roman" w:hAnsi="Times New Roman" w:cs="Times New Roman"/>
          <w:color w:val="auto"/>
          <w:sz w:val="24"/>
          <w:szCs w:val="24"/>
          <w:highlight w:val="none"/>
          <w:lang w:val="en-US" w:eastAsia="zh-CN"/>
        </w:rPr>
        <w:t>《农田灌溉水质标准》（GB5084-2021）中的“旱地作物”</w:t>
      </w:r>
      <w:r>
        <w:rPr>
          <w:rFonts w:hint="default" w:ascii="Times New Roman" w:hAnsi="Times New Roman" w:cs="Times New Roman"/>
          <w:color w:val="auto"/>
          <w:kern w:val="0"/>
          <w:sz w:val="24"/>
          <w:szCs w:val="24"/>
          <w:highlight w:val="none"/>
          <w:lang w:val="en-US" w:eastAsia="zh-CN"/>
        </w:rPr>
        <w:t>标准后用于绿化及农田灌溉。废水中养分供给量按废水浓度核算，</w:t>
      </w:r>
      <w:r>
        <w:rPr>
          <w:rFonts w:hint="default" w:ascii="Times New Roman" w:hAnsi="Times New Roman" w:eastAsia="宋体" w:cs="Times New Roman"/>
          <w:color w:val="auto"/>
          <w:sz w:val="24"/>
          <w:szCs w:val="24"/>
          <w:lang w:val="en-US" w:eastAsia="zh-CN"/>
        </w:rPr>
        <w:t>根据前文计算结果，污水处理站处理后的用于农灌废水中养分供给量（氮）为356.23kg，（磷）为318.40kg。</w:t>
      </w:r>
    </w:p>
    <w:p w14:paraId="61E4BE32">
      <w:pPr>
        <w:snapToGrid w:val="0"/>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kern w:val="0"/>
          <w:sz w:val="24"/>
          <w:szCs w:val="24"/>
          <w:highlight w:val="none"/>
          <w:lang w:val="en-US" w:eastAsia="zh-CN"/>
        </w:rPr>
        <w:t>固体粪便养分</w:t>
      </w:r>
      <w:r>
        <w:rPr>
          <w:rFonts w:hint="default" w:ascii="Times New Roman" w:hAnsi="Times New Roman" w:eastAsia="宋体" w:cs="Times New Roman"/>
          <w:b w:val="0"/>
          <w:bCs w:val="0"/>
          <w:color w:val="auto"/>
          <w:sz w:val="24"/>
          <w:szCs w:val="24"/>
          <w:lang w:val="en-US" w:eastAsia="zh-CN"/>
        </w:rPr>
        <w:t>供给量</w:t>
      </w:r>
      <w:r>
        <w:rPr>
          <w:rFonts w:hint="default" w:ascii="Times New Roman" w:hAnsi="Times New Roman" w:cs="Times New Roman"/>
          <w:b w:val="0"/>
          <w:bCs w:val="0"/>
          <w:color w:val="auto"/>
          <w:sz w:val="24"/>
          <w:szCs w:val="24"/>
          <w:lang w:val="en-US" w:eastAsia="zh-CN"/>
        </w:rPr>
        <w:t>：</w:t>
      </w:r>
      <w:r>
        <w:rPr>
          <w:rFonts w:hint="default" w:ascii="Times New Roman" w:hAnsi="Times New Roman" w:eastAsia="仿宋_GB2312" w:cs="Times New Roman"/>
          <w:b w:val="0"/>
          <w:bCs w:val="0"/>
          <w:color w:val="auto"/>
          <w:kern w:val="0"/>
          <w:sz w:val="24"/>
          <w:szCs w:val="24"/>
          <w:highlight w:val="none"/>
        </w:rPr>
        <w:t>固体粪便中氮素占氮排泄总量的</w:t>
      </w:r>
      <w:r>
        <w:rPr>
          <w:rFonts w:hint="default" w:ascii="Times New Roman" w:hAnsi="Times New Roman" w:eastAsia="宋体" w:cs="Times New Roman"/>
          <w:b w:val="0"/>
          <w:bCs w:val="0"/>
          <w:color w:val="auto"/>
          <w:kern w:val="0"/>
          <w:sz w:val="24"/>
          <w:szCs w:val="24"/>
          <w:highlight w:val="none"/>
        </w:rPr>
        <w:t>50%</w:t>
      </w:r>
      <w:r>
        <w:rPr>
          <w:rFonts w:hint="default" w:ascii="Times New Roman" w:hAnsi="Times New Roman" w:eastAsia="仿宋_GB2312" w:cs="Times New Roman"/>
          <w:b w:val="0"/>
          <w:bCs w:val="0"/>
          <w:color w:val="auto"/>
          <w:kern w:val="0"/>
          <w:sz w:val="24"/>
          <w:szCs w:val="24"/>
          <w:highlight w:val="none"/>
        </w:rPr>
        <w:t>，磷素占</w:t>
      </w:r>
      <w:r>
        <w:rPr>
          <w:rFonts w:hint="default" w:ascii="Times New Roman" w:hAnsi="Times New Roman" w:eastAsia="宋体" w:cs="Times New Roman"/>
          <w:b w:val="0"/>
          <w:bCs w:val="0"/>
          <w:color w:val="auto"/>
          <w:kern w:val="0"/>
          <w:sz w:val="24"/>
          <w:szCs w:val="24"/>
          <w:highlight w:val="none"/>
        </w:rPr>
        <w:t>80%</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rPr>
        <w:t>项目属于固体粪便堆肥、厌氧发酵池厌氧发酵后农田利用为主的情况，粪污收集处理过程中氮留存率推荐值为62%、磷留存率取72%；本项目</w:t>
      </w:r>
      <w:r>
        <w:rPr>
          <w:rFonts w:hint="default" w:ascii="Times New Roman" w:hAnsi="Times New Roman" w:cs="Times New Roman"/>
          <w:b w:val="0"/>
          <w:bCs w:val="0"/>
          <w:color w:val="auto"/>
          <w:sz w:val="24"/>
          <w:szCs w:val="24"/>
          <w:highlight w:val="none"/>
          <w:lang w:val="en-US" w:eastAsia="zh-CN"/>
        </w:rPr>
        <w:t>存</w:t>
      </w:r>
      <w:r>
        <w:rPr>
          <w:rFonts w:hint="default" w:ascii="Times New Roman" w:hAnsi="Times New Roman" w:cs="Times New Roman"/>
          <w:b w:val="0"/>
          <w:bCs w:val="0"/>
          <w:color w:val="auto"/>
          <w:sz w:val="24"/>
          <w:szCs w:val="24"/>
          <w:highlight w:val="none"/>
        </w:rPr>
        <w:t>栏生猪</w:t>
      </w:r>
      <w:r>
        <w:rPr>
          <w:rFonts w:hint="default" w:ascii="Times New Roman" w:hAnsi="Times New Roman"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rPr>
        <w:t>000头，则计算得到：</w:t>
      </w:r>
    </w:p>
    <w:p w14:paraId="3A7ABE3E">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粪肥养分供给量（氮）=畜禽存栏量×单位猪当量粪肥（氮）养分供给量×养分留存率×</w:t>
      </w:r>
      <w:r>
        <w:rPr>
          <w:rFonts w:hint="default" w:ascii="Times New Roman" w:hAnsi="Times New Roman" w:cs="Times New Roman"/>
          <w:color w:val="auto"/>
          <w:sz w:val="24"/>
          <w:highlight w:val="none"/>
          <w:lang w:val="en-US" w:eastAsia="zh-CN"/>
        </w:rPr>
        <w:t>固体粪便氮素占比</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000*7.0*0.62*</w:t>
      </w:r>
      <w:r>
        <w:rPr>
          <w:rFonts w:hint="default" w:ascii="Times New Roman" w:hAnsi="Times New Roman" w:cs="Times New Roman"/>
          <w:color w:val="auto"/>
          <w:sz w:val="24"/>
          <w:highlight w:val="none"/>
          <w:lang w:val="en-US" w:eastAsia="zh-CN"/>
        </w:rPr>
        <w:t>0.5</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8680</w:t>
      </w:r>
      <w:r>
        <w:rPr>
          <w:rFonts w:hint="default" w:ascii="Times New Roman" w:hAnsi="Times New Roman" w:cs="Times New Roman"/>
          <w:color w:val="auto"/>
          <w:sz w:val="24"/>
          <w:highlight w:val="none"/>
        </w:rPr>
        <w:t>kg</w:t>
      </w:r>
    </w:p>
    <w:p w14:paraId="6A043390">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粪肥养分供给量（磷）=畜禽存栏量×单位猪当量粪肥（磷）养分供给量×养分留存率×</w:t>
      </w:r>
      <w:r>
        <w:rPr>
          <w:rFonts w:hint="default" w:ascii="Times New Roman" w:hAnsi="Times New Roman" w:cs="Times New Roman"/>
          <w:color w:val="auto"/>
          <w:sz w:val="24"/>
          <w:highlight w:val="none"/>
          <w:lang w:val="en-US" w:eastAsia="zh-CN"/>
        </w:rPr>
        <w:t>固体粪便</w:t>
      </w:r>
      <w:r>
        <w:rPr>
          <w:rFonts w:hint="default" w:ascii="Times New Roman" w:hAnsi="Times New Roman" w:cs="Times New Roman"/>
          <w:color w:val="auto"/>
          <w:sz w:val="24"/>
          <w:highlight w:val="none"/>
        </w:rPr>
        <w:t>磷</w:t>
      </w:r>
      <w:r>
        <w:rPr>
          <w:rFonts w:hint="default" w:ascii="Times New Roman" w:hAnsi="Times New Roman" w:cs="Times New Roman"/>
          <w:color w:val="auto"/>
          <w:sz w:val="24"/>
          <w:highlight w:val="none"/>
          <w:lang w:val="en-US" w:eastAsia="zh-CN"/>
        </w:rPr>
        <w:t>素占比</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000*1.2*0.72*</w:t>
      </w:r>
      <w:r>
        <w:rPr>
          <w:rFonts w:hint="default" w:ascii="Times New Roman" w:hAnsi="Times New Roman" w:cs="Times New Roman"/>
          <w:color w:val="auto"/>
          <w:sz w:val="24"/>
          <w:highlight w:val="none"/>
          <w:lang w:val="en-US" w:eastAsia="zh-CN"/>
        </w:rPr>
        <w:t>0.8</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2764.8</w:t>
      </w:r>
      <w:r>
        <w:rPr>
          <w:rFonts w:hint="default" w:ascii="Times New Roman" w:hAnsi="Times New Roman" w:cs="Times New Roman"/>
          <w:color w:val="auto"/>
          <w:sz w:val="24"/>
          <w:highlight w:val="none"/>
        </w:rPr>
        <w:t>kg</w:t>
      </w:r>
    </w:p>
    <w:p w14:paraId="18639158">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畜禽养殖业污染治理工程技术规范》（HJ497-2009），“经无害化处理后进行还田综合利用的，粪肥用量不能超过作物当年生长所需的养分量。在确定粪肥的最佳施用量时，应对土壤肥力和粪肥肥效进行测试评价，并符合当地环境容量的要求。同时应有一倍以上的土地用于轮作施肥，不得长期施肥于同一土地。”</w:t>
      </w:r>
    </w:p>
    <w:p w14:paraId="6571468F">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消纳区域植物养分需求量（氮）为56210.82kg＞</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highlight w:val="none"/>
          <w:lang w:val="en-US" w:eastAsia="zh-CN"/>
        </w:rPr>
        <w:t>8680+356.23</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kg×2</w:t>
      </w:r>
      <w:r>
        <w:rPr>
          <w:rFonts w:hint="default" w:ascii="Times New Roman" w:hAnsi="Times New Roman" w:cs="Times New Roman"/>
          <w:color w:val="auto"/>
          <w:sz w:val="24"/>
          <w:szCs w:val="24"/>
          <w:lang w:val="en-US" w:eastAsia="zh-CN"/>
        </w:rPr>
        <w:t>=18072.46</w:t>
      </w:r>
      <w:r>
        <w:rPr>
          <w:rFonts w:hint="default" w:ascii="Times New Roman" w:hAnsi="Times New Roman" w:eastAsia="宋体" w:cs="Times New Roman"/>
          <w:color w:val="auto"/>
          <w:sz w:val="24"/>
          <w:szCs w:val="24"/>
          <w:lang w:val="en-US" w:eastAsia="zh-CN"/>
        </w:rPr>
        <w:t>kg；</w:t>
      </w:r>
    </w:p>
    <w:p w14:paraId="471968AA">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消纳区域植物养分需求量（磷）为6601.61kg＞</w:t>
      </w:r>
      <w:r>
        <w:rPr>
          <w:rFonts w:hint="default" w:ascii="Times New Roman" w:hAnsi="Times New Roman" w:cs="Times New Roman"/>
          <w:color w:val="auto"/>
          <w:sz w:val="24"/>
          <w:highlight w:val="none"/>
          <w:lang w:val="en-US" w:eastAsia="zh-CN"/>
        </w:rPr>
        <w:t>（2764.8+318.40）</w:t>
      </w:r>
      <w:r>
        <w:rPr>
          <w:rFonts w:hint="default" w:ascii="Times New Roman" w:hAnsi="Times New Roman" w:eastAsia="宋体" w:cs="Times New Roman"/>
          <w:color w:val="auto"/>
          <w:sz w:val="24"/>
          <w:szCs w:val="24"/>
          <w:lang w:val="en-US" w:eastAsia="zh-CN"/>
        </w:rPr>
        <w:t>kg×2</w:t>
      </w:r>
      <w:r>
        <w:rPr>
          <w:rFonts w:hint="default" w:ascii="Times New Roman" w:hAnsi="Times New Roman" w:cs="Times New Roman"/>
          <w:color w:val="auto"/>
          <w:sz w:val="24"/>
          <w:szCs w:val="24"/>
          <w:lang w:val="en-US" w:eastAsia="zh-CN"/>
        </w:rPr>
        <w:t>=6166.4</w:t>
      </w:r>
      <w:r>
        <w:rPr>
          <w:rFonts w:hint="default" w:ascii="Times New Roman" w:hAnsi="Times New Roman" w:eastAsia="宋体" w:cs="Times New Roman"/>
          <w:color w:val="auto"/>
          <w:sz w:val="24"/>
          <w:szCs w:val="24"/>
          <w:lang w:val="en-US" w:eastAsia="zh-CN"/>
        </w:rPr>
        <w:t>kg。</w:t>
      </w:r>
    </w:p>
    <w:p w14:paraId="0098768A">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综上分析，项目配套的</w:t>
      </w:r>
      <w:r>
        <w:rPr>
          <w:rFonts w:hint="default" w:ascii="Times New Roman" w:hAnsi="Times New Roman" w:cs="Times New Roman"/>
          <w:color w:val="auto"/>
          <w:sz w:val="24"/>
          <w:szCs w:val="24"/>
          <w:lang w:val="en-US" w:eastAsia="zh-CN"/>
        </w:rPr>
        <w:t>粪肥</w:t>
      </w:r>
      <w:r>
        <w:rPr>
          <w:rFonts w:hint="default" w:ascii="Times New Roman" w:hAnsi="Times New Roman" w:eastAsia="宋体" w:cs="Times New Roman"/>
          <w:color w:val="auto"/>
          <w:sz w:val="24"/>
          <w:szCs w:val="24"/>
          <w:lang w:val="en-US" w:eastAsia="zh-CN"/>
        </w:rPr>
        <w:t>消纳区可以满足轮作要求</w:t>
      </w:r>
      <w:r>
        <w:rPr>
          <w:rFonts w:hint="default" w:ascii="Times New Roman" w:hAnsi="Times New Roman" w:cs="Times New Roman"/>
          <w:color w:val="auto"/>
          <w:sz w:val="24"/>
          <w:szCs w:val="24"/>
          <w:lang w:val="en-US" w:eastAsia="zh-CN"/>
        </w:rPr>
        <w:t>，粪肥消纳可行。</w:t>
      </w:r>
    </w:p>
    <w:p w14:paraId="58E58F22">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（2）病死猪</w:t>
      </w:r>
    </w:p>
    <w:p w14:paraId="17839405">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项目病死猪委托弥勒市北斗星生物科技有限公司进场清运处置。并在厂内建设1个建筑面积为30m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的冷库，用于临时暂存养殖过程中产生的病死猪。</w:t>
      </w:r>
    </w:p>
    <w:p w14:paraId="3D7CC4C9">
      <w:pPr>
        <w:numPr>
          <w:ilvl w:val="0"/>
          <w:numId w:val="4"/>
        </w:numPr>
        <w:snapToGrid w:val="0"/>
        <w:spacing w:line="360" w:lineRule="auto"/>
        <w:ind w:firstLine="482" w:firstLineChars="200"/>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防疫固废</w:t>
      </w:r>
    </w:p>
    <w:p w14:paraId="097A2BB9">
      <w:pPr>
        <w:pStyle w:val="11"/>
        <w:autoSpaceDE w:val="0"/>
        <w:spacing w:before="0" w:line="360" w:lineRule="auto"/>
        <w:ind w:left="0" w:firstLine="480"/>
        <w:jc w:val="both"/>
        <w:rPr>
          <w:rFonts w:hint="default" w:ascii="Times New Roman" w:hAnsi="Times New Roman" w:eastAsia="宋体" w:cs="Times New Roman"/>
          <w:b w:val="0"/>
          <w:bCs w:val="0"/>
          <w:color w:val="auto"/>
          <w:kern w:val="0"/>
          <w:sz w:val="24"/>
          <w:szCs w:val="24"/>
          <w:lang w:val="en-US" w:eastAsia="zh-CN" w:bidi="ar-SA"/>
        </w:rPr>
      </w:pPr>
      <w:r>
        <w:rPr>
          <w:rFonts w:hint="default" w:ascii="Times New Roman" w:hAnsi="Times New Roman" w:eastAsia="宋体" w:cs="Times New Roman"/>
          <w:b w:val="0"/>
          <w:bCs w:val="0"/>
          <w:color w:val="auto"/>
          <w:kern w:val="0"/>
          <w:sz w:val="24"/>
          <w:szCs w:val="24"/>
          <w:lang w:val="en-US" w:eastAsia="zh-CN" w:bidi="ar-SA"/>
        </w:rPr>
        <w:t>设置一个</w:t>
      </w:r>
      <w:r>
        <w:rPr>
          <w:rFonts w:hint="eastAsia" w:cs="Times New Roman"/>
          <w:b w:val="0"/>
          <w:bCs w:val="0"/>
          <w:color w:val="auto"/>
          <w:kern w:val="0"/>
          <w:sz w:val="24"/>
          <w:szCs w:val="24"/>
          <w:lang w:val="en-US" w:eastAsia="zh-CN" w:bidi="ar-SA"/>
        </w:rPr>
        <w:t>5</w:t>
      </w:r>
      <w:r>
        <w:rPr>
          <w:rFonts w:hint="default" w:ascii="Times New Roman" w:hAnsi="Times New Roman" w:eastAsia="宋体" w:cs="Times New Roman"/>
          <w:b w:val="0"/>
          <w:bCs w:val="0"/>
          <w:color w:val="auto"/>
          <w:kern w:val="0"/>
          <w:sz w:val="24"/>
          <w:szCs w:val="24"/>
          <w:lang w:val="en-US" w:eastAsia="zh-CN" w:bidi="ar-SA"/>
        </w:rPr>
        <w:t>㎡的防疫固废暂存间暂存，设置明显的标识，定期消毒和清洁，采用专用包装袋、容器分类收集，按照当地动物防疫部门管理要求进行处置。</w:t>
      </w:r>
    </w:p>
    <w:p w14:paraId="37EFC45C">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（4）废弃包装材料、生活垃圾</w:t>
      </w:r>
    </w:p>
    <w:p w14:paraId="33CB8510">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废弃包装材料统一收集定期外卖给废品站；</w:t>
      </w:r>
      <w:r>
        <w:rPr>
          <w:rFonts w:hint="default" w:ascii="Times New Roman" w:hAnsi="Times New Roman" w:cs="Times New Roman"/>
          <w:bCs/>
          <w:color w:val="auto"/>
          <w:sz w:val="24"/>
          <w:highlight w:val="none"/>
        </w:rPr>
        <w:t>生活垃圾经垃圾桶统一收集后，定期清运至</w:t>
      </w:r>
      <w:r>
        <w:rPr>
          <w:rFonts w:hint="default" w:ascii="Times New Roman" w:hAnsi="Times New Roman" w:cs="Times New Roman"/>
          <w:bCs/>
          <w:color w:val="auto"/>
          <w:sz w:val="24"/>
          <w:highlight w:val="none"/>
          <w:lang w:val="en-US" w:eastAsia="zh-CN"/>
        </w:rPr>
        <w:t>猴街</w:t>
      </w:r>
      <w:r>
        <w:rPr>
          <w:rFonts w:hint="default" w:ascii="Times New Roman" w:hAnsi="Times New Roman" w:cs="Times New Roman"/>
          <w:bCs/>
          <w:color w:val="auto"/>
          <w:sz w:val="24"/>
          <w:highlight w:val="none"/>
        </w:rPr>
        <w:t>村生活垃圾收集点集中处置。</w:t>
      </w:r>
    </w:p>
    <w:p w14:paraId="0816D6AA">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（5）隔油池废油脂</w:t>
      </w:r>
    </w:p>
    <w:p w14:paraId="0DC19708">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隔油池浮油经密闭容器收集后，委托有资质单位清运处置。</w:t>
      </w:r>
    </w:p>
    <w:p w14:paraId="0121B3D1">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（6）厨房泔水</w:t>
      </w:r>
    </w:p>
    <w:p w14:paraId="257A48FC">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项目厨房泔水主要是剩汤、剩饭菜等，经密闭泔水桶收集后，按照住建部门的相关规定处置。</w:t>
      </w:r>
    </w:p>
    <w:p w14:paraId="1D762561">
      <w:pPr>
        <w:snapToGrid w:val="0"/>
        <w:spacing w:line="360" w:lineRule="auto"/>
        <w:ind w:firstLine="482"/>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（7）化粪池污泥</w:t>
      </w:r>
    </w:p>
    <w:p w14:paraId="54D2E842">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化粪池污泥定期清掏后作为绿化施肥及农田施肥使用。</w:t>
      </w:r>
    </w:p>
    <w:p w14:paraId="2168418B">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2、危废暂存及处置要求</w:t>
      </w:r>
    </w:p>
    <w:p w14:paraId="0FADF41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废机油来自</w:t>
      </w:r>
      <w:r>
        <w:rPr>
          <w:rFonts w:hint="default" w:ascii="Times New Roman" w:hAnsi="Times New Roman" w:cs="Times New Roman"/>
          <w:bCs/>
          <w:color w:val="auto"/>
          <w:sz w:val="24"/>
          <w:highlight w:val="none"/>
        </w:rPr>
        <w:t>设备润滑防护及整机部分零部件维护中，采用专用容器密闭盛装，暂存在危废暂存间，委托相关资质单位处置。</w:t>
      </w:r>
    </w:p>
    <w:p w14:paraId="53914DB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项目产生的</w:t>
      </w:r>
      <w:r>
        <w:rPr>
          <w:rFonts w:hint="default" w:ascii="Times New Roman" w:hAnsi="Times New Roman" w:cs="Times New Roman"/>
          <w:color w:val="auto"/>
          <w:sz w:val="24"/>
          <w:highlight w:val="none"/>
        </w:rPr>
        <w:t>危险废物</w:t>
      </w:r>
      <w:r>
        <w:rPr>
          <w:rFonts w:hint="default" w:ascii="Times New Roman" w:hAnsi="Times New Roman" w:cs="Times New Roman"/>
          <w:color w:val="auto"/>
          <w:sz w:val="24"/>
          <w:highlight w:val="none"/>
          <w:lang w:val="en-US" w:eastAsia="zh-CN"/>
        </w:rPr>
        <w:t>设置</w:t>
      </w:r>
      <w:r>
        <w:rPr>
          <w:rFonts w:hint="default" w:ascii="Times New Roman" w:hAnsi="Times New Roman" w:cs="Times New Roman"/>
          <w:color w:val="auto"/>
          <w:sz w:val="24"/>
          <w:highlight w:val="none"/>
        </w:rPr>
        <w:t>暂存间</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建筑面积</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临时暂存</w:t>
      </w:r>
      <w:r>
        <w:rPr>
          <w:rFonts w:hint="default" w:ascii="Times New Roman" w:hAnsi="Times New Roman" w:cs="Times New Roman"/>
          <w:color w:val="auto"/>
          <w:sz w:val="24"/>
          <w:highlight w:val="none"/>
        </w:rPr>
        <w:t>，危险废物暂存时应按照《危险废物贮存污染控制标准》（GB18597-2023）要求进行贮存，危废暂存间设置要求如下：</w:t>
      </w:r>
    </w:p>
    <w:p w14:paraId="57010896">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val="en-US" w:eastAsia="zh-CN"/>
        </w:rPr>
        <w:t>①</w:t>
      </w:r>
      <w:r>
        <w:rPr>
          <w:rFonts w:hint="default" w:ascii="Times New Roman" w:hAnsi="Times New Roman" w:cs="Times New Roman"/>
          <w:color w:val="auto"/>
          <w:sz w:val="24"/>
          <w:highlight w:val="none"/>
          <w:lang w:eastAsia="zh-CN"/>
        </w:rPr>
        <w:t>一般规定</w:t>
      </w:r>
    </w:p>
    <w:p w14:paraId="02856933">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a.贮存设施应根据危险废物的形态、物理化学性质、包装形式和污染物迁移途径，采取必要的防风、防晒、防雨、防漏、防渗、防腐以及其他环境污染防治措施，不应露天堆放危险废物</w:t>
      </w:r>
      <w:r>
        <w:rPr>
          <w:rFonts w:hint="default" w:ascii="Times New Roman" w:hAnsi="Times New Roman" w:cs="Times New Roman"/>
          <w:color w:val="auto"/>
          <w:sz w:val="24"/>
          <w:highlight w:val="none"/>
          <w:lang w:eastAsia="zh-CN"/>
        </w:rPr>
        <w:t>；</w:t>
      </w:r>
    </w:p>
    <w:p w14:paraId="3903C2C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b.贮存设施应根据危险废物的类别、数量、形态、物理化学性质和污染防治等要求设置必要的贮存分区，避免不相容的危险废物接触、混合；</w:t>
      </w:r>
    </w:p>
    <w:p w14:paraId="4F02D1FC">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c.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 厚黏土层（渗透系数不大于10</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cm/s），或至少2 mm厚高密度聚乙烯膜等人工防渗材料（渗透系数不大于10</w:t>
      </w:r>
      <w:r>
        <w:rPr>
          <w:rFonts w:hint="default" w:ascii="Times New Roman" w:hAnsi="Times New Roman" w:cs="Times New Roman"/>
          <w:color w:val="auto"/>
          <w:sz w:val="24"/>
          <w:highlight w:val="none"/>
          <w:vertAlign w:val="superscript"/>
        </w:rPr>
        <w:t>-10</w:t>
      </w:r>
      <w:r>
        <w:rPr>
          <w:rFonts w:hint="default" w:ascii="Times New Roman" w:hAnsi="Times New Roman" w:cs="Times New Roman"/>
          <w:color w:val="auto"/>
          <w:sz w:val="24"/>
          <w:highlight w:val="none"/>
        </w:rPr>
        <w:t>cm/s），或其他防渗性能等效的材料</w:t>
      </w:r>
      <w:r>
        <w:rPr>
          <w:rFonts w:hint="default" w:ascii="Times New Roman" w:hAnsi="Times New Roman" w:cs="Times New Roman"/>
          <w:color w:val="auto"/>
          <w:sz w:val="24"/>
          <w:highlight w:val="none"/>
          <w:lang w:eastAsia="zh-CN"/>
        </w:rPr>
        <w:t>；</w:t>
      </w:r>
    </w:p>
    <w:p w14:paraId="52AA48CE">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d.同一贮存设施宜采用相同的防渗、防腐工艺（包括防渗、防腐结构或材料），防渗、防腐材料应覆盖所有可能与废物及其渗滤液、渗漏液等接触的构筑物表面；采用不同防渗、防腐工艺应分别建设贮存分区</w:t>
      </w:r>
      <w:r>
        <w:rPr>
          <w:rFonts w:hint="default" w:ascii="Times New Roman" w:hAnsi="Times New Roman" w:cs="Times New Roman"/>
          <w:color w:val="auto"/>
          <w:sz w:val="24"/>
          <w:highlight w:val="none"/>
          <w:lang w:eastAsia="zh-CN"/>
        </w:rPr>
        <w:t>；</w:t>
      </w:r>
    </w:p>
    <w:p w14:paraId="708579B3">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e.贮存设施应采取技术和管理措施防止无关人员进入</w:t>
      </w:r>
      <w:r>
        <w:rPr>
          <w:rFonts w:hint="default" w:ascii="Times New Roman" w:hAnsi="Times New Roman" w:cs="Times New Roman"/>
          <w:color w:val="auto"/>
          <w:sz w:val="24"/>
          <w:highlight w:val="none"/>
          <w:lang w:eastAsia="zh-CN"/>
        </w:rPr>
        <w:t>。</w:t>
      </w:r>
    </w:p>
    <w:p w14:paraId="4451300D">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val="en-US" w:eastAsia="zh-CN"/>
        </w:rPr>
        <w:t>②</w:t>
      </w:r>
      <w:r>
        <w:rPr>
          <w:rFonts w:hint="default" w:ascii="Times New Roman" w:hAnsi="Times New Roman" w:cs="Times New Roman"/>
          <w:color w:val="auto"/>
          <w:sz w:val="24"/>
          <w:highlight w:val="none"/>
          <w:lang w:eastAsia="zh-CN"/>
        </w:rPr>
        <w:t>容器和包装物污染控制要求</w:t>
      </w:r>
    </w:p>
    <w:p w14:paraId="55B4CB39">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a.容器和包装物材质、内衬应与盛装的危险废物相容；</w:t>
      </w:r>
    </w:p>
    <w:p w14:paraId="7E389A06">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b.针对不同类别、形态、物理化学性质的危险废物，其容器和包装物应满足相应的防渗、防漏、防腐和强度等要求；</w:t>
      </w:r>
    </w:p>
    <w:p w14:paraId="55200214">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c.硬质容器和包装物及其支护结构堆叠码放时不应有明显变形，无破损泄漏；</w:t>
      </w:r>
    </w:p>
    <w:p w14:paraId="4C5DF75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d.柔性容器和包装物堆叠码放时应封口严密，无破损泄漏；</w:t>
      </w:r>
    </w:p>
    <w:p w14:paraId="672D7E97">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e.使用容器盛装液态、半固态危险废物时，容器内部应留有适当的空间，以适应因温度变化等可能引发的收缩和膨胀，防止其导致容器渗漏或永久变形；</w:t>
      </w:r>
    </w:p>
    <w:p w14:paraId="20020664">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f.容器和包装物外表面应保持清洁。</w:t>
      </w:r>
    </w:p>
    <w:p w14:paraId="1F13852B">
      <w:pPr>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（3）管理要求</w:t>
      </w:r>
    </w:p>
    <w:p w14:paraId="27F40D26">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①</w:t>
      </w:r>
      <w:r>
        <w:rPr>
          <w:rFonts w:hint="default" w:ascii="Times New Roman" w:hAnsi="Times New Roman" w:cs="Times New Roman"/>
          <w:color w:val="auto"/>
          <w:sz w:val="24"/>
          <w:highlight w:val="none"/>
        </w:rPr>
        <w:t>建立完善的危险废物管理制度；</w:t>
      </w:r>
    </w:p>
    <w:p w14:paraId="71659A52">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②</w:t>
      </w:r>
      <w:r>
        <w:rPr>
          <w:rFonts w:hint="default" w:ascii="Times New Roman" w:hAnsi="Times New Roman" w:cs="Times New Roman"/>
          <w:color w:val="auto"/>
          <w:sz w:val="24"/>
          <w:highlight w:val="none"/>
        </w:rPr>
        <w:t>危险废物需委托有资质的单位清运处理，并签订危险废物处理合同或协议；</w:t>
      </w:r>
    </w:p>
    <w:p w14:paraId="536A2063">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③</w:t>
      </w:r>
      <w:r>
        <w:rPr>
          <w:rFonts w:hint="default" w:ascii="Times New Roman" w:hAnsi="Times New Roman" w:cs="Times New Roman"/>
          <w:color w:val="auto"/>
          <w:sz w:val="24"/>
          <w:highlight w:val="none"/>
        </w:rPr>
        <w:t>在危险废物转移交接时填写《危险废物转移联单》并存档，存档时间不得低于</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p>
    <w:p w14:paraId="4799AC0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综上，本项目产生的固体废物均有合理有效的处置措施，去向明确，厂内暂存设施可以满足固体废物贮存的要求。固废处置率达100%，对环境影响不大。</w:t>
      </w:r>
    </w:p>
    <w:p w14:paraId="2534E379">
      <w:pPr>
        <w:pStyle w:val="4"/>
        <w:adjustRightInd w:val="0"/>
        <w:snapToGrid w:val="0"/>
        <w:spacing w:before="0" w:beforeLines="0" w:after="0" w:afterLines="0" w:line="360" w:lineRule="auto"/>
        <w:ind w:firstLine="0" w:firstLineChars="0"/>
        <w:rPr>
          <w:rFonts w:hint="default" w:ascii="Times New Roman" w:hAnsi="Times New Roman" w:cs="Times New Roman"/>
          <w:color w:val="auto"/>
          <w:szCs w:val="20"/>
          <w:highlight w:val="none"/>
        </w:rPr>
      </w:pPr>
      <w:bookmarkStart w:id="302" w:name="_Toc26567"/>
      <w:r>
        <w:rPr>
          <w:rStyle w:val="35"/>
          <w:rFonts w:hint="default" w:ascii="Times New Roman" w:hAnsi="Times New Roman" w:eastAsia="宋体" w:cs="Times New Roman"/>
          <w:color w:val="auto"/>
          <w:sz w:val="24"/>
          <w:szCs w:val="24"/>
          <w:highlight w:val="none"/>
        </w:rPr>
        <w:t>5.2.6土壤环境影响分析</w:t>
      </w:r>
      <w:bookmarkEnd w:id="302"/>
    </w:p>
    <w:p w14:paraId="29DA3F53">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5.2.6.1</w:t>
      </w:r>
      <w:r>
        <w:rPr>
          <w:rFonts w:hint="default" w:ascii="Times New Roman" w:hAnsi="Times New Roman" w:cs="Times New Roman"/>
          <w:b/>
          <w:color w:val="auto"/>
          <w:kern w:val="0"/>
          <w:sz w:val="24"/>
          <w:highlight w:val="none"/>
          <w:lang w:bidi="ar"/>
        </w:rPr>
        <w:t>土壤环境影响识别</w:t>
      </w:r>
    </w:p>
    <w:p w14:paraId="428FEFD8">
      <w:pPr>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根据土壤环境影响评价项目类别、占地规模与敏感程度，确定本项目污染影响型土壤评价等级为三级。本项目为养殖项目，根据特征污染物识别，项目产生的废气为H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S、氨</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lang w:val="en-US" w:eastAsia="zh-CN"/>
        </w:rPr>
        <w:t>TSP、SO</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、NO</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、TSP</w:t>
      </w:r>
      <w:r>
        <w:rPr>
          <w:rFonts w:hint="default" w:ascii="Times New Roman" w:hAnsi="Times New Roman" w:cs="Times New Roman"/>
          <w:color w:val="auto"/>
          <w:sz w:val="24"/>
          <w:szCs w:val="24"/>
          <w:highlight w:val="none"/>
        </w:rPr>
        <w:t>，土壤污染主要考虑污水事故外排情况下，废水地面漫流或垂直渗入</w:t>
      </w:r>
      <w:r>
        <w:rPr>
          <w:rFonts w:hint="default" w:ascii="Times New Roman" w:hAnsi="Times New Roman" w:cs="Times New Roman"/>
          <w:color w:val="auto"/>
          <w:sz w:val="24"/>
          <w:szCs w:val="24"/>
          <w:highlight w:val="none"/>
          <w:lang w:val="en-US" w:eastAsia="zh-CN"/>
        </w:rPr>
        <w:t>及大气沉降</w:t>
      </w:r>
      <w:r>
        <w:rPr>
          <w:rFonts w:hint="default" w:ascii="Times New Roman" w:hAnsi="Times New Roman" w:cs="Times New Roman"/>
          <w:color w:val="auto"/>
          <w:sz w:val="24"/>
          <w:szCs w:val="24"/>
          <w:highlight w:val="none"/>
        </w:rPr>
        <w:t>对土壤的影响。影响识别见下表。</w:t>
      </w:r>
    </w:p>
    <w:p w14:paraId="62E40F36">
      <w:pPr>
        <w:pStyle w:val="38"/>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表5.2.6-1 本项目土壤影响类型与途径识别表</w:t>
      </w:r>
    </w:p>
    <w:tbl>
      <w:tblPr>
        <w:tblStyle w:val="23"/>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1759"/>
        <w:gridCol w:w="1759"/>
        <w:gridCol w:w="1759"/>
        <w:gridCol w:w="1761"/>
      </w:tblGrid>
      <w:tr w14:paraId="3BC5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7" w:type="dxa"/>
            <w:vMerge w:val="restart"/>
            <w:vAlign w:val="center"/>
          </w:tcPr>
          <w:p w14:paraId="2A4EDDD2">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不同时段</w:t>
            </w:r>
          </w:p>
        </w:tc>
        <w:tc>
          <w:tcPr>
            <w:tcW w:w="7038" w:type="dxa"/>
            <w:gridSpan w:val="4"/>
            <w:vAlign w:val="center"/>
          </w:tcPr>
          <w:p w14:paraId="76F00F3C">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污染影响型</w:t>
            </w:r>
          </w:p>
        </w:tc>
      </w:tr>
      <w:tr w14:paraId="2893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7" w:type="dxa"/>
            <w:vMerge w:val="continue"/>
            <w:vAlign w:val="center"/>
          </w:tcPr>
          <w:p w14:paraId="6E61DD6D">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p>
        </w:tc>
        <w:tc>
          <w:tcPr>
            <w:tcW w:w="1759" w:type="dxa"/>
            <w:vAlign w:val="center"/>
          </w:tcPr>
          <w:p w14:paraId="4A60561B">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大气沉降</w:t>
            </w:r>
          </w:p>
        </w:tc>
        <w:tc>
          <w:tcPr>
            <w:tcW w:w="1759" w:type="dxa"/>
            <w:vAlign w:val="center"/>
          </w:tcPr>
          <w:p w14:paraId="12D18D8B">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地面漫流</w:t>
            </w:r>
          </w:p>
        </w:tc>
        <w:tc>
          <w:tcPr>
            <w:tcW w:w="1759" w:type="dxa"/>
            <w:vAlign w:val="center"/>
          </w:tcPr>
          <w:p w14:paraId="350D1C6E">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垂直入渗</w:t>
            </w:r>
          </w:p>
        </w:tc>
        <w:tc>
          <w:tcPr>
            <w:tcW w:w="1761" w:type="dxa"/>
            <w:vAlign w:val="center"/>
          </w:tcPr>
          <w:p w14:paraId="53C1221E">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其他</w:t>
            </w:r>
          </w:p>
        </w:tc>
      </w:tr>
      <w:tr w14:paraId="4ED1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14:paraId="1B13D5D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运营期</w:t>
            </w:r>
          </w:p>
        </w:tc>
        <w:tc>
          <w:tcPr>
            <w:tcW w:w="1759" w:type="dxa"/>
            <w:vAlign w:val="center"/>
          </w:tcPr>
          <w:p w14:paraId="1DF189C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759" w:type="dxa"/>
            <w:vAlign w:val="center"/>
          </w:tcPr>
          <w:p w14:paraId="5EA654F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759" w:type="dxa"/>
            <w:vAlign w:val="center"/>
          </w:tcPr>
          <w:p w14:paraId="4FE0A3E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761" w:type="dxa"/>
            <w:vAlign w:val="center"/>
          </w:tcPr>
          <w:p w14:paraId="0FF8521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14:paraId="752DF0AC">
      <w:pPr>
        <w:pStyle w:val="38"/>
        <w:rPr>
          <w:rFonts w:hint="default" w:ascii="Times New Roman" w:hAnsi="Times New Roman" w:eastAsia="宋体" w:cs="Times New Roman"/>
          <w:color w:val="auto"/>
          <w:sz w:val="21"/>
          <w:szCs w:val="21"/>
          <w:highlight w:val="none"/>
        </w:rPr>
      </w:pPr>
    </w:p>
    <w:p w14:paraId="393C3F3A">
      <w:pPr>
        <w:pStyle w:val="38"/>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表5.2.6-2  本项目土壤影响类型与途径一览表</w:t>
      </w:r>
    </w:p>
    <w:tbl>
      <w:tblPr>
        <w:tblStyle w:val="23"/>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3"/>
        <w:gridCol w:w="1274"/>
        <w:gridCol w:w="1652"/>
        <w:gridCol w:w="1463"/>
        <w:gridCol w:w="1463"/>
      </w:tblGrid>
      <w:tr w14:paraId="30DE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vAlign w:val="center"/>
          </w:tcPr>
          <w:p w14:paraId="3AD8E3B1">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污染源</w:t>
            </w:r>
          </w:p>
        </w:tc>
        <w:tc>
          <w:tcPr>
            <w:tcW w:w="2083" w:type="dxa"/>
            <w:vAlign w:val="center"/>
          </w:tcPr>
          <w:p w14:paraId="195C2DA0">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工艺节点</w:t>
            </w:r>
          </w:p>
        </w:tc>
        <w:tc>
          <w:tcPr>
            <w:tcW w:w="1274" w:type="dxa"/>
            <w:vAlign w:val="center"/>
          </w:tcPr>
          <w:p w14:paraId="09E79BB0">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污染途径</w:t>
            </w:r>
          </w:p>
        </w:tc>
        <w:tc>
          <w:tcPr>
            <w:tcW w:w="1652" w:type="dxa"/>
            <w:vAlign w:val="center"/>
          </w:tcPr>
          <w:p w14:paraId="081B51AE">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污染指标</w:t>
            </w:r>
          </w:p>
        </w:tc>
        <w:tc>
          <w:tcPr>
            <w:tcW w:w="1463" w:type="dxa"/>
            <w:vAlign w:val="center"/>
          </w:tcPr>
          <w:p w14:paraId="1F2893B5">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特征因子</w:t>
            </w:r>
          </w:p>
        </w:tc>
        <w:tc>
          <w:tcPr>
            <w:tcW w:w="1463" w:type="dxa"/>
            <w:vAlign w:val="center"/>
          </w:tcPr>
          <w:p w14:paraId="72AB148D">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14:paraId="6580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vAlign w:val="center"/>
          </w:tcPr>
          <w:p w14:paraId="4D26C6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环保区</w:t>
            </w:r>
          </w:p>
        </w:tc>
        <w:tc>
          <w:tcPr>
            <w:tcW w:w="2083" w:type="dxa"/>
            <w:vAlign w:val="center"/>
          </w:tcPr>
          <w:p w14:paraId="4E2E9CE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粪尿收集池</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废水收集</w:t>
            </w:r>
            <w:r>
              <w:rPr>
                <w:rFonts w:hint="default" w:ascii="Times New Roman" w:hAnsi="Times New Roman" w:cs="Times New Roman"/>
                <w:color w:val="auto"/>
                <w:szCs w:val="21"/>
                <w:highlight w:val="none"/>
              </w:rPr>
              <w:t>池</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堆粪棚</w:t>
            </w:r>
            <w:r>
              <w:rPr>
                <w:rFonts w:hint="default" w:ascii="Times New Roman" w:hAnsi="Times New Roman" w:cs="Times New Roman"/>
                <w:color w:val="auto"/>
                <w:szCs w:val="21"/>
                <w:highlight w:val="none"/>
              </w:rPr>
              <w:t>等</w:t>
            </w:r>
          </w:p>
        </w:tc>
        <w:tc>
          <w:tcPr>
            <w:tcW w:w="1274" w:type="dxa"/>
            <w:vAlign w:val="center"/>
          </w:tcPr>
          <w:p w14:paraId="14853F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垂直入渗和地表</w:t>
            </w:r>
            <w:r>
              <w:rPr>
                <w:rFonts w:hint="default" w:ascii="Times New Roman" w:hAnsi="Times New Roman" w:cs="Times New Roman"/>
                <w:color w:val="auto"/>
                <w:szCs w:val="21"/>
                <w:highlight w:val="none"/>
                <w:lang w:val="en-US" w:eastAsia="zh-CN"/>
              </w:rPr>
              <w:t>漫流</w:t>
            </w:r>
          </w:p>
        </w:tc>
        <w:tc>
          <w:tcPr>
            <w:tcW w:w="1652" w:type="dxa"/>
            <w:vAlign w:val="center"/>
          </w:tcPr>
          <w:p w14:paraId="61B526B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COD、BOD</w:t>
            </w:r>
            <w:r>
              <w:rPr>
                <w:rFonts w:hint="default" w:ascii="Times New Roman" w:hAnsi="Times New Roman" w:cs="Times New Roman"/>
                <w:color w:val="auto"/>
                <w:szCs w:val="21"/>
                <w:highlight w:val="none"/>
                <w:vertAlign w:val="subscript"/>
              </w:rPr>
              <w:t>5</w:t>
            </w:r>
            <w:r>
              <w:rPr>
                <w:rFonts w:hint="default" w:ascii="Times New Roman" w:hAnsi="Times New Roman" w:cs="Times New Roman"/>
                <w:color w:val="auto"/>
                <w:szCs w:val="21"/>
                <w:highlight w:val="none"/>
              </w:rPr>
              <w:t>、氨氮、总氮、总磷等有机物</w:t>
            </w:r>
          </w:p>
        </w:tc>
        <w:tc>
          <w:tcPr>
            <w:tcW w:w="1463" w:type="dxa"/>
            <w:vAlign w:val="center"/>
          </w:tcPr>
          <w:p w14:paraId="6FDB5FC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COD、BOD</w:t>
            </w:r>
            <w:r>
              <w:rPr>
                <w:rFonts w:hint="default" w:ascii="Times New Roman" w:hAnsi="Times New Roman" w:cs="Times New Roman"/>
                <w:color w:val="auto"/>
                <w:szCs w:val="21"/>
                <w:highlight w:val="none"/>
                <w:vertAlign w:val="subscript"/>
              </w:rPr>
              <w:t>5</w:t>
            </w:r>
            <w:r>
              <w:rPr>
                <w:rFonts w:hint="default" w:ascii="Times New Roman" w:hAnsi="Times New Roman" w:cs="Times New Roman"/>
                <w:color w:val="auto"/>
                <w:szCs w:val="21"/>
                <w:highlight w:val="none"/>
              </w:rPr>
              <w:t>、氨氮</w:t>
            </w:r>
          </w:p>
        </w:tc>
        <w:tc>
          <w:tcPr>
            <w:tcW w:w="1463" w:type="dxa"/>
            <w:vAlign w:val="center"/>
          </w:tcPr>
          <w:p w14:paraId="1FDA4A5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事故排放</w:t>
            </w:r>
          </w:p>
        </w:tc>
      </w:tr>
      <w:tr w14:paraId="738C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vAlign w:val="center"/>
          </w:tcPr>
          <w:p w14:paraId="04634EF1">
            <w:pPr>
              <w:spacing w:line="240" w:lineRule="auto"/>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 w:val="21"/>
                <w:szCs w:val="21"/>
                <w:lang w:val="en-US" w:eastAsia="zh-CN"/>
              </w:rPr>
              <w:t>天然气燃烧</w:t>
            </w:r>
          </w:p>
        </w:tc>
        <w:tc>
          <w:tcPr>
            <w:tcW w:w="2083" w:type="dxa"/>
            <w:vAlign w:val="center"/>
          </w:tcPr>
          <w:p w14:paraId="199CDCB3">
            <w:pPr>
              <w:spacing w:line="240" w:lineRule="auto"/>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 w:val="21"/>
                <w:szCs w:val="21"/>
                <w:lang w:val="en-US" w:eastAsia="zh-CN"/>
              </w:rPr>
              <w:t>烘干棚天然气燃烧器燃烧、</w:t>
            </w:r>
          </w:p>
        </w:tc>
        <w:tc>
          <w:tcPr>
            <w:tcW w:w="1274" w:type="dxa"/>
            <w:vAlign w:val="center"/>
          </w:tcPr>
          <w:p w14:paraId="148240FE">
            <w:pPr>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lang w:val="en-US" w:eastAsia="zh-CN"/>
              </w:rPr>
              <w:t>大气沉降</w:t>
            </w:r>
          </w:p>
        </w:tc>
        <w:tc>
          <w:tcPr>
            <w:tcW w:w="1652" w:type="dxa"/>
            <w:vAlign w:val="center"/>
          </w:tcPr>
          <w:p w14:paraId="48334988">
            <w:pPr>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lang w:val="en-US" w:eastAsia="zh-CN"/>
              </w:rPr>
              <w:t>SO</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、NO</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、TSP、</w:t>
            </w:r>
          </w:p>
        </w:tc>
        <w:tc>
          <w:tcPr>
            <w:tcW w:w="1463" w:type="dxa"/>
            <w:vAlign w:val="center"/>
          </w:tcPr>
          <w:p w14:paraId="52360473">
            <w:pPr>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lang w:val="en-US" w:eastAsia="zh-CN"/>
              </w:rPr>
              <w:t>SO</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、NO</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、TSP</w:t>
            </w:r>
          </w:p>
        </w:tc>
        <w:tc>
          <w:tcPr>
            <w:tcW w:w="1463" w:type="dxa"/>
            <w:vAlign w:val="center"/>
          </w:tcPr>
          <w:p w14:paraId="4D8947EA">
            <w:pPr>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lang w:val="en-US" w:eastAsia="zh-CN"/>
              </w:rPr>
              <w:t>/</w:t>
            </w:r>
          </w:p>
        </w:tc>
      </w:tr>
    </w:tbl>
    <w:p w14:paraId="023BCFB0">
      <w:pPr>
        <w:snapToGrid w:val="0"/>
        <w:spacing w:line="360" w:lineRule="auto"/>
        <w:ind w:firstLine="480" w:firstLineChars="200"/>
        <w:rPr>
          <w:rFonts w:hint="default" w:ascii="Times New Roman" w:hAnsi="Times New Roman" w:cs="Times New Roman"/>
          <w:color w:val="auto"/>
          <w:sz w:val="24"/>
          <w:highlight w:val="none"/>
        </w:rPr>
      </w:pPr>
    </w:p>
    <w:p w14:paraId="34B8A3E8">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5.2.6.2</w:t>
      </w:r>
      <w:r>
        <w:rPr>
          <w:rFonts w:hint="default" w:ascii="Times New Roman" w:hAnsi="Times New Roman" w:cs="Times New Roman"/>
          <w:b/>
          <w:color w:val="auto"/>
          <w:kern w:val="0"/>
          <w:sz w:val="24"/>
          <w:highlight w:val="none"/>
          <w:lang w:bidi="ar"/>
        </w:rPr>
        <w:t>土壤影响分析</w:t>
      </w:r>
    </w:p>
    <w:p w14:paraId="660631FC">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1、土壤污染的特点</w:t>
      </w:r>
    </w:p>
    <w:p w14:paraId="7B7B734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（1）隐蔽性和滞后性</w:t>
      </w:r>
    </w:p>
    <w:p w14:paraId="3D24E1B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大气、水和固废污染等问题一</w:t>
      </w:r>
      <w:r>
        <w:rPr>
          <w:rFonts w:hint="eastAsia" w:ascii="Times New Roman" w:hAnsi="Times New Roman" w:cs="Times New Roman"/>
          <w:color w:val="auto"/>
          <w:sz w:val="24"/>
          <w:highlight w:val="none"/>
          <w:lang w:eastAsia="zh-CN"/>
        </w:rPr>
        <w:t>一般</w:t>
      </w:r>
      <w:r>
        <w:rPr>
          <w:rFonts w:hint="default" w:ascii="Times New Roman" w:hAnsi="Times New Roman" w:cs="Times New Roman"/>
          <w:color w:val="auto"/>
          <w:sz w:val="24"/>
          <w:highlight w:val="none"/>
        </w:rPr>
        <w:t>都比较直观，通过感官就能发现。而土壤污染则不同，往往要通过对土壤样品进行分析化验和农作物的残留检测，甚至通过研究对人畜健康状况的影响才能确定。因此，土壤污染从产生污染到出现问题通常会滞后较长的时间，且一般都不太容易受到重视。</w:t>
      </w:r>
    </w:p>
    <w:p w14:paraId="2C72FDFE">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（2）累积性</w:t>
      </w:r>
    </w:p>
    <w:p w14:paraId="1FB6C937">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污染物质在大气和水体中，一般都比在土壤中更容易迁移。这使得污染物质在土壤中并不像在大气和水体中那样容易扩散和稀释,因此容易在土壤中不断积累而超标，同时也使土壤污染具有很强的地域性。</w:t>
      </w:r>
    </w:p>
    <w:p w14:paraId="48B7E095">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（3）难治理性</w:t>
      </w:r>
    </w:p>
    <w:p w14:paraId="58FE9053">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大气和水体受到污染，切断污染源之后通过稀释和自净化作用也有可能使污染问题不断逆转，但是积累在污染土壤中的难降解污染物则很难靠稀释作用和自净化作用来消除。土壤污染一旦发生，仅依靠切断污染源的</w:t>
      </w:r>
      <w:r>
        <w:rPr>
          <w:rFonts w:hint="eastAsia" w:ascii="Times New Roman" w:hAnsi="Times New Roman" w:cs="Times New Roman"/>
          <w:color w:val="auto"/>
          <w:sz w:val="24"/>
          <w:highlight w:val="none"/>
          <w:lang w:eastAsia="zh-CN"/>
        </w:rPr>
        <w:t>方法</w:t>
      </w:r>
      <w:r>
        <w:rPr>
          <w:rFonts w:hint="default" w:ascii="Times New Roman" w:hAnsi="Times New Roman" w:cs="Times New Roman"/>
          <w:color w:val="auto"/>
          <w:sz w:val="24"/>
          <w:highlight w:val="none"/>
        </w:rPr>
        <w:t>往往很难恢复，有时要靠换土、淋洗土壤等方法才能解决问题，其他治理技术可能见效较慢。因此，治理污染土壤通常成本较高，治理周期较长。</w:t>
      </w:r>
    </w:p>
    <w:p w14:paraId="673A58FE">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2、废水对土壤的影响分析</w:t>
      </w:r>
    </w:p>
    <w:p w14:paraId="5D7542A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本项目运行过程中产生的废水主要为养殖废水（尿液、猪粪固液分离废液、</w:t>
      </w:r>
      <w:r>
        <w:rPr>
          <w:rFonts w:hint="default" w:ascii="Times New Roman" w:hAnsi="Times New Roman" w:cs="Times New Roman"/>
          <w:color w:val="auto"/>
          <w:sz w:val="24"/>
          <w:highlight w:val="none"/>
          <w:lang w:eastAsia="zh-CN"/>
        </w:rPr>
        <w:t>堆粪棚</w:t>
      </w:r>
      <w:r>
        <w:rPr>
          <w:rFonts w:hint="default" w:ascii="Times New Roman" w:hAnsi="Times New Roman" w:cs="Times New Roman"/>
          <w:color w:val="auto"/>
          <w:sz w:val="24"/>
          <w:highlight w:val="none"/>
        </w:rPr>
        <w:t>渗滤液、猪舍冲洗废水等）和生活污水，废水中主要污染物为SS、COD、BOD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 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N、TP、TN等有机物，不含有毒有害化学物质、持久性有机物、重金属等难降解污染物。土壤影响主要考虑粪污中大量SS及有机物进入土壤环境将会造成土壤胶结，影响其通气透气性，进而抑制土壤中细菌活动，降低土壤酶活性。项目产生的</w:t>
      </w:r>
      <w:r>
        <w:rPr>
          <w:rFonts w:hint="default" w:ascii="Times New Roman" w:hAnsi="Times New Roman" w:cs="Times New Roman"/>
          <w:color w:val="auto"/>
          <w:sz w:val="24"/>
          <w:highlight w:val="none"/>
          <w:lang w:val="en-US" w:eastAsia="zh-CN"/>
        </w:rPr>
        <w:t>废水暂存于废水收集池，依托</w:t>
      </w:r>
      <w:r>
        <w:rPr>
          <w:rFonts w:hint="default" w:ascii="Times New Roman" w:hAnsi="Times New Roman" w:eastAsia="宋体" w:cs="Times New Roman"/>
          <w:color w:val="auto"/>
          <w:sz w:val="24"/>
          <w:highlight w:val="none"/>
          <w:lang w:val="en-US" w:eastAsia="zh-CN"/>
        </w:rPr>
        <w:t>弥勒温氏畜牧有限公司新哨种猪场建设项目污水处理站处理后用于绿化及农田灌溉。</w:t>
      </w:r>
      <w:r>
        <w:rPr>
          <w:rFonts w:hint="default" w:ascii="Times New Roman" w:hAnsi="Times New Roman" w:cs="Times New Roman"/>
          <w:color w:val="auto"/>
          <w:sz w:val="24"/>
          <w:highlight w:val="none"/>
        </w:rPr>
        <w:t>此外，项目按照分区防控进行防渗：危废暂存间按照GB18597-2023要求进行防渗：基础防渗+表面防渗。表面防渗采用抗渗混凝土、高密度聚乙烯膜、钠基膨润土防水毯或其他防渗性能等效的材料；基础防渗为2mm厚高密度聚乙烯膜（K≤1.0×10</w:t>
      </w:r>
      <w:r>
        <w:rPr>
          <w:rFonts w:hint="default" w:ascii="Times New Roman" w:hAnsi="Times New Roman" w:cs="Times New Roman"/>
          <w:color w:val="auto"/>
          <w:sz w:val="24"/>
          <w:highlight w:val="none"/>
          <w:vertAlign w:val="superscript"/>
        </w:rPr>
        <w:t>-10</w:t>
      </w:r>
      <w:r>
        <w:rPr>
          <w:rFonts w:hint="default" w:ascii="Times New Roman" w:hAnsi="Times New Roman" w:cs="Times New Roman"/>
          <w:color w:val="auto"/>
          <w:sz w:val="24"/>
          <w:highlight w:val="none"/>
        </w:rPr>
        <w:t>cm/s）；</w:t>
      </w:r>
      <w:r>
        <w:rPr>
          <w:rFonts w:hint="default" w:ascii="Times New Roman" w:hAnsi="Times New Roman" w:cs="Times New Roman"/>
          <w:bCs/>
          <w:color w:val="auto"/>
          <w:sz w:val="24"/>
          <w:highlight w:val="none"/>
          <w:lang w:eastAsia="zh-CN"/>
        </w:rPr>
        <w:t>粪尿收集池</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废水收集</w:t>
      </w:r>
      <w:r>
        <w:rPr>
          <w:rFonts w:hint="default" w:ascii="Times New Roman" w:hAnsi="Times New Roman" w:cs="Times New Roman"/>
          <w:bCs/>
          <w:color w:val="auto"/>
          <w:sz w:val="24"/>
          <w:highlight w:val="none"/>
        </w:rPr>
        <w:t>池、</w:t>
      </w:r>
      <w:r>
        <w:rPr>
          <w:rFonts w:hint="default" w:ascii="Times New Roman" w:hAnsi="Times New Roman" w:cs="Times New Roman"/>
          <w:bCs/>
          <w:color w:val="auto"/>
          <w:sz w:val="24"/>
          <w:highlight w:val="none"/>
          <w:lang w:eastAsia="zh-CN"/>
        </w:rPr>
        <w:t>堆粪棚</w:t>
      </w:r>
      <w:r>
        <w:rPr>
          <w:rFonts w:hint="default" w:ascii="Times New Roman" w:hAnsi="Times New Roman" w:cs="Times New Roman"/>
          <w:bCs/>
          <w:color w:val="auto"/>
          <w:sz w:val="24"/>
          <w:highlight w:val="none"/>
        </w:rPr>
        <w:t>为重点防渗区，防渗技术要求：等效黏土防渗层Mb≥6.0m，K≤1.0×10</w:t>
      </w:r>
      <w:r>
        <w:rPr>
          <w:rFonts w:hint="default" w:ascii="Times New Roman" w:hAnsi="Times New Roman" w:cs="Times New Roman"/>
          <w:bCs/>
          <w:color w:val="auto"/>
          <w:sz w:val="24"/>
          <w:highlight w:val="none"/>
          <w:vertAlign w:val="superscript"/>
        </w:rPr>
        <w:t>-7</w:t>
      </w:r>
      <w:r>
        <w:rPr>
          <w:rFonts w:hint="default" w:ascii="Times New Roman" w:hAnsi="Times New Roman" w:cs="Times New Roman"/>
          <w:bCs/>
          <w:color w:val="auto"/>
          <w:sz w:val="24"/>
          <w:highlight w:val="none"/>
        </w:rPr>
        <w:t>cm/s；或参照GB18598执行。</w:t>
      </w:r>
      <w:r>
        <w:rPr>
          <w:rFonts w:hint="default" w:ascii="Times New Roman" w:hAnsi="Times New Roman" w:cs="Times New Roman"/>
          <w:color w:val="auto"/>
          <w:sz w:val="24"/>
          <w:highlight w:val="none"/>
          <w:lang w:eastAsia="zh-CN"/>
        </w:rPr>
        <w:t>粪污</w:t>
      </w:r>
      <w:r>
        <w:rPr>
          <w:rFonts w:hint="default" w:ascii="Times New Roman" w:hAnsi="Times New Roman" w:cs="Times New Roman"/>
          <w:color w:val="auto"/>
          <w:sz w:val="24"/>
          <w:highlight w:val="none"/>
        </w:rPr>
        <w:t>处理区按照重点防渗建设后，具有较好的防渗效果，能有效防止废水渗透进入土壤中。运行期通过加强维护、管理，污废水发生渗漏的可能性极小。采取以上措施后，</w:t>
      </w:r>
      <w:r>
        <w:rPr>
          <w:rFonts w:hint="default" w:ascii="Times New Roman" w:hAnsi="Times New Roman" w:cs="Times New Roman"/>
          <w:color w:val="auto"/>
          <w:sz w:val="24"/>
          <w:highlight w:val="none"/>
          <w:lang w:val="en-US" w:eastAsia="zh-CN"/>
        </w:rPr>
        <w:t>废水</w:t>
      </w:r>
      <w:r>
        <w:rPr>
          <w:rFonts w:hint="default" w:ascii="Times New Roman" w:hAnsi="Times New Roman" w:cs="Times New Roman"/>
          <w:color w:val="auto"/>
          <w:sz w:val="24"/>
          <w:highlight w:val="none"/>
        </w:rPr>
        <w:t>对土壤环境影响较小。</w:t>
      </w:r>
    </w:p>
    <w:p w14:paraId="6A101137">
      <w:pPr>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3、大气沉降对土壤的影响分析</w:t>
      </w:r>
    </w:p>
    <w:p w14:paraId="629E7CCC">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项目排放的大气污染物主要</w:t>
      </w:r>
      <w:r>
        <w:rPr>
          <w:rFonts w:hint="default" w:ascii="Times New Roman" w:hAnsi="Times New Roman" w:eastAsia="宋体" w:cs="Times New Roman"/>
          <w:bCs/>
          <w:color w:val="auto"/>
          <w:sz w:val="24"/>
          <w:highlight w:val="none"/>
          <w:lang w:val="en-US" w:eastAsia="zh-CN"/>
        </w:rPr>
        <w:t>为NH</w:t>
      </w:r>
      <w:r>
        <w:rPr>
          <w:rFonts w:hint="default" w:ascii="Times New Roman" w:hAnsi="Times New Roman" w:eastAsia="宋体"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、H</w:t>
      </w:r>
      <w:r>
        <w:rPr>
          <w:rFonts w:hint="default" w:ascii="Times New Roman" w:hAnsi="Times New Roman" w:eastAsia="宋体"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S、SO</w:t>
      </w:r>
      <w:r>
        <w:rPr>
          <w:rFonts w:hint="default" w:ascii="Times New Roman" w:hAnsi="Times New Roman" w:eastAsia="宋体"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、NOx、TSP</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其中</w:t>
      </w:r>
      <w:r>
        <w:rPr>
          <w:rFonts w:hint="default" w:ascii="Times New Roman" w:hAnsi="Times New Roman" w:eastAsia="宋体" w:cs="Times New Roman"/>
          <w:bCs/>
          <w:color w:val="auto"/>
          <w:sz w:val="24"/>
          <w:highlight w:val="none"/>
        </w:rPr>
        <w:t>会发生大气沉降的污染物主要</w:t>
      </w:r>
      <w:r>
        <w:rPr>
          <w:rFonts w:hint="default" w:ascii="Times New Roman" w:hAnsi="Times New Roman" w:eastAsia="宋体" w:cs="Times New Roman"/>
          <w:bCs/>
          <w:color w:val="auto"/>
          <w:sz w:val="24"/>
          <w:highlight w:val="none"/>
          <w:lang w:val="en-US" w:eastAsia="zh-CN"/>
        </w:rPr>
        <w:t>为</w:t>
      </w:r>
      <w:r>
        <w:rPr>
          <w:rFonts w:hint="default" w:ascii="Times New Roman" w:hAnsi="Times New Roman" w:eastAsia="宋体" w:cs="Times New Roman"/>
          <w:bCs/>
          <w:color w:val="auto"/>
          <w:sz w:val="24"/>
          <w:highlight w:val="none"/>
        </w:rPr>
        <w:t>颗粒物、SO</w:t>
      </w:r>
      <w:r>
        <w:rPr>
          <w:rFonts w:hint="default" w:ascii="Times New Roman" w:hAnsi="Times New Roman" w:eastAsia="宋体" w:cs="Times New Roman"/>
          <w:bCs/>
          <w:color w:val="auto"/>
          <w:sz w:val="24"/>
          <w:highlight w:val="none"/>
          <w:vertAlign w:val="subscript"/>
        </w:rPr>
        <w:t>2</w:t>
      </w:r>
      <w:r>
        <w:rPr>
          <w:rFonts w:hint="default" w:ascii="Times New Roman" w:hAnsi="Times New Roman" w:eastAsia="宋体" w:cs="Times New Roman"/>
          <w:bCs/>
          <w:color w:val="auto"/>
          <w:sz w:val="24"/>
          <w:highlight w:val="none"/>
        </w:rPr>
        <w:t>和NOx形成酸雾</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NH</w:t>
      </w:r>
      <w:r>
        <w:rPr>
          <w:rFonts w:hint="default" w:ascii="Times New Roman" w:hAnsi="Times New Roman" w:eastAsia="宋体"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属于碱性气体，</w:t>
      </w:r>
      <w:r>
        <w:rPr>
          <w:rFonts w:hint="default" w:ascii="Times New Roman" w:hAnsi="Times New Roman" w:eastAsia="宋体" w:cs="Times New Roman"/>
          <w:bCs/>
          <w:color w:val="auto"/>
          <w:sz w:val="24"/>
          <w:highlight w:val="none"/>
          <w:lang w:eastAsia="zh-CN"/>
        </w:rPr>
        <w:t>在大气中与酸性气体反应生成硝酸铵、硫酸氢铵和硫酸铵等物质，</w:t>
      </w:r>
      <w:r>
        <w:rPr>
          <w:rFonts w:hint="default" w:ascii="Times New Roman" w:hAnsi="Times New Roman" w:eastAsia="宋体" w:cs="Times New Roman"/>
          <w:bCs/>
          <w:color w:val="auto"/>
          <w:sz w:val="24"/>
          <w:highlight w:val="none"/>
          <w:lang w:val="en-US" w:eastAsia="zh-CN"/>
        </w:rPr>
        <w:t>进入土壤后会是土壤酸化或碱化</w:t>
      </w:r>
      <w:r>
        <w:rPr>
          <w:rFonts w:hint="default" w:ascii="Times New Roman" w:hAnsi="Times New Roman" w:eastAsia="宋体" w:cs="Times New Roman"/>
          <w:bCs/>
          <w:color w:val="auto"/>
          <w:sz w:val="24"/>
          <w:highlight w:val="none"/>
        </w:rPr>
        <w:t>。</w:t>
      </w:r>
    </w:p>
    <w:p w14:paraId="1F8D074B">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本项目针对废气产污环节配置了对应的防治措施，项目废气经处理设施处理后，污染物均能达标排放。废气中排放的</w:t>
      </w:r>
      <w:r>
        <w:rPr>
          <w:rFonts w:hint="default" w:ascii="Times New Roman" w:hAnsi="Times New Roman" w:eastAsia="宋体" w:cs="Times New Roman"/>
          <w:bCs/>
          <w:color w:val="auto"/>
          <w:sz w:val="24"/>
          <w:highlight w:val="none"/>
          <w:lang w:val="en-US" w:eastAsia="zh-CN"/>
        </w:rPr>
        <w:t>污染物</w:t>
      </w:r>
      <w:r>
        <w:rPr>
          <w:rFonts w:hint="default" w:ascii="Times New Roman" w:hAnsi="Times New Roman" w:eastAsia="宋体" w:cs="Times New Roman"/>
          <w:bCs/>
          <w:color w:val="auto"/>
          <w:sz w:val="24"/>
          <w:highlight w:val="none"/>
        </w:rPr>
        <w:t>以大气扩散沉降的方式进入土壤，首先呈溶解状态的物质易被水带走及迁移，其余部分与土壤中的物质可发生物理、化学作用而被降解，</w:t>
      </w:r>
      <w:r>
        <w:rPr>
          <w:rFonts w:hint="default" w:ascii="Times New Roman" w:hAnsi="Times New Roman" w:eastAsia="宋体" w:cs="Times New Roman"/>
          <w:bCs/>
          <w:color w:val="auto"/>
          <w:sz w:val="24"/>
          <w:highlight w:val="none"/>
          <w:lang w:val="en-US" w:eastAsia="zh-CN"/>
        </w:rPr>
        <w:t>本项目涉及的污染因子不涉及</w:t>
      </w:r>
      <w:r>
        <w:rPr>
          <w:rFonts w:hint="default" w:ascii="Times New Roman" w:hAnsi="Times New Roman" w:eastAsia="宋体" w:cs="Times New Roman"/>
          <w:bCs/>
          <w:color w:val="auto"/>
          <w:sz w:val="24"/>
          <w:highlight w:val="none"/>
        </w:rPr>
        <w:t>持久性污染物，</w:t>
      </w:r>
      <w:r>
        <w:rPr>
          <w:rFonts w:hint="default" w:ascii="Times New Roman" w:hAnsi="Times New Roman" w:eastAsia="宋体" w:cs="Times New Roman"/>
          <w:bCs/>
          <w:color w:val="auto"/>
          <w:sz w:val="24"/>
          <w:highlight w:val="none"/>
          <w:lang w:val="en-US" w:eastAsia="zh-CN"/>
        </w:rPr>
        <w:t>不</w:t>
      </w:r>
      <w:r>
        <w:rPr>
          <w:rFonts w:hint="default" w:ascii="Times New Roman" w:hAnsi="Times New Roman" w:eastAsia="宋体" w:cs="Times New Roman"/>
          <w:bCs/>
          <w:color w:val="auto"/>
          <w:sz w:val="24"/>
          <w:highlight w:val="none"/>
        </w:rPr>
        <w:t>会不断在土壤中积累，进而污染土壤环境。此外，地表植被覆盖情况及生长情况也会直接影响土壤对沉降物的吸附量。随大气沉降进入土壤后，通过水力迁移、植物吸收、土壤降解等因素，沉积在土壤中的量少，因此，本项目</w:t>
      </w:r>
      <w:r>
        <w:rPr>
          <w:rFonts w:hint="default" w:ascii="Times New Roman" w:hAnsi="Times New Roman" w:eastAsia="宋体" w:cs="Times New Roman"/>
          <w:bCs/>
          <w:color w:val="auto"/>
          <w:sz w:val="24"/>
          <w:highlight w:val="none"/>
          <w:lang w:val="en-US" w:eastAsia="zh-CN"/>
        </w:rPr>
        <w:t>废气污染物</w:t>
      </w:r>
      <w:r>
        <w:rPr>
          <w:rFonts w:hint="default" w:ascii="Times New Roman" w:hAnsi="Times New Roman" w:eastAsia="宋体" w:cs="Times New Roman"/>
          <w:bCs/>
          <w:color w:val="auto"/>
          <w:sz w:val="24"/>
          <w:highlight w:val="none"/>
        </w:rPr>
        <w:t>对周边土壤影响较小。</w:t>
      </w:r>
    </w:p>
    <w:p w14:paraId="4075BA4A">
      <w:pPr>
        <w:snapToGrid w:val="0"/>
        <w:spacing w:line="360" w:lineRule="auto"/>
        <w:ind w:firstLine="482" w:firstLineChars="200"/>
        <w:rPr>
          <w:rFonts w:hint="default" w:ascii="Times New Roman" w:hAnsi="Times New Roman" w:eastAsia="宋体" w:cs="Times New Roman"/>
          <w:b/>
          <w:color w:val="auto"/>
          <w:sz w:val="24"/>
          <w:highlight w:val="none"/>
          <w:lang w:eastAsia="zh-CN"/>
        </w:rPr>
      </w:pP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eastAsia="zh-CN"/>
        </w:rPr>
        <w:t>粪污还田区土壤影响分析</w:t>
      </w:r>
    </w:p>
    <w:p w14:paraId="720A0B3F">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项目粪肥经过无害化处理后还田，且考虑了轮作要求，正常情况下粪肥经过农作物吸收，还田不会对土壤造成明显影响。为跟踪评价项目粪肥还田对土壤的长期影响，环评提出运营期土壤跟踪监测计划见下表。</w:t>
      </w:r>
    </w:p>
    <w:p w14:paraId="6ED97FE9">
      <w:pPr>
        <w:widowControl w:val="0"/>
        <w:autoSpaceDE w:val="0"/>
        <w:autoSpaceDN w:val="0"/>
        <w:adjustRightInd w:val="0"/>
        <w:ind w:firstLine="480"/>
        <w:jc w:val="center"/>
        <w:rPr>
          <w:rFonts w:hint="default" w:ascii="Times New Roman" w:hAnsi="Times New Roman" w:eastAsia="宋体" w:cs="Times New Roman"/>
          <w:b/>
          <w:color w:val="auto"/>
          <w:sz w:val="21"/>
          <w:szCs w:val="21"/>
          <w:highlight w:val="none"/>
          <w:lang w:val="zh-CN"/>
        </w:rPr>
      </w:pPr>
      <w:r>
        <w:rPr>
          <w:rFonts w:hint="default" w:ascii="Times New Roman" w:hAnsi="Times New Roman" w:eastAsia="宋体" w:cs="Times New Roman"/>
          <w:b/>
          <w:color w:val="auto"/>
          <w:sz w:val="21"/>
          <w:szCs w:val="21"/>
          <w:highlight w:val="none"/>
          <w:lang w:val="zh-CN"/>
        </w:rPr>
        <w:t>表</w:t>
      </w:r>
      <w:r>
        <w:rPr>
          <w:rFonts w:hint="default" w:ascii="Times New Roman" w:hAnsi="Times New Roman" w:cs="Times New Roman"/>
          <w:b/>
          <w:color w:val="auto"/>
          <w:sz w:val="21"/>
          <w:szCs w:val="21"/>
          <w:highlight w:val="none"/>
          <w:lang w:val="en-US" w:eastAsia="zh-CN"/>
        </w:rPr>
        <w:t>5.2.6-3</w:t>
      </w:r>
      <w:r>
        <w:rPr>
          <w:rFonts w:hint="default" w:ascii="Times New Roman" w:hAnsi="Times New Roman" w:eastAsia="宋体" w:cs="Times New Roman"/>
          <w:b/>
          <w:color w:val="auto"/>
          <w:sz w:val="21"/>
          <w:szCs w:val="21"/>
          <w:highlight w:val="none"/>
          <w:lang w:val="zh-CN"/>
        </w:rPr>
        <w:t xml:space="preserve">   土壤环境监测计划</w:t>
      </w:r>
    </w:p>
    <w:tbl>
      <w:tblPr>
        <w:tblStyle w:val="23"/>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2522"/>
        <w:gridCol w:w="1651"/>
        <w:gridCol w:w="1800"/>
        <w:gridCol w:w="1485"/>
      </w:tblGrid>
      <w:tr w14:paraId="6E39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37" w:type="dxa"/>
            <w:vAlign w:val="center"/>
          </w:tcPr>
          <w:p w14:paraId="3057D7F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监测点号</w:t>
            </w:r>
          </w:p>
        </w:tc>
        <w:tc>
          <w:tcPr>
            <w:tcW w:w="2522" w:type="dxa"/>
            <w:vAlign w:val="center"/>
          </w:tcPr>
          <w:p w14:paraId="7BF0CDA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监测点位置</w:t>
            </w:r>
          </w:p>
        </w:tc>
        <w:tc>
          <w:tcPr>
            <w:tcW w:w="1651" w:type="dxa"/>
            <w:vAlign w:val="center"/>
          </w:tcPr>
          <w:p w14:paraId="11EE868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样品类型</w:t>
            </w:r>
          </w:p>
        </w:tc>
        <w:tc>
          <w:tcPr>
            <w:tcW w:w="1800" w:type="dxa"/>
            <w:vAlign w:val="center"/>
          </w:tcPr>
          <w:p w14:paraId="2895BD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监测频率</w:t>
            </w:r>
          </w:p>
        </w:tc>
        <w:tc>
          <w:tcPr>
            <w:tcW w:w="1485" w:type="dxa"/>
            <w:vAlign w:val="center"/>
          </w:tcPr>
          <w:p w14:paraId="30C1464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监测因子</w:t>
            </w:r>
          </w:p>
        </w:tc>
      </w:tr>
      <w:tr w14:paraId="032A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337" w:type="dxa"/>
            <w:vAlign w:val="center"/>
          </w:tcPr>
          <w:p w14:paraId="14CE6D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w:t>
            </w:r>
          </w:p>
        </w:tc>
        <w:tc>
          <w:tcPr>
            <w:tcW w:w="2522" w:type="dxa"/>
            <w:vAlign w:val="center"/>
          </w:tcPr>
          <w:p w14:paraId="4570E0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猴街村粪污消纳区</w:t>
            </w:r>
          </w:p>
        </w:tc>
        <w:tc>
          <w:tcPr>
            <w:tcW w:w="1651" w:type="dxa"/>
            <w:vAlign w:val="center"/>
          </w:tcPr>
          <w:p w14:paraId="1AED1CE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柱状样</w:t>
            </w:r>
          </w:p>
        </w:tc>
        <w:tc>
          <w:tcPr>
            <w:tcW w:w="1800" w:type="dxa"/>
            <w:vMerge w:val="restart"/>
            <w:vAlign w:val="center"/>
          </w:tcPr>
          <w:p w14:paraId="7AA969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每5年开展1次监测</w:t>
            </w:r>
          </w:p>
        </w:tc>
        <w:tc>
          <w:tcPr>
            <w:tcW w:w="1485" w:type="dxa"/>
            <w:vMerge w:val="restart"/>
            <w:vAlign w:val="center"/>
          </w:tcPr>
          <w:p w14:paraId="509684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pH、含盐量</w:t>
            </w:r>
          </w:p>
        </w:tc>
      </w:tr>
      <w:tr w14:paraId="25E1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337" w:type="dxa"/>
            <w:vAlign w:val="center"/>
          </w:tcPr>
          <w:p w14:paraId="3FD1EC5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2522" w:type="dxa"/>
            <w:vAlign w:val="center"/>
          </w:tcPr>
          <w:p w14:paraId="388348A7">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zh-CN"/>
              </w:rPr>
              <w:t>清河村</w:t>
            </w:r>
            <w:r>
              <w:rPr>
                <w:rFonts w:hint="default" w:ascii="Times New Roman" w:hAnsi="Times New Roman" w:cs="Times New Roman"/>
                <w:color w:val="auto"/>
                <w:sz w:val="21"/>
                <w:szCs w:val="21"/>
                <w:highlight w:val="none"/>
                <w:lang w:val="en-US" w:eastAsia="zh-CN"/>
              </w:rPr>
              <w:t>粪污</w:t>
            </w:r>
            <w:r>
              <w:rPr>
                <w:rFonts w:hint="default" w:ascii="Times New Roman" w:hAnsi="Times New Roman" w:cs="Times New Roman" w:eastAsiaTheme="minorEastAsia"/>
                <w:color w:val="auto"/>
                <w:sz w:val="21"/>
                <w:szCs w:val="21"/>
                <w:highlight w:val="none"/>
                <w:lang w:val="zh-CN"/>
              </w:rPr>
              <w:t>消纳区</w:t>
            </w:r>
          </w:p>
        </w:tc>
        <w:tc>
          <w:tcPr>
            <w:tcW w:w="1651" w:type="dxa"/>
            <w:vAlign w:val="center"/>
          </w:tcPr>
          <w:p w14:paraId="7113A0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柱状样</w:t>
            </w:r>
          </w:p>
        </w:tc>
        <w:tc>
          <w:tcPr>
            <w:tcW w:w="1800" w:type="dxa"/>
            <w:vMerge w:val="continue"/>
            <w:vAlign w:val="center"/>
          </w:tcPr>
          <w:p w14:paraId="1E4E2BA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 w:val="21"/>
                <w:szCs w:val="21"/>
                <w:highlight w:val="none"/>
              </w:rPr>
            </w:pPr>
          </w:p>
        </w:tc>
        <w:tc>
          <w:tcPr>
            <w:tcW w:w="1485" w:type="dxa"/>
            <w:vMerge w:val="continue"/>
            <w:vAlign w:val="center"/>
          </w:tcPr>
          <w:p w14:paraId="0FFD46A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tc>
      </w:tr>
    </w:tbl>
    <w:p w14:paraId="0F9D42AC">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土壤</w:t>
      </w:r>
      <w:r>
        <w:rPr>
          <w:rFonts w:hint="default" w:ascii="Times New Roman" w:hAnsi="Times New Roman" w:cs="Times New Roman"/>
          <w:color w:val="auto"/>
          <w:sz w:val="24"/>
          <w:highlight w:val="none"/>
        </w:rPr>
        <w:t>含盐量执行《环境影响评价技术导则 土壤环境（试行）》（HJ964-2018）附录 D 中表 D.1 土壤盐化分级标准。</w:t>
      </w:r>
      <w:r>
        <w:rPr>
          <w:rFonts w:hint="default" w:ascii="Times New Roman" w:hAnsi="Times New Roman" w:cs="Times New Roman"/>
          <w:color w:val="auto"/>
          <w:sz w:val="24"/>
          <w:highlight w:val="none"/>
          <w:lang w:eastAsia="zh-CN"/>
        </w:rPr>
        <w:t>建设单位应及时掌握跟踪监测结果，若出现土壤含盐量明显增高或盐碱化趋势时，应及时调整粪肥还田利用范围。</w:t>
      </w:r>
    </w:p>
    <w:p w14:paraId="4B5E6EE7">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5.2.6.3</w:t>
      </w:r>
      <w:r>
        <w:rPr>
          <w:rFonts w:hint="default" w:ascii="Times New Roman" w:hAnsi="Times New Roman" w:cs="Times New Roman"/>
          <w:b/>
          <w:color w:val="auto"/>
          <w:kern w:val="0"/>
          <w:sz w:val="24"/>
          <w:highlight w:val="none"/>
          <w:lang w:bidi="ar"/>
        </w:rPr>
        <w:t>小结</w:t>
      </w:r>
    </w:p>
    <w:p w14:paraId="73363769">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经分析可知，项目</w:t>
      </w:r>
      <w:r>
        <w:rPr>
          <w:rFonts w:hint="default" w:ascii="Times New Roman" w:hAnsi="Times New Roman" w:cs="Times New Roman"/>
          <w:color w:val="auto"/>
          <w:sz w:val="24"/>
          <w:highlight w:val="none"/>
          <w:lang w:eastAsia="zh-CN"/>
        </w:rPr>
        <w:t>粪污</w:t>
      </w:r>
      <w:r>
        <w:rPr>
          <w:rFonts w:hint="default" w:ascii="Times New Roman" w:hAnsi="Times New Roman" w:cs="Times New Roman"/>
          <w:color w:val="auto"/>
          <w:sz w:val="24"/>
          <w:highlight w:val="none"/>
        </w:rPr>
        <w:t>处理区等均严格按照相关规范设计、建设，各建构筑物按要求做好防渗措施，</w:t>
      </w:r>
      <w:r>
        <w:rPr>
          <w:rFonts w:hint="default" w:ascii="Times New Roman" w:hAnsi="Times New Roman" w:cs="Times New Roman"/>
          <w:color w:val="auto"/>
          <w:sz w:val="24"/>
          <w:highlight w:val="none"/>
          <w:lang w:eastAsia="zh-CN"/>
        </w:rPr>
        <w:t>并落实土壤跟踪监测等措施后</w:t>
      </w:r>
      <w:r>
        <w:rPr>
          <w:rFonts w:hint="default" w:ascii="Times New Roman" w:hAnsi="Times New Roman" w:cs="Times New Roman"/>
          <w:color w:val="auto"/>
          <w:sz w:val="24"/>
          <w:highlight w:val="none"/>
        </w:rPr>
        <w:t>，本项目的实施对区域土壤环境影响较小，可以接受。</w:t>
      </w:r>
    </w:p>
    <w:p w14:paraId="01C34406">
      <w:pPr>
        <w:pStyle w:val="4"/>
        <w:bidi w:val="0"/>
      </w:pPr>
      <w:bookmarkStart w:id="303" w:name="_Toc33625935"/>
      <w:bookmarkStart w:id="304" w:name="_Toc16335"/>
      <w:r>
        <w:rPr>
          <w:rFonts w:hint="eastAsia"/>
          <w:lang w:val="en-US" w:eastAsia="zh-CN"/>
        </w:rPr>
        <w:t>5.2.7</w:t>
      </w:r>
      <w:r>
        <w:t>生态环境影响分析</w:t>
      </w:r>
      <w:bookmarkEnd w:id="303"/>
    </w:p>
    <w:p w14:paraId="4E15FBCA">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eastAsia"/>
          <w:lang w:val="en-US" w:eastAsia="zh-CN"/>
        </w:rPr>
      </w:pPr>
      <w:r>
        <w:rPr>
          <w:rFonts w:hint="eastAsia"/>
          <w:lang w:val="en-US" w:eastAsia="zh-CN"/>
        </w:rPr>
        <w:t>5.2.7.1对植被的影响</w:t>
      </w:r>
    </w:p>
    <w:p w14:paraId="6F3EFA23">
      <w:pPr>
        <w:adjustRightInd w:val="0"/>
        <w:snapToGrid w:val="0"/>
        <w:spacing w:line="360" w:lineRule="auto"/>
        <w:ind w:firstLine="482"/>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运营期间，</w:t>
      </w:r>
      <w:r>
        <w:rPr>
          <w:rFonts w:hint="eastAsia" w:ascii="Times New Roman" w:hAnsi="Times New Roman" w:cs="Times New Roman"/>
          <w:color w:val="auto"/>
          <w:kern w:val="0"/>
          <w:sz w:val="24"/>
          <w:highlight w:val="none"/>
          <w:lang w:eastAsia="zh-CN" w:bidi="ar"/>
        </w:rPr>
        <w:t>占地范围</w:t>
      </w:r>
      <w:r>
        <w:rPr>
          <w:rFonts w:hint="default" w:ascii="Times New Roman" w:hAnsi="Times New Roman" w:cs="Times New Roman"/>
          <w:color w:val="auto"/>
          <w:kern w:val="0"/>
          <w:sz w:val="24"/>
          <w:highlight w:val="none"/>
          <w:lang w:bidi="ar"/>
        </w:rPr>
        <w:t>内部分区域因日常维护、设施修缮等活动，可能会对原有植被造成一定程度的踩踏或破坏。尤其是靠近猪舍、道路及各类生产设施周边的植被，受到的影响相对更为明显。不过，由于基地在建设时已对大部分区域进行了规划和整理，剩余自然植被区域相对集中，且本项目所在地植被多为常见物种，适应性强，自我恢复能力较好。若及时采取植被恢复和补种措施，种植适宜本地生长的乡土植物，可在一定程度上缓解植被破坏带来的影响，整体植被覆盖度和生物量不会出现显著下降，不会对区域植被群落结构和物种多样性造成重大改变。​</w:t>
      </w:r>
    </w:p>
    <w:p w14:paraId="20DBE0E9">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eastAsia"/>
          <w:lang w:val="en-US" w:eastAsia="zh-CN"/>
        </w:rPr>
      </w:pPr>
      <w:r>
        <w:rPr>
          <w:rFonts w:hint="eastAsia"/>
          <w:lang w:val="en-US" w:eastAsia="zh-CN"/>
        </w:rPr>
        <w:t>5.2.7.2对陆生动物的影响</w:t>
      </w:r>
    </w:p>
    <w:p w14:paraId="26C6B033">
      <w:pPr>
        <w:bidi w:val="0"/>
        <w:spacing w:line="360" w:lineRule="auto"/>
        <w:ind w:firstLine="480" w:firstLineChars="200"/>
        <w:rPr>
          <w:rStyle w:val="33"/>
          <w:rFonts w:hint="default"/>
        </w:rPr>
      </w:pPr>
      <w:r>
        <w:rPr>
          <w:rFonts w:hint="eastAsia" w:ascii="宋体" w:hAnsi="Times New Roman" w:eastAsia="宋体" w:cs="Times New Roman"/>
          <w:bCs/>
          <w:color w:val="000000" w:themeColor="text1"/>
          <w:sz w:val="24"/>
          <w:szCs w:val="24"/>
          <w:lang w:eastAsia="zh-CN"/>
          <w14:textFill>
            <w14:solidFill>
              <w14:schemeClr w14:val="tx1"/>
            </w14:solidFill>
          </w14:textFill>
        </w:rPr>
        <w:t>项目</w:t>
      </w:r>
      <w:r>
        <w:rPr>
          <w:rFonts w:hint="default" w:ascii="宋体" w:hAnsi="Times New Roman" w:eastAsia="宋体" w:cs="Times New Roman"/>
          <w:bCs/>
          <w:color w:val="000000" w:themeColor="text1"/>
          <w:sz w:val="24"/>
          <w:szCs w:val="24"/>
          <w14:textFill>
            <w14:solidFill>
              <w14:schemeClr w14:val="tx1"/>
            </w14:solidFill>
          </w14:textFill>
        </w:rPr>
        <w:t>运营过程中产生的噪声、灯光以及人员活动等，会对周边一定范围内的陆生动物产生干扰。例如，鼠类、蛙类等小型动物可能会因栖息地环境的变化，改变其活动范围和觅食路线，部分对环境敏感度较高的物种数量可能会出现短暂性减少。但项目周边生态环境多样，存在较多适宜动物栖息的替代场所，动物可迁移至周边受干扰较小的区域生存。随着</w:t>
      </w:r>
      <w:r>
        <w:rPr>
          <w:rFonts w:hint="eastAsia" w:ascii="宋体" w:hAnsi="Times New Roman" w:eastAsia="宋体" w:cs="Times New Roman"/>
          <w:bCs/>
          <w:color w:val="000000" w:themeColor="text1"/>
          <w:sz w:val="24"/>
          <w:szCs w:val="24"/>
          <w:lang w:eastAsia="zh-CN"/>
          <w14:textFill>
            <w14:solidFill>
              <w14:schemeClr w14:val="tx1"/>
            </w14:solidFill>
          </w14:textFill>
        </w:rPr>
        <w:t>项目</w:t>
      </w:r>
      <w:r>
        <w:rPr>
          <w:rFonts w:hint="default" w:ascii="宋体" w:hAnsi="Times New Roman" w:eastAsia="宋体" w:cs="Times New Roman"/>
          <w:bCs/>
          <w:color w:val="000000" w:themeColor="text1"/>
          <w:sz w:val="24"/>
          <w:szCs w:val="24"/>
          <w14:textFill>
            <w14:solidFill>
              <w14:schemeClr w14:val="tx1"/>
            </w14:solidFill>
          </w14:textFill>
        </w:rPr>
        <w:t>运营管理的逐步规范，对周边环境干扰的可控性增强，区域生态环境逐渐趋于稳定，一些外迁的动物可能会陆续回到原栖息地附近，因此不会对区域陆生动物的物种丰富度和种群结构产生长期的、不可逆转的影响。</w:t>
      </w:r>
    </w:p>
    <w:p w14:paraId="3678CF48">
      <w:pPr>
        <w:pStyle w:val="5"/>
        <w:keepNext/>
        <w:keepLines/>
        <w:pageBreakBefore w:val="0"/>
        <w:widowControl w:val="0"/>
        <w:numPr>
          <w:ilvl w:val="3"/>
          <w:numId w:val="0"/>
        </w:numPr>
        <w:kinsoku/>
        <w:wordWrap/>
        <w:overflowPunct/>
        <w:topLinePunct w:val="0"/>
        <w:autoSpaceDE/>
        <w:autoSpaceDN/>
        <w:bidi w:val="0"/>
        <w:adjustRightInd/>
        <w:snapToGrid/>
        <w:spacing w:before="0" w:after="0" w:line="360" w:lineRule="auto"/>
        <w:ind w:leftChars="0"/>
        <w:textAlignment w:val="auto"/>
        <w:rPr>
          <w:rFonts w:hint="eastAsia"/>
          <w:lang w:val="en-US" w:eastAsia="zh-CN"/>
        </w:rPr>
      </w:pPr>
      <w:r>
        <w:rPr>
          <w:rFonts w:hint="eastAsia"/>
          <w:lang w:val="en-US" w:eastAsia="zh-CN"/>
        </w:rPr>
        <w:t>5.2.7.3</w:t>
      </w:r>
      <w:r>
        <w:rPr>
          <w:rFonts w:hint="default"/>
          <w:lang w:val="en-US" w:eastAsia="zh-CN"/>
        </w:rPr>
        <w:t>对生态系统结构和功能的影响</w:t>
      </w:r>
    </w:p>
    <w:p w14:paraId="38E15104">
      <w:pPr>
        <w:bidi w:val="0"/>
        <w:spacing w:line="360" w:lineRule="auto"/>
        <w:ind w:firstLine="480" w:firstLineChars="200"/>
        <w:rPr>
          <w:rFonts w:hint="default" w:ascii="宋体" w:hAnsi="Times New Roman" w:eastAsia="宋体" w:cs="Times New Roman"/>
          <w:bCs/>
          <w:color w:val="000000" w:themeColor="text1"/>
          <w:sz w:val="24"/>
          <w:szCs w:val="24"/>
          <w:lang w:eastAsia="zh-CN"/>
          <w14:textFill>
            <w14:solidFill>
              <w14:schemeClr w14:val="tx1"/>
            </w14:solidFill>
          </w14:textFill>
        </w:rPr>
      </w:pPr>
      <w:r>
        <w:rPr>
          <w:rFonts w:hint="default" w:ascii="宋体" w:hAnsi="Times New Roman" w:eastAsia="宋体" w:cs="Times New Roman"/>
          <w:bCs/>
          <w:color w:val="000000" w:themeColor="text1"/>
          <w:sz w:val="24"/>
          <w:szCs w:val="24"/>
          <w:lang w:eastAsia="zh-CN"/>
          <w14:textFill>
            <w14:solidFill>
              <w14:schemeClr w14:val="tx1"/>
            </w14:solidFill>
          </w14:textFill>
        </w:rPr>
        <w:t>从生态系统结构方面来看，</w:t>
      </w:r>
      <w:r>
        <w:rPr>
          <w:rFonts w:hint="eastAsia" w:ascii="宋体" w:hAnsi="Times New Roman" w:eastAsia="宋体" w:cs="Times New Roman"/>
          <w:bCs/>
          <w:color w:val="000000" w:themeColor="text1"/>
          <w:sz w:val="24"/>
          <w:szCs w:val="24"/>
          <w:lang w:eastAsia="zh-CN"/>
          <w14:textFill>
            <w14:solidFill>
              <w14:schemeClr w14:val="tx1"/>
            </w14:solidFill>
          </w14:textFill>
        </w:rPr>
        <w:t>项目</w:t>
      </w:r>
      <w:r>
        <w:rPr>
          <w:rFonts w:hint="default" w:ascii="宋体" w:hAnsi="Times New Roman" w:eastAsia="宋体" w:cs="Times New Roman"/>
          <w:bCs/>
          <w:color w:val="000000" w:themeColor="text1"/>
          <w:sz w:val="24"/>
          <w:szCs w:val="24"/>
          <w:lang w:eastAsia="zh-CN"/>
          <w14:textFill>
            <w14:solidFill>
              <w14:schemeClr w14:val="tx1"/>
            </w14:solidFill>
          </w14:textFill>
        </w:rPr>
        <w:t>运营后</w:t>
      </w:r>
      <w:r>
        <w:rPr>
          <w:rFonts w:hint="eastAsia" w:ascii="宋体" w:hAnsi="Times New Roman" w:eastAsia="宋体" w:cs="Times New Roman"/>
          <w:bCs/>
          <w:color w:val="000000" w:themeColor="text1"/>
          <w:sz w:val="24"/>
          <w:szCs w:val="24"/>
          <w:lang w:eastAsia="zh-CN"/>
          <w14:textFill>
            <w14:solidFill>
              <w14:schemeClr w14:val="tx1"/>
            </w14:solidFill>
          </w14:textFill>
        </w:rPr>
        <w:t>，</w:t>
      </w:r>
      <w:r>
        <w:rPr>
          <w:rFonts w:hint="default" w:ascii="宋体" w:hAnsi="Times New Roman" w:eastAsia="宋体" w:cs="Times New Roman"/>
          <w:bCs/>
          <w:color w:val="000000" w:themeColor="text1"/>
          <w:sz w:val="24"/>
          <w:szCs w:val="24"/>
          <w:lang w:eastAsia="zh-CN"/>
          <w14:textFill>
            <w14:solidFill>
              <w14:schemeClr w14:val="tx1"/>
            </w14:solidFill>
          </w14:textFill>
        </w:rPr>
        <w:t>在一定程度上打破了原有的生态系统斑块分布格局。但由于项目占地面积相对区域整体面积而言有限，且周边生态系统类型多样，生态系统的连通性并未被完全切断，其他自然生态斑块仍可发挥生态功能，维持物种交流。从生态系统功能角度分析，</w:t>
      </w:r>
      <w:r>
        <w:rPr>
          <w:rFonts w:hint="eastAsia" w:ascii="宋体" w:hAnsi="Times New Roman" w:eastAsia="宋体" w:cs="Times New Roman"/>
          <w:bCs/>
          <w:color w:val="000000" w:themeColor="text1"/>
          <w:sz w:val="24"/>
          <w:szCs w:val="24"/>
          <w:lang w:eastAsia="zh-CN"/>
          <w14:textFill>
            <w14:solidFill>
              <w14:schemeClr w14:val="tx1"/>
            </w14:solidFill>
          </w14:textFill>
        </w:rPr>
        <w:t>项目</w:t>
      </w:r>
      <w:r>
        <w:rPr>
          <w:rFonts w:hint="default" w:ascii="宋体" w:hAnsi="Times New Roman" w:eastAsia="宋体" w:cs="Times New Roman"/>
          <w:bCs/>
          <w:color w:val="000000" w:themeColor="text1"/>
          <w:sz w:val="24"/>
          <w:szCs w:val="24"/>
          <w:lang w:eastAsia="zh-CN"/>
          <w14:textFill>
            <w14:solidFill>
              <w14:schemeClr w14:val="tx1"/>
            </w14:solidFill>
          </w14:textFill>
        </w:rPr>
        <w:t>运营产生的废弃物若处置不当，可能会对土壤、水体等生态系统服务功能造成损害，如土壤污染影响植被生长，进而影响生态系统的物质循环和能量流动。但通过合理的废弃物处理措施，如粪污资源化利用、固废妥善处置等，可保障生态系统功能的正常发挥，维持区域生态平衡。</w:t>
      </w:r>
    </w:p>
    <w:p w14:paraId="612F89CB">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rPr>
      </w:pPr>
      <w:r>
        <w:rPr>
          <w:rFonts w:hint="default"/>
        </w:rPr>
        <w:t>5.2.</w:t>
      </w:r>
      <w:r>
        <w:rPr>
          <w:rFonts w:hint="eastAsia"/>
          <w:lang w:val="en-US" w:eastAsia="zh-CN"/>
        </w:rPr>
        <w:t>8</w:t>
      </w:r>
      <w:r>
        <w:rPr>
          <w:rFonts w:hint="default"/>
        </w:rPr>
        <w:t>环境风险分析</w:t>
      </w:r>
      <w:bookmarkEnd w:id="304"/>
    </w:p>
    <w:p w14:paraId="0A065A48">
      <w:pPr>
        <w:adjustRightInd w:val="0"/>
        <w:snapToGrid w:val="0"/>
        <w:spacing w:line="360" w:lineRule="auto"/>
        <w:ind w:firstLine="482"/>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029E5115">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w:t>
      </w:r>
      <w:r>
        <w:rPr>
          <w:rFonts w:hint="eastAsia" w:cs="Times New Roman"/>
          <w:b/>
          <w:bCs/>
          <w:color w:val="auto"/>
          <w:sz w:val="24"/>
          <w:highlight w:val="none"/>
          <w:lang w:val="en-US" w:eastAsia="zh-CN"/>
        </w:rPr>
        <w:t>8</w:t>
      </w:r>
      <w:r>
        <w:rPr>
          <w:rFonts w:hint="default" w:ascii="Times New Roman" w:hAnsi="Times New Roman" w:cs="Times New Roman"/>
          <w:b/>
          <w:bCs/>
          <w:color w:val="auto"/>
          <w:sz w:val="24"/>
          <w:highlight w:val="none"/>
        </w:rPr>
        <w:t>.1</w:t>
      </w:r>
      <w:r>
        <w:rPr>
          <w:rFonts w:hint="default" w:ascii="Times New Roman" w:hAnsi="Times New Roman" w:cs="Times New Roman"/>
          <w:b/>
          <w:color w:val="auto"/>
          <w:kern w:val="0"/>
          <w:sz w:val="24"/>
          <w:highlight w:val="none"/>
          <w:lang w:bidi="ar"/>
        </w:rPr>
        <w:t>风险</w:t>
      </w:r>
      <w:r>
        <w:rPr>
          <w:rFonts w:hint="default" w:ascii="Times New Roman" w:hAnsi="Times New Roman" w:cs="Times New Roman"/>
          <w:b/>
          <w:color w:val="auto"/>
          <w:kern w:val="0"/>
          <w:sz w:val="24"/>
          <w:highlight w:val="none"/>
          <w:lang w:val="en-US" w:eastAsia="zh-CN" w:bidi="ar"/>
        </w:rPr>
        <w:t>源</w:t>
      </w:r>
      <w:r>
        <w:rPr>
          <w:rFonts w:hint="default" w:ascii="Times New Roman" w:hAnsi="Times New Roman" w:cs="Times New Roman"/>
          <w:b/>
          <w:color w:val="auto"/>
          <w:kern w:val="0"/>
          <w:sz w:val="24"/>
          <w:highlight w:val="none"/>
          <w:lang w:bidi="ar"/>
        </w:rPr>
        <w:t>调查</w:t>
      </w:r>
    </w:p>
    <w:p w14:paraId="3A8222C5">
      <w:pPr>
        <w:adjustRightInd w:val="0"/>
        <w:snapToGrid w:val="0"/>
        <w:spacing w:line="360" w:lineRule="auto"/>
        <w:ind w:firstLine="482"/>
        <w:rPr>
          <w:rFonts w:hint="default" w:ascii="Times New Roman" w:hAnsi="Times New Roman" w:cs="Times New Roman"/>
          <w:b/>
          <w:color w:val="auto"/>
          <w:kern w:val="0"/>
          <w:sz w:val="24"/>
          <w:highlight w:val="none"/>
          <w:lang w:bidi="ar"/>
        </w:rPr>
      </w:pPr>
      <w:r>
        <w:rPr>
          <w:rFonts w:hint="default" w:ascii="Times New Roman" w:hAnsi="Times New Roman" w:cs="Times New Roman"/>
          <w:b/>
          <w:color w:val="auto"/>
          <w:kern w:val="0"/>
          <w:sz w:val="24"/>
          <w:highlight w:val="none"/>
          <w:lang w:bidi="ar"/>
        </w:rPr>
        <w:t>1、危险物质</w:t>
      </w:r>
    </w:p>
    <w:p w14:paraId="2B75B7C8">
      <w:pPr>
        <w:keepNext w:val="0"/>
        <w:keepLines w:val="0"/>
        <w:pageBreakBefore w:val="0"/>
        <w:widowControl w:val="0"/>
        <w:kinsoku/>
        <w:wordWrap/>
        <w:overflowPunct/>
        <w:topLinePunct w:val="0"/>
        <w:bidi w:val="0"/>
        <w:adjustRightInd w:val="0"/>
        <w:snapToGrid w:val="0"/>
        <w:spacing w:line="360" w:lineRule="auto"/>
        <w:ind w:firstLine="482"/>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本次环境风险评价主要从危险物质数量和分布情况、生产工艺特点进行风险源调查。危险物质调查范围主要包括原辅材料、燃料、最终产品、污染物和火灾、爆炸伴生/次生污染物等。</w:t>
      </w:r>
    </w:p>
    <w:p w14:paraId="22F7F013">
      <w:pPr>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eastAsiaTheme="minorEastAsia"/>
          <w:color w:val="auto"/>
          <w:kern w:val="2"/>
          <w:sz w:val="24"/>
          <w:szCs w:val="24"/>
          <w:highlight w:val="none"/>
        </w:rPr>
      </w:pPr>
      <w:r>
        <w:rPr>
          <w:rFonts w:hint="default" w:ascii="Times New Roman" w:hAnsi="Times New Roman" w:cs="Times New Roman" w:eastAsiaTheme="minorEastAsia"/>
          <w:color w:val="auto"/>
          <w:kern w:val="2"/>
          <w:sz w:val="24"/>
          <w:szCs w:val="24"/>
          <w:highlight w:val="none"/>
        </w:rPr>
        <w:t>（1）原辅材料</w:t>
      </w:r>
    </w:p>
    <w:p w14:paraId="23ED8539">
      <w:pPr>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eastAsiaTheme="minorEastAsia"/>
          <w:color w:val="auto"/>
          <w:kern w:val="2"/>
          <w:sz w:val="24"/>
          <w:szCs w:val="24"/>
          <w:highlight w:val="none"/>
        </w:rPr>
      </w:pPr>
      <w:r>
        <w:rPr>
          <w:rFonts w:hint="default" w:ascii="Times New Roman" w:hAnsi="Times New Roman" w:cs="Times New Roman" w:eastAsiaTheme="minorEastAsia"/>
          <w:color w:val="auto"/>
          <w:kern w:val="2"/>
          <w:sz w:val="24"/>
          <w:szCs w:val="24"/>
          <w:highlight w:val="none"/>
        </w:rPr>
        <w:t>本项目原</w:t>
      </w:r>
      <w:r>
        <w:rPr>
          <w:rFonts w:hint="default" w:ascii="Times New Roman" w:hAnsi="Times New Roman" w:cs="Times New Roman" w:eastAsiaTheme="minorEastAsia"/>
          <w:color w:val="auto"/>
          <w:kern w:val="2"/>
          <w:sz w:val="24"/>
          <w:szCs w:val="24"/>
          <w:highlight w:val="none"/>
          <w:lang w:val="en-US" w:eastAsia="zh-CN"/>
        </w:rPr>
        <w:t>辅</w:t>
      </w:r>
      <w:r>
        <w:rPr>
          <w:rFonts w:hint="default" w:ascii="Times New Roman" w:hAnsi="Times New Roman" w:cs="Times New Roman" w:eastAsiaTheme="minorEastAsia"/>
          <w:color w:val="auto"/>
          <w:kern w:val="2"/>
          <w:sz w:val="24"/>
          <w:szCs w:val="24"/>
          <w:highlight w:val="none"/>
        </w:rPr>
        <w:t>料主要为</w:t>
      </w:r>
      <w:r>
        <w:rPr>
          <w:rFonts w:hint="default" w:ascii="Times New Roman" w:hAnsi="Times New Roman" w:cs="Times New Roman" w:eastAsiaTheme="minorEastAsia"/>
          <w:color w:val="auto"/>
          <w:kern w:val="2"/>
          <w:sz w:val="24"/>
          <w:szCs w:val="24"/>
          <w:highlight w:val="none"/>
          <w:lang w:val="en-US" w:eastAsia="zh-CN"/>
        </w:rPr>
        <w:t>饲料</w:t>
      </w:r>
      <w:r>
        <w:rPr>
          <w:rFonts w:hint="default" w:ascii="Times New Roman" w:hAnsi="Times New Roman" w:cs="Times New Roman" w:eastAsiaTheme="minorEastAsia"/>
          <w:color w:val="auto"/>
          <w:kern w:val="2"/>
          <w:sz w:val="24"/>
          <w:szCs w:val="24"/>
          <w:highlight w:val="none"/>
          <w:lang w:eastAsia="zh-CN"/>
        </w:rPr>
        <w:t>、生物除臭剂、消毒剂、生石灰、氢氧化钠、木糠、菌种、柴油、</w:t>
      </w:r>
      <w:r>
        <w:rPr>
          <w:rFonts w:hint="default" w:ascii="Times New Roman" w:hAnsi="Times New Roman" w:cs="Times New Roman" w:eastAsiaTheme="minorEastAsia"/>
          <w:color w:val="auto"/>
          <w:kern w:val="2"/>
          <w:sz w:val="24"/>
          <w:szCs w:val="24"/>
          <w:highlight w:val="none"/>
          <w:lang w:val="en-US" w:eastAsia="zh-CN"/>
        </w:rPr>
        <w:t>天然气</w:t>
      </w:r>
      <w:r>
        <w:rPr>
          <w:rFonts w:hint="default" w:ascii="Times New Roman" w:hAnsi="Times New Roman" w:cs="Times New Roman" w:eastAsiaTheme="minorEastAsia"/>
          <w:color w:val="auto"/>
          <w:kern w:val="2"/>
          <w:sz w:val="24"/>
          <w:szCs w:val="24"/>
          <w:highlight w:val="none"/>
          <w:lang w:eastAsia="zh-CN"/>
        </w:rPr>
        <w:t>。</w:t>
      </w:r>
    </w:p>
    <w:p w14:paraId="0D058EDE">
      <w:pPr>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eastAsiaTheme="minorEastAsia"/>
          <w:color w:val="auto"/>
          <w:kern w:val="2"/>
          <w:sz w:val="24"/>
          <w:szCs w:val="24"/>
          <w:highlight w:val="none"/>
        </w:rPr>
      </w:pPr>
      <w:r>
        <w:rPr>
          <w:rFonts w:hint="default" w:ascii="Times New Roman" w:hAnsi="Times New Roman" w:cs="Times New Roman" w:eastAsiaTheme="minorEastAsia"/>
          <w:color w:val="auto"/>
          <w:kern w:val="2"/>
          <w:sz w:val="24"/>
          <w:szCs w:val="24"/>
          <w:highlight w:val="none"/>
        </w:rPr>
        <w:t>（</w:t>
      </w:r>
      <w:r>
        <w:rPr>
          <w:rFonts w:hint="default" w:ascii="Times New Roman" w:hAnsi="Times New Roman" w:cs="Times New Roman" w:eastAsiaTheme="minorEastAsia"/>
          <w:color w:val="auto"/>
          <w:kern w:val="2"/>
          <w:sz w:val="24"/>
          <w:szCs w:val="24"/>
          <w:highlight w:val="none"/>
          <w:lang w:val="en-US" w:eastAsia="zh-CN"/>
        </w:rPr>
        <w:t>2</w:t>
      </w:r>
      <w:r>
        <w:rPr>
          <w:rFonts w:hint="default" w:ascii="Times New Roman" w:hAnsi="Times New Roman" w:cs="Times New Roman" w:eastAsiaTheme="minorEastAsia"/>
          <w:color w:val="auto"/>
          <w:kern w:val="2"/>
          <w:sz w:val="24"/>
          <w:szCs w:val="24"/>
          <w:highlight w:val="none"/>
        </w:rPr>
        <w:t>）污染物</w:t>
      </w:r>
    </w:p>
    <w:p w14:paraId="057E1879">
      <w:pPr>
        <w:keepNext w:val="0"/>
        <w:keepLines w:val="0"/>
        <w:pageBreakBefore w:val="0"/>
        <w:widowControl w:val="0"/>
        <w:kinsoku/>
        <w:wordWrap/>
        <w:overflowPunct/>
        <w:topLinePunct w:val="0"/>
        <w:autoSpaceDE w:val="0"/>
        <w:autoSpaceDN w:val="0"/>
        <w:bidi w:val="0"/>
        <w:adjustRightInd w:val="0"/>
        <w:spacing w:line="360" w:lineRule="auto"/>
        <w:ind w:firstLine="480"/>
        <w:jc w:val="both"/>
        <w:textAlignment w:val="auto"/>
        <w:rPr>
          <w:rFonts w:hint="default" w:ascii="Times New Roman" w:hAnsi="Times New Roman" w:cs="Times New Roman" w:eastAsiaTheme="minorEastAsia"/>
          <w:color w:val="auto"/>
          <w:kern w:val="2"/>
          <w:sz w:val="24"/>
          <w:szCs w:val="24"/>
          <w:highlight w:val="none"/>
        </w:rPr>
      </w:pPr>
      <w:r>
        <w:rPr>
          <w:rFonts w:hint="default" w:ascii="Times New Roman" w:hAnsi="Times New Roman" w:cs="Times New Roman" w:eastAsiaTheme="minorEastAsia"/>
          <w:color w:val="auto"/>
          <w:sz w:val="24"/>
          <w:szCs w:val="24"/>
          <w:highlight w:val="none"/>
          <w:lang w:val="zh-CN"/>
        </w:rPr>
        <w:t>本项目生产过程中排放的大气污染物主要为NH</w:t>
      </w:r>
      <w:r>
        <w:rPr>
          <w:rFonts w:hint="default" w:ascii="Times New Roman" w:hAnsi="Times New Roman" w:cs="Times New Roman" w:eastAsiaTheme="minorEastAsia"/>
          <w:color w:val="auto"/>
          <w:sz w:val="24"/>
          <w:szCs w:val="24"/>
          <w:highlight w:val="none"/>
          <w:vertAlign w:val="subscript"/>
          <w:lang w:val="zh-CN"/>
        </w:rPr>
        <w:t>3</w:t>
      </w:r>
      <w:r>
        <w:rPr>
          <w:rFonts w:hint="default" w:ascii="Times New Roman" w:hAnsi="Times New Roman" w:cs="Times New Roman" w:eastAsiaTheme="minorEastAsia"/>
          <w:color w:val="auto"/>
          <w:sz w:val="24"/>
          <w:szCs w:val="24"/>
          <w:highlight w:val="none"/>
          <w:lang w:val="zh-CN"/>
        </w:rPr>
        <w:t>、H</w:t>
      </w:r>
      <w:r>
        <w:rPr>
          <w:rFonts w:hint="default" w:ascii="Times New Roman" w:hAnsi="Times New Roman" w:cs="Times New Roman" w:eastAsiaTheme="minorEastAsia"/>
          <w:color w:val="auto"/>
          <w:sz w:val="24"/>
          <w:szCs w:val="24"/>
          <w:highlight w:val="none"/>
          <w:vertAlign w:val="subscript"/>
          <w:lang w:val="zh-CN"/>
        </w:rPr>
        <w:t>2</w:t>
      </w:r>
      <w:r>
        <w:rPr>
          <w:rFonts w:hint="default" w:ascii="Times New Roman" w:hAnsi="Times New Roman" w:cs="Times New Roman" w:eastAsiaTheme="minorEastAsia"/>
          <w:color w:val="auto"/>
          <w:sz w:val="24"/>
          <w:szCs w:val="24"/>
          <w:highlight w:val="none"/>
          <w:lang w:val="zh-CN"/>
        </w:rPr>
        <w:t>S、臭气浓度、NO</w:t>
      </w:r>
      <w:r>
        <w:rPr>
          <w:rFonts w:hint="default" w:ascii="Times New Roman" w:hAnsi="Times New Roman" w:cs="Times New Roman" w:eastAsiaTheme="minorEastAsia"/>
          <w:color w:val="auto"/>
          <w:sz w:val="24"/>
          <w:szCs w:val="24"/>
          <w:highlight w:val="none"/>
          <w:vertAlign w:val="subscript"/>
          <w:lang w:val="zh-CN"/>
        </w:rPr>
        <w:t>2</w:t>
      </w:r>
      <w:r>
        <w:rPr>
          <w:rFonts w:hint="default" w:ascii="Times New Roman" w:hAnsi="Times New Roman" w:cs="Times New Roman" w:eastAsiaTheme="minorEastAsia"/>
          <w:color w:val="auto"/>
          <w:sz w:val="24"/>
          <w:szCs w:val="24"/>
          <w:highlight w:val="none"/>
          <w:lang w:val="zh-CN"/>
        </w:rPr>
        <w:t>、SO</w:t>
      </w:r>
      <w:r>
        <w:rPr>
          <w:rFonts w:hint="default" w:ascii="Times New Roman" w:hAnsi="Times New Roman" w:cs="Times New Roman" w:eastAsiaTheme="minorEastAsia"/>
          <w:color w:val="auto"/>
          <w:sz w:val="24"/>
          <w:szCs w:val="24"/>
          <w:highlight w:val="none"/>
          <w:vertAlign w:val="subscript"/>
          <w:lang w:val="zh-CN"/>
        </w:rPr>
        <w:t>2</w:t>
      </w:r>
      <w:r>
        <w:rPr>
          <w:rFonts w:hint="default" w:ascii="Times New Roman" w:hAnsi="Times New Roman" w:cs="Times New Roman" w:eastAsiaTheme="minorEastAsia"/>
          <w:color w:val="auto"/>
          <w:sz w:val="24"/>
          <w:szCs w:val="24"/>
          <w:highlight w:val="none"/>
          <w:lang w:val="zh-CN"/>
        </w:rPr>
        <w:t>，</w:t>
      </w:r>
      <w:r>
        <w:rPr>
          <w:rFonts w:hint="default" w:ascii="Times New Roman" w:hAnsi="Times New Roman" w:cs="Times New Roman" w:eastAsiaTheme="minorEastAsia"/>
          <w:color w:val="auto"/>
          <w:kern w:val="2"/>
          <w:sz w:val="24"/>
          <w:szCs w:val="24"/>
          <w:highlight w:val="none"/>
        </w:rPr>
        <w:t>废水污染物主要包括COD、氨氮、总氮、BOD</w:t>
      </w:r>
      <w:r>
        <w:rPr>
          <w:rFonts w:hint="default" w:ascii="Times New Roman" w:hAnsi="Times New Roman" w:cs="Times New Roman" w:eastAsiaTheme="minorEastAsia"/>
          <w:color w:val="auto"/>
          <w:kern w:val="2"/>
          <w:sz w:val="24"/>
          <w:szCs w:val="24"/>
          <w:highlight w:val="none"/>
          <w:vertAlign w:val="subscript"/>
        </w:rPr>
        <w:t>5</w:t>
      </w:r>
      <w:r>
        <w:rPr>
          <w:rFonts w:hint="default" w:ascii="Times New Roman" w:hAnsi="Times New Roman" w:cs="Times New Roman" w:eastAsiaTheme="minorEastAsia"/>
          <w:color w:val="auto"/>
          <w:kern w:val="2"/>
          <w:sz w:val="24"/>
          <w:szCs w:val="24"/>
          <w:highlight w:val="none"/>
        </w:rPr>
        <w:t>、总磷、动植物油、悬浮物、溶解性总固体</w:t>
      </w:r>
      <w:r>
        <w:rPr>
          <w:rFonts w:hint="default" w:ascii="Times New Roman" w:hAnsi="Times New Roman" w:cs="Times New Roman" w:eastAsiaTheme="minorEastAsia"/>
          <w:color w:val="auto"/>
          <w:kern w:val="2"/>
          <w:sz w:val="24"/>
          <w:szCs w:val="24"/>
          <w:highlight w:val="none"/>
          <w:lang w:eastAsia="zh-CN"/>
        </w:rPr>
        <w:t>、</w:t>
      </w:r>
      <w:r>
        <w:rPr>
          <w:rFonts w:hint="default" w:ascii="Times New Roman" w:hAnsi="Times New Roman" w:cs="Times New Roman" w:eastAsiaTheme="minorEastAsia"/>
          <w:color w:val="auto"/>
          <w:kern w:val="2"/>
          <w:sz w:val="24"/>
          <w:szCs w:val="24"/>
          <w:highlight w:val="none"/>
          <w:lang w:val="en-US" w:eastAsia="zh-CN"/>
        </w:rPr>
        <w:t>粪大肠菌群</w:t>
      </w:r>
      <w:r>
        <w:rPr>
          <w:rFonts w:hint="default" w:ascii="Times New Roman" w:hAnsi="Times New Roman" w:cs="Times New Roman" w:eastAsiaTheme="minorEastAsia"/>
          <w:color w:val="auto"/>
          <w:kern w:val="2"/>
          <w:sz w:val="24"/>
          <w:szCs w:val="24"/>
          <w:highlight w:val="none"/>
        </w:rPr>
        <w:t>；固体废物主要包括</w:t>
      </w:r>
      <w:r>
        <w:rPr>
          <w:rFonts w:hint="default" w:ascii="Times New Roman" w:hAnsi="Times New Roman" w:cs="Times New Roman" w:eastAsiaTheme="minorEastAsia"/>
          <w:color w:val="auto"/>
          <w:sz w:val="24"/>
          <w:szCs w:val="24"/>
          <w:highlight w:val="none"/>
          <w:lang w:val="zh-CN"/>
        </w:rPr>
        <w:t>猪粪、病死猪、</w:t>
      </w:r>
      <w:r>
        <w:rPr>
          <w:rFonts w:hint="default" w:ascii="Times New Roman" w:hAnsi="Times New Roman" w:cs="Times New Roman" w:eastAsiaTheme="minorEastAsia"/>
          <w:color w:val="auto"/>
          <w:sz w:val="24"/>
          <w:szCs w:val="24"/>
          <w:highlight w:val="none"/>
          <w:lang w:val="en-US" w:eastAsia="zh-CN"/>
        </w:rPr>
        <w:t>防疫固废</w:t>
      </w:r>
      <w:r>
        <w:rPr>
          <w:rFonts w:hint="default" w:ascii="Times New Roman" w:hAnsi="Times New Roman" w:cs="Times New Roman" w:eastAsiaTheme="minorEastAsia"/>
          <w:color w:val="auto"/>
          <w:sz w:val="24"/>
          <w:szCs w:val="24"/>
          <w:highlight w:val="none"/>
          <w:lang w:val="zh-CN"/>
        </w:rPr>
        <w:t>、饲料残渣、废弃包装材料、隔油池废油脂、厨房泔水、化粪池污泥、生活垃圾、废机油</w:t>
      </w:r>
      <w:r>
        <w:rPr>
          <w:rFonts w:hint="default" w:ascii="Times New Roman" w:hAnsi="Times New Roman" w:cs="Times New Roman" w:eastAsiaTheme="minorEastAsia"/>
          <w:color w:val="auto"/>
          <w:kern w:val="2"/>
          <w:sz w:val="24"/>
          <w:szCs w:val="24"/>
          <w:highlight w:val="none"/>
        </w:rPr>
        <w:t>。</w:t>
      </w:r>
    </w:p>
    <w:p w14:paraId="733108E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根据工程分析，</w:t>
      </w:r>
      <w:r>
        <w:rPr>
          <w:rFonts w:hint="default" w:ascii="Times New Roman" w:hAnsi="Times New Roman" w:cs="Times New Roman"/>
          <w:color w:val="auto"/>
          <w:sz w:val="24"/>
          <w:szCs w:val="24"/>
          <w:highlight w:val="none"/>
          <w:lang w:val="en-US" w:eastAsia="zh-CN"/>
        </w:rPr>
        <w:t>NH</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H</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S</w:t>
      </w:r>
      <w:r>
        <w:rPr>
          <w:rFonts w:hint="default" w:ascii="Times New Roman" w:hAnsi="Times New Roman" w:cs="Times New Roman"/>
          <w:color w:val="auto"/>
          <w:sz w:val="24"/>
          <w:szCs w:val="24"/>
          <w:highlight w:val="none"/>
        </w:rPr>
        <w:t>污染源为猪舍、</w:t>
      </w:r>
      <w:r>
        <w:rPr>
          <w:rFonts w:hint="default" w:ascii="Times New Roman" w:hAnsi="Times New Roman" w:cs="Times New Roman"/>
          <w:color w:val="auto"/>
          <w:sz w:val="24"/>
          <w:szCs w:val="24"/>
          <w:highlight w:val="none"/>
          <w:lang w:eastAsia="zh-CN"/>
        </w:rPr>
        <w:t>堆</w:t>
      </w:r>
      <w:r>
        <w:rPr>
          <w:rFonts w:hint="default" w:ascii="Times New Roman" w:hAnsi="Times New Roman" w:cs="Times New Roman"/>
          <w:color w:val="auto"/>
          <w:sz w:val="24"/>
          <w:szCs w:val="24"/>
          <w:highlight w:val="none"/>
          <w:lang w:val="en-US" w:eastAsia="zh-CN"/>
        </w:rPr>
        <w:t>粪</w:t>
      </w:r>
      <w:r>
        <w:rPr>
          <w:rFonts w:hint="default" w:ascii="Times New Roman" w:hAnsi="Times New Roman" w:cs="Times New Roman"/>
          <w:color w:val="auto"/>
          <w:sz w:val="24"/>
          <w:szCs w:val="24"/>
          <w:highlight w:val="none"/>
          <w:lang w:eastAsia="zh-CN"/>
        </w:rPr>
        <w:t>棚</w:t>
      </w:r>
      <w:r>
        <w:rPr>
          <w:rFonts w:hint="default" w:ascii="Times New Roman" w:hAnsi="Times New Roman" w:cs="Times New Roman"/>
          <w:color w:val="auto"/>
          <w:sz w:val="24"/>
          <w:szCs w:val="24"/>
          <w:highlight w:val="none"/>
          <w:lang w:val="en-US" w:eastAsia="zh-CN"/>
        </w:rPr>
        <w:t>、废水收集池</w:t>
      </w:r>
      <w:r>
        <w:rPr>
          <w:rFonts w:hint="default" w:ascii="Times New Roman" w:hAnsi="Times New Roman" w:cs="Times New Roman"/>
          <w:color w:val="auto"/>
          <w:sz w:val="24"/>
          <w:szCs w:val="24"/>
          <w:highlight w:val="none"/>
        </w:rPr>
        <w:t>，排放形式主要呈无组织排放</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无法计算其在线量</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lang w:val="en-US" w:eastAsia="zh-CN"/>
        </w:rPr>
        <w:t>烘干棚天然气燃烧器及柴油发电机产生</w:t>
      </w:r>
      <w:r>
        <w:rPr>
          <w:rFonts w:hint="default" w:ascii="Times New Roman" w:hAnsi="Times New Roman" w:cs="Times New Roman" w:eastAsiaTheme="minorEastAsia"/>
          <w:color w:val="auto"/>
          <w:kern w:val="2"/>
          <w:sz w:val="24"/>
          <w:szCs w:val="24"/>
          <w:highlight w:val="none"/>
        </w:rPr>
        <w:t>氮氧化物</w:t>
      </w:r>
      <w:r>
        <w:rPr>
          <w:rFonts w:hint="default" w:ascii="Times New Roman" w:hAnsi="Times New Roman" w:cs="Times New Roman"/>
          <w:color w:val="auto"/>
          <w:sz w:val="24"/>
          <w:szCs w:val="24"/>
        </w:rPr>
        <w:t>、SO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vertAlign w:val="baseline"/>
          <w:lang w:val="en-US" w:eastAsia="zh-CN"/>
        </w:rPr>
        <w:t>主要呈无组织排放，</w:t>
      </w:r>
      <w:r>
        <w:rPr>
          <w:rFonts w:hint="default" w:ascii="Times New Roman" w:hAnsi="Times New Roman" w:cs="Times New Roman"/>
          <w:color w:val="auto"/>
          <w:sz w:val="24"/>
          <w:szCs w:val="24"/>
        </w:rPr>
        <w:t>无法计算其在线量</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highlight w:val="none"/>
          <w:lang w:val="en-US" w:eastAsia="zh-CN"/>
        </w:rPr>
        <w:t>本次评价对风险物质</w:t>
      </w:r>
      <w:r>
        <w:rPr>
          <w:rFonts w:hint="default" w:ascii="Times New Roman" w:hAnsi="Times New Roman" w:eastAsia="宋体" w:cs="Times New Roman"/>
          <w:color w:val="auto"/>
          <w:sz w:val="24"/>
          <w:szCs w:val="24"/>
          <w:highlight w:val="none"/>
        </w:rPr>
        <w:t>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及H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eastAsiaTheme="minorEastAsia"/>
          <w:color w:val="auto"/>
          <w:kern w:val="2"/>
          <w:sz w:val="24"/>
          <w:szCs w:val="24"/>
          <w:highlight w:val="none"/>
        </w:rPr>
        <w:t>氮氧化物</w:t>
      </w:r>
      <w:r>
        <w:rPr>
          <w:rFonts w:hint="default" w:ascii="Times New Roman" w:hAnsi="Times New Roman" w:cs="Times New Roman"/>
          <w:color w:val="auto"/>
          <w:sz w:val="24"/>
          <w:szCs w:val="24"/>
        </w:rPr>
        <w:t>、SO</w:t>
      </w:r>
      <w:r>
        <w:rPr>
          <w:rFonts w:hint="default" w:ascii="Times New Roman" w:hAnsi="Times New Roman" w:cs="Times New Roman"/>
          <w:color w:val="auto"/>
          <w:sz w:val="24"/>
          <w:szCs w:val="24"/>
          <w:vertAlign w:val="subscript"/>
        </w:rPr>
        <w:t>2</w:t>
      </w:r>
      <w:r>
        <w:rPr>
          <w:rFonts w:hint="default" w:ascii="Times New Roman" w:hAnsi="Times New Roman" w:eastAsia="宋体" w:cs="Times New Roman"/>
          <w:color w:val="auto"/>
          <w:sz w:val="24"/>
          <w:szCs w:val="24"/>
          <w:highlight w:val="none"/>
          <w:lang w:val="en-US" w:eastAsia="zh-CN"/>
        </w:rPr>
        <w:t>主要风险评价主要进行定性分析。</w:t>
      </w:r>
    </w:p>
    <w:p w14:paraId="797903D5">
      <w:pPr>
        <w:keepNext w:val="0"/>
        <w:keepLines w:val="0"/>
        <w:pageBreakBefore w:val="0"/>
        <w:widowControl w:val="0"/>
        <w:kinsoku/>
        <w:wordWrap/>
        <w:overflowPunct/>
        <w:topLinePunct w:val="0"/>
        <w:autoSpaceDE w:val="0"/>
        <w:autoSpaceDN w:val="0"/>
        <w:bidi w:val="0"/>
        <w:adjustRightInd w:val="0"/>
        <w:spacing w:line="360" w:lineRule="auto"/>
        <w:ind w:firstLine="480"/>
        <w:jc w:val="both"/>
        <w:textAlignment w:val="auto"/>
        <w:rPr>
          <w:rFonts w:hint="default" w:ascii="Times New Roman" w:hAnsi="Times New Roman" w:cs="Times New Roman" w:eastAsiaTheme="minorEastAsia"/>
          <w:color w:val="auto"/>
          <w:kern w:val="2"/>
          <w:sz w:val="24"/>
          <w:szCs w:val="24"/>
          <w:highlight w:val="none"/>
        </w:rPr>
      </w:pPr>
      <w:r>
        <w:rPr>
          <w:rFonts w:hint="default" w:ascii="Times New Roman" w:hAnsi="Times New Roman" w:cs="Times New Roman"/>
          <w:bCs/>
          <w:color w:val="auto"/>
          <w:sz w:val="24"/>
          <w:highlight w:val="none"/>
        </w:rPr>
        <w:t>项目</w:t>
      </w:r>
      <w:r>
        <w:rPr>
          <w:rFonts w:hint="default" w:ascii="Times New Roman" w:hAnsi="Times New Roman" w:cs="Times New Roman"/>
          <w:color w:val="auto"/>
          <w:sz w:val="24"/>
          <w:highlight w:val="none"/>
        </w:rPr>
        <w:t>废机油产生量为0.</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t/a</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柴油在线量0.03t</w:t>
      </w:r>
      <w:r>
        <w:rPr>
          <w:rFonts w:hint="default" w:ascii="Times New Roman" w:hAnsi="Times New Roman" w:cs="Times New Roman"/>
          <w:color w:val="auto"/>
          <w:sz w:val="24"/>
          <w:highlight w:val="none"/>
        </w:rPr>
        <w:t>。</w:t>
      </w:r>
    </w:p>
    <w:p w14:paraId="4D7316EA">
      <w:pPr>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eastAsiaTheme="minorEastAsia"/>
          <w:color w:val="auto"/>
          <w:kern w:val="2"/>
          <w:sz w:val="24"/>
          <w:szCs w:val="24"/>
          <w:highlight w:val="none"/>
        </w:rPr>
      </w:pPr>
      <w:r>
        <w:rPr>
          <w:rFonts w:hint="default" w:ascii="Times New Roman" w:hAnsi="Times New Roman" w:cs="Times New Roman" w:eastAsiaTheme="minorEastAsia"/>
          <w:color w:val="auto"/>
          <w:kern w:val="2"/>
          <w:sz w:val="24"/>
          <w:szCs w:val="24"/>
          <w:highlight w:val="none"/>
        </w:rPr>
        <w:t>（4）火灾爆炸伴生/次生污染物</w:t>
      </w:r>
    </w:p>
    <w:p w14:paraId="65FC0B6C">
      <w:pPr>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eastAsiaTheme="minorEastAsia"/>
          <w:color w:val="auto"/>
          <w:kern w:val="2"/>
          <w:sz w:val="24"/>
          <w:szCs w:val="24"/>
          <w:highlight w:val="none"/>
        </w:rPr>
      </w:pPr>
      <w:r>
        <w:rPr>
          <w:rFonts w:hint="default" w:ascii="Times New Roman" w:hAnsi="Times New Roman" w:cs="Times New Roman" w:eastAsiaTheme="minorEastAsia"/>
          <w:color w:val="auto"/>
          <w:kern w:val="2"/>
          <w:sz w:val="24"/>
          <w:szCs w:val="24"/>
          <w:highlight w:val="none"/>
        </w:rPr>
        <w:t>根据项目原辅材料及生产工艺特点，项目火灾爆炸伴生/次生污染物主要为CO、CO</w:t>
      </w:r>
      <w:r>
        <w:rPr>
          <w:rFonts w:hint="default" w:ascii="Times New Roman" w:hAnsi="Times New Roman" w:cs="Times New Roman" w:eastAsiaTheme="minorEastAsia"/>
          <w:color w:val="auto"/>
          <w:kern w:val="2"/>
          <w:sz w:val="24"/>
          <w:szCs w:val="24"/>
          <w:highlight w:val="none"/>
          <w:vertAlign w:val="subscript"/>
        </w:rPr>
        <w:t>2</w:t>
      </w:r>
      <w:r>
        <w:rPr>
          <w:rFonts w:hint="default" w:ascii="Times New Roman" w:hAnsi="Times New Roman" w:cs="Times New Roman" w:eastAsiaTheme="minorEastAsia"/>
          <w:color w:val="auto"/>
          <w:kern w:val="2"/>
          <w:sz w:val="24"/>
          <w:szCs w:val="24"/>
          <w:highlight w:val="none"/>
        </w:rPr>
        <w:t>、SO</w:t>
      </w:r>
      <w:r>
        <w:rPr>
          <w:rFonts w:hint="default" w:ascii="Times New Roman" w:hAnsi="Times New Roman" w:cs="Times New Roman" w:eastAsiaTheme="minorEastAsia"/>
          <w:color w:val="auto"/>
          <w:kern w:val="2"/>
          <w:sz w:val="24"/>
          <w:szCs w:val="24"/>
          <w:highlight w:val="none"/>
          <w:vertAlign w:val="subscript"/>
        </w:rPr>
        <w:t>2</w:t>
      </w:r>
      <w:r>
        <w:rPr>
          <w:rFonts w:hint="default" w:ascii="Times New Roman" w:hAnsi="Times New Roman" w:cs="Times New Roman" w:eastAsiaTheme="minorEastAsia"/>
          <w:color w:val="auto"/>
          <w:kern w:val="2"/>
          <w:sz w:val="24"/>
          <w:szCs w:val="24"/>
          <w:highlight w:val="none"/>
        </w:rPr>
        <w:t>、氮氧化物。</w:t>
      </w:r>
    </w:p>
    <w:p w14:paraId="483A8907">
      <w:pPr>
        <w:keepNext w:val="0"/>
        <w:keepLines w:val="0"/>
        <w:pageBreakBefore w:val="0"/>
        <w:widowControl w:val="0"/>
        <w:kinsoku/>
        <w:wordWrap/>
        <w:overflowPunct/>
        <w:topLinePunct w:val="0"/>
        <w:bidi w:val="0"/>
        <w:adjustRightInd w:val="0"/>
        <w:snapToGrid w:val="0"/>
        <w:spacing w:line="360" w:lineRule="auto"/>
        <w:ind w:firstLine="482"/>
        <w:textAlignment w:val="auto"/>
        <w:rPr>
          <w:rFonts w:hint="default" w:ascii="Times New Roman" w:hAnsi="Times New Roman" w:cs="Times New Roman" w:eastAsiaTheme="minorEastAsia"/>
          <w:color w:val="auto"/>
          <w:kern w:val="0"/>
          <w:sz w:val="24"/>
          <w:szCs w:val="24"/>
          <w:highlight w:val="none"/>
          <w:lang w:bidi="ar"/>
        </w:rPr>
      </w:pPr>
      <w:r>
        <w:rPr>
          <w:rFonts w:hint="default" w:ascii="Times New Roman" w:hAnsi="Times New Roman" w:cs="Times New Roman" w:eastAsiaTheme="minorEastAsia"/>
          <w:color w:val="auto"/>
          <w:sz w:val="24"/>
          <w:szCs w:val="24"/>
          <w:highlight w:val="none"/>
        </w:rPr>
        <w:t>根据《建设项目环境风险评价技术导则》（HJ169-2018）附录B中的表B.1及表B.2中的突发环境事件风险物质、《危险化学品重大危险源辨识》（GB18218-2018）中表1、表2列举的危险化学品类别及表</w:t>
      </w:r>
      <w:r>
        <w:rPr>
          <w:rFonts w:hint="default" w:ascii="Times New Roman" w:hAnsi="Times New Roman" w:cs="Times New Roman" w:eastAsiaTheme="minorEastAsia"/>
          <w:color w:val="auto"/>
          <w:sz w:val="24"/>
          <w:szCs w:val="24"/>
          <w:highlight w:val="none"/>
          <w:lang w:val="en-US" w:eastAsia="zh-CN"/>
        </w:rPr>
        <w:t>2.1-6</w:t>
      </w:r>
      <w:r>
        <w:rPr>
          <w:rFonts w:hint="default" w:ascii="Times New Roman" w:hAnsi="Times New Roman" w:cs="Times New Roman" w:eastAsiaTheme="minorEastAsia"/>
          <w:color w:val="auto"/>
          <w:sz w:val="24"/>
          <w:szCs w:val="24"/>
          <w:highlight w:val="none"/>
          <w:lang w:val="zh-CN"/>
        </w:rPr>
        <w:t>主要原辅材料理化性质一览表</w:t>
      </w:r>
      <w:r>
        <w:rPr>
          <w:rFonts w:hint="default" w:ascii="Times New Roman" w:hAnsi="Times New Roman" w:cs="Times New Roman" w:eastAsiaTheme="minorEastAsia"/>
          <w:color w:val="auto"/>
          <w:sz w:val="24"/>
          <w:szCs w:val="24"/>
          <w:highlight w:val="none"/>
        </w:rPr>
        <w:t>进行辨识。</w:t>
      </w:r>
    </w:p>
    <w:p w14:paraId="1DAD9E9F">
      <w:pPr>
        <w:keepNext w:val="0"/>
        <w:keepLines w:val="0"/>
        <w:pageBreakBefore w:val="0"/>
        <w:widowControl w:val="0"/>
        <w:kinsoku/>
        <w:wordWrap/>
        <w:overflowPunct/>
        <w:topLinePunct w:val="0"/>
        <w:bidi w:val="0"/>
        <w:adjustRightInd w:val="0"/>
        <w:snapToGrid w:val="0"/>
        <w:spacing w:line="360" w:lineRule="auto"/>
        <w:ind w:firstLine="482"/>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本项目主要危险物质数量及分布见表</w:t>
      </w:r>
      <w:r>
        <w:rPr>
          <w:rFonts w:hint="default" w:ascii="Times New Roman" w:hAnsi="Times New Roman" w:cs="Times New Roman" w:eastAsiaTheme="minorEastAsia"/>
          <w:color w:val="auto"/>
          <w:sz w:val="24"/>
          <w:szCs w:val="24"/>
          <w:highlight w:val="none"/>
          <w:lang w:val="en-US" w:eastAsia="zh-CN"/>
        </w:rPr>
        <w:t>5.2.</w:t>
      </w:r>
      <w:r>
        <w:rPr>
          <w:rFonts w:hint="eastAsia"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rPr>
        <w:t>。</w:t>
      </w:r>
    </w:p>
    <w:p w14:paraId="08118472">
      <w:pPr>
        <w:pStyle w:val="38"/>
        <w:spacing w:before="60" w:after="60"/>
        <w:ind w:firstLine="528"/>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lang w:val="en-US" w:eastAsia="zh-CN"/>
        </w:rPr>
        <w:t>5.2.</w:t>
      </w:r>
      <w:r>
        <w:rPr>
          <w:rFonts w:hint="eastAsia" w:cs="Times New Roman" w:eastAsiaTheme="minorEastAsia"/>
          <w:b/>
          <w:color w:val="auto"/>
          <w:sz w:val="21"/>
          <w:szCs w:val="21"/>
          <w:highlight w:val="none"/>
          <w:lang w:val="en-US" w:eastAsia="zh-CN"/>
        </w:rPr>
        <w:t>8</w:t>
      </w:r>
      <w:r>
        <w:rPr>
          <w:rFonts w:hint="default" w:ascii="Times New Roman" w:hAnsi="Times New Roman" w:cs="Times New Roman" w:eastAsiaTheme="minorEastAsia"/>
          <w:b/>
          <w:color w:val="auto"/>
          <w:sz w:val="21"/>
          <w:szCs w:val="21"/>
          <w:highlight w:val="none"/>
          <w:lang w:val="en-US" w:eastAsia="zh-CN"/>
        </w:rPr>
        <w:t>-1</w:t>
      </w:r>
      <w:r>
        <w:rPr>
          <w:rFonts w:hint="default" w:ascii="Times New Roman" w:hAnsi="Times New Roman" w:cs="Times New Roman" w:eastAsiaTheme="minorEastAsia"/>
          <w:b/>
          <w:color w:val="auto"/>
          <w:sz w:val="21"/>
          <w:szCs w:val="21"/>
          <w:highlight w:val="none"/>
        </w:rPr>
        <w:t xml:space="preserve"> </w:t>
      </w:r>
      <w:r>
        <w:rPr>
          <w:rFonts w:hint="default" w:ascii="Times New Roman" w:hAnsi="Times New Roman" w:cs="Times New Roman" w:eastAsiaTheme="minorEastAsia"/>
          <w:b/>
          <w:color w:val="auto"/>
          <w:sz w:val="21"/>
          <w:szCs w:val="21"/>
          <w:highlight w:val="none"/>
          <w:lang w:val="en-US" w:eastAsia="zh-CN"/>
        </w:rPr>
        <w:t xml:space="preserve"> </w:t>
      </w:r>
      <w:r>
        <w:rPr>
          <w:rFonts w:hint="default" w:ascii="Times New Roman" w:hAnsi="Times New Roman" w:cs="Times New Roman" w:eastAsiaTheme="minorEastAsia"/>
          <w:b/>
          <w:color w:val="auto"/>
          <w:sz w:val="21"/>
          <w:szCs w:val="21"/>
          <w:highlight w:val="none"/>
        </w:rPr>
        <w:t xml:space="preserve"> 主要危险物质数量及分布情况表</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2001"/>
        <w:gridCol w:w="1771"/>
        <w:gridCol w:w="1348"/>
        <w:gridCol w:w="2102"/>
      </w:tblGrid>
      <w:tr w14:paraId="1087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vAlign w:val="center"/>
          </w:tcPr>
          <w:p w14:paraId="5B6A3C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危险物质</w:t>
            </w:r>
          </w:p>
        </w:tc>
        <w:tc>
          <w:tcPr>
            <w:tcW w:w="2001" w:type="dxa"/>
            <w:vAlign w:val="center"/>
          </w:tcPr>
          <w:p w14:paraId="5471378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来源</w:t>
            </w:r>
          </w:p>
        </w:tc>
        <w:tc>
          <w:tcPr>
            <w:tcW w:w="1771" w:type="dxa"/>
            <w:vAlign w:val="center"/>
          </w:tcPr>
          <w:p w14:paraId="0DD60D2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储存方式</w:t>
            </w:r>
          </w:p>
        </w:tc>
        <w:tc>
          <w:tcPr>
            <w:tcW w:w="1348" w:type="dxa"/>
            <w:vAlign w:val="center"/>
          </w:tcPr>
          <w:p w14:paraId="5078ED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最大储量</w:t>
            </w:r>
            <w:r>
              <w:rPr>
                <w:rFonts w:hint="default" w:ascii="Times New Roman" w:hAnsi="Times New Roman" w:cs="Times New Roman"/>
                <w:b/>
                <w:color w:val="auto"/>
                <w:sz w:val="21"/>
                <w:szCs w:val="21"/>
                <w:highlight w:val="none"/>
                <w:lang w:eastAsia="zh-CN"/>
              </w:rPr>
              <w:t>（</w:t>
            </w:r>
            <w:r>
              <w:rPr>
                <w:rFonts w:hint="default" w:ascii="Times New Roman" w:hAnsi="Times New Roman" w:cs="Times New Roman"/>
                <w:b/>
                <w:color w:val="auto"/>
                <w:sz w:val="21"/>
                <w:szCs w:val="21"/>
                <w:highlight w:val="none"/>
                <w:lang w:val="en-US" w:eastAsia="zh-CN"/>
              </w:rPr>
              <w:t>t</w:t>
            </w:r>
            <w:r>
              <w:rPr>
                <w:rFonts w:hint="default" w:ascii="Times New Roman" w:hAnsi="Times New Roman" w:cs="Times New Roman"/>
                <w:b/>
                <w:color w:val="auto"/>
                <w:sz w:val="21"/>
                <w:szCs w:val="21"/>
                <w:highlight w:val="none"/>
                <w:lang w:eastAsia="zh-CN"/>
              </w:rPr>
              <w:t>）</w:t>
            </w:r>
          </w:p>
        </w:tc>
        <w:tc>
          <w:tcPr>
            <w:tcW w:w="2102" w:type="dxa"/>
            <w:vAlign w:val="center"/>
          </w:tcPr>
          <w:p w14:paraId="6C3E5C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风险源</w:t>
            </w:r>
          </w:p>
        </w:tc>
      </w:tr>
      <w:tr w14:paraId="1F35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73" w:type="dxa"/>
            <w:vAlign w:val="center"/>
          </w:tcPr>
          <w:p w14:paraId="6CC7D7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2001" w:type="dxa"/>
            <w:vAlign w:val="center"/>
          </w:tcPr>
          <w:p w14:paraId="00E7CA2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天然气</w:t>
            </w:r>
            <w:r>
              <w:rPr>
                <w:rFonts w:hint="default" w:ascii="Times New Roman" w:hAnsi="Times New Roman" w:eastAsia="宋体" w:cs="Times New Roman"/>
                <w:color w:val="auto"/>
                <w:sz w:val="21"/>
                <w:szCs w:val="21"/>
                <w:highlight w:val="none"/>
                <w:lang w:val="en-US" w:eastAsia="zh-CN"/>
              </w:rPr>
              <w:t>燃烧</w:t>
            </w:r>
          </w:p>
        </w:tc>
        <w:tc>
          <w:tcPr>
            <w:tcW w:w="1771" w:type="dxa"/>
            <w:vAlign w:val="center"/>
          </w:tcPr>
          <w:p w14:paraId="3453FC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348" w:type="dxa"/>
            <w:vAlign w:val="center"/>
          </w:tcPr>
          <w:p w14:paraId="4C045B8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w:t>
            </w:r>
          </w:p>
        </w:tc>
        <w:tc>
          <w:tcPr>
            <w:tcW w:w="2102" w:type="dxa"/>
            <w:vAlign w:val="center"/>
          </w:tcPr>
          <w:p w14:paraId="35B44F1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烘干棚</w:t>
            </w:r>
          </w:p>
        </w:tc>
      </w:tr>
      <w:tr w14:paraId="26CC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vAlign w:val="center"/>
          </w:tcPr>
          <w:p w14:paraId="499DF7B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2001" w:type="dxa"/>
            <w:vAlign w:val="center"/>
          </w:tcPr>
          <w:p w14:paraId="332E7EB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天然气</w:t>
            </w:r>
            <w:r>
              <w:rPr>
                <w:rFonts w:hint="default" w:ascii="Times New Roman" w:hAnsi="Times New Roman" w:eastAsia="宋体" w:cs="Times New Roman"/>
                <w:color w:val="auto"/>
                <w:sz w:val="21"/>
                <w:szCs w:val="21"/>
                <w:highlight w:val="none"/>
                <w:lang w:val="en-US" w:eastAsia="zh-CN"/>
              </w:rPr>
              <w:t>燃烧</w:t>
            </w:r>
          </w:p>
        </w:tc>
        <w:tc>
          <w:tcPr>
            <w:tcW w:w="1771" w:type="dxa"/>
            <w:vAlign w:val="center"/>
          </w:tcPr>
          <w:p w14:paraId="4C1828E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348" w:type="dxa"/>
            <w:vAlign w:val="center"/>
          </w:tcPr>
          <w:p w14:paraId="3F2851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sz w:val="21"/>
                <w:szCs w:val="21"/>
                <w:highlight w:val="none"/>
              </w:rPr>
              <w:t>/</w:t>
            </w:r>
          </w:p>
        </w:tc>
        <w:tc>
          <w:tcPr>
            <w:tcW w:w="2102" w:type="dxa"/>
            <w:vAlign w:val="center"/>
          </w:tcPr>
          <w:p w14:paraId="16DA09D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烘干棚</w:t>
            </w:r>
          </w:p>
        </w:tc>
      </w:tr>
      <w:tr w14:paraId="32B4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vAlign w:val="center"/>
          </w:tcPr>
          <w:p w14:paraId="4B906F6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柴油</w:t>
            </w:r>
          </w:p>
        </w:tc>
        <w:tc>
          <w:tcPr>
            <w:tcW w:w="2001" w:type="dxa"/>
            <w:vAlign w:val="center"/>
          </w:tcPr>
          <w:p w14:paraId="20C633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c>
          <w:tcPr>
            <w:tcW w:w="1771" w:type="dxa"/>
            <w:vAlign w:val="center"/>
          </w:tcPr>
          <w:p w14:paraId="72990A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密闭油箱</w:t>
            </w:r>
          </w:p>
        </w:tc>
        <w:tc>
          <w:tcPr>
            <w:tcW w:w="1348" w:type="dxa"/>
            <w:vAlign w:val="center"/>
          </w:tcPr>
          <w:p w14:paraId="1D6E573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0.03</w:t>
            </w:r>
          </w:p>
        </w:tc>
        <w:tc>
          <w:tcPr>
            <w:tcW w:w="2102" w:type="dxa"/>
            <w:vAlign w:val="center"/>
          </w:tcPr>
          <w:p w14:paraId="1A45CD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发电机房</w:t>
            </w:r>
          </w:p>
        </w:tc>
      </w:tr>
      <w:tr w14:paraId="2CE9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vAlign w:val="center"/>
          </w:tcPr>
          <w:p w14:paraId="7BD82E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天然气</w:t>
            </w:r>
          </w:p>
        </w:tc>
        <w:tc>
          <w:tcPr>
            <w:tcW w:w="2001" w:type="dxa"/>
            <w:vAlign w:val="center"/>
          </w:tcPr>
          <w:p w14:paraId="5778E9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市政天然气管道</w:t>
            </w:r>
          </w:p>
        </w:tc>
        <w:tc>
          <w:tcPr>
            <w:tcW w:w="1771" w:type="dxa"/>
            <w:vAlign w:val="center"/>
          </w:tcPr>
          <w:p w14:paraId="05036A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348" w:type="dxa"/>
            <w:vAlign w:val="center"/>
          </w:tcPr>
          <w:p w14:paraId="67B0E6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102" w:type="dxa"/>
            <w:vAlign w:val="center"/>
          </w:tcPr>
          <w:p w14:paraId="3C5465E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0997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vAlign w:val="center"/>
          </w:tcPr>
          <w:p w14:paraId="35B03C8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S、NH</w:t>
            </w:r>
            <w:r>
              <w:rPr>
                <w:rFonts w:hint="default" w:ascii="Times New Roman" w:hAnsi="Times New Roman" w:eastAsia="宋体" w:cs="Times New Roman"/>
                <w:color w:val="auto"/>
                <w:sz w:val="21"/>
                <w:szCs w:val="21"/>
                <w:highlight w:val="none"/>
                <w:vertAlign w:val="subscript"/>
              </w:rPr>
              <w:t>3</w:t>
            </w:r>
          </w:p>
        </w:tc>
        <w:tc>
          <w:tcPr>
            <w:tcW w:w="2001" w:type="dxa"/>
            <w:vAlign w:val="center"/>
          </w:tcPr>
          <w:p w14:paraId="04E826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养殖过程</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堆肥过程</w:t>
            </w:r>
          </w:p>
        </w:tc>
        <w:tc>
          <w:tcPr>
            <w:tcW w:w="1771" w:type="dxa"/>
            <w:vAlign w:val="center"/>
          </w:tcPr>
          <w:p w14:paraId="08115C5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不进行储存</w:t>
            </w:r>
          </w:p>
        </w:tc>
        <w:tc>
          <w:tcPr>
            <w:tcW w:w="1348" w:type="dxa"/>
            <w:vAlign w:val="center"/>
          </w:tcPr>
          <w:p w14:paraId="05C7CA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102" w:type="dxa"/>
            <w:vAlign w:val="center"/>
          </w:tcPr>
          <w:p w14:paraId="16913EC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养殖区、</w:t>
            </w:r>
            <w:r>
              <w:rPr>
                <w:rFonts w:hint="default" w:ascii="Times New Roman" w:hAnsi="Times New Roman" w:eastAsia="宋体" w:cs="Times New Roman"/>
                <w:color w:val="auto"/>
                <w:sz w:val="21"/>
                <w:szCs w:val="21"/>
                <w:highlight w:val="none"/>
                <w:lang w:val="en-US" w:eastAsia="zh-CN"/>
              </w:rPr>
              <w:t>废水处理区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堆肥棚</w:t>
            </w:r>
          </w:p>
        </w:tc>
      </w:tr>
      <w:tr w14:paraId="7A9C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vAlign w:val="center"/>
          </w:tcPr>
          <w:p w14:paraId="70AB6D9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废润滑油、</w:t>
            </w:r>
            <w:r>
              <w:rPr>
                <w:rFonts w:hint="default" w:ascii="Times New Roman" w:hAnsi="Times New Roman" w:eastAsia="宋体" w:cs="Times New Roman"/>
                <w:color w:val="auto"/>
                <w:sz w:val="21"/>
                <w:szCs w:val="21"/>
                <w:highlight w:val="none"/>
              </w:rPr>
              <w:t>废机油</w:t>
            </w:r>
          </w:p>
        </w:tc>
        <w:tc>
          <w:tcPr>
            <w:tcW w:w="2001" w:type="dxa"/>
            <w:vAlign w:val="center"/>
          </w:tcPr>
          <w:p w14:paraId="27BB9F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设备维护</w:t>
            </w:r>
          </w:p>
        </w:tc>
        <w:tc>
          <w:tcPr>
            <w:tcW w:w="1771" w:type="dxa"/>
            <w:vAlign w:val="center"/>
          </w:tcPr>
          <w:p w14:paraId="7C5C1D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密闭桶装</w:t>
            </w:r>
          </w:p>
        </w:tc>
        <w:tc>
          <w:tcPr>
            <w:tcW w:w="1348" w:type="dxa"/>
            <w:vAlign w:val="center"/>
          </w:tcPr>
          <w:p w14:paraId="6661A6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0.</w:t>
            </w:r>
            <w:r>
              <w:rPr>
                <w:rFonts w:hint="default" w:ascii="Times New Roman" w:hAnsi="Times New Roman" w:cs="Times New Roman"/>
                <w:color w:val="auto"/>
                <w:sz w:val="21"/>
                <w:szCs w:val="21"/>
                <w:highlight w:val="none"/>
                <w:lang w:val="en-US" w:eastAsia="zh-CN"/>
              </w:rPr>
              <w:t>1</w:t>
            </w:r>
          </w:p>
        </w:tc>
        <w:tc>
          <w:tcPr>
            <w:tcW w:w="2102" w:type="dxa"/>
            <w:vAlign w:val="center"/>
          </w:tcPr>
          <w:p w14:paraId="7AC2F8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危废暂存间</w:t>
            </w:r>
          </w:p>
        </w:tc>
      </w:tr>
    </w:tbl>
    <w:p w14:paraId="5586941F">
      <w:pPr>
        <w:adjustRightInd w:val="0"/>
        <w:snapToGrid w:val="0"/>
        <w:spacing w:line="360" w:lineRule="auto"/>
        <w:ind w:firstLine="482"/>
        <w:rPr>
          <w:rFonts w:hint="default" w:ascii="Times New Roman" w:hAnsi="Times New Roman" w:cs="Times New Roman"/>
          <w:color w:val="auto"/>
          <w:kern w:val="0"/>
          <w:sz w:val="24"/>
          <w:highlight w:val="none"/>
          <w:lang w:bidi="ar"/>
        </w:rPr>
      </w:pPr>
    </w:p>
    <w:p w14:paraId="60DA7F35">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w:t>
      </w:r>
      <w:r>
        <w:rPr>
          <w:rFonts w:hint="eastAsia" w:cs="Times New Roman"/>
          <w:b/>
          <w:bCs/>
          <w:color w:val="auto"/>
          <w:sz w:val="24"/>
          <w:highlight w:val="none"/>
          <w:lang w:val="en-US" w:eastAsia="zh-CN"/>
        </w:rPr>
        <w:t>8</w:t>
      </w:r>
      <w:r>
        <w:rPr>
          <w:rFonts w:hint="default" w:ascii="Times New Roman" w:hAnsi="Times New Roman" w:cs="Times New Roman"/>
          <w:b/>
          <w:bCs/>
          <w:color w:val="auto"/>
          <w:sz w:val="24"/>
          <w:highlight w:val="none"/>
        </w:rPr>
        <w:t>.2</w:t>
      </w:r>
      <w:r>
        <w:rPr>
          <w:rFonts w:hint="default" w:ascii="Times New Roman" w:hAnsi="Times New Roman" w:cs="Times New Roman"/>
          <w:b/>
          <w:bCs/>
          <w:color w:val="auto"/>
          <w:kern w:val="0"/>
          <w:sz w:val="24"/>
          <w:highlight w:val="none"/>
          <w:lang w:val="en-US" w:eastAsia="zh-CN" w:bidi="ar"/>
        </w:rPr>
        <w:t>环境风险潜势初判</w:t>
      </w:r>
    </w:p>
    <w:p w14:paraId="21087B5F">
      <w:pPr>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项目所涉及的每种危险物质在厂界内的最大存在总量与对应临界量的比值为Q，当只涉及一种危险物质时，计算该物质的总量与其临界量比值，当存在多种危险物质时，按下列公式计算Q值：</w:t>
      </w:r>
    </w:p>
    <w:p w14:paraId="4EC898AB">
      <w:pPr>
        <w:keepNext w:val="0"/>
        <w:keepLines w:val="0"/>
        <w:widowControl w:val="0"/>
        <w:suppressLineNumbers w:val="0"/>
        <w:spacing w:before="0" w:beforeAutospacing="0" w:after="0" w:afterAutospacing="0" w:line="360" w:lineRule="auto"/>
        <w:ind w:left="120" w:right="120" w:firstLine="480" w:firstLineChars="20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position w:val="-16"/>
          <w:sz w:val="24"/>
          <w:szCs w:val="24"/>
          <w:lang w:val="en-US" w:eastAsia="zh-CN" w:bidi="ar"/>
        </w:rPr>
        <w:object>
          <v:shape id="_x0000_i1030" o:spt="75" type="#_x0000_t75" style="height:36pt;width:108.75pt;" o:ole="t" filled="f" o:preferrelative="t" stroked="f" coordsize="21600,21600">
            <v:path/>
            <v:fill on="f" focussize="0,0"/>
            <v:stroke on="f" joinstyle="miter"/>
            <v:imagedata r:id="rId68" o:title=""/>
            <o:lock v:ext="edit" aspectratio="t"/>
            <w10:wrap type="none"/>
            <w10:anchorlock/>
          </v:shape>
          <o:OLEObject Type="Embed" ProgID="Equation.KSEE3" ShapeID="_x0000_i1030" DrawAspect="Content" ObjectID="_1468075730" r:id="rId67">
            <o:LockedField>false</o:LockedField>
          </o:OLEObject>
        </w:object>
      </w:r>
    </w:p>
    <w:p w14:paraId="0703B351">
      <w:pPr>
        <w:keepNext w:val="0"/>
        <w:keepLines w:val="0"/>
        <w:widowControl w:val="0"/>
        <w:suppressLineNumbers w:val="0"/>
        <w:snapToGrid w:val="0"/>
        <w:spacing w:before="0" w:beforeAutospacing="0" w:after="0" w:afterAutospacing="0" w:line="360" w:lineRule="auto"/>
        <w:ind w:left="120" w:right="12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式中：q</w:t>
      </w:r>
      <w:r>
        <w:rPr>
          <w:rFonts w:hint="default" w:ascii="Times New Roman" w:hAnsi="Times New Roman" w:eastAsia="宋体" w:cs="Times New Roman"/>
          <w:color w:val="auto"/>
          <w:kern w:val="2"/>
          <w:sz w:val="24"/>
          <w:szCs w:val="24"/>
          <w:vertAlign w:val="subscript"/>
          <w:lang w:val="en-US" w:eastAsia="zh-CN" w:bidi="ar"/>
        </w:rPr>
        <w:t>1</w:t>
      </w:r>
      <w:r>
        <w:rPr>
          <w:rFonts w:hint="default" w:ascii="Times New Roman" w:hAnsi="Times New Roman" w:eastAsia="宋体" w:cs="Times New Roman"/>
          <w:color w:val="auto"/>
          <w:kern w:val="2"/>
          <w:sz w:val="24"/>
          <w:szCs w:val="24"/>
          <w:lang w:val="en-US" w:eastAsia="zh-CN" w:bidi="ar"/>
        </w:rPr>
        <w:t>，q</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，…qn—每种危险物质的最大存在总量，t；</w:t>
      </w:r>
    </w:p>
    <w:p w14:paraId="547D3556">
      <w:pPr>
        <w:keepNext w:val="0"/>
        <w:keepLines w:val="0"/>
        <w:widowControl w:val="0"/>
        <w:suppressLineNumbers w:val="0"/>
        <w:snapToGrid w:val="0"/>
        <w:spacing w:before="0" w:beforeAutospacing="0" w:after="0" w:afterAutospacing="0" w:line="360" w:lineRule="auto"/>
        <w:ind w:left="120" w:right="12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Q</w:t>
      </w:r>
      <w:r>
        <w:rPr>
          <w:rFonts w:hint="default" w:ascii="Times New Roman" w:hAnsi="Times New Roman" w:eastAsia="宋体" w:cs="Times New Roman"/>
          <w:color w:val="auto"/>
          <w:kern w:val="2"/>
          <w:sz w:val="24"/>
          <w:szCs w:val="24"/>
          <w:vertAlign w:val="subscript"/>
          <w:lang w:val="en-US" w:eastAsia="zh-CN" w:bidi="ar"/>
        </w:rPr>
        <w:t>1</w:t>
      </w:r>
      <w:r>
        <w:rPr>
          <w:rFonts w:hint="default" w:ascii="Times New Roman" w:hAnsi="Times New Roman" w:eastAsia="宋体" w:cs="Times New Roman"/>
          <w:color w:val="auto"/>
          <w:kern w:val="2"/>
          <w:sz w:val="24"/>
          <w:szCs w:val="24"/>
          <w:lang w:val="en-US" w:eastAsia="zh-CN" w:bidi="ar"/>
        </w:rPr>
        <w:t>，Q</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，…Qn—每种物质的临界量，t。可在HJ169-2018中附录B中查询。</w:t>
      </w:r>
    </w:p>
    <w:p w14:paraId="2335A723">
      <w:pPr>
        <w:keepNext w:val="0"/>
        <w:keepLines w:val="0"/>
        <w:widowControl w:val="0"/>
        <w:suppressLineNumbers w:val="0"/>
        <w:snapToGrid w:val="0"/>
        <w:spacing w:before="0" w:beforeAutospacing="0" w:after="0" w:afterAutospacing="0" w:line="360" w:lineRule="auto"/>
        <w:ind w:left="120" w:right="12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当Q＜1时，该项目环境风险潜势为Ⅰ。</w:t>
      </w:r>
    </w:p>
    <w:p w14:paraId="589E65F8">
      <w:pPr>
        <w:keepNext w:val="0"/>
        <w:keepLines w:val="0"/>
        <w:widowControl w:val="0"/>
        <w:suppressLineNumbers w:val="0"/>
        <w:snapToGrid w:val="0"/>
        <w:spacing w:before="0" w:beforeAutospacing="0" w:after="0" w:afterAutospacing="0" w:line="360" w:lineRule="auto"/>
        <w:ind w:left="120" w:right="12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当Q≥1时，将Q值划分为：（1）1＜≤Q＜10；（2）10≤Q＜100；（3）Q≥100。</w:t>
      </w:r>
    </w:p>
    <w:p w14:paraId="7CB3A7E5">
      <w:pPr>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0"/>
          <w:sz w:val="24"/>
          <w:szCs w:val="24"/>
          <w:lang w:val="en-US" w:eastAsia="zh-CN" w:bidi="ar"/>
        </w:rPr>
        <w:t>根据上文项目风险源识别结果，计算得到项目风险物质数量与临界量比值（Q值）见表5.2.</w:t>
      </w:r>
      <w:r>
        <w:rPr>
          <w:rFonts w:hint="eastAsia"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-2。</w:t>
      </w:r>
    </w:p>
    <w:p w14:paraId="560D5FF1">
      <w:pPr>
        <w:pStyle w:val="38"/>
        <w:keepNext w:val="0"/>
        <w:keepLines w:val="0"/>
        <w:pageBreakBefore w:val="0"/>
        <w:widowControl/>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5.2.</w:t>
      </w:r>
      <w:r>
        <w:rPr>
          <w:rFonts w:hint="eastAsia" w:eastAsia="宋体"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eastAsia="zh-CN"/>
        </w:rPr>
        <w:t>项目</w:t>
      </w:r>
      <w:r>
        <w:rPr>
          <w:rFonts w:hint="default" w:ascii="Times New Roman" w:hAnsi="Times New Roman" w:eastAsia="宋体" w:cs="Times New Roman"/>
          <w:b/>
          <w:color w:val="auto"/>
          <w:sz w:val="21"/>
          <w:szCs w:val="21"/>
          <w:highlight w:val="none"/>
          <w:lang w:val="en-US" w:eastAsia="zh-CN"/>
        </w:rPr>
        <w:t>Q值判定表</w:t>
      </w:r>
    </w:p>
    <w:tbl>
      <w:tblPr>
        <w:tblStyle w:val="23"/>
        <w:tblW w:w="86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03"/>
        <w:gridCol w:w="1764"/>
        <w:gridCol w:w="1912"/>
        <w:gridCol w:w="1988"/>
        <w:gridCol w:w="2159"/>
      </w:tblGrid>
      <w:tr w14:paraId="165B6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803" w:type="dxa"/>
            <w:tcBorders>
              <w:top w:val="single" w:color="000000" w:sz="6" w:space="0"/>
              <w:left w:val="single" w:color="000000" w:sz="6" w:space="0"/>
              <w:bottom w:val="single" w:color="000000" w:sz="6" w:space="0"/>
              <w:right w:val="single" w:color="000000" w:sz="4" w:space="0"/>
            </w:tcBorders>
            <w:shd w:val="clear" w:color="auto" w:fill="auto"/>
            <w:vAlign w:val="center"/>
          </w:tcPr>
          <w:p w14:paraId="568DC7FE">
            <w:pPr>
              <w:pStyle w:val="20"/>
              <w:keepNext w:val="0"/>
              <w:keepLines w:val="0"/>
              <w:widowControl w:val="0"/>
              <w:suppressLineNumbers w:val="0"/>
              <w:autoSpaceDE w:val="0"/>
              <w:autoSpaceDN w:val="0"/>
              <w:adjustRightInd w:val="0"/>
              <w:spacing w:before="0" w:beforeAutospacing="0" w:after="0" w:afterAutospacing="0" w:line="261" w:lineRule="exact"/>
              <w:ind w:left="182" w:right="0"/>
              <w:jc w:val="left"/>
              <w:rPr>
                <w:rFonts w:hint="default" w:ascii="Times New Roman" w:hAnsi="Times New Roman" w:cs="Times New Roman"/>
                <w:b/>
                <w:bCs w:val="0"/>
                <w:color w:val="auto"/>
                <w:sz w:val="21"/>
                <w:szCs w:val="21"/>
                <w:lang w:val="en-US"/>
              </w:rPr>
            </w:pPr>
            <w:r>
              <w:rPr>
                <w:rFonts w:hint="default" w:ascii="Times New Roman" w:hAnsi="Times New Roman" w:eastAsia="宋体" w:cs="Times New Roman"/>
                <w:b/>
                <w:bCs w:val="0"/>
                <w:color w:val="auto"/>
                <w:spacing w:val="-1"/>
                <w:kern w:val="0"/>
                <w:sz w:val="21"/>
                <w:szCs w:val="21"/>
                <w:lang w:val="en-US" w:eastAsia="zh-CN" w:bidi="ar"/>
              </w:rPr>
              <w:t>序号</w:t>
            </w:r>
          </w:p>
        </w:tc>
        <w:tc>
          <w:tcPr>
            <w:tcW w:w="1764" w:type="dxa"/>
            <w:tcBorders>
              <w:top w:val="single" w:color="000000" w:sz="6" w:space="0"/>
              <w:left w:val="single" w:color="000000" w:sz="4" w:space="0"/>
              <w:bottom w:val="single" w:color="000000" w:sz="6" w:space="0"/>
              <w:right w:val="single" w:color="000000" w:sz="6" w:space="0"/>
            </w:tcBorders>
            <w:shd w:val="clear" w:color="auto" w:fill="auto"/>
            <w:vAlign w:val="center"/>
          </w:tcPr>
          <w:p w14:paraId="5B4219D1">
            <w:pPr>
              <w:pStyle w:val="20"/>
              <w:keepNext w:val="0"/>
              <w:keepLines w:val="0"/>
              <w:widowControl w:val="0"/>
              <w:suppressLineNumbers w:val="0"/>
              <w:autoSpaceDE w:val="0"/>
              <w:autoSpaceDN w:val="0"/>
              <w:adjustRightInd w:val="0"/>
              <w:spacing w:before="0" w:beforeAutospacing="0" w:after="0" w:afterAutospacing="0" w:line="261" w:lineRule="exact"/>
              <w:ind w:left="2" w:right="0"/>
              <w:jc w:val="center"/>
              <w:rPr>
                <w:rFonts w:hint="default" w:ascii="Times New Roman" w:hAnsi="Times New Roman" w:cs="Times New Roman"/>
                <w:b/>
                <w:bCs w:val="0"/>
                <w:color w:val="auto"/>
                <w:sz w:val="21"/>
                <w:szCs w:val="21"/>
                <w:lang w:val="en-US"/>
              </w:rPr>
            </w:pPr>
            <w:r>
              <w:rPr>
                <w:rFonts w:hint="default" w:ascii="Times New Roman" w:hAnsi="Times New Roman" w:eastAsia="宋体" w:cs="Times New Roman"/>
                <w:b/>
                <w:bCs w:val="0"/>
                <w:color w:val="auto"/>
                <w:spacing w:val="-1"/>
                <w:kern w:val="0"/>
                <w:sz w:val="21"/>
                <w:szCs w:val="21"/>
                <w:lang w:val="en-US" w:eastAsia="zh-CN" w:bidi="ar"/>
              </w:rPr>
              <w:t>名称</w:t>
            </w:r>
          </w:p>
        </w:tc>
        <w:tc>
          <w:tcPr>
            <w:tcW w:w="19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5DF71B9">
            <w:pPr>
              <w:pStyle w:val="20"/>
              <w:keepNext w:val="0"/>
              <w:keepLines w:val="0"/>
              <w:widowControl w:val="0"/>
              <w:suppressLineNumbers w:val="0"/>
              <w:autoSpaceDE w:val="0"/>
              <w:autoSpaceDN w:val="0"/>
              <w:adjustRightInd w:val="0"/>
              <w:spacing w:before="0" w:beforeAutospacing="0" w:after="0" w:afterAutospacing="0" w:line="277" w:lineRule="exact"/>
              <w:ind w:left="287" w:right="0"/>
              <w:jc w:val="center"/>
              <w:rPr>
                <w:rFonts w:hint="default" w:ascii="Times New Roman" w:hAnsi="Times New Roman" w:cs="Times New Roman"/>
                <w:b/>
                <w:bCs w:val="0"/>
                <w:color w:val="auto"/>
                <w:sz w:val="21"/>
                <w:szCs w:val="21"/>
                <w:lang w:val="en-US"/>
              </w:rPr>
            </w:pPr>
            <w:r>
              <w:rPr>
                <w:rFonts w:hint="default" w:ascii="Times New Roman" w:hAnsi="Times New Roman" w:eastAsia="宋体" w:cs="Times New Roman"/>
                <w:b/>
                <w:bCs w:val="0"/>
                <w:color w:val="auto"/>
                <w:kern w:val="0"/>
                <w:sz w:val="21"/>
                <w:szCs w:val="21"/>
                <w:lang w:val="en-US" w:eastAsia="zh-CN" w:bidi="ar"/>
              </w:rPr>
              <w:t>最大储存量（t）</w:t>
            </w:r>
          </w:p>
        </w:tc>
        <w:tc>
          <w:tcPr>
            <w:tcW w:w="19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C725B5">
            <w:pPr>
              <w:pStyle w:val="20"/>
              <w:keepNext w:val="0"/>
              <w:keepLines w:val="0"/>
              <w:widowControl w:val="0"/>
              <w:suppressLineNumbers w:val="0"/>
              <w:autoSpaceDE w:val="0"/>
              <w:autoSpaceDN w:val="0"/>
              <w:adjustRightInd w:val="0"/>
              <w:spacing w:before="0" w:beforeAutospacing="0" w:after="0" w:afterAutospacing="0" w:line="277" w:lineRule="exact"/>
              <w:ind w:left="421" w:right="0"/>
              <w:jc w:val="center"/>
              <w:rPr>
                <w:rFonts w:hint="default" w:ascii="Times New Roman" w:hAnsi="Times New Roman" w:cs="Times New Roman"/>
                <w:b/>
                <w:bCs w:val="0"/>
                <w:color w:val="auto"/>
                <w:sz w:val="21"/>
                <w:szCs w:val="21"/>
                <w:lang w:val="en-US"/>
              </w:rPr>
            </w:pPr>
            <w:r>
              <w:rPr>
                <w:rFonts w:hint="default" w:ascii="Times New Roman" w:hAnsi="Times New Roman" w:eastAsia="宋体" w:cs="Times New Roman"/>
                <w:b/>
                <w:bCs w:val="0"/>
                <w:color w:val="auto"/>
                <w:kern w:val="0"/>
                <w:sz w:val="21"/>
                <w:szCs w:val="21"/>
                <w:lang w:val="en-US" w:eastAsia="zh-CN" w:bidi="ar"/>
              </w:rPr>
              <w:t>临界量（t）</w:t>
            </w:r>
          </w:p>
        </w:tc>
        <w:tc>
          <w:tcPr>
            <w:tcW w:w="215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CAD8B85">
            <w:pPr>
              <w:pStyle w:val="20"/>
              <w:keepNext w:val="0"/>
              <w:keepLines w:val="0"/>
              <w:widowControl w:val="0"/>
              <w:suppressLineNumbers w:val="0"/>
              <w:autoSpaceDE w:val="0"/>
              <w:autoSpaceDN w:val="0"/>
              <w:adjustRightInd w:val="0"/>
              <w:spacing w:before="35" w:beforeAutospacing="0" w:after="0" w:afterAutospacing="0"/>
              <w:ind w:left="0" w:right="0"/>
              <w:jc w:val="center"/>
              <w:rPr>
                <w:rFonts w:hint="default" w:ascii="Times New Roman" w:hAnsi="Times New Roman" w:cs="Times New Roman"/>
                <w:b/>
                <w:bCs w:val="0"/>
                <w:color w:val="auto"/>
                <w:sz w:val="21"/>
                <w:szCs w:val="21"/>
                <w:lang w:val="en-US"/>
              </w:rPr>
            </w:pPr>
            <w:r>
              <w:rPr>
                <w:rFonts w:hint="default" w:ascii="Times New Roman" w:hAnsi="Times New Roman" w:eastAsia="宋体" w:cs="Times New Roman"/>
                <w:b/>
                <w:bCs w:val="0"/>
                <w:color w:val="auto"/>
                <w:spacing w:val="-1"/>
                <w:kern w:val="0"/>
                <w:sz w:val="21"/>
                <w:szCs w:val="21"/>
                <w:lang w:val="en-US" w:eastAsia="zh-CN" w:bidi="ar"/>
              </w:rPr>
              <w:t>qi/Qi</w:t>
            </w:r>
          </w:p>
        </w:tc>
      </w:tr>
      <w:tr w14:paraId="18B62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803" w:type="dxa"/>
            <w:tcBorders>
              <w:top w:val="single" w:color="000000" w:sz="6" w:space="0"/>
              <w:left w:val="single" w:color="000000" w:sz="6" w:space="0"/>
              <w:bottom w:val="single" w:color="000000" w:sz="6" w:space="0"/>
              <w:right w:val="single" w:color="000000" w:sz="4" w:space="0"/>
            </w:tcBorders>
            <w:shd w:val="clear" w:color="auto" w:fill="auto"/>
            <w:vAlign w:val="center"/>
          </w:tcPr>
          <w:p w14:paraId="6183AB5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cs="Times New Roman"/>
                <w:color w:val="auto"/>
                <w:kern w:val="2"/>
                <w:sz w:val="21"/>
                <w:szCs w:val="21"/>
                <w:lang w:val="en-US" w:eastAsia="zh-CN" w:bidi="ar"/>
              </w:rPr>
              <w:t>1</w:t>
            </w:r>
          </w:p>
        </w:tc>
        <w:tc>
          <w:tcPr>
            <w:tcW w:w="1764" w:type="dxa"/>
            <w:tcBorders>
              <w:top w:val="single" w:color="000000" w:sz="6" w:space="0"/>
              <w:left w:val="single" w:color="000000" w:sz="4" w:space="0"/>
              <w:bottom w:val="single" w:color="000000" w:sz="6" w:space="0"/>
              <w:right w:val="single" w:color="000000" w:sz="6" w:space="0"/>
            </w:tcBorders>
            <w:shd w:val="clear" w:color="auto" w:fill="auto"/>
            <w:vAlign w:val="center"/>
          </w:tcPr>
          <w:p w14:paraId="74E4450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cs="Times New Roman"/>
                <w:color w:val="auto"/>
                <w:sz w:val="21"/>
                <w:szCs w:val="21"/>
                <w:highlight w:val="none"/>
                <w:lang w:val="en-US" w:eastAsia="zh-CN"/>
              </w:rPr>
              <w:t>柴油</w:t>
            </w:r>
          </w:p>
        </w:tc>
        <w:tc>
          <w:tcPr>
            <w:tcW w:w="19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CD108F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sz w:val="21"/>
                <w:szCs w:val="21"/>
                <w:highlight w:val="none"/>
                <w:lang w:val="en-US" w:eastAsia="zh-CN"/>
              </w:rPr>
              <w:t>0.03</w:t>
            </w:r>
          </w:p>
        </w:tc>
        <w:tc>
          <w:tcPr>
            <w:tcW w:w="19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7012A6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2500</w:t>
            </w:r>
          </w:p>
        </w:tc>
        <w:tc>
          <w:tcPr>
            <w:tcW w:w="215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C374CF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0.000012</w:t>
            </w:r>
          </w:p>
        </w:tc>
      </w:tr>
      <w:tr w14:paraId="70B76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803" w:type="dxa"/>
            <w:tcBorders>
              <w:top w:val="single" w:color="000000" w:sz="6" w:space="0"/>
              <w:left w:val="single" w:color="000000" w:sz="6" w:space="0"/>
              <w:bottom w:val="single" w:color="000000" w:sz="6" w:space="0"/>
              <w:right w:val="single" w:color="000000" w:sz="4" w:space="0"/>
            </w:tcBorders>
            <w:shd w:val="clear" w:color="auto" w:fill="auto"/>
            <w:vAlign w:val="center"/>
          </w:tcPr>
          <w:p w14:paraId="42291E1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color w:val="auto"/>
                <w:kern w:val="2"/>
                <w:sz w:val="21"/>
                <w:szCs w:val="21"/>
                <w:lang w:val="en-US" w:eastAsia="zh-CN" w:bidi="ar"/>
              </w:rPr>
              <w:t>2</w:t>
            </w:r>
          </w:p>
        </w:tc>
        <w:tc>
          <w:tcPr>
            <w:tcW w:w="1764" w:type="dxa"/>
            <w:tcBorders>
              <w:top w:val="single" w:color="000000" w:sz="6" w:space="0"/>
              <w:left w:val="single" w:color="000000" w:sz="4" w:space="0"/>
              <w:bottom w:val="single" w:color="000000" w:sz="6" w:space="0"/>
              <w:right w:val="single" w:color="000000" w:sz="6" w:space="0"/>
            </w:tcBorders>
            <w:shd w:val="clear" w:color="auto" w:fill="auto"/>
            <w:vAlign w:val="center"/>
          </w:tcPr>
          <w:p w14:paraId="4C18CF9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highlight w:val="none"/>
                <w:lang w:eastAsia="zh-CN"/>
              </w:rPr>
              <w:t>废润滑油、</w:t>
            </w:r>
            <w:r>
              <w:rPr>
                <w:rFonts w:hint="default" w:ascii="Times New Roman" w:hAnsi="Times New Roman" w:eastAsia="宋体" w:cs="Times New Roman"/>
                <w:color w:val="auto"/>
                <w:sz w:val="21"/>
                <w:szCs w:val="21"/>
                <w:highlight w:val="none"/>
              </w:rPr>
              <w:t>废机油</w:t>
            </w:r>
          </w:p>
        </w:tc>
        <w:tc>
          <w:tcPr>
            <w:tcW w:w="19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A88172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highlight w:val="none"/>
                <w:lang w:eastAsia="zh-CN"/>
              </w:rPr>
              <w:t>0.</w:t>
            </w:r>
            <w:r>
              <w:rPr>
                <w:rFonts w:hint="default" w:ascii="Times New Roman" w:hAnsi="Times New Roman" w:cs="Times New Roman"/>
                <w:color w:val="auto"/>
                <w:sz w:val="21"/>
                <w:szCs w:val="21"/>
                <w:highlight w:val="none"/>
                <w:lang w:val="en-US" w:eastAsia="zh-CN"/>
              </w:rPr>
              <w:t>1</w:t>
            </w:r>
          </w:p>
        </w:tc>
        <w:tc>
          <w:tcPr>
            <w:tcW w:w="198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0DD63B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2500</w:t>
            </w:r>
          </w:p>
        </w:tc>
        <w:tc>
          <w:tcPr>
            <w:tcW w:w="215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85546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0.000</w:t>
            </w:r>
            <w:r>
              <w:rPr>
                <w:rFonts w:hint="default" w:ascii="Times New Roman" w:hAnsi="Times New Roman" w:cs="Times New Roman"/>
                <w:color w:val="auto"/>
                <w:kern w:val="2"/>
                <w:sz w:val="21"/>
                <w:szCs w:val="21"/>
                <w:lang w:val="en-US" w:eastAsia="zh-CN" w:bidi="ar"/>
              </w:rPr>
              <w:t>04</w:t>
            </w:r>
          </w:p>
        </w:tc>
      </w:tr>
      <w:tr w14:paraId="2DF3D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2567"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14:paraId="372BCEA2">
            <w:pPr>
              <w:pStyle w:val="20"/>
              <w:keepNext w:val="0"/>
              <w:keepLines w:val="0"/>
              <w:widowControl w:val="0"/>
              <w:suppressLineNumbers w:val="0"/>
              <w:autoSpaceDE w:val="0"/>
              <w:autoSpaceDN w:val="0"/>
              <w:adjustRightInd w:val="0"/>
              <w:spacing w:before="0" w:beforeAutospacing="0" w:after="0" w:afterAutospacing="0" w:line="262" w:lineRule="exact"/>
              <w:ind w:left="0" w:right="1"/>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pacing w:val="-1"/>
                <w:kern w:val="0"/>
                <w:sz w:val="21"/>
                <w:szCs w:val="21"/>
                <w:lang w:val="en-US" w:eastAsia="zh-CN" w:bidi="ar"/>
              </w:rPr>
              <w:t>合计</w:t>
            </w:r>
          </w:p>
        </w:tc>
        <w:tc>
          <w:tcPr>
            <w:tcW w:w="3900"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14:paraId="272E71CF">
            <w:pPr>
              <w:pStyle w:val="20"/>
              <w:keepNext w:val="0"/>
              <w:keepLines w:val="0"/>
              <w:widowControl w:val="0"/>
              <w:suppressLineNumbers w:val="0"/>
              <w:autoSpaceDE w:val="0"/>
              <w:autoSpaceDN w:val="0"/>
              <w:adjustRightInd w:val="0"/>
              <w:spacing w:before="36" w:beforeAutospacing="0" w:after="0" w:afterAutospacing="0"/>
              <w:ind w:left="0" w:right="1"/>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w:t>
            </w:r>
          </w:p>
        </w:tc>
        <w:tc>
          <w:tcPr>
            <w:tcW w:w="215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3487A80">
            <w:pPr>
              <w:pStyle w:val="20"/>
              <w:keepNext w:val="0"/>
              <w:keepLines w:val="0"/>
              <w:widowControl w:val="0"/>
              <w:suppressLineNumbers w:val="0"/>
              <w:autoSpaceDE w:val="0"/>
              <w:autoSpaceDN w:val="0"/>
              <w:adjustRightInd w:val="0"/>
              <w:spacing w:before="0" w:beforeAutospacing="0" w:after="0" w:afterAutospacing="0" w:line="277" w:lineRule="exact"/>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0.000052＜1</w:t>
            </w:r>
          </w:p>
        </w:tc>
      </w:tr>
      <w:tr w14:paraId="7F27A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2567"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14:paraId="323EDCBA">
            <w:pPr>
              <w:pStyle w:val="20"/>
              <w:keepNext w:val="0"/>
              <w:keepLines w:val="0"/>
              <w:widowControl w:val="0"/>
              <w:suppressLineNumbers w:val="0"/>
              <w:autoSpaceDE w:val="0"/>
              <w:autoSpaceDN w:val="0"/>
              <w:adjustRightInd w:val="0"/>
              <w:spacing w:before="0" w:beforeAutospacing="0" w:after="0" w:afterAutospacing="0" w:line="261" w:lineRule="exact"/>
              <w:ind w:left="518"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环境风险潜势</w:t>
            </w:r>
          </w:p>
        </w:tc>
        <w:tc>
          <w:tcPr>
            <w:tcW w:w="605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7820B072">
            <w:pPr>
              <w:pStyle w:val="20"/>
              <w:keepNext w:val="0"/>
              <w:keepLines w:val="0"/>
              <w:widowControl w:val="0"/>
              <w:suppressLineNumbers w:val="0"/>
              <w:autoSpaceDE w:val="0"/>
              <w:autoSpaceDN w:val="0"/>
              <w:adjustRightInd w:val="0"/>
              <w:spacing w:before="35" w:beforeAutospacing="0" w:after="0" w:afterAutospacing="0"/>
              <w:ind w:left="0" w:right="2"/>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I</w:t>
            </w:r>
          </w:p>
        </w:tc>
      </w:tr>
    </w:tbl>
    <w:p w14:paraId="638838F1">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综上，建设项目Q值＜1，可直接判定本项目环境风险潜势为I。</w:t>
      </w:r>
    </w:p>
    <w:p w14:paraId="79369184">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w:t>
      </w:r>
      <w:r>
        <w:rPr>
          <w:rFonts w:hint="eastAsia" w:cs="Times New Roman"/>
          <w:b/>
          <w:bCs/>
          <w:color w:val="auto"/>
          <w:sz w:val="24"/>
          <w:highlight w:val="none"/>
          <w:lang w:val="en-US" w:eastAsia="zh-CN"/>
        </w:rPr>
        <w:t>8</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3</w:t>
      </w:r>
      <w:r>
        <w:rPr>
          <w:rFonts w:hint="default" w:ascii="Times New Roman" w:hAnsi="Times New Roman" w:cs="Times New Roman"/>
          <w:b/>
          <w:bCs/>
          <w:color w:val="auto"/>
          <w:kern w:val="0"/>
          <w:sz w:val="24"/>
          <w:highlight w:val="none"/>
          <w:lang w:val="en-US" w:eastAsia="zh-CN" w:bidi="ar"/>
        </w:rPr>
        <w:t>评价等级及评价范围</w:t>
      </w:r>
    </w:p>
    <w:p w14:paraId="47CC1800">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依据《建设项目环境风险评价技术导则》（HJ169-2018），环境风险工作等级判定详见表</w:t>
      </w:r>
      <w:r>
        <w:rPr>
          <w:rFonts w:hint="default" w:ascii="Times New Roman" w:hAnsi="Times New Roman" w:eastAsia="宋体" w:cs="Times New Roman"/>
          <w:color w:val="auto"/>
          <w:sz w:val="24"/>
          <w:szCs w:val="24"/>
          <w:highlight w:val="none"/>
          <w:lang w:val="en-US" w:eastAsia="zh-CN"/>
        </w:rPr>
        <w:t>5.2.</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p>
    <w:p w14:paraId="4ED09C5D">
      <w:pPr>
        <w:pStyle w:val="38"/>
        <w:keepNext w:val="0"/>
        <w:keepLines w:val="0"/>
        <w:pageBreakBefore w:val="0"/>
        <w:widowControl/>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5.2.</w:t>
      </w:r>
      <w:r>
        <w:rPr>
          <w:rFonts w:hint="eastAsia" w:eastAsia="宋体"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 xml:space="preserve">   环境风险评价等级划分一览表</w:t>
      </w:r>
    </w:p>
    <w:tbl>
      <w:tblPr>
        <w:tblStyle w:val="23"/>
        <w:tblW w:w="8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89"/>
        <w:gridCol w:w="1798"/>
        <w:gridCol w:w="1791"/>
        <w:gridCol w:w="1790"/>
        <w:gridCol w:w="1791"/>
      </w:tblGrid>
      <w:tr w14:paraId="565FA3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1789" w:type="dxa"/>
            <w:vAlign w:val="top"/>
          </w:tcPr>
          <w:p w14:paraId="5C900A0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环境风险潜势</w:t>
            </w:r>
          </w:p>
        </w:tc>
        <w:tc>
          <w:tcPr>
            <w:tcW w:w="1798" w:type="dxa"/>
            <w:vAlign w:val="top"/>
          </w:tcPr>
          <w:p w14:paraId="1FC3AB1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IV、IV</w:t>
            </w:r>
            <w:r>
              <w:rPr>
                <w:rFonts w:hint="default" w:ascii="Times New Roman" w:hAnsi="Times New Roman" w:cs="Times New Roman"/>
                <w:b/>
                <w:color w:val="auto"/>
                <w:sz w:val="21"/>
                <w:szCs w:val="21"/>
                <w:highlight w:val="none"/>
                <w:vertAlign w:val="superscript"/>
              </w:rPr>
              <w:t>+</w:t>
            </w:r>
          </w:p>
        </w:tc>
        <w:tc>
          <w:tcPr>
            <w:tcW w:w="1791" w:type="dxa"/>
            <w:vAlign w:val="top"/>
          </w:tcPr>
          <w:p w14:paraId="43322E3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eastAsia="zh-CN"/>
              </w:rPr>
              <w:t>Ⅲ</w:t>
            </w:r>
          </w:p>
        </w:tc>
        <w:tc>
          <w:tcPr>
            <w:tcW w:w="1790" w:type="dxa"/>
            <w:vAlign w:val="top"/>
          </w:tcPr>
          <w:p w14:paraId="37F6C18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II</w:t>
            </w:r>
          </w:p>
        </w:tc>
        <w:tc>
          <w:tcPr>
            <w:tcW w:w="1791" w:type="dxa"/>
            <w:vAlign w:val="top"/>
          </w:tcPr>
          <w:p w14:paraId="33D5071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I</w:t>
            </w:r>
          </w:p>
        </w:tc>
      </w:tr>
      <w:tr w14:paraId="6EE360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789" w:type="dxa"/>
            <w:vAlign w:val="top"/>
          </w:tcPr>
          <w:p w14:paraId="536156E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评价工作等级</w:t>
            </w:r>
          </w:p>
        </w:tc>
        <w:tc>
          <w:tcPr>
            <w:tcW w:w="1798" w:type="dxa"/>
            <w:vAlign w:val="top"/>
          </w:tcPr>
          <w:p w14:paraId="7CCF6EE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1791" w:type="dxa"/>
            <w:vAlign w:val="top"/>
          </w:tcPr>
          <w:p w14:paraId="73597EB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c>
          <w:tcPr>
            <w:tcW w:w="1790" w:type="dxa"/>
            <w:vAlign w:val="top"/>
          </w:tcPr>
          <w:p w14:paraId="1AC3D80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w:t>
            </w:r>
          </w:p>
        </w:tc>
        <w:tc>
          <w:tcPr>
            <w:tcW w:w="1791" w:type="dxa"/>
            <w:vAlign w:val="top"/>
          </w:tcPr>
          <w:p w14:paraId="4FEA5C6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简单分析</w:t>
            </w:r>
            <w:r>
              <w:rPr>
                <w:rFonts w:hint="default" w:ascii="Times New Roman" w:hAnsi="Times New Roman" w:cs="Times New Roman"/>
                <w:color w:val="auto"/>
                <w:sz w:val="21"/>
                <w:szCs w:val="21"/>
                <w:highlight w:val="none"/>
                <w:vertAlign w:val="superscript"/>
              </w:rPr>
              <w:t>a</w:t>
            </w:r>
          </w:p>
        </w:tc>
      </w:tr>
      <w:tr w14:paraId="177B7C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959" w:type="dxa"/>
            <w:gridSpan w:val="5"/>
            <w:vAlign w:val="top"/>
          </w:tcPr>
          <w:p w14:paraId="084CEC38">
            <w:pPr>
              <w:keepNext w:val="0"/>
              <w:keepLines w:val="0"/>
              <w:suppressLineNumbers w:val="0"/>
              <w:spacing w:before="0" w:beforeAutospacing="0" w:after="0" w:afterAutospacing="0" w:line="240" w:lineRule="auto"/>
              <w:ind w:left="0" w:right="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注：a是相对于详细评价工作内容而言，在描述危险物质、环境影响途径、环境危害后果、风险防范措施等方面给出定性的说明。</w:t>
            </w:r>
          </w:p>
        </w:tc>
      </w:tr>
    </w:tbl>
    <w:p w14:paraId="511C7A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结合前文分析，本项目环境风险潜势为I，根据《建设项目环境风险评价技术导则》（HJ169-2018）评价工作等级划分要求，确定本项目环境风险评价等级为简单分析。</w:t>
      </w:r>
    </w:p>
    <w:p w14:paraId="5D743314">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w:t>
      </w:r>
      <w:r>
        <w:rPr>
          <w:rFonts w:hint="eastAsia" w:cs="Times New Roman"/>
          <w:b/>
          <w:bCs/>
          <w:color w:val="auto"/>
          <w:sz w:val="24"/>
          <w:highlight w:val="none"/>
          <w:lang w:val="en-US" w:eastAsia="zh-CN"/>
        </w:rPr>
        <w:t>8</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4</w:t>
      </w:r>
      <w:r>
        <w:rPr>
          <w:rFonts w:hint="default" w:ascii="Times New Roman" w:hAnsi="Times New Roman" w:cs="Times New Roman"/>
          <w:b/>
          <w:bCs/>
          <w:color w:val="auto"/>
          <w:kern w:val="0"/>
          <w:sz w:val="24"/>
          <w:highlight w:val="none"/>
          <w:lang w:bidi="ar"/>
        </w:rPr>
        <w:t>环境风险识别</w:t>
      </w:r>
    </w:p>
    <w:p w14:paraId="1253B691">
      <w:pPr>
        <w:snapToGrid w:val="0"/>
        <w:spacing w:line="360" w:lineRule="auto"/>
        <w:ind w:firstLine="482" w:firstLineChars="200"/>
        <w:rPr>
          <w:rFonts w:hint="default" w:ascii="Times New Roman" w:hAnsi="Times New Roman" w:cs="Times New Roman"/>
          <w:b/>
          <w:bCs/>
          <w:color w:val="auto"/>
          <w:sz w:val="24"/>
          <w:highlight w:val="none"/>
          <w:lang w:bidi="zh-CN"/>
        </w:rPr>
      </w:pPr>
      <w:r>
        <w:rPr>
          <w:rFonts w:hint="default" w:ascii="Times New Roman" w:hAnsi="Times New Roman" w:cs="Times New Roman"/>
          <w:b/>
          <w:bCs/>
          <w:color w:val="auto"/>
          <w:sz w:val="24"/>
          <w:highlight w:val="none"/>
          <w:lang w:val="en-US" w:bidi="zh-CN"/>
        </w:rPr>
        <w:t>1、</w:t>
      </w:r>
      <w:r>
        <w:rPr>
          <w:rFonts w:hint="default" w:ascii="Times New Roman" w:hAnsi="Times New Roman" w:cs="Times New Roman"/>
          <w:b/>
          <w:bCs/>
          <w:color w:val="auto"/>
          <w:sz w:val="24"/>
          <w:highlight w:val="none"/>
          <w:lang w:bidi="zh-CN"/>
        </w:rPr>
        <w:t>物质的危险性识别</w:t>
      </w:r>
    </w:p>
    <w:p w14:paraId="1DC51A77">
      <w:pPr>
        <w:snapToGrid w:val="0"/>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eastAsia="宋体" w:cs="Times New Roman"/>
          <w:b w:val="0"/>
          <w:bCs w:val="0"/>
          <w:color w:val="auto"/>
          <w:sz w:val="24"/>
          <w:szCs w:val="24"/>
          <w:highlight w:val="none"/>
          <w:lang w:val="en-US" w:eastAsia="zh-CN"/>
        </w:rPr>
        <w:t>本项目涉及的危险物质主要为</w:t>
      </w:r>
      <w:r>
        <w:rPr>
          <w:rFonts w:hint="default" w:ascii="Times New Roman" w:hAnsi="Times New Roman" w:cs="Times New Roman"/>
          <w:color w:val="auto"/>
          <w:sz w:val="24"/>
          <w:szCs w:val="24"/>
          <w:highlight w:val="none"/>
          <w:lang w:val="en-US" w:eastAsia="zh-CN"/>
        </w:rPr>
        <w:t>NH</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H</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S</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NO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SO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天然气（CH</w:t>
      </w:r>
      <w:r>
        <w:rPr>
          <w:rFonts w:hint="default"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lang w:val="en-US" w:eastAsia="zh-CN"/>
        </w:rPr>
        <w:t>）、废润滑油、</w:t>
      </w:r>
      <w:r>
        <w:rPr>
          <w:rFonts w:hint="default" w:ascii="Times New Roman" w:hAnsi="Times New Roman" w:cs="Times New Roman"/>
          <w:color w:val="auto"/>
          <w:sz w:val="24"/>
          <w:szCs w:val="24"/>
          <w:highlight w:val="none"/>
        </w:rPr>
        <w:t>废机油</w:t>
      </w:r>
      <w:r>
        <w:rPr>
          <w:rFonts w:hint="default" w:ascii="Times New Roman" w:hAnsi="Times New Roman" w:cs="Times New Roman"/>
          <w:b w:val="0"/>
          <w:bCs w:val="0"/>
          <w:color w:val="auto"/>
          <w:sz w:val="24"/>
          <w:szCs w:val="24"/>
          <w:highlight w:val="none"/>
          <w:lang w:val="en-US" w:eastAsia="zh-CN"/>
        </w:rPr>
        <w:t>、柴油</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color w:val="auto"/>
          <w:sz w:val="24"/>
          <w:highlight w:val="none"/>
          <w:lang w:bidi="zh-CN"/>
        </w:rPr>
        <w:t>项目物质的环境风险识别情况见下表</w:t>
      </w:r>
      <w:r>
        <w:rPr>
          <w:rFonts w:hint="default" w:ascii="Times New Roman" w:hAnsi="Times New Roman" w:cs="Times New Roman"/>
          <w:color w:val="auto"/>
          <w:kern w:val="0"/>
          <w:sz w:val="24"/>
          <w:highlight w:val="none"/>
          <w:lang w:bidi="ar"/>
        </w:rPr>
        <w:t>5.2.</w:t>
      </w:r>
      <w:r>
        <w:rPr>
          <w:rFonts w:hint="eastAsia" w:cs="Times New Roman"/>
          <w:color w:val="auto"/>
          <w:kern w:val="0"/>
          <w:sz w:val="24"/>
          <w:highlight w:val="none"/>
          <w:lang w:val="en-US" w:eastAsia="zh-CN" w:bidi="ar"/>
        </w:rPr>
        <w:t>8</w:t>
      </w:r>
      <w:r>
        <w:rPr>
          <w:rFonts w:hint="default" w:ascii="Times New Roman" w:hAnsi="Times New Roman" w:cs="Times New Roman"/>
          <w:color w:val="auto"/>
          <w:kern w:val="0"/>
          <w:sz w:val="24"/>
          <w:highlight w:val="none"/>
          <w:lang w:bidi="ar"/>
        </w:rPr>
        <w:t>-</w:t>
      </w:r>
      <w:r>
        <w:rPr>
          <w:rFonts w:hint="default" w:ascii="Times New Roman" w:hAnsi="Times New Roman" w:cs="Times New Roman"/>
          <w:color w:val="auto"/>
          <w:kern w:val="0"/>
          <w:sz w:val="24"/>
          <w:highlight w:val="none"/>
          <w:lang w:val="en-US" w:eastAsia="zh-CN" w:bidi="ar"/>
        </w:rPr>
        <w:t>4</w:t>
      </w:r>
      <w:r>
        <w:rPr>
          <w:rFonts w:hint="default" w:ascii="Times New Roman" w:hAnsi="Times New Roman" w:cs="Times New Roman"/>
          <w:color w:val="auto"/>
          <w:kern w:val="0"/>
          <w:sz w:val="24"/>
          <w:highlight w:val="none"/>
          <w:lang w:bidi="ar"/>
        </w:rPr>
        <w:t>。</w:t>
      </w:r>
    </w:p>
    <w:p w14:paraId="7375BA75">
      <w:pPr>
        <w:adjustRightInd w:val="0"/>
        <w:snapToGrid w:val="0"/>
        <w:ind w:firstLine="482"/>
        <w:jc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b/>
          <w:bCs/>
          <w:color w:val="auto"/>
          <w:kern w:val="0"/>
          <w:szCs w:val="21"/>
          <w:highlight w:val="none"/>
          <w:lang w:bidi="ar"/>
        </w:rPr>
        <w:t>表5.2.</w:t>
      </w:r>
      <w:r>
        <w:rPr>
          <w:rFonts w:hint="eastAsia" w:cs="Times New Roman"/>
          <w:b/>
          <w:bCs/>
          <w:color w:val="auto"/>
          <w:kern w:val="0"/>
          <w:szCs w:val="21"/>
          <w:highlight w:val="none"/>
          <w:lang w:val="en-US" w:eastAsia="zh-CN" w:bidi="ar"/>
        </w:rPr>
        <w:t>8</w:t>
      </w:r>
      <w:r>
        <w:rPr>
          <w:rFonts w:hint="default" w:ascii="Times New Roman" w:hAnsi="Times New Roman" w:cs="Times New Roman"/>
          <w:b/>
          <w:bCs/>
          <w:color w:val="auto"/>
          <w:kern w:val="0"/>
          <w:szCs w:val="21"/>
          <w:highlight w:val="none"/>
          <w:lang w:bidi="ar"/>
        </w:rPr>
        <w:t>-</w:t>
      </w:r>
      <w:r>
        <w:rPr>
          <w:rFonts w:hint="default" w:ascii="Times New Roman" w:hAnsi="Times New Roman" w:cs="Times New Roman"/>
          <w:b/>
          <w:bCs/>
          <w:color w:val="auto"/>
          <w:kern w:val="0"/>
          <w:szCs w:val="21"/>
          <w:highlight w:val="none"/>
          <w:lang w:val="en-US" w:eastAsia="zh-CN" w:bidi="ar"/>
        </w:rPr>
        <w:t>4</w:t>
      </w:r>
      <w:r>
        <w:rPr>
          <w:rFonts w:hint="default" w:ascii="Times New Roman" w:hAnsi="Times New Roman" w:cs="Times New Roman"/>
          <w:b/>
          <w:bCs/>
          <w:color w:val="auto"/>
          <w:kern w:val="0"/>
          <w:szCs w:val="21"/>
          <w:highlight w:val="none"/>
          <w:lang w:bidi="ar"/>
        </w:rPr>
        <w:t xml:space="preserve">  风险物质危险特性一览表</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004"/>
        <w:gridCol w:w="1237"/>
        <w:gridCol w:w="6104"/>
      </w:tblGrid>
      <w:tr w14:paraId="0C63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14:paraId="31EE76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004" w:type="dxa"/>
            <w:vAlign w:val="center"/>
          </w:tcPr>
          <w:p w14:paraId="6985C6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1237" w:type="dxa"/>
            <w:vAlign w:val="center"/>
          </w:tcPr>
          <w:p w14:paraId="6BB378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主（次）危险性类别</w:t>
            </w:r>
          </w:p>
        </w:tc>
        <w:tc>
          <w:tcPr>
            <w:tcW w:w="6104" w:type="dxa"/>
            <w:vAlign w:val="center"/>
          </w:tcPr>
          <w:p w14:paraId="3A7DF40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危险特性</w:t>
            </w:r>
          </w:p>
        </w:tc>
      </w:tr>
      <w:tr w14:paraId="17E6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14:paraId="0CB272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004" w:type="dxa"/>
            <w:vAlign w:val="center"/>
          </w:tcPr>
          <w:p w14:paraId="3DD768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甲烷</w:t>
            </w:r>
          </w:p>
          <w:p w14:paraId="0F3DCF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（CH</w:t>
            </w:r>
            <w:r>
              <w:rPr>
                <w:rFonts w:hint="default" w:ascii="Times New Roman" w:hAnsi="Times New Roman" w:eastAsia="宋体" w:cs="Times New Roman"/>
                <w:color w:val="auto"/>
                <w:sz w:val="21"/>
                <w:szCs w:val="21"/>
                <w:highlight w:val="none"/>
                <w:vertAlign w:val="subscript"/>
              </w:rPr>
              <w:t>4</w:t>
            </w:r>
            <w:r>
              <w:rPr>
                <w:rFonts w:hint="default" w:ascii="Times New Roman" w:hAnsi="Times New Roman" w:eastAsia="宋体" w:cs="Times New Roman"/>
                <w:color w:val="auto"/>
                <w:sz w:val="21"/>
                <w:szCs w:val="21"/>
                <w:highlight w:val="none"/>
              </w:rPr>
              <w:t>）</w:t>
            </w:r>
          </w:p>
        </w:tc>
        <w:tc>
          <w:tcPr>
            <w:tcW w:w="1237" w:type="dxa"/>
            <w:vAlign w:val="center"/>
          </w:tcPr>
          <w:p w14:paraId="2B211E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易燃气体</w:t>
            </w:r>
          </w:p>
        </w:tc>
        <w:tc>
          <w:tcPr>
            <w:tcW w:w="6104" w:type="dxa"/>
            <w:vAlign w:val="center"/>
          </w:tcPr>
          <w:p w14:paraId="30D1BC41">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外观与性状：无色无味气体，熔点-182.5℃，闪点-188℃，引燃温度257℃，相对密度（空气=1）0.55，微溶于水，溶于醇、乙醚。</w:t>
            </w:r>
          </w:p>
          <w:p w14:paraId="130B1C8C">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健康危害：甲烷对人基本无毒，但浓度过高时，使空气中氧含量明显降低，使人窒息。当空气中甲烷达 25%～30%时，可引起头痛、头晕、乏力、注意力不集中、呼吸和心跳加速、共济失调。若不及时脱离，可致窒息死亡。</w:t>
            </w:r>
          </w:p>
          <w:p w14:paraId="051D9683">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危险特性：易燃，与空气混合能形成爆炸性混合物，遇热源和明火有燃烧爆炸的危险。与五氧化溴、氯气、次氯酸、三氟化氮、液氧、二氟化氧及其它强氧化剂接触剧烈反应。</w:t>
            </w:r>
          </w:p>
        </w:tc>
      </w:tr>
      <w:tr w14:paraId="1A61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14:paraId="4FB1F3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004" w:type="dxa"/>
            <w:vAlign w:val="center"/>
          </w:tcPr>
          <w:p w14:paraId="636F3AF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柴油</w:t>
            </w:r>
          </w:p>
        </w:tc>
        <w:tc>
          <w:tcPr>
            <w:tcW w:w="1237" w:type="dxa"/>
            <w:vAlign w:val="center"/>
          </w:tcPr>
          <w:p w14:paraId="4A57020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易燃液体</w:t>
            </w:r>
          </w:p>
        </w:tc>
        <w:tc>
          <w:tcPr>
            <w:tcW w:w="6104" w:type="dxa"/>
            <w:vAlign w:val="center"/>
          </w:tcPr>
          <w:p w14:paraId="2AA52361">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柴油</w:t>
            </w:r>
            <w:r>
              <w:rPr>
                <w:rFonts w:hint="default" w:ascii="Times New Roman" w:hAnsi="Times New Roman" w:cs="Times New Roman"/>
                <w:color w:val="auto"/>
                <w:sz w:val="21"/>
                <w:szCs w:val="21"/>
                <w:highlight w:val="none"/>
                <w:lang w:val="en-US" w:eastAsia="zh-CN"/>
              </w:rPr>
              <w:t>在常温下为无色至淡黄色的易流动液体，很难溶解于水，易燃，馏程为30℃至220℃，空气中含量为74～123g/m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时遇火爆炸。</w:t>
            </w:r>
            <w:r>
              <w:rPr>
                <w:rFonts w:hint="default" w:ascii="Times New Roman" w:hAnsi="Times New Roman" w:cs="Times New Roman"/>
                <w:color w:val="auto"/>
                <w:sz w:val="21"/>
                <w:szCs w:val="21"/>
                <w:highlight w:val="none"/>
                <w:lang w:eastAsia="zh-CN"/>
              </w:rPr>
              <w:t>柴油</w:t>
            </w:r>
            <w:r>
              <w:rPr>
                <w:rFonts w:hint="default" w:ascii="Times New Roman" w:hAnsi="Times New Roman" w:cs="Times New Roman"/>
                <w:color w:val="auto"/>
                <w:sz w:val="21"/>
                <w:szCs w:val="21"/>
                <w:highlight w:val="none"/>
                <w:lang w:val="en-US" w:eastAsia="zh-CN"/>
              </w:rPr>
              <w:t>的热值约为44000kJ/kg，密度0.70-0.78 g/cm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，芳香味。</w:t>
            </w:r>
          </w:p>
          <w:p w14:paraId="6BF614B5">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毒性：属低毒类。急性毒性：LD5067000mg/kg（小鼠经口）；LC50103000mg/m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，2小时（小鼠吸入）。刺激性：人经眼：140ppm(8小时），轻度刺激。亚急性和慢性毒性：大鼠吸入3g/m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，12-24小时/天，78天（120号溶剂汽油），未见中毒症状。大鼠吸入2500mg/m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，130号催化裂解汽油，4小时/天，6天/周，8周，体力活动能力降低，神经系统发生机能性改变。</w:t>
            </w:r>
          </w:p>
          <w:p w14:paraId="2B7BA9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危险特性：极易燃烧。其蒸气与空气可形成爆炸性混合物。遇明火、高热极易燃烧爆炸。与氧化剂能发生强烈反应。其蒸气比空气重，能在较低处扩散到相当远的地方，遇明火会引着回燃。燃烧（分解）产物：CO、CO</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性：遇明火、高热或与氧化剂接触，有引起燃烧爆炸的危险。</w:t>
            </w:r>
          </w:p>
        </w:tc>
      </w:tr>
      <w:tr w14:paraId="33B7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14:paraId="7B7A131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004" w:type="dxa"/>
            <w:vAlign w:val="center"/>
          </w:tcPr>
          <w:p w14:paraId="68BE2E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1237" w:type="dxa"/>
            <w:vAlign w:val="center"/>
          </w:tcPr>
          <w:p w14:paraId="4AC152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有毒气体（易燃）</w:t>
            </w:r>
          </w:p>
        </w:tc>
        <w:tc>
          <w:tcPr>
            <w:tcW w:w="6104" w:type="dxa"/>
            <w:vAlign w:val="center"/>
          </w:tcPr>
          <w:p w14:paraId="3382B24A">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外观与性状：无色、有恶臭气体，熔点-85.5℃，沸点-60.4℃，引燃温度 260℃，相对密度（空气=1）1.19。溶于水、乙醇。</w:t>
            </w:r>
          </w:p>
          <w:p w14:paraId="6FC12BD4">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急性毒性：人吸入 LC</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600ppm/30M，800ppm/5M，人（男性）吸入LC</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5700ug/kg，大鼠吸入 LC</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444pp，小鼠吸入 LC</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669ppm/1H。</w:t>
            </w:r>
          </w:p>
          <w:p w14:paraId="7BE29525">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健康危害：强烈的神经毒物，对粘膜有强烈刺激作用。急性中毒：短期内吸入高浓度硫化氢后出现流泪、眼痛、眼内异物感、畏光、视物模糊、流涕、咽喉部灼热感、咳嗽、胸闷、头痛、头晕、乏力、意识模糊等。部分患者可有心肌损害。重者可出现脑水肿、肺水肿。极高浓度(1000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以上)时可在数秒钟内突然昏迷，呼吸和心跳骤停，发生闪电型死亡。高浓度接触眼结膜发生水肿和角膜溃疡。长期低浓度接触，引起神经衰弱综合征和植物神经功能紊乱。</w:t>
            </w:r>
          </w:p>
          <w:p w14:paraId="66CB09B5">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特性：易燃，与空气混合能形成爆炸性混合物，遇明火、高热能引起燃烧爆炸。与浓硝酸、发烟硝酸或其它强氧化剂剧烈反应，发生爆炸。气体比空气重，能在较低处扩散到相当远的地方，遇火源会着火回燃。</w:t>
            </w:r>
          </w:p>
        </w:tc>
      </w:tr>
      <w:tr w14:paraId="48FD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14:paraId="586CD6B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004" w:type="dxa"/>
            <w:vAlign w:val="center"/>
          </w:tcPr>
          <w:p w14:paraId="48B167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1237" w:type="dxa"/>
            <w:vAlign w:val="center"/>
          </w:tcPr>
          <w:p w14:paraId="58A7603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有毒气体</w:t>
            </w:r>
          </w:p>
        </w:tc>
        <w:tc>
          <w:tcPr>
            <w:tcW w:w="6104" w:type="dxa"/>
            <w:vAlign w:val="center"/>
          </w:tcPr>
          <w:p w14:paraId="79CA5053">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外观与性状：无色、有刺激性恶臭气体，熔点-77.7℃，沸点-33.5℃，引燃温度 651℃，相对密度（空气=1）0.6。溶于水、乙醇、乙醚。</w:t>
            </w:r>
          </w:p>
          <w:p w14:paraId="75E9EB65">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健康危害：低浓度氨对粘膜有刺激作用,高浓度可造成组织溶解坏死。</w:t>
            </w:r>
          </w:p>
          <w:p w14:paraId="572A7E2D">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中毒：轻度者出现流泪、咽痛、声音嘶哑、咳嗽、咯痰等；眼结膜、鼻粘膜、咽部充血、水肿；胸部X线征象符合支气管炎或支气管周围炎。中度中毒上述症状加剧,出现呼吸困难、紫绀；胸部X线征象符合肺炎或间质性肺炎。严重者可发生中毒性肺水肿，或有呼吸窘迫综合征，患者剧烈咳嗽、咯大量粉红色泡沫痰、呼吸窘迫、谵妄、昏迷、休克等。可发生喉头水肿或支气管粘膜坏死脱落窒息。高浓度氨可引起反射性呼吸停止。液氨或高浓度氨可致眼灼伤；液氨可致皮肤灼伤。</w:t>
            </w:r>
          </w:p>
          <w:p w14:paraId="5103DBBE">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危险特性：与空气混合能形成爆炸性混合物。遇明火、高热能引起燃烧爆炸。与氟、氯等接触会发生剧烈的化学反应。</w:t>
            </w:r>
          </w:p>
        </w:tc>
      </w:tr>
      <w:tr w14:paraId="4CA0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14:paraId="501DEDC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004" w:type="dxa"/>
            <w:vAlign w:val="center"/>
          </w:tcPr>
          <w:p w14:paraId="37C2A9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废润滑油、</w:t>
            </w:r>
            <w:r>
              <w:rPr>
                <w:rFonts w:hint="default" w:ascii="Times New Roman" w:hAnsi="Times New Roman" w:eastAsia="宋体" w:cs="Times New Roman"/>
                <w:color w:val="auto"/>
                <w:sz w:val="21"/>
                <w:szCs w:val="21"/>
                <w:highlight w:val="none"/>
              </w:rPr>
              <w:t>废机油</w:t>
            </w:r>
          </w:p>
        </w:tc>
        <w:tc>
          <w:tcPr>
            <w:tcW w:w="1237" w:type="dxa"/>
            <w:vAlign w:val="center"/>
          </w:tcPr>
          <w:p w14:paraId="6EEEA06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易燃液体</w:t>
            </w:r>
          </w:p>
        </w:tc>
        <w:tc>
          <w:tcPr>
            <w:tcW w:w="6104" w:type="dxa"/>
            <w:vAlign w:val="center"/>
          </w:tcPr>
          <w:p w14:paraId="53875FF7">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外观与性状：油状液体, 淡黄色至褐色，无气味或略带异味。不溶于水。</w:t>
            </w:r>
          </w:p>
          <w:p w14:paraId="1E62C790">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健康危害：侵入途径：吸如、食入；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p w14:paraId="5D8AE226">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危险特性：遇明火、高热可燃。</w:t>
            </w:r>
          </w:p>
        </w:tc>
      </w:tr>
      <w:tr w14:paraId="41FD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14:paraId="19EF653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004" w:type="dxa"/>
            <w:vAlign w:val="center"/>
          </w:tcPr>
          <w:p w14:paraId="53D8EC8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1237" w:type="dxa"/>
            <w:vAlign w:val="center"/>
          </w:tcPr>
          <w:p w14:paraId="44A6B6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有毒气体</w:t>
            </w:r>
          </w:p>
        </w:tc>
        <w:tc>
          <w:tcPr>
            <w:tcW w:w="6104" w:type="dxa"/>
            <w:vAlign w:val="center"/>
          </w:tcPr>
          <w:p w14:paraId="7F4352DA">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无色气体，有强烈刺激性气味。当二氧化硫溶于水中，会形成亚硫酸（酸雨的主要成分）。若把SO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进一步氧化，通常在催化剂如二氧化氮的存在下，便会生成硫酸。</w:t>
            </w:r>
          </w:p>
          <w:p w14:paraId="2F264EE3">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健康危害：易被湿润的粘膜表面吸收生成亚硫酸、疏酸。对眼及呼吸道粘膜有强烈的刺激作用。大量吸入可引起肺水肿、喉水肿、声带痉挛而致窒息。急性中毒：轻度中毒时，发生流泪、畏光、咳嗽，咽、喉灼痛等；严重中毒可在数小时内发生肺水肿；极高浓度吸入可引起反射性声门痉挛而致窒息。皮肤或眼接触发生炎症或灼伤。慢性影响：长期低浓度接触，可有头痛、头昏、乏力等全身症状以及慢性鼻炎、咽喉炎、支气管炎、嗅觉及味觉减退等。少数工人有牙齿酸蚀症。</w:t>
            </w:r>
          </w:p>
          <w:p w14:paraId="58432AAC">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环境危害：对大气可造成严重污染。燃爆危险：本品不燃，有毒，具强刺激性。</w:t>
            </w:r>
          </w:p>
        </w:tc>
      </w:tr>
      <w:tr w14:paraId="4F9E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14:paraId="5BD5539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004" w:type="dxa"/>
            <w:vAlign w:val="center"/>
          </w:tcPr>
          <w:p w14:paraId="6AAB2D4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NOx</w:t>
            </w:r>
          </w:p>
        </w:tc>
        <w:tc>
          <w:tcPr>
            <w:tcW w:w="1237" w:type="dxa"/>
            <w:vAlign w:val="center"/>
          </w:tcPr>
          <w:p w14:paraId="479329F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有毒气体</w:t>
            </w:r>
          </w:p>
        </w:tc>
        <w:tc>
          <w:tcPr>
            <w:tcW w:w="6104" w:type="dxa"/>
            <w:vAlign w:val="center"/>
          </w:tcPr>
          <w:p w14:paraId="2A13694F">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Helvetica" w:cs="Times New Roman"/>
                <w:i w:val="0"/>
                <w:iCs w:val="0"/>
                <w:caps w:val="0"/>
                <w:color w:val="auto"/>
                <w:spacing w:val="0"/>
                <w:sz w:val="21"/>
                <w:szCs w:val="21"/>
                <w:highlight w:val="none"/>
                <w:shd w:val="clear" w:color="auto" w:fill="FFFFFF"/>
              </w:rPr>
              <w:t>由氮、氧两种元素组成的化合物，包括多种化合物</w:t>
            </w:r>
            <w:r>
              <w:rPr>
                <w:rFonts w:hint="default" w:ascii="Times New Roman" w:hAnsi="Times New Roman" w:eastAsia="宋体" w:cs="Times New Roman"/>
                <w:i w:val="0"/>
                <w:iCs w:val="0"/>
                <w:caps w:val="0"/>
                <w:color w:val="auto"/>
                <w:spacing w:val="0"/>
                <w:sz w:val="21"/>
                <w:szCs w:val="21"/>
                <w:highlight w:val="none"/>
                <w:shd w:val="clear" w:color="auto" w:fill="FFFFFF"/>
                <w:lang w:eastAsia="zh-CN"/>
              </w:rPr>
              <w:t>。</w:t>
            </w:r>
            <w:r>
              <w:rPr>
                <w:rFonts w:hint="default" w:ascii="Times New Roman" w:hAnsi="Times New Roman" w:eastAsia="Helvetica" w:cs="Times New Roman"/>
                <w:i w:val="0"/>
                <w:iCs w:val="0"/>
                <w:caps w:val="0"/>
                <w:color w:val="auto"/>
                <w:spacing w:val="0"/>
                <w:sz w:val="21"/>
                <w:szCs w:val="21"/>
                <w:highlight w:val="none"/>
                <w:shd w:val="clear" w:color="auto" w:fill="FFFFFF"/>
              </w:rPr>
              <w:t>氮氧化物中氧化亚氮（</w:t>
            </w:r>
            <w:r>
              <w:rPr>
                <w:rFonts w:hint="default" w:ascii="Times New Roman" w:hAnsi="Times New Roman" w:eastAsia="Helvetica" w:cs="Times New Roman"/>
                <w:i w:val="0"/>
                <w:iCs w:val="0"/>
                <w:caps w:val="0"/>
                <w:color w:val="auto"/>
                <w:spacing w:val="0"/>
                <w:sz w:val="21"/>
                <w:szCs w:val="21"/>
                <w:highlight w:val="none"/>
                <w:u w:val="none"/>
                <w:shd w:val="clear" w:color="auto" w:fill="FFFFFF"/>
              </w:rPr>
              <w:t>笑气</w:t>
            </w:r>
            <w:r>
              <w:rPr>
                <w:rFonts w:hint="default" w:ascii="Times New Roman" w:hAnsi="Times New Roman" w:eastAsia="Helvetica" w:cs="Times New Roman"/>
                <w:i w:val="0"/>
                <w:iCs w:val="0"/>
                <w:caps w:val="0"/>
                <w:color w:val="auto"/>
                <w:spacing w:val="0"/>
                <w:sz w:val="21"/>
                <w:szCs w:val="21"/>
                <w:highlight w:val="none"/>
                <w:shd w:val="clear" w:color="auto" w:fill="FFFFFF"/>
              </w:rPr>
              <w:t>）作为吸入</w:t>
            </w:r>
            <w:r>
              <w:rPr>
                <w:rFonts w:hint="default" w:ascii="Times New Roman" w:hAnsi="Times New Roman" w:eastAsia="Helvetica" w:cs="Times New Roman"/>
                <w:i w:val="0"/>
                <w:iCs w:val="0"/>
                <w:caps w:val="0"/>
                <w:color w:val="auto"/>
                <w:spacing w:val="0"/>
                <w:sz w:val="21"/>
                <w:szCs w:val="21"/>
                <w:highlight w:val="none"/>
                <w:u w:val="none"/>
                <w:shd w:val="clear" w:color="auto" w:fill="FFFFFF"/>
              </w:rPr>
              <w:t>麻醉剂</w:t>
            </w:r>
            <w:r>
              <w:rPr>
                <w:rFonts w:hint="default" w:ascii="Times New Roman" w:hAnsi="Times New Roman" w:eastAsia="Helvetica" w:cs="Times New Roman"/>
                <w:i w:val="0"/>
                <w:iCs w:val="0"/>
                <w:caps w:val="0"/>
                <w:color w:val="auto"/>
                <w:spacing w:val="0"/>
                <w:sz w:val="21"/>
                <w:szCs w:val="21"/>
                <w:highlight w:val="none"/>
                <w:shd w:val="clear" w:color="auto" w:fill="FFFFFF"/>
              </w:rPr>
              <w:t>，不以工业毒物论。余者除二氧化氮外，遇光、湿或热可产生二氧化氮，主要为二氧化氮的毒作用，主要损害深部呼吸道。一氧化氮尚可与血红蛋白结合引起</w:t>
            </w:r>
            <w:r>
              <w:rPr>
                <w:rFonts w:hint="default" w:ascii="Times New Roman" w:hAnsi="Times New Roman" w:eastAsia="Helvetica" w:cs="Times New Roman"/>
                <w:i w:val="0"/>
                <w:iCs w:val="0"/>
                <w:caps w:val="0"/>
                <w:color w:val="auto"/>
                <w:spacing w:val="0"/>
                <w:sz w:val="21"/>
                <w:szCs w:val="21"/>
                <w:highlight w:val="none"/>
                <w:u w:val="none"/>
                <w:shd w:val="clear" w:color="auto" w:fill="FFFFFF"/>
              </w:rPr>
              <w:t>高铁血红蛋白血症</w:t>
            </w:r>
            <w:r>
              <w:rPr>
                <w:rFonts w:hint="default" w:ascii="Times New Roman" w:hAnsi="Times New Roman" w:eastAsia="Helvetica" w:cs="Times New Roman"/>
                <w:i w:val="0"/>
                <w:iCs w:val="0"/>
                <w:caps w:val="0"/>
                <w:color w:val="auto"/>
                <w:spacing w:val="0"/>
                <w:sz w:val="21"/>
                <w:szCs w:val="21"/>
                <w:highlight w:val="none"/>
                <w:shd w:val="clear" w:color="auto" w:fill="FFFFFF"/>
              </w:rPr>
              <w:t>。人吸入二氧化氮1分钟的MLC为200ppm。氮氧化物可刺激肺部，使人较难抵抗感冒之类的呼吸系统疾病，呼吸系统有问题的人士如哮喘病患者，会较易受二氧化氮影响。对儿童来说，氮氧化物可能会造成肺部发育受损。研究指出长期吸入氮氧化物可能会导致肺部构造改变，但仍未可确定导致这种后果的氮氧化物含量及吸入气体时间。</w:t>
            </w:r>
          </w:p>
        </w:tc>
      </w:tr>
    </w:tbl>
    <w:p w14:paraId="52F1C699">
      <w:pPr>
        <w:snapToGrid w:val="0"/>
        <w:spacing w:line="360" w:lineRule="auto"/>
        <w:ind w:firstLine="480" w:firstLineChars="200"/>
        <w:rPr>
          <w:rFonts w:hint="default" w:ascii="Times New Roman" w:hAnsi="Times New Roman" w:cs="Times New Roman"/>
          <w:color w:val="auto"/>
          <w:sz w:val="24"/>
          <w:highlight w:val="none"/>
          <w:lang w:bidi="zh-CN"/>
        </w:rPr>
      </w:pPr>
    </w:p>
    <w:p w14:paraId="536684D5">
      <w:pPr>
        <w:snapToGrid w:val="0"/>
        <w:spacing w:line="360" w:lineRule="auto"/>
        <w:ind w:firstLine="482" w:firstLineChars="200"/>
        <w:rPr>
          <w:rFonts w:hint="default" w:ascii="Times New Roman" w:hAnsi="Times New Roman" w:cs="Times New Roman"/>
          <w:b/>
          <w:bCs/>
          <w:color w:val="auto"/>
          <w:sz w:val="24"/>
          <w:highlight w:val="none"/>
          <w:lang w:bidi="zh-CN"/>
        </w:rPr>
      </w:pPr>
      <w:r>
        <w:rPr>
          <w:rFonts w:hint="default" w:ascii="Times New Roman" w:hAnsi="Times New Roman" w:cs="Times New Roman"/>
          <w:b/>
          <w:bCs/>
          <w:color w:val="auto"/>
          <w:sz w:val="24"/>
          <w:highlight w:val="none"/>
          <w:lang w:val="en-US" w:bidi="zh-CN"/>
        </w:rPr>
        <w:t>2、</w:t>
      </w:r>
      <w:r>
        <w:rPr>
          <w:rFonts w:hint="default" w:ascii="Times New Roman" w:hAnsi="Times New Roman" w:cs="Times New Roman"/>
          <w:b/>
          <w:bCs/>
          <w:color w:val="auto"/>
          <w:sz w:val="24"/>
          <w:highlight w:val="none"/>
          <w:lang w:bidi="zh-CN"/>
        </w:rPr>
        <w:t>生产系统危险性识别</w:t>
      </w:r>
    </w:p>
    <w:p w14:paraId="69A26C82">
      <w:pPr>
        <w:snapToGrid w:val="0"/>
        <w:spacing w:line="360" w:lineRule="auto"/>
        <w:ind w:firstLine="480" w:firstLineChars="200"/>
        <w:rPr>
          <w:rFonts w:hint="default" w:ascii="Times New Roman" w:hAnsi="Times New Roman" w:cs="Times New Roman"/>
          <w:color w:val="auto"/>
          <w:sz w:val="24"/>
          <w:highlight w:val="none"/>
          <w:lang w:bidi="zh-CN"/>
        </w:rPr>
      </w:pPr>
      <w:r>
        <w:rPr>
          <w:rFonts w:hint="default" w:ascii="Times New Roman" w:hAnsi="Times New Roman" w:cs="Times New Roman"/>
          <w:color w:val="auto"/>
          <w:sz w:val="24"/>
          <w:szCs w:val="24"/>
          <w:highlight w:val="none"/>
        </w:rPr>
        <w:t>根据本项目的建设情况，结合本项目可能涉及的危险物质分布情况对危险单元进行划分，</w:t>
      </w:r>
      <w:r>
        <w:rPr>
          <w:rFonts w:hint="default" w:ascii="Times New Roman" w:hAnsi="Times New Roman" w:cs="Times New Roman"/>
          <w:bCs/>
          <w:color w:val="auto"/>
          <w:sz w:val="24"/>
          <w:highlight w:val="none"/>
          <w:lang w:bidi="zh-CN"/>
        </w:rPr>
        <w:t>项目生产系统危险单元识别见表5.2.</w:t>
      </w:r>
      <w:r>
        <w:rPr>
          <w:rFonts w:hint="eastAsia" w:cs="Times New Roman"/>
          <w:bCs/>
          <w:color w:val="auto"/>
          <w:sz w:val="24"/>
          <w:highlight w:val="none"/>
          <w:lang w:val="en-US" w:bidi="zh-CN"/>
        </w:rPr>
        <w:t>8</w:t>
      </w:r>
      <w:r>
        <w:rPr>
          <w:rFonts w:hint="default" w:ascii="Times New Roman" w:hAnsi="Times New Roman" w:cs="Times New Roman"/>
          <w:bCs/>
          <w:color w:val="auto"/>
          <w:sz w:val="24"/>
          <w:highlight w:val="none"/>
          <w:lang w:bidi="zh-CN"/>
        </w:rPr>
        <w:t>-</w:t>
      </w:r>
      <w:r>
        <w:rPr>
          <w:rFonts w:hint="default" w:ascii="Times New Roman" w:hAnsi="Times New Roman" w:cs="Times New Roman"/>
          <w:bCs/>
          <w:color w:val="auto"/>
          <w:sz w:val="24"/>
          <w:highlight w:val="none"/>
          <w:lang w:val="en-US" w:bidi="zh-CN"/>
        </w:rPr>
        <w:t>5</w:t>
      </w:r>
      <w:r>
        <w:rPr>
          <w:rFonts w:hint="default" w:ascii="Times New Roman" w:hAnsi="Times New Roman" w:cs="Times New Roman"/>
          <w:bCs/>
          <w:color w:val="auto"/>
          <w:sz w:val="24"/>
          <w:highlight w:val="none"/>
          <w:lang w:bidi="zh-CN"/>
        </w:rPr>
        <w:t>。</w:t>
      </w:r>
    </w:p>
    <w:p w14:paraId="2733CD3A">
      <w:pPr>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表5.2.</w:t>
      </w:r>
      <w:r>
        <w:rPr>
          <w:rFonts w:hint="eastAsia" w:cs="Times New Roman"/>
          <w:b/>
          <w:bCs/>
          <w:color w:val="auto"/>
          <w:szCs w:val="21"/>
          <w:highlight w:val="none"/>
          <w:lang w:val="en-US" w:eastAsia="zh-CN"/>
        </w:rPr>
        <w:t>8</w:t>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highlight w:val="none"/>
          <w:lang w:val="en-US" w:eastAsia="zh-CN"/>
        </w:rPr>
        <w:t>5</w:t>
      </w:r>
      <w:r>
        <w:rPr>
          <w:rFonts w:hint="default" w:ascii="Times New Roman" w:hAnsi="Times New Roman" w:cs="Times New Roman"/>
          <w:b/>
          <w:bCs/>
          <w:color w:val="auto"/>
          <w:szCs w:val="21"/>
          <w:highlight w:val="none"/>
        </w:rPr>
        <w:t xml:space="preserve">  危险单元划分结果表</w:t>
      </w:r>
    </w:p>
    <w:tbl>
      <w:tblPr>
        <w:tblStyle w:val="23"/>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772"/>
        <w:gridCol w:w="1312"/>
        <w:gridCol w:w="1699"/>
        <w:gridCol w:w="2530"/>
      </w:tblGrid>
      <w:tr w14:paraId="68E0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482" w:type="dxa"/>
            <w:vAlign w:val="center"/>
          </w:tcPr>
          <w:p w14:paraId="7382A0C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lang w:eastAsia="zh-CN"/>
              </w:rPr>
            </w:pPr>
            <w:r>
              <w:rPr>
                <w:rFonts w:hint="default" w:ascii="Times New Roman" w:hAnsi="Times New Roman" w:cs="Times New Roman"/>
                <w:b/>
                <w:bCs/>
                <w:color w:val="auto"/>
                <w:kern w:val="0"/>
                <w:szCs w:val="21"/>
                <w:highlight w:val="none"/>
                <w:lang w:eastAsia="zh-CN"/>
              </w:rPr>
              <w:t>危险单元</w:t>
            </w:r>
          </w:p>
        </w:tc>
        <w:tc>
          <w:tcPr>
            <w:tcW w:w="1772" w:type="dxa"/>
            <w:vAlign w:val="center"/>
          </w:tcPr>
          <w:p w14:paraId="6265279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lang w:val="en-US" w:eastAsia="zh-CN"/>
              </w:rPr>
            </w:pPr>
            <w:r>
              <w:rPr>
                <w:rFonts w:hint="default" w:ascii="Times New Roman" w:hAnsi="Times New Roman" w:cs="Times New Roman"/>
                <w:b/>
                <w:bCs/>
                <w:color w:val="auto"/>
                <w:kern w:val="0"/>
                <w:szCs w:val="21"/>
                <w:highlight w:val="none"/>
                <w:lang w:eastAsia="zh-CN"/>
              </w:rPr>
              <w:t>风险源</w:t>
            </w:r>
          </w:p>
        </w:tc>
        <w:tc>
          <w:tcPr>
            <w:tcW w:w="1312" w:type="dxa"/>
            <w:vAlign w:val="center"/>
          </w:tcPr>
          <w:p w14:paraId="332579C6">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kern w:val="0"/>
                <w:szCs w:val="21"/>
                <w:highlight w:val="none"/>
              </w:rPr>
              <w:t>风险物质</w:t>
            </w:r>
          </w:p>
        </w:tc>
        <w:tc>
          <w:tcPr>
            <w:tcW w:w="1699" w:type="dxa"/>
            <w:vAlign w:val="center"/>
          </w:tcPr>
          <w:p w14:paraId="39F961F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lang w:eastAsia="zh-CN"/>
              </w:rPr>
            </w:pPr>
            <w:r>
              <w:rPr>
                <w:rFonts w:hint="default" w:ascii="Times New Roman" w:hAnsi="Times New Roman" w:cs="Times New Roman"/>
                <w:b/>
                <w:bCs/>
                <w:color w:val="auto"/>
                <w:kern w:val="0"/>
                <w:szCs w:val="21"/>
                <w:highlight w:val="none"/>
                <w:lang w:eastAsia="zh-CN"/>
              </w:rPr>
              <w:t>可能发生的风险事故</w:t>
            </w:r>
          </w:p>
        </w:tc>
        <w:tc>
          <w:tcPr>
            <w:tcW w:w="2530" w:type="dxa"/>
            <w:vAlign w:val="center"/>
          </w:tcPr>
          <w:p w14:paraId="73D03FA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lang w:eastAsia="zh-CN"/>
              </w:rPr>
            </w:pPr>
            <w:r>
              <w:rPr>
                <w:rFonts w:hint="default" w:ascii="Times New Roman" w:hAnsi="Times New Roman" w:cs="Times New Roman"/>
                <w:b/>
                <w:bCs/>
                <w:color w:val="auto"/>
                <w:kern w:val="0"/>
                <w:szCs w:val="21"/>
                <w:highlight w:val="none"/>
                <w:lang w:eastAsia="zh-CN"/>
              </w:rPr>
              <w:t>事故触发条件</w:t>
            </w:r>
          </w:p>
        </w:tc>
      </w:tr>
      <w:tr w14:paraId="5424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482" w:type="dxa"/>
            <w:vAlign w:val="center"/>
          </w:tcPr>
          <w:p w14:paraId="6543D216">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危废暂存间</w:t>
            </w:r>
          </w:p>
        </w:tc>
        <w:tc>
          <w:tcPr>
            <w:tcW w:w="1772" w:type="dxa"/>
            <w:vAlign w:val="center"/>
          </w:tcPr>
          <w:p w14:paraId="407B818F">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kern w:val="0"/>
                <w:sz w:val="21"/>
                <w:szCs w:val="21"/>
                <w:highlight w:val="none"/>
                <w:lang w:eastAsia="zh-CN"/>
              </w:rPr>
              <w:t>废润滑油、</w:t>
            </w:r>
            <w:r>
              <w:rPr>
                <w:rFonts w:hint="default" w:ascii="Times New Roman" w:hAnsi="Times New Roman" w:eastAsia="宋体" w:cs="Times New Roman"/>
                <w:bCs/>
                <w:color w:val="auto"/>
                <w:kern w:val="0"/>
                <w:sz w:val="21"/>
                <w:szCs w:val="21"/>
                <w:highlight w:val="none"/>
              </w:rPr>
              <w:t>废机油桶</w:t>
            </w:r>
          </w:p>
        </w:tc>
        <w:tc>
          <w:tcPr>
            <w:tcW w:w="1312" w:type="dxa"/>
            <w:vAlign w:val="center"/>
          </w:tcPr>
          <w:p w14:paraId="1BB0D79E">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矿物油</w:t>
            </w:r>
          </w:p>
        </w:tc>
        <w:tc>
          <w:tcPr>
            <w:tcW w:w="1699" w:type="dxa"/>
            <w:vAlign w:val="center"/>
          </w:tcPr>
          <w:p w14:paraId="04F79D5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泄漏</w:t>
            </w:r>
          </w:p>
        </w:tc>
        <w:tc>
          <w:tcPr>
            <w:tcW w:w="2530" w:type="dxa"/>
            <w:vAlign w:val="center"/>
          </w:tcPr>
          <w:p w14:paraId="09A7217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 w:val="21"/>
                <w:szCs w:val="21"/>
                <w:highlight w:val="none"/>
                <w:lang w:eastAsia="zh-CN"/>
              </w:rPr>
              <w:t>容器</w:t>
            </w:r>
            <w:r>
              <w:rPr>
                <w:rFonts w:hint="default" w:ascii="Times New Roman" w:hAnsi="Times New Roman" w:eastAsia="宋体" w:cs="Times New Roman"/>
                <w:color w:val="auto"/>
                <w:sz w:val="21"/>
                <w:szCs w:val="21"/>
                <w:highlight w:val="none"/>
              </w:rPr>
              <w:t>破损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遇明火</w:t>
            </w:r>
          </w:p>
        </w:tc>
      </w:tr>
      <w:tr w14:paraId="2270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482" w:type="dxa"/>
            <w:vAlign w:val="center"/>
          </w:tcPr>
          <w:p w14:paraId="5D61A130">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配电房</w:t>
            </w:r>
          </w:p>
        </w:tc>
        <w:tc>
          <w:tcPr>
            <w:tcW w:w="1772" w:type="dxa"/>
            <w:vAlign w:val="center"/>
          </w:tcPr>
          <w:p w14:paraId="0E179AF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柴油发电机</w:t>
            </w:r>
          </w:p>
        </w:tc>
        <w:tc>
          <w:tcPr>
            <w:tcW w:w="1312" w:type="dxa"/>
            <w:vAlign w:val="center"/>
          </w:tcPr>
          <w:p w14:paraId="58F0411A">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柴油</w:t>
            </w:r>
          </w:p>
        </w:tc>
        <w:tc>
          <w:tcPr>
            <w:tcW w:w="1699" w:type="dxa"/>
            <w:vAlign w:val="center"/>
          </w:tcPr>
          <w:p w14:paraId="4FBE2D6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泄漏</w:t>
            </w:r>
          </w:p>
        </w:tc>
        <w:tc>
          <w:tcPr>
            <w:tcW w:w="2530" w:type="dxa"/>
            <w:vAlign w:val="center"/>
          </w:tcPr>
          <w:p w14:paraId="210048D2">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 w:val="21"/>
                <w:szCs w:val="21"/>
                <w:highlight w:val="none"/>
                <w:lang w:eastAsia="zh-CN"/>
              </w:rPr>
              <w:t>容器</w:t>
            </w:r>
            <w:r>
              <w:rPr>
                <w:rFonts w:hint="default" w:ascii="Times New Roman" w:hAnsi="Times New Roman" w:eastAsia="宋体" w:cs="Times New Roman"/>
                <w:color w:val="auto"/>
                <w:sz w:val="21"/>
                <w:szCs w:val="21"/>
                <w:highlight w:val="none"/>
              </w:rPr>
              <w:t>破损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遇明火</w:t>
            </w:r>
          </w:p>
        </w:tc>
      </w:tr>
      <w:tr w14:paraId="2EBB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482" w:type="dxa"/>
            <w:vAlign w:val="center"/>
          </w:tcPr>
          <w:p w14:paraId="32B1A51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养殖区、粪污处理区</w:t>
            </w:r>
          </w:p>
        </w:tc>
        <w:tc>
          <w:tcPr>
            <w:tcW w:w="1772" w:type="dxa"/>
            <w:vAlign w:val="center"/>
          </w:tcPr>
          <w:p w14:paraId="60194A5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猪舍、</w:t>
            </w:r>
            <w:r>
              <w:rPr>
                <w:rFonts w:hint="default" w:ascii="Times New Roman" w:hAnsi="Times New Roman" w:cs="Times New Roman"/>
                <w:color w:val="auto"/>
                <w:kern w:val="0"/>
                <w:szCs w:val="21"/>
                <w:highlight w:val="none"/>
                <w:lang w:val="en-US" w:eastAsia="zh-CN"/>
              </w:rPr>
              <w:t>废水收集池</w:t>
            </w:r>
            <w:r>
              <w:rPr>
                <w:rFonts w:hint="default" w:ascii="Times New Roman" w:hAnsi="Times New Roman" w:cs="Times New Roman"/>
                <w:color w:val="auto"/>
                <w:kern w:val="0"/>
                <w:szCs w:val="21"/>
                <w:highlight w:val="none"/>
                <w:lang w:eastAsia="zh-CN"/>
              </w:rPr>
              <w:t>、堆粪棚等</w:t>
            </w:r>
          </w:p>
        </w:tc>
        <w:tc>
          <w:tcPr>
            <w:tcW w:w="1312" w:type="dxa"/>
            <w:vAlign w:val="center"/>
          </w:tcPr>
          <w:p w14:paraId="383A604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NH</w:t>
            </w:r>
            <w:r>
              <w:rPr>
                <w:rFonts w:hint="default" w:ascii="Times New Roman" w:hAnsi="Times New Roman" w:eastAsia="宋体" w:cs="Times New Roman"/>
                <w:bCs/>
                <w:color w:val="auto"/>
                <w:sz w:val="21"/>
                <w:szCs w:val="21"/>
                <w:highlight w:val="none"/>
                <w:vertAlign w:val="subscript"/>
                <w:lang w:val="en-US" w:eastAsia="zh-CN"/>
              </w:rPr>
              <w:t>3</w:t>
            </w:r>
            <w:r>
              <w:rPr>
                <w:rFonts w:hint="default" w:ascii="Times New Roman" w:hAnsi="Times New Roman" w:eastAsia="宋体" w:cs="Times New Roman"/>
                <w:bCs/>
                <w:color w:val="auto"/>
                <w:sz w:val="21"/>
                <w:szCs w:val="21"/>
                <w:highlight w:val="none"/>
                <w:lang w:val="en-US" w:eastAsia="zh-CN"/>
              </w:rPr>
              <w:t>、H</w:t>
            </w:r>
            <w:r>
              <w:rPr>
                <w:rFonts w:hint="default" w:ascii="Times New Roman" w:hAnsi="Times New Roman" w:eastAsia="宋体" w:cs="Times New Roman"/>
                <w:bCs/>
                <w:color w:val="auto"/>
                <w:sz w:val="21"/>
                <w:szCs w:val="21"/>
                <w:highlight w:val="none"/>
                <w:vertAlign w:val="subscript"/>
                <w:lang w:val="en-US" w:eastAsia="zh-CN"/>
              </w:rPr>
              <w:t>2</w:t>
            </w:r>
            <w:r>
              <w:rPr>
                <w:rFonts w:hint="default" w:ascii="Times New Roman" w:hAnsi="Times New Roman" w:eastAsia="宋体" w:cs="Times New Roman"/>
                <w:bCs/>
                <w:color w:val="auto"/>
                <w:sz w:val="21"/>
                <w:szCs w:val="21"/>
                <w:highlight w:val="none"/>
                <w:lang w:val="en-US" w:eastAsia="zh-CN"/>
              </w:rPr>
              <w:t>S</w:t>
            </w:r>
          </w:p>
        </w:tc>
        <w:tc>
          <w:tcPr>
            <w:tcW w:w="1699" w:type="dxa"/>
            <w:vAlign w:val="center"/>
          </w:tcPr>
          <w:p w14:paraId="520B53E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eastAsia="zh-CN"/>
              </w:rPr>
              <w:t>废气非正常排放</w:t>
            </w:r>
          </w:p>
        </w:tc>
        <w:tc>
          <w:tcPr>
            <w:tcW w:w="2530" w:type="dxa"/>
            <w:vAlign w:val="center"/>
          </w:tcPr>
          <w:p w14:paraId="5B91DD44">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w:t>
            </w:r>
          </w:p>
        </w:tc>
      </w:tr>
      <w:tr w14:paraId="64FA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482" w:type="dxa"/>
            <w:vAlign w:val="center"/>
          </w:tcPr>
          <w:p w14:paraId="682E39F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烘干棚</w:t>
            </w:r>
          </w:p>
        </w:tc>
        <w:tc>
          <w:tcPr>
            <w:tcW w:w="1772" w:type="dxa"/>
            <w:vAlign w:val="center"/>
          </w:tcPr>
          <w:p w14:paraId="6D8EDA8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天然气燃烧器</w:t>
            </w:r>
          </w:p>
        </w:tc>
        <w:tc>
          <w:tcPr>
            <w:tcW w:w="1312" w:type="dxa"/>
            <w:vAlign w:val="center"/>
          </w:tcPr>
          <w:p w14:paraId="7D90DD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甲烷</w:t>
            </w:r>
          </w:p>
          <w:p w14:paraId="4393663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（CH</w:t>
            </w:r>
            <w:r>
              <w:rPr>
                <w:rFonts w:hint="default" w:ascii="Times New Roman" w:hAnsi="Times New Roman" w:eastAsia="宋体" w:cs="Times New Roman"/>
                <w:color w:val="auto"/>
                <w:sz w:val="21"/>
                <w:szCs w:val="21"/>
                <w:highlight w:val="none"/>
                <w:vertAlign w:val="subscript"/>
              </w:rPr>
              <w:t>4</w:t>
            </w:r>
            <w:r>
              <w:rPr>
                <w:rFonts w:hint="default" w:ascii="Times New Roman" w:hAnsi="Times New Roman" w:eastAsia="宋体" w:cs="Times New Roman"/>
                <w:color w:val="auto"/>
                <w:sz w:val="21"/>
                <w:szCs w:val="21"/>
                <w:highlight w:val="none"/>
              </w:rPr>
              <w:t>）</w:t>
            </w:r>
          </w:p>
        </w:tc>
        <w:tc>
          <w:tcPr>
            <w:tcW w:w="1699" w:type="dxa"/>
            <w:vAlign w:val="center"/>
          </w:tcPr>
          <w:p w14:paraId="02A7DCD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泄漏</w:t>
            </w:r>
          </w:p>
        </w:tc>
        <w:tc>
          <w:tcPr>
            <w:tcW w:w="2530" w:type="dxa"/>
            <w:vAlign w:val="center"/>
          </w:tcPr>
          <w:p w14:paraId="54F97BAA">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0"/>
                <w:szCs w:val="21"/>
                <w:highlight w:val="none"/>
                <w:lang w:val="en-US"/>
              </w:rPr>
            </w:pPr>
            <w:r>
              <w:rPr>
                <w:rFonts w:hint="default" w:ascii="Times New Roman" w:hAnsi="Times New Roman" w:cs="Times New Roman"/>
                <w:color w:val="auto"/>
                <w:kern w:val="0"/>
                <w:szCs w:val="21"/>
                <w:highlight w:val="none"/>
                <w:lang w:val="en-US" w:eastAsia="zh-CN"/>
              </w:rPr>
              <w:t>管道泄漏</w:t>
            </w:r>
          </w:p>
        </w:tc>
      </w:tr>
    </w:tbl>
    <w:p w14:paraId="503C0DCC">
      <w:pPr>
        <w:snapToGrid w:val="0"/>
        <w:spacing w:line="360" w:lineRule="auto"/>
        <w:ind w:firstLine="482" w:firstLineChars="200"/>
        <w:rPr>
          <w:rFonts w:hint="default" w:ascii="Times New Roman" w:hAnsi="Times New Roman" w:cs="Times New Roman"/>
          <w:b/>
          <w:bCs/>
          <w:color w:val="auto"/>
          <w:sz w:val="24"/>
          <w:highlight w:val="none"/>
          <w:lang w:bidi="zh-CN"/>
        </w:rPr>
      </w:pPr>
      <w:r>
        <w:rPr>
          <w:rFonts w:hint="default" w:ascii="Times New Roman" w:hAnsi="Times New Roman" w:cs="Times New Roman"/>
          <w:b/>
          <w:bCs/>
          <w:color w:val="auto"/>
          <w:sz w:val="24"/>
          <w:highlight w:val="none"/>
          <w:lang w:val="en-US" w:bidi="zh-CN"/>
        </w:rPr>
        <w:t>3、</w:t>
      </w:r>
      <w:r>
        <w:rPr>
          <w:rFonts w:hint="default" w:ascii="Times New Roman" w:hAnsi="Times New Roman" w:cs="Times New Roman"/>
          <w:b/>
          <w:bCs/>
          <w:color w:val="auto"/>
          <w:sz w:val="24"/>
          <w:highlight w:val="none"/>
          <w:lang w:bidi="zh-CN"/>
        </w:rPr>
        <w:t>环境风险识别结果</w:t>
      </w:r>
    </w:p>
    <w:p w14:paraId="5DABF9A1">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根据《建设项目环境风险评价技术导则》（HJ 169-2018）的规定，环境风险类型包括危险物质泄漏</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火灾、爆炸等引发的伴生/次生污染物排放。结合前述物质危险性识别及生产系统危险性识别结果，对本项目涉及的环境风险类型、危险物质向环境转移的可能途径及影响方式进行识别，识别结果见表</w:t>
      </w:r>
      <w:r>
        <w:rPr>
          <w:rFonts w:hint="default" w:ascii="Times New Roman" w:hAnsi="Times New Roman" w:cs="Times New Roman"/>
          <w:color w:val="auto"/>
          <w:sz w:val="24"/>
          <w:szCs w:val="24"/>
          <w:highlight w:val="none"/>
          <w:lang w:val="en-US" w:eastAsia="zh-CN"/>
        </w:rPr>
        <w:t>5.2.</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w:t>
      </w:r>
    </w:p>
    <w:p w14:paraId="3D3E1E48">
      <w:pPr>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表5.2.</w:t>
      </w:r>
      <w:r>
        <w:rPr>
          <w:rFonts w:hint="eastAsia" w:cs="Times New Roman"/>
          <w:b/>
          <w:bCs/>
          <w:color w:val="auto"/>
          <w:szCs w:val="21"/>
          <w:highlight w:val="none"/>
          <w:lang w:val="en-US" w:eastAsia="zh-CN"/>
        </w:rPr>
        <w:t>8</w:t>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highlight w:val="none"/>
          <w:lang w:val="en-US" w:eastAsia="zh-CN"/>
        </w:rPr>
        <w:t>6</w:t>
      </w:r>
      <w:r>
        <w:rPr>
          <w:rFonts w:hint="default" w:ascii="Times New Roman" w:hAnsi="Times New Roman" w:cs="Times New Roman"/>
          <w:b/>
          <w:bCs/>
          <w:color w:val="auto"/>
          <w:szCs w:val="21"/>
          <w:highlight w:val="none"/>
        </w:rPr>
        <w:t xml:space="preserve">  环境风险识别结果表</w:t>
      </w:r>
    </w:p>
    <w:tbl>
      <w:tblPr>
        <w:tblStyle w:val="23"/>
        <w:tblW w:w="8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430"/>
        <w:gridCol w:w="1312"/>
        <w:gridCol w:w="1434"/>
        <w:gridCol w:w="1367"/>
        <w:gridCol w:w="2060"/>
      </w:tblGrid>
      <w:tr w14:paraId="01A3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187" w:type="dxa"/>
            <w:vAlign w:val="center"/>
          </w:tcPr>
          <w:p w14:paraId="3E7FFB1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lang w:eastAsia="zh-CN"/>
              </w:rPr>
            </w:pPr>
            <w:r>
              <w:rPr>
                <w:rFonts w:hint="default" w:ascii="Times New Roman" w:hAnsi="Times New Roman" w:cs="Times New Roman"/>
                <w:b/>
                <w:bCs/>
                <w:color w:val="auto"/>
                <w:kern w:val="0"/>
                <w:szCs w:val="21"/>
                <w:highlight w:val="none"/>
                <w:lang w:eastAsia="zh-CN"/>
              </w:rPr>
              <w:t>危险单元</w:t>
            </w:r>
          </w:p>
        </w:tc>
        <w:tc>
          <w:tcPr>
            <w:tcW w:w="1430" w:type="dxa"/>
            <w:vAlign w:val="center"/>
          </w:tcPr>
          <w:p w14:paraId="6145BC9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lang w:val="en-US" w:eastAsia="zh-CN"/>
              </w:rPr>
            </w:pPr>
            <w:r>
              <w:rPr>
                <w:rFonts w:hint="default" w:ascii="Times New Roman" w:hAnsi="Times New Roman" w:cs="Times New Roman"/>
                <w:b/>
                <w:bCs/>
                <w:color w:val="auto"/>
                <w:kern w:val="0"/>
                <w:szCs w:val="21"/>
                <w:highlight w:val="none"/>
                <w:lang w:eastAsia="zh-CN"/>
              </w:rPr>
              <w:t>风险源</w:t>
            </w:r>
          </w:p>
        </w:tc>
        <w:tc>
          <w:tcPr>
            <w:tcW w:w="1312" w:type="dxa"/>
            <w:vAlign w:val="center"/>
          </w:tcPr>
          <w:p w14:paraId="1FD2467E">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kern w:val="0"/>
                <w:szCs w:val="21"/>
                <w:highlight w:val="none"/>
              </w:rPr>
              <w:t>风险物质</w:t>
            </w:r>
          </w:p>
        </w:tc>
        <w:tc>
          <w:tcPr>
            <w:tcW w:w="1434" w:type="dxa"/>
            <w:vAlign w:val="center"/>
          </w:tcPr>
          <w:p w14:paraId="5A19992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kern w:val="0"/>
                <w:szCs w:val="21"/>
                <w:highlight w:val="none"/>
              </w:rPr>
              <w:t>环境风险类型</w:t>
            </w:r>
          </w:p>
        </w:tc>
        <w:tc>
          <w:tcPr>
            <w:tcW w:w="1367" w:type="dxa"/>
            <w:vAlign w:val="center"/>
          </w:tcPr>
          <w:p w14:paraId="38892431">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kern w:val="0"/>
                <w:szCs w:val="21"/>
                <w:highlight w:val="none"/>
              </w:rPr>
              <w:t>环境影响途径</w:t>
            </w:r>
          </w:p>
        </w:tc>
        <w:tc>
          <w:tcPr>
            <w:tcW w:w="2060" w:type="dxa"/>
            <w:vAlign w:val="center"/>
          </w:tcPr>
          <w:p w14:paraId="33118AB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lang w:val="en-US" w:eastAsia="zh-CN"/>
              </w:rPr>
            </w:pPr>
            <w:r>
              <w:rPr>
                <w:rFonts w:hint="default" w:ascii="Times New Roman" w:hAnsi="Times New Roman" w:cs="Times New Roman"/>
                <w:b/>
                <w:bCs/>
                <w:color w:val="auto"/>
                <w:kern w:val="0"/>
                <w:szCs w:val="21"/>
                <w:highlight w:val="none"/>
                <w:lang w:val="en-US" w:eastAsia="zh-CN"/>
              </w:rPr>
              <w:t>可能受影响的敏感目标</w:t>
            </w:r>
          </w:p>
        </w:tc>
      </w:tr>
      <w:tr w14:paraId="0D8E7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187" w:type="dxa"/>
            <w:vAlign w:val="center"/>
          </w:tcPr>
          <w:p w14:paraId="16A5F77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危废暂存间</w:t>
            </w:r>
          </w:p>
        </w:tc>
        <w:tc>
          <w:tcPr>
            <w:tcW w:w="1430" w:type="dxa"/>
            <w:vAlign w:val="center"/>
          </w:tcPr>
          <w:p w14:paraId="771DDF2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kern w:val="0"/>
                <w:sz w:val="21"/>
                <w:szCs w:val="21"/>
                <w:highlight w:val="none"/>
                <w:lang w:eastAsia="zh-CN"/>
              </w:rPr>
              <w:t>废润滑油、</w:t>
            </w:r>
            <w:r>
              <w:rPr>
                <w:rFonts w:hint="default" w:ascii="Times New Roman" w:hAnsi="Times New Roman" w:eastAsia="宋体" w:cs="Times New Roman"/>
                <w:bCs/>
                <w:color w:val="auto"/>
                <w:kern w:val="0"/>
                <w:sz w:val="21"/>
                <w:szCs w:val="21"/>
                <w:highlight w:val="none"/>
              </w:rPr>
              <w:t>废机油桶</w:t>
            </w:r>
          </w:p>
        </w:tc>
        <w:tc>
          <w:tcPr>
            <w:tcW w:w="1312" w:type="dxa"/>
            <w:vAlign w:val="center"/>
          </w:tcPr>
          <w:p w14:paraId="2D1E8D6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矿物油</w:t>
            </w:r>
          </w:p>
        </w:tc>
        <w:tc>
          <w:tcPr>
            <w:tcW w:w="1434" w:type="dxa"/>
            <w:vAlign w:val="center"/>
          </w:tcPr>
          <w:p w14:paraId="34744B3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泄漏</w:t>
            </w:r>
          </w:p>
        </w:tc>
        <w:tc>
          <w:tcPr>
            <w:tcW w:w="1367" w:type="dxa"/>
            <w:vAlign w:val="center"/>
          </w:tcPr>
          <w:p w14:paraId="42B9315A">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地表水、地下水</w:t>
            </w:r>
          </w:p>
        </w:tc>
        <w:tc>
          <w:tcPr>
            <w:tcW w:w="2060" w:type="dxa"/>
            <w:vAlign w:val="center"/>
          </w:tcPr>
          <w:p w14:paraId="45B91842">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sz w:val="21"/>
                <w:szCs w:val="21"/>
                <w:highlight w:val="none"/>
                <w:lang w:val="en-US" w:eastAsia="zh-CN" w:bidi="ar"/>
              </w:rPr>
              <w:t>周边地表水、场地及其下游地下水、土壤</w:t>
            </w:r>
          </w:p>
        </w:tc>
      </w:tr>
      <w:tr w14:paraId="2E10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187" w:type="dxa"/>
            <w:vAlign w:val="center"/>
          </w:tcPr>
          <w:p w14:paraId="5CABC9DA">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配电房</w:t>
            </w:r>
          </w:p>
        </w:tc>
        <w:tc>
          <w:tcPr>
            <w:tcW w:w="1430" w:type="dxa"/>
            <w:vAlign w:val="center"/>
          </w:tcPr>
          <w:p w14:paraId="45619C7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柴油发电机</w:t>
            </w:r>
          </w:p>
        </w:tc>
        <w:tc>
          <w:tcPr>
            <w:tcW w:w="1312" w:type="dxa"/>
            <w:vAlign w:val="center"/>
          </w:tcPr>
          <w:p w14:paraId="0035685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柴油</w:t>
            </w:r>
          </w:p>
        </w:tc>
        <w:tc>
          <w:tcPr>
            <w:tcW w:w="1434" w:type="dxa"/>
            <w:vAlign w:val="center"/>
          </w:tcPr>
          <w:p w14:paraId="0BC116DC">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泄漏</w:t>
            </w:r>
          </w:p>
        </w:tc>
        <w:tc>
          <w:tcPr>
            <w:tcW w:w="1367" w:type="dxa"/>
            <w:vAlign w:val="center"/>
          </w:tcPr>
          <w:p w14:paraId="5D58D70A">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地表水、地下水</w:t>
            </w:r>
          </w:p>
        </w:tc>
        <w:tc>
          <w:tcPr>
            <w:tcW w:w="2060" w:type="dxa"/>
            <w:vAlign w:val="center"/>
          </w:tcPr>
          <w:p w14:paraId="7AA25E81">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sz w:val="21"/>
                <w:szCs w:val="21"/>
                <w:highlight w:val="none"/>
                <w:lang w:val="en-US" w:eastAsia="zh-CN" w:bidi="ar"/>
              </w:rPr>
              <w:t>周边地表水、场地及其下游地下水、土壤</w:t>
            </w:r>
          </w:p>
        </w:tc>
      </w:tr>
      <w:tr w14:paraId="55E7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187" w:type="dxa"/>
            <w:vAlign w:val="center"/>
          </w:tcPr>
          <w:p w14:paraId="1D1A226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eastAsia="zh-CN"/>
              </w:rPr>
              <w:t>养殖区、粪污处理区</w:t>
            </w:r>
          </w:p>
        </w:tc>
        <w:tc>
          <w:tcPr>
            <w:tcW w:w="1430" w:type="dxa"/>
            <w:vAlign w:val="center"/>
          </w:tcPr>
          <w:p w14:paraId="2D9CC79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eastAsia="zh-CN"/>
              </w:rPr>
              <w:t>猪舍、</w:t>
            </w:r>
            <w:r>
              <w:rPr>
                <w:rFonts w:hint="default" w:ascii="Times New Roman" w:hAnsi="Times New Roman" w:cs="Times New Roman"/>
                <w:color w:val="auto"/>
                <w:kern w:val="0"/>
                <w:szCs w:val="21"/>
                <w:highlight w:val="none"/>
                <w:lang w:val="en-US" w:eastAsia="zh-CN"/>
              </w:rPr>
              <w:t>废水收集池</w:t>
            </w:r>
            <w:r>
              <w:rPr>
                <w:rFonts w:hint="default" w:ascii="Times New Roman" w:hAnsi="Times New Roman" w:cs="Times New Roman"/>
                <w:color w:val="auto"/>
                <w:kern w:val="0"/>
                <w:szCs w:val="21"/>
                <w:highlight w:val="none"/>
                <w:lang w:eastAsia="zh-CN"/>
              </w:rPr>
              <w:t>、堆粪棚等</w:t>
            </w:r>
          </w:p>
        </w:tc>
        <w:tc>
          <w:tcPr>
            <w:tcW w:w="1312" w:type="dxa"/>
            <w:vAlign w:val="center"/>
          </w:tcPr>
          <w:p w14:paraId="2282752C">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lang w:val="en-US" w:eastAsia="zh-CN"/>
              </w:rPr>
              <w:t>NH</w:t>
            </w:r>
            <w:r>
              <w:rPr>
                <w:rFonts w:hint="default" w:ascii="Times New Roman" w:hAnsi="Times New Roman" w:eastAsia="宋体" w:cs="Times New Roman"/>
                <w:bCs/>
                <w:color w:val="auto"/>
                <w:sz w:val="21"/>
                <w:szCs w:val="21"/>
                <w:highlight w:val="none"/>
                <w:vertAlign w:val="subscript"/>
                <w:lang w:val="en-US" w:eastAsia="zh-CN"/>
              </w:rPr>
              <w:t>3</w:t>
            </w:r>
            <w:r>
              <w:rPr>
                <w:rFonts w:hint="default" w:ascii="Times New Roman" w:hAnsi="Times New Roman" w:eastAsia="宋体" w:cs="Times New Roman"/>
                <w:bCs/>
                <w:color w:val="auto"/>
                <w:sz w:val="21"/>
                <w:szCs w:val="21"/>
                <w:highlight w:val="none"/>
                <w:lang w:val="en-US" w:eastAsia="zh-CN"/>
              </w:rPr>
              <w:t>、H</w:t>
            </w:r>
            <w:r>
              <w:rPr>
                <w:rFonts w:hint="default" w:ascii="Times New Roman" w:hAnsi="Times New Roman" w:eastAsia="宋体" w:cs="Times New Roman"/>
                <w:bCs/>
                <w:color w:val="auto"/>
                <w:sz w:val="21"/>
                <w:szCs w:val="21"/>
                <w:highlight w:val="none"/>
                <w:vertAlign w:val="subscript"/>
                <w:lang w:val="en-US" w:eastAsia="zh-CN"/>
              </w:rPr>
              <w:t>2</w:t>
            </w:r>
            <w:r>
              <w:rPr>
                <w:rFonts w:hint="default" w:ascii="Times New Roman" w:hAnsi="Times New Roman" w:eastAsia="宋体" w:cs="Times New Roman"/>
                <w:bCs/>
                <w:color w:val="auto"/>
                <w:sz w:val="21"/>
                <w:szCs w:val="21"/>
                <w:highlight w:val="none"/>
                <w:lang w:val="en-US" w:eastAsia="zh-CN"/>
              </w:rPr>
              <w:t>S</w:t>
            </w:r>
          </w:p>
        </w:tc>
        <w:tc>
          <w:tcPr>
            <w:tcW w:w="1434" w:type="dxa"/>
            <w:vAlign w:val="center"/>
          </w:tcPr>
          <w:p w14:paraId="1FA43E4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eastAsia="zh-CN"/>
              </w:rPr>
              <w:t>废气非正常排放</w:t>
            </w:r>
          </w:p>
        </w:tc>
        <w:tc>
          <w:tcPr>
            <w:tcW w:w="1367" w:type="dxa"/>
            <w:vAlign w:val="center"/>
          </w:tcPr>
          <w:p w14:paraId="5E5372B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大气</w:t>
            </w:r>
          </w:p>
        </w:tc>
        <w:tc>
          <w:tcPr>
            <w:tcW w:w="2060" w:type="dxa"/>
            <w:vAlign w:val="center"/>
          </w:tcPr>
          <w:p w14:paraId="0389E4A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rPr>
              <w:t>厂区周边500m范围内的活动人员</w:t>
            </w:r>
          </w:p>
        </w:tc>
      </w:tr>
      <w:tr w14:paraId="132A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187" w:type="dxa"/>
            <w:vAlign w:val="center"/>
          </w:tcPr>
          <w:p w14:paraId="460FAFAE">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烘干棚</w:t>
            </w:r>
          </w:p>
        </w:tc>
        <w:tc>
          <w:tcPr>
            <w:tcW w:w="1430" w:type="dxa"/>
            <w:vAlign w:val="center"/>
          </w:tcPr>
          <w:p w14:paraId="4DED8B7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天然气燃烧器</w:t>
            </w:r>
          </w:p>
        </w:tc>
        <w:tc>
          <w:tcPr>
            <w:tcW w:w="1312" w:type="dxa"/>
            <w:vAlign w:val="center"/>
          </w:tcPr>
          <w:p w14:paraId="2919EF7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甲烷</w:t>
            </w:r>
          </w:p>
          <w:p w14:paraId="24F4B19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（CH</w:t>
            </w:r>
            <w:r>
              <w:rPr>
                <w:rFonts w:hint="default" w:ascii="Times New Roman" w:hAnsi="Times New Roman" w:eastAsia="宋体" w:cs="Times New Roman"/>
                <w:color w:val="auto"/>
                <w:sz w:val="21"/>
                <w:szCs w:val="21"/>
                <w:highlight w:val="none"/>
                <w:vertAlign w:val="subscript"/>
              </w:rPr>
              <w:t>4</w:t>
            </w:r>
            <w:r>
              <w:rPr>
                <w:rFonts w:hint="default" w:ascii="Times New Roman" w:hAnsi="Times New Roman" w:eastAsia="宋体" w:cs="Times New Roman"/>
                <w:color w:val="auto"/>
                <w:sz w:val="21"/>
                <w:szCs w:val="21"/>
                <w:highlight w:val="none"/>
              </w:rPr>
              <w:t>）</w:t>
            </w:r>
          </w:p>
        </w:tc>
        <w:tc>
          <w:tcPr>
            <w:tcW w:w="1434" w:type="dxa"/>
            <w:vAlign w:val="center"/>
          </w:tcPr>
          <w:p w14:paraId="41E6388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rPr>
              <w:t>泄漏</w:t>
            </w:r>
          </w:p>
        </w:tc>
        <w:tc>
          <w:tcPr>
            <w:tcW w:w="1367" w:type="dxa"/>
            <w:vAlign w:val="center"/>
          </w:tcPr>
          <w:p w14:paraId="1435176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大气</w:t>
            </w:r>
          </w:p>
        </w:tc>
        <w:tc>
          <w:tcPr>
            <w:tcW w:w="2060" w:type="dxa"/>
            <w:vAlign w:val="center"/>
          </w:tcPr>
          <w:p w14:paraId="15CA0F6A">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厂区周边500m范围内的活动人员</w:t>
            </w:r>
          </w:p>
        </w:tc>
      </w:tr>
    </w:tbl>
    <w:p w14:paraId="4D52817C">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w:t>
      </w:r>
      <w:r>
        <w:rPr>
          <w:rFonts w:hint="eastAsia" w:cs="Times New Roman"/>
          <w:b/>
          <w:bCs/>
          <w:color w:val="auto"/>
          <w:sz w:val="24"/>
          <w:highlight w:val="none"/>
          <w:lang w:val="en-US" w:eastAsia="zh-CN"/>
        </w:rPr>
        <w:t>8</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6</w:t>
      </w:r>
      <w:r>
        <w:rPr>
          <w:rFonts w:hint="default" w:ascii="Times New Roman" w:hAnsi="Times New Roman" w:cs="Times New Roman"/>
          <w:b/>
          <w:bCs/>
          <w:color w:val="auto"/>
          <w:kern w:val="0"/>
          <w:sz w:val="24"/>
          <w:highlight w:val="none"/>
          <w:lang w:bidi="ar"/>
        </w:rPr>
        <w:t>风险事故情形分析</w:t>
      </w:r>
    </w:p>
    <w:p w14:paraId="7F72BD4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根据风险识别结果，依据项目可能发生的风险事故类型的概率及事故产生的危害程度，本次环评按以下</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种情况设定为本次风险评价的风险事故情形：</w:t>
      </w:r>
    </w:p>
    <w:p w14:paraId="42FDAFC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）废润滑油、废机油专用收集桶破损，导致废润滑油、废机油泄漏失火，导致的次生污染物排放，泄漏的废润滑油、废机油经雨水冲刷还会对周边地表水、地下水、土壤产生污染。</w:t>
      </w:r>
    </w:p>
    <w:p w14:paraId="2BC638C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备用发电机柴油储存容器</w:t>
      </w:r>
      <w:r>
        <w:rPr>
          <w:rFonts w:hint="default" w:ascii="Times New Roman" w:hAnsi="Times New Roman" w:eastAsia="宋体" w:cs="Times New Roman"/>
          <w:color w:val="auto"/>
          <w:kern w:val="0"/>
          <w:sz w:val="24"/>
          <w:szCs w:val="24"/>
          <w:highlight w:val="none"/>
          <w:lang w:val="en-US" w:eastAsia="zh-CN" w:bidi="ar"/>
        </w:rPr>
        <w:t>发生泄漏失火，导致的次生污染物排放，泄漏的</w:t>
      </w:r>
      <w:r>
        <w:rPr>
          <w:rFonts w:hint="default" w:ascii="Times New Roman" w:hAnsi="Times New Roman" w:cs="Times New Roman"/>
          <w:color w:val="auto"/>
          <w:kern w:val="0"/>
          <w:sz w:val="24"/>
          <w:szCs w:val="24"/>
          <w:highlight w:val="none"/>
          <w:lang w:val="en-US" w:eastAsia="zh-CN" w:bidi="ar"/>
        </w:rPr>
        <w:t>柴油</w:t>
      </w:r>
      <w:r>
        <w:rPr>
          <w:rFonts w:hint="default" w:ascii="Times New Roman" w:hAnsi="Times New Roman" w:eastAsia="宋体" w:cs="Times New Roman"/>
          <w:color w:val="auto"/>
          <w:kern w:val="0"/>
          <w:sz w:val="24"/>
          <w:szCs w:val="24"/>
          <w:highlight w:val="none"/>
          <w:lang w:val="en-US" w:eastAsia="zh-CN" w:bidi="ar"/>
        </w:rPr>
        <w:t>经雨水冲刷还会对周边地表水、地下水、土壤产生污染。</w:t>
      </w:r>
    </w:p>
    <w:p w14:paraId="626A311D">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w:t>
      </w:r>
      <w:r>
        <w:rPr>
          <w:rFonts w:hint="eastAsia" w:cs="Times New Roman"/>
          <w:b/>
          <w:bCs/>
          <w:color w:val="auto"/>
          <w:sz w:val="24"/>
          <w:highlight w:val="none"/>
          <w:lang w:val="en-US" w:eastAsia="zh-CN"/>
        </w:rPr>
        <w:t>8</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7</w:t>
      </w:r>
      <w:r>
        <w:rPr>
          <w:rFonts w:hint="default" w:ascii="Times New Roman" w:hAnsi="Times New Roman" w:cs="Times New Roman"/>
          <w:b/>
          <w:bCs/>
          <w:color w:val="auto"/>
          <w:kern w:val="0"/>
          <w:sz w:val="24"/>
          <w:highlight w:val="none"/>
          <w:lang w:bidi="ar"/>
        </w:rPr>
        <w:t>环境风险分析</w:t>
      </w:r>
    </w:p>
    <w:p w14:paraId="5C98EB06">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1</w:t>
      </w:r>
      <w:r>
        <w:rPr>
          <w:rFonts w:hint="default" w:ascii="Times New Roman" w:hAnsi="Times New Roman" w:cs="Times New Roman"/>
          <w:b/>
          <w:color w:val="auto"/>
          <w:sz w:val="24"/>
          <w:highlight w:val="none"/>
        </w:rPr>
        <w:t>、对</w:t>
      </w:r>
      <w:r>
        <w:rPr>
          <w:rFonts w:hint="default" w:ascii="Times New Roman" w:hAnsi="Times New Roman" w:cs="Times New Roman"/>
          <w:b/>
          <w:color w:val="auto"/>
          <w:sz w:val="24"/>
          <w:highlight w:val="none"/>
          <w:lang w:eastAsia="zh-CN"/>
        </w:rPr>
        <w:t>大气环境</w:t>
      </w:r>
      <w:r>
        <w:rPr>
          <w:rFonts w:hint="default" w:ascii="Times New Roman" w:hAnsi="Times New Roman" w:cs="Times New Roman"/>
          <w:b/>
          <w:color w:val="auto"/>
          <w:sz w:val="24"/>
          <w:highlight w:val="none"/>
        </w:rPr>
        <w:t>的影响分析</w:t>
      </w:r>
    </w:p>
    <w:p w14:paraId="33BE9B33">
      <w:pPr>
        <w:snapToGrid w:val="0"/>
        <w:spacing w:line="360" w:lineRule="auto"/>
        <w:ind w:firstLine="480" w:firstLineChars="200"/>
        <w:rPr>
          <w:rFonts w:hint="default" w:ascii="Times New Roman" w:hAnsi="Times New Roman" w:cs="Times New Roman"/>
          <w:bCs/>
          <w:color w:val="auto"/>
          <w:sz w:val="24"/>
          <w:highlight w:val="none"/>
          <w:lang w:eastAsia="zh-CN"/>
        </w:rPr>
      </w:pPr>
      <w:r>
        <w:rPr>
          <w:rFonts w:hint="default" w:ascii="Times New Roman" w:hAnsi="Times New Roman" w:cs="Times New Roman"/>
          <w:bCs/>
          <w:color w:val="auto"/>
          <w:sz w:val="24"/>
          <w:highlight w:val="none"/>
        </w:rPr>
        <w:t>①泄漏的影响：根据甲烷的危险特性表可知，甲烷本身不具毒性，但是空气中甲烷达25%~30%时，可引起头疼、头晕、乏力、注意力不集中、呼吸和心跳加速。本项目沼气（甲烷）存储在沼气柜，并定期引入沼气火炬燃烧，不直接外排。发生沼气泄漏的原因主要是</w:t>
      </w:r>
      <w:r>
        <w:rPr>
          <w:rFonts w:hint="default" w:ascii="Times New Roman" w:hAnsi="Times New Roman" w:cs="Times New Roman"/>
          <w:bCs/>
          <w:color w:val="auto"/>
          <w:sz w:val="24"/>
          <w:highlight w:val="none"/>
          <w:lang w:val="en-US" w:eastAsia="zh-CN"/>
        </w:rPr>
        <w:t>天然气管道破损</w:t>
      </w:r>
      <w:r>
        <w:rPr>
          <w:rFonts w:hint="default" w:ascii="Times New Roman" w:hAnsi="Times New Roman" w:cs="Times New Roman"/>
          <w:bCs/>
          <w:color w:val="auto"/>
          <w:sz w:val="24"/>
          <w:highlight w:val="none"/>
        </w:rPr>
        <w:t>或法兰接口不严导致泄漏</w:t>
      </w:r>
      <w:r>
        <w:rPr>
          <w:rFonts w:hint="default" w:ascii="Times New Roman" w:hAnsi="Times New Roman" w:cs="Times New Roman"/>
          <w:bCs/>
          <w:color w:val="auto"/>
          <w:sz w:val="24"/>
          <w:highlight w:val="none"/>
          <w:lang w:eastAsia="zh-CN"/>
        </w:rPr>
        <w:t>；</w:t>
      </w:r>
    </w:p>
    <w:p w14:paraId="03772FE2">
      <w:pPr>
        <w:snapToGrid w:val="0"/>
        <w:spacing w:line="360" w:lineRule="auto"/>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rPr>
        <w:t>项目</w:t>
      </w:r>
      <w:r>
        <w:rPr>
          <w:rFonts w:hint="default" w:ascii="Times New Roman" w:hAnsi="Times New Roman" w:cs="Times New Roman"/>
          <w:color w:val="auto"/>
          <w:sz w:val="24"/>
          <w:highlight w:val="none"/>
        </w:rPr>
        <w:t>委托专业资质单位</w:t>
      </w:r>
      <w:r>
        <w:rPr>
          <w:rFonts w:hint="default" w:ascii="Times New Roman" w:hAnsi="Times New Roman" w:cs="Times New Roman"/>
          <w:color w:val="auto"/>
          <w:sz w:val="24"/>
          <w:highlight w:val="none"/>
          <w:lang w:eastAsia="zh-CN"/>
        </w:rPr>
        <w:t>进行设计及施工</w:t>
      </w:r>
      <w:r>
        <w:rPr>
          <w:rFonts w:hint="default" w:ascii="Times New Roman" w:hAnsi="Times New Roman" w:cs="Times New Roman"/>
          <w:bCs/>
          <w:color w:val="auto"/>
          <w:sz w:val="24"/>
          <w:highlight w:val="none"/>
        </w:rPr>
        <w:t>，确保工程质量，定期进行检查等情况下，出现泄漏的可能性较小。</w:t>
      </w:r>
      <w:r>
        <w:rPr>
          <w:rFonts w:hint="default" w:ascii="Times New Roman" w:hAnsi="Times New Roman" w:cs="Times New Roman"/>
          <w:bCs/>
          <w:color w:val="auto"/>
          <w:sz w:val="24"/>
          <w:highlight w:val="none"/>
          <w:lang w:eastAsia="zh-CN"/>
        </w:rPr>
        <w:t>运营期定期巡查排漏，确保密闭设施正常。</w:t>
      </w:r>
      <w:r>
        <w:rPr>
          <w:rFonts w:hint="default" w:ascii="Times New Roman" w:hAnsi="Times New Roman" w:cs="Times New Roman"/>
          <w:bCs/>
          <w:color w:val="auto"/>
          <w:sz w:val="24"/>
          <w:highlight w:val="none"/>
        </w:rPr>
        <w:t>若发生泄漏，立即</w:t>
      </w:r>
      <w:r>
        <w:rPr>
          <w:rFonts w:hint="default" w:ascii="Times New Roman" w:hAnsi="Times New Roman" w:cs="Times New Roman"/>
          <w:bCs/>
          <w:color w:val="auto"/>
          <w:sz w:val="24"/>
          <w:highlight w:val="none"/>
          <w:lang w:val="en-US" w:eastAsia="zh-CN"/>
        </w:rPr>
        <w:t>关闭进厂管道阀门</w:t>
      </w:r>
      <w:r>
        <w:rPr>
          <w:rFonts w:hint="default" w:ascii="Times New Roman" w:hAnsi="Times New Roman" w:cs="Times New Roman"/>
          <w:bCs/>
          <w:color w:val="auto"/>
          <w:sz w:val="24"/>
          <w:highlight w:val="none"/>
        </w:rPr>
        <w:t>并尽快修复，对大气环境产生影响较小。</w:t>
      </w:r>
    </w:p>
    <w:p w14:paraId="681BC5BF">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②火灾次生污染物的影响：当</w:t>
      </w:r>
      <w:r>
        <w:rPr>
          <w:rFonts w:hint="default" w:ascii="Times New Roman" w:hAnsi="Times New Roman" w:cs="Times New Roman"/>
          <w:bCs/>
          <w:color w:val="auto"/>
          <w:sz w:val="24"/>
          <w:highlight w:val="none"/>
          <w:lang w:val="en-US" w:eastAsia="zh-CN"/>
        </w:rPr>
        <w:t>天然气</w:t>
      </w:r>
      <w:r>
        <w:rPr>
          <w:rFonts w:hint="default" w:ascii="Times New Roman" w:hAnsi="Times New Roman" w:cs="Times New Roman"/>
          <w:bCs/>
          <w:color w:val="auto"/>
          <w:sz w:val="24"/>
          <w:highlight w:val="none"/>
        </w:rPr>
        <w:t>、废机油、柴油等遇明火源会发生火灾，火灾事故时会分解产生CO、CO</w:t>
      </w:r>
      <w:r>
        <w:rPr>
          <w:rFonts w:hint="default" w:ascii="Times New Roman" w:hAnsi="Times New Roman" w:cs="Times New Roman"/>
          <w:bCs/>
          <w:color w:val="auto"/>
          <w:sz w:val="24"/>
          <w:highlight w:val="none"/>
          <w:vertAlign w:val="subscript"/>
        </w:rPr>
        <w:t>2</w:t>
      </w:r>
      <w:r>
        <w:rPr>
          <w:rFonts w:hint="default" w:ascii="Times New Roman" w:hAnsi="Times New Roman" w:cs="Times New Roman"/>
          <w:bCs/>
          <w:color w:val="auto"/>
          <w:sz w:val="24"/>
          <w:highlight w:val="none"/>
        </w:rPr>
        <w:t>，将对大气环境造成影响，项目运营过程中在认真落实风险防范措施，操作人员必须经过专门培训，严格遵守操作规程。通过设置禁止吸烟、禁止明火等标志，加强员工安全防火意识，按照消防要求设置灭火器等相应防火应急措施后，发生火灾风险概率很小，项目大气环境风险可控，对大气环境影响是可以接受的。</w:t>
      </w:r>
    </w:p>
    <w:p w14:paraId="6971A3BF">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2、对地表水的影响分析</w:t>
      </w:r>
    </w:p>
    <w:p w14:paraId="588A2B40">
      <w:pPr>
        <w:snapToGrid w:val="0"/>
        <w:spacing w:line="360" w:lineRule="auto"/>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eastAsia="zh-CN"/>
        </w:rPr>
        <w:t>在发生火灾爆炸事故时，灭火过程中将产生一定量的消防废水，当项目未能对消防废水落实相应有效收集措施时，消防水进入项目周边地表水体或渗入地下，污染水体。泄漏或渗漏的废机油一旦进入地表河流，将造成地表河流的污染，对地表水体的影响主要是因为有机烃类物质难溶于水，大部分上浮在水层表面，形成一层油膜使空气与水隔离，造成水中溶解氧浓度降低，逐渐形成死水，致使水中生物死亡；同时造成可生化性较差，造成被污染水体长时间得不到净化。同时，泄漏或渗漏必然穿过较厚的土壤层，使土壤层中吸附了大量的燃料油，土壤层吸附的燃料油不仅会造成植物生物的死亡，而且土壤层吸附的燃料油还会随着地表水的下渗对土壤层的冲刷作用补充到地下水，即便污染源得到及时控制，邻近水体要完全恢复也需几十年甚至上百年的时间。</w:t>
      </w:r>
      <w:r>
        <w:rPr>
          <w:rFonts w:hint="default" w:ascii="Times New Roman" w:hAnsi="Times New Roman" w:eastAsia="宋体" w:cs="Times New Roman"/>
          <w:bCs/>
          <w:color w:val="auto"/>
          <w:sz w:val="24"/>
          <w:highlight w:val="none"/>
          <w:lang w:val="en-US" w:eastAsia="zh-CN"/>
        </w:rPr>
        <w:t>根据项目特点，</w:t>
      </w:r>
      <w:r>
        <w:rPr>
          <w:rFonts w:hint="default" w:ascii="Times New Roman" w:hAnsi="Times New Roman" w:eastAsia="宋体" w:cs="Times New Roman"/>
          <w:bCs/>
          <w:color w:val="auto"/>
          <w:sz w:val="24"/>
          <w:highlight w:val="none"/>
          <w:lang w:eastAsia="zh-CN"/>
        </w:rPr>
        <w:t>当发生火灾时可将消防废水导流进</w:t>
      </w:r>
      <w:r>
        <w:rPr>
          <w:rFonts w:hint="default" w:ascii="Times New Roman" w:hAnsi="Times New Roman" w:eastAsia="宋体" w:cs="Times New Roman"/>
          <w:bCs/>
          <w:color w:val="auto"/>
          <w:sz w:val="24"/>
          <w:highlight w:val="none"/>
          <w:lang w:val="en-US" w:eastAsia="zh-CN"/>
        </w:rPr>
        <w:t>项目区</w:t>
      </w:r>
      <w:r>
        <w:rPr>
          <w:rFonts w:hint="default" w:ascii="Times New Roman" w:hAnsi="Times New Roman" w:cs="Times New Roman"/>
          <w:bCs/>
          <w:color w:val="auto"/>
          <w:sz w:val="24"/>
          <w:highlight w:val="none"/>
          <w:lang w:val="en-US" w:eastAsia="zh-CN"/>
        </w:rPr>
        <w:t>废水收集池</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不外排</w:t>
      </w:r>
      <w:r>
        <w:rPr>
          <w:rFonts w:hint="default" w:ascii="Times New Roman" w:hAnsi="Times New Roman" w:eastAsia="宋体" w:cs="Times New Roman"/>
          <w:bCs/>
          <w:color w:val="auto"/>
          <w:sz w:val="24"/>
          <w:highlight w:val="none"/>
          <w:lang w:eastAsia="zh-CN"/>
        </w:rPr>
        <w:t>，对表水影响较小。</w:t>
      </w:r>
    </w:p>
    <w:p w14:paraId="3A5C9F34">
      <w:pPr>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项目废矿物油采用专用密闭容器盛装，并设置托盘，暂存在危废暂存间，暂存存量较小，并定期委托相关资质单位处置，且危废暂存间按照重点防渗要求建设，一般情况下不会发生泄漏及外溢至地表水中。</w:t>
      </w:r>
      <w:r>
        <w:rPr>
          <w:rFonts w:hint="default" w:ascii="Times New Roman" w:hAnsi="Times New Roman" w:cs="Times New Roman"/>
          <w:bCs/>
          <w:color w:val="auto"/>
          <w:sz w:val="24"/>
          <w:highlight w:val="none"/>
          <w:lang w:eastAsia="zh-CN"/>
        </w:rPr>
        <w:t>备用柴油发电机油箱下方设置托盘，可以有效收集泄漏的柴油。</w:t>
      </w:r>
      <w:r>
        <w:rPr>
          <w:rFonts w:hint="default" w:ascii="Times New Roman" w:hAnsi="Times New Roman" w:eastAsia="宋体" w:cs="Times New Roman"/>
          <w:bCs/>
          <w:color w:val="auto"/>
          <w:sz w:val="24"/>
          <w:highlight w:val="none"/>
          <w:lang w:val="en-US" w:eastAsia="zh-CN"/>
        </w:rPr>
        <w:t>因此项目地表水环境风险是可控的。</w:t>
      </w:r>
    </w:p>
    <w:p w14:paraId="10226A7F">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3、对地下水、土壤的影响分析</w:t>
      </w:r>
    </w:p>
    <w:p w14:paraId="104253D4">
      <w:pPr>
        <w:snapToGrid w:val="0"/>
        <w:spacing w:line="360" w:lineRule="auto"/>
        <w:ind w:firstLine="480" w:firstLineChars="200"/>
        <w:rPr>
          <w:rFonts w:hint="default" w:ascii="Times New Roman" w:hAnsi="Times New Roman" w:cs="Times New Roman"/>
          <w:bCs/>
          <w:color w:val="auto"/>
          <w:sz w:val="24"/>
          <w:highlight w:val="none"/>
          <w:lang w:eastAsia="zh-CN"/>
        </w:rPr>
      </w:pPr>
      <w:r>
        <w:rPr>
          <w:rFonts w:hint="default" w:ascii="Times New Roman" w:hAnsi="Times New Roman" w:cs="Times New Roman"/>
          <w:bCs/>
          <w:color w:val="auto"/>
          <w:sz w:val="24"/>
          <w:highlight w:val="none"/>
          <w:lang w:eastAsia="zh-CN"/>
        </w:rPr>
        <w:t>本项目对地下水环境风险的影响主要是项目地表防渗层损坏，泄漏物料通过损坏的防渗层进入地下水中，从而造成地下水污染。正常情况下在项目做好防渗工作的前提下，项目泄漏的物料能够得到及时收集处理，不会进入地下水环境中。</w:t>
      </w:r>
    </w:p>
    <w:p w14:paraId="479D3BAD">
      <w:pPr>
        <w:snapToGrid w:val="0"/>
        <w:spacing w:line="360" w:lineRule="auto"/>
        <w:ind w:firstLine="480" w:firstLineChars="200"/>
        <w:rPr>
          <w:rFonts w:hint="default" w:ascii="Times New Roman" w:hAnsi="Times New Roman" w:cs="Times New Roman"/>
          <w:bCs/>
          <w:color w:val="auto"/>
          <w:sz w:val="24"/>
          <w:highlight w:val="none"/>
          <w:lang w:eastAsia="zh-CN"/>
        </w:rPr>
      </w:pPr>
      <w:r>
        <w:rPr>
          <w:rFonts w:hint="default" w:ascii="Times New Roman" w:hAnsi="Times New Roman" w:cs="Times New Roman"/>
          <w:bCs/>
          <w:color w:val="auto"/>
          <w:sz w:val="24"/>
          <w:highlight w:val="none"/>
          <w:lang w:eastAsia="zh-CN"/>
        </w:rPr>
        <w:t>非正常情况下，根据“第</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lang w:eastAsia="zh-CN"/>
        </w:rPr>
        <w:t>.2.3 地下水环境影响分析”预测结果显示，非正常情况，若防渗层发生破损废水下渗会对地下水水质产生一定程度的影响，</w:t>
      </w:r>
      <w:r>
        <w:rPr>
          <w:rFonts w:hint="default" w:ascii="Times New Roman" w:hAnsi="Times New Roman" w:cs="Times New Roman"/>
          <w:bCs/>
          <w:color w:val="auto"/>
          <w:sz w:val="24"/>
          <w:highlight w:val="none"/>
          <w:lang w:val="en-US" w:eastAsia="zh-CN"/>
        </w:rPr>
        <w:t>至预测期结束（1000d），</w:t>
      </w:r>
      <w:r>
        <w:rPr>
          <w:rFonts w:hint="default" w:ascii="Times New Roman" w:hAnsi="Times New Roman" w:cs="Times New Roman"/>
          <w:bCs/>
          <w:color w:val="auto"/>
          <w:sz w:val="24"/>
          <w:highlight w:val="none"/>
          <w:lang w:eastAsia="zh-CN"/>
        </w:rPr>
        <w:t>影响范围内无地下水饮用水点。</w:t>
      </w:r>
    </w:p>
    <w:p w14:paraId="04F48B52">
      <w:pPr>
        <w:snapToGrid w:val="0"/>
        <w:spacing w:line="360" w:lineRule="auto"/>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lang w:eastAsia="zh-CN"/>
        </w:rPr>
        <w:t>因此，应按照要求落实各项防渗措施，</w:t>
      </w:r>
      <w:r>
        <w:rPr>
          <w:rFonts w:hint="default" w:ascii="Times New Roman" w:hAnsi="Times New Roman" w:cs="Times New Roman"/>
          <w:bCs/>
          <w:color w:val="auto"/>
          <w:sz w:val="24"/>
          <w:highlight w:val="none"/>
        </w:rPr>
        <w:t>做好</w:t>
      </w:r>
      <w:r>
        <w:rPr>
          <w:rFonts w:hint="default" w:ascii="Times New Roman" w:hAnsi="Times New Roman" w:cs="Times New Roman"/>
          <w:bCs/>
          <w:color w:val="auto"/>
          <w:sz w:val="24"/>
          <w:highlight w:val="none"/>
          <w:lang w:eastAsia="zh-CN"/>
        </w:rPr>
        <w:t>废水</w:t>
      </w:r>
      <w:r>
        <w:rPr>
          <w:rFonts w:hint="default" w:ascii="Times New Roman" w:hAnsi="Times New Roman" w:cs="Times New Roman"/>
          <w:bCs/>
          <w:color w:val="auto"/>
          <w:sz w:val="24"/>
          <w:highlight w:val="none"/>
          <w:lang w:val="en-US" w:eastAsia="zh-CN"/>
        </w:rPr>
        <w:t>收集池</w:t>
      </w:r>
      <w:r>
        <w:rPr>
          <w:rFonts w:hint="default" w:ascii="Times New Roman" w:hAnsi="Times New Roman" w:cs="Times New Roman"/>
          <w:bCs/>
          <w:color w:val="auto"/>
          <w:sz w:val="24"/>
          <w:highlight w:val="none"/>
        </w:rPr>
        <w:t>的管理工作，运行期须定期检查防渗层的破损或破裂情况，若发现有破损或破裂部位须及时进行修补；在项目厂区内地下水流向下游布设一个跟踪监测点，定期监测。项目运行期间，需加强管理和监督检查，杜绝非正常情况的发生，避免污染物进入土壤及地下水含水层。在采取防渗措施后，项目</w:t>
      </w:r>
      <w:r>
        <w:rPr>
          <w:rFonts w:hint="default" w:ascii="Times New Roman" w:hAnsi="Times New Roman" w:cs="Times New Roman"/>
          <w:bCs/>
          <w:color w:val="auto"/>
          <w:sz w:val="24"/>
          <w:highlight w:val="none"/>
          <w:lang w:eastAsia="zh-CN"/>
        </w:rPr>
        <w:t>正常</w:t>
      </w:r>
      <w:r>
        <w:rPr>
          <w:rFonts w:hint="default" w:ascii="Times New Roman" w:hAnsi="Times New Roman" w:cs="Times New Roman"/>
          <w:bCs/>
          <w:color w:val="auto"/>
          <w:sz w:val="24"/>
          <w:highlight w:val="none"/>
        </w:rPr>
        <w:t>不会造成附近区域的地下水和土壤污染，发生泄漏后如立即采取有效措施，影响是短时间的，环境风险可控。</w:t>
      </w:r>
    </w:p>
    <w:p w14:paraId="2A3033A5">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eastAsia="zh-CN"/>
        </w:rPr>
        <w:t>此外，</w:t>
      </w:r>
      <w:r>
        <w:rPr>
          <w:rFonts w:hint="default" w:ascii="Times New Roman" w:hAnsi="Times New Roman" w:cs="Times New Roman"/>
          <w:bCs/>
          <w:color w:val="auto"/>
          <w:sz w:val="24"/>
          <w:highlight w:val="none"/>
        </w:rPr>
        <w:t>项目废矿物油采用专用密闭容器盛装，并设置托盘，暂存在危废暂存间，暂存存量较小，并定期委托相关资质单位处置，且危废暂存间按照重点防渗要求建设，确保渗透系数K≤1×10</w:t>
      </w:r>
      <w:r>
        <w:rPr>
          <w:rFonts w:hint="default" w:ascii="Times New Roman" w:hAnsi="Times New Roman" w:cs="Times New Roman"/>
          <w:bCs/>
          <w:color w:val="auto"/>
          <w:sz w:val="24"/>
          <w:highlight w:val="none"/>
          <w:vertAlign w:val="superscript"/>
        </w:rPr>
        <w:t>-10</w:t>
      </w:r>
      <w:r>
        <w:rPr>
          <w:rFonts w:hint="default" w:ascii="Times New Roman" w:hAnsi="Times New Roman" w:cs="Times New Roman"/>
          <w:bCs/>
          <w:color w:val="auto"/>
          <w:sz w:val="24"/>
          <w:highlight w:val="none"/>
        </w:rPr>
        <w:t>cm/s。</w:t>
      </w:r>
      <w:r>
        <w:rPr>
          <w:rFonts w:hint="default" w:ascii="Times New Roman" w:hAnsi="Times New Roman" w:cs="Times New Roman"/>
          <w:bCs/>
          <w:color w:val="auto"/>
          <w:sz w:val="24"/>
          <w:highlight w:val="none"/>
          <w:lang w:eastAsia="zh-CN"/>
        </w:rPr>
        <w:t>备用柴油发电机油箱下方设置托盘，可以有效收集泄漏的柴油。</w:t>
      </w:r>
      <w:r>
        <w:rPr>
          <w:rFonts w:hint="default" w:ascii="Times New Roman" w:hAnsi="Times New Roman" w:cs="Times New Roman"/>
          <w:bCs/>
          <w:color w:val="auto"/>
          <w:sz w:val="24"/>
          <w:highlight w:val="none"/>
        </w:rPr>
        <w:t>运营过程中在认真落实风险防范措施，采取按照操作规程操作，做好登记管理，加强巡查，禁止出现跑冒滴漏等措施后，对地下水、土壤环境风险是可控的。</w:t>
      </w:r>
    </w:p>
    <w:p w14:paraId="0E5210F7">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w:t>
      </w:r>
      <w:r>
        <w:rPr>
          <w:rFonts w:hint="eastAsia" w:cs="Times New Roman"/>
          <w:b/>
          <w:bCs/>
          <w:color w:val="auto"/>
          <w:sz w:val="24"/>
          <w:highlight w:val="none"/>
          <w:lang w:val="en-US" w:eastAsia="zh-CN"/>
        </w:rPr>
        <w:t>8</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8</w:t>
      </w:r>
      <w:r>
        <w:rPr>
          <w:rFonts w:hint="default" w:ascii="Times New Roman" w:hAnsi="Times New Roman" w:cs="Times New Roman"/>
          <w:b/>
          <w:bCs/>
          <w:color w:val="auto"/>
          <w:sz w:val="24"/>
          <w:highlight w:val="none"/>
        </w:rPr>
        <w:t>环境</w:t>
      </w:r>
      <w:r>
        <w:rPr>
          <w:rFonts w:hint="default" w:ascii="Times New Roman" w:hAnsi="Times New Roman" w:cs="Times New Roman"/>
          <w:b/>
          <w:bCs/>
          <w:color w:val="auto"/>
          <w:kern w:val="0"/>
          <w:sz w:val="24"/>
          <w:highlight w:val="none"/>
          <w:lang w:bidi="ar"/>
        </w:rPr>
        <w:t>风险防范控制措施</w:t>
      </w:r>
    </w:p>
    <w:p w14:paraId="26860952">
      <w:pPr>
        <w:pStyle w:val="51"/>
        <w:rPr>
          <w:rFonts w:hint="default" w:ascii="Times New Roman" w:hAnsi="Times New Roman" w:cs="Times New Roman"/>
          <w:bCs/>
          <w:color w:val="auto"/>
          <w:highlight w:val="none"/>
          <w:lang w:val="en-US" w:eastAsia="zh-CN"/>
        </w:rPr>
      </w:pPr>
      <w:r>
        <w:rPr>
          <w:rFonts w:hint="default" w:ascii="Times New Roman" w:hAnsi="Times New Roman" w:cs="Times New Roman"/>
          <w:b/>
          <w:bCs w:val="0"/>
          <w:color w:val="auto"/>
          <w:highlight w:val="none"/>
          <w:lang w:val="en-US" w:eastAsia="zh-CN"/>
        </w:rPr>
        <w:t>1、废气非正常防范措施</w:t>
      </w:r>
    </w:p>
    <w:p w14:paraId="37C51FAE">
      <w:pPr>
        <w:pStyle w:val="51"/>
        <w:rPr>
          <w:rFonts w:hint="default" w:ascii="Times New Roman" w:hAnsi="Times New Roman" w:cs="Times New Roman"/>
          <w:bCs/>
          <w:color w:val="auto"/>
          <w:highlight w:val="none"/>
          <w:lang w:val="en-US" w:eastAsia="zh-CN"/>
        </w:rPr>
      </w:pPr>
      <w:r>
        <w:rPr>
          <w:rFonts w:hint="default" w:ascii="Times New Roman" w:hAnsi="Times New Roman" w:cs="Times New Roman"/>
          <w:bCs/>
          <w:color w:val="auto"/>
          <w:sz w:val="24"/>
          <w:highlight w:val="none"/>
          <w:lang w:eastAsia="zh-CN"/>
        </w:rPr>
        <w:t>设立专人负责除臭剂喷洒，加强管理，建立台账，非正常情况下应立即组织人员进行补充生物除臭剂喷洒，并加大喷洒频次和密度，喷洒效果以无明显恶臭气味为准。确保恶臭治理有效，避免对附近居住区的人群健康危害。</w:t>
      </w:r>
    </w:p>
    <w:p w14:paraId="615A243F">
      <w:pPr>
        <w:widowControl/>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rPr>
        <w:t>、</w:t>
      </w:r>
      <w:r>
        <w:rPr>
          <w:rFonts w:hint="default" w:ascii="Times New Roman" w:hAnsi="Times New Roman" w:cs="Times New Roman"/>
          <w:b/>
          <w:bCs/>
          <w:color w:val="auto"/>
          <w:sz w:val="24"/>
          <w:highlight w:val="none"/>
        </w:rPr>
        <w:t>废机油、柴油泄漏事故的防范措施</w:t>
      </w:r>
    </w:p>
    <w:p w14:paraId="5F7A8620">
      <w:pPr>
        <w:pStyle w:val="51"/>
        <w:rPr>
          <w:rFonts w:hint="default" w:ascii="Times New Roman" w:hAnsi="Times New Roman" w:cs="Times New Roman"/>
          <w:color w:val="auto"/>
          <w:highlight w:val="none"/>
        </w:rPr>
      </w:pPr>
      <w:r>
        <w:rPr>
          <w:rFonts w:hint="default" w:ascii="Times New Roman" w:hAnsi="Times New Roman" w:cs="Times New Roman"/>
          <w:color w:val="auto"/>
          <w:highlight w:val="none"/>
        </w:rPr>
        <w:t>①废机油采用密闭容器收集，更换后及时暂存至危废暂存间，并设置托盘；</w:t>
      </w:r>
    </w:p>
    <w:p w14:paraId="42C2E7BA">
      <w:pPr>
        <w:pStyle w:val="51"/>
        <w:rPr>
          <w:rFonts w:hint="default" w:ascii="Times New Roman" w:hAnsi="Times New Roman" w:cs="Times New Roman"/>
          <w:bCs/>
          <w:color w:val="auto"/>
          <w:highlight w:val="none"/>
          <w:lang w:val="en-US"/>
        </w:rPr>
      </w:pPr>
      <w:r>
        <w:rPr>
          <w:rFonts w:hint="default" w:ascii="Times New Roman" w:hAnsi="Times New Roman" w:cs="Times New Roman"/>
          <w:color w:val="auto"/>
          <w:highlight w:val="none"/>
        </w:rPr>
        <w:t>②危废暂存间按照重点防渗要求建设，</w:t>
      </w:r>
      <w:r>
        <w:rPr>
          <w:rFonts w:hint="default" w:ascii="Times New Roman" w:hAnsi="Times New Roman" w:cs="Times New Roman"/>
          <w:bCs/>
          <w:color w:val="auto"/>
          <w:highlight w:val="none"/>
          <w:lang w:val="en-US"/>
        </w:rPr>
        <w:t>确保渗透系数K≤1×10</w:t>
      </w:r>
      <w:r>
        <w:rPr>
          <w:rFonts w:hint="default" w:ascii="Times New Roman" w:hAnsi="Times New Roman" w:cs="Times New Roman"/>
          <w:bCs/>
          <w:color w:val="auto"/>
          <w:highlight w:val="none"/>
          <w:vertAlign w:val="superscript"/>
          <w:lang w:val="en-US"/>
        </w:rPr>
        <w:t>-10</w:t>
      </w:r>
      <w:r>
        <w:rPr>
          <w:rFonts w:hint="default" w:ascii="Times New Roman" w:hAnsi="Times New Roman" w:cs="Times New Roman"/>
          <w:bCs/>
          <w:color w:val="auto"/>
          <w:highlight w:val="none"/>
          <w:lang w:val="en-US"/>
        </w:rPr>
        <w:t>cm/s，设置禁火标识牌等，严格禁火制度；</w:t>
      </w:r>
    </w:p>
    <w:p w14:paraId="46750029">
      <w:pPr>
        <w:pStyle w:val="51"/>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③加强对废机油收集</w:t>
      </w:r>
      <w:r>
        <w:rPr>
          <w:rFonts w:hint="default" w:ascii="Times New Roman" w:hAnsi="Times New Roman" w:cs="Times New Roman"/>
          <w:bCs/>
          <w:color w:val="auto"/>
          <w:highlight w:val="none"/>
          <w:lang w:val="en-US" w:eastAsia="zh-CN"/>
        </w:rPr>
        <w:t>容器</w:t>
      </w:r>
      <w:r>
        <w:rPr>
          <w:rFonts w:hint="default" w:ascii="Times New Roman" w:hAnsi="Times New Roman" w:cs="Times New Roman"/>
          <w:bCs/>
          <w:color w:val="auto"/>
          <w:highlight w:val="none"/>
          <w:lang w:val="en-US"/>
        </w:rPr>
        <w:t>的检查，出现跑冒滴漏等情况立即开展调查及处理。</w:t>
      </w:r>
    </w:p>
    <w:p w14:paraId="76E5F3FD">
      <w:pPr>
        <w:pStyle w:val="51"/>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④采用合格的备用发电机，</w:t>
      </w:r>
      <w:r>
        <w:rPr>
          <w:rFonts w:hint="default" w:ascii="Times New Roman" w:hAnsi="Times New Roman" w:cs="Times New Roman"/>
          <w:bCs/>
          <w:color w:val="auto"/>
          <w:szCs w:val="21"/>
          <w:highlight w:val="none"/>
          <w:lang w:eastAsia="zh-CN"/>
        </w:rPr>
        <w:t>油箱下方设置托盘，</w:t>
      </w:r>
      <w:r>
        <w:rPr>
          <w:rFonts w:hint="default" w:ascii="Times New Roman" w:hAnsi="Times New Roman" w:cs="Times New Roman"/>
          <w:bCs/>
          <w:color w:val="auto"/>
          <w:szCs w:val="21"/>
          <w:highlight w:val="none"/>
        </w:rPr>
        <w:t>定期进行设备检查，</w:t>
      </w:r>
      <w:r>
        <w:rPr>
          <w:rFonts w:hint="default" w:ascii="Times New Roman" w:hAnsi="Times New Roman" w:cs="Times New Roman"/>
          <w:bCs/>
          <w:color w:val="auto"/>
          <w:szCs w:val="21"/>
          <w:highlight w:val="none"/>
          <w:lang w:eastAsia="zh-CN"/>
        </w:rPr>
        <w:t>避免设备</w:t>
      </w:r>
      <w:r>
        <w:rPr>
          <w:rFonts w:hint="default" w:ascii="Times New Roman" w:hAnsi="Times New Roman" w:cs="Times New Roman"/>
          <w:bCs/>
          <w:color w:val="auto"/>
          <w:szCs w:val="21"/>
          <w:highlight w:val="none"/>
        </w:rPr>
        <w:t>油箱漏油</w:t>
      </w:r>
      <w:r>
        <w:rPr>
          <w:rFonts w:hint="default" w:ascii="Times New Roman" w:hAnsi="Times New Roman" w:cs="Times New Roman"/>
          <w:bCs/>
          <w:color w:val="auto"/>
          <w:szCs w:val="21"/>
          <w:highlight w:val="none"/>
          <w:lang w:eastAsia="zh-CN"/>
        </w:rPr>
        <w:t>外溢</w:t>
      </w:r>
      <w:r>
        <w:rPr>
          <w:rFonts w:hint="default" w:ascii="Times New Roman" w:hAnsi="Times New Roman" w:cs="Times New Roman"/>
          <w:bCs/>
          <w:color w:val="auto"/>
          <w:szCs w:val="21"/>
          <w:highlight w:val="none"/>
        </w:rPr>
        <w:t>。</w:t>
      </w:r>
    </w:p>
    <w:p w14:paraId="4EA4BCED">
      <w:pPr>
        <w:pStyle w:val="51"/>
        <w:rPr>
          <w:rFonts w:hint="default" w:ascii="Times New Roman" w:hAnsi="Times New Roman" w:cs="Times New Roman"/>
          <w:b/>
          <w:bCs w:val="0"/>
          <w:color w:val="auto"/>
          <w:szCs w:val="21"/>
          <w:highlight w:val="none"/>
          <w:lang w:val="en-US" w:eastAsia="zh-CN"/>
        </w:rPr>
      </w:pPr>
      <w:r>
        <w:rPr>
          <w:rFonts w:hint="default" w:ascii="Times New Roman" w:hAnsi="Times New Roman" w:cs="Times New Roman"/>
          <w:b/>
          <w:bCs w:val="0"/>
          <w:color w:val="auto"/>
          <w:szCs w:val="21"/>
          <w:highlight w:val="none"/>
          <w:lang w:val="en-US" w:eastAsia="zh-CN"/>
        </w:rPr>
        <w:t>4、地下水环境风险防范措施</w:t>
      </w:r>
    </w:p>
    <w:p w14:paraId="3354E5DD">
      <w:pPr>
        <w:pStyle w:val="51"/>
        <w:spacing w:line="360" w:lineRule="auto"/>
        <w:ind w:firstLine="480"/>
        <w:textAlignment w:val="auto"/>
        <w:rPr>
          <w:rFonts w:hint="default" w:ascii="Times New Roman" w:hAnsi="Times New Roman" w:eastAsia="宋体" w:cs="Times New Roman"/>
          <w:bCs/>
          <w:color w:val="auto"/>
          <w:kern w:val="2"/>
          <w:szCs w:val="24"/>
          <w:lang w:val="zh-CN"/>
        </w:rPr>
      </w:pPr>
      <w:r>
        <w:rPr>
          <w:rFonts w:hint="default" w:ascii="Times New Roman" w:hAnsi="Times New Roman" w:eastAsia="宋体" w:cs="Times New Roman"/>
          <w:bCs/>
          <w:color w:val="auto"/>
          <w:kern w:val="2"/>
          <w:szCs w:val="24"/>
          <w:lang w:val="en-US" w:eastAsia="zh-CN"/>
        </w:rPr>
        <w:t>①</w:t>
      </w:r>
      <w:r>
        <w:rPr>
          <w:rFonts w:hint="default" w:ascii="Times New Roman" w:hAnsi="Times New Roman" w:eastAsia="宋体" w:cs="Times New Roman"/>
          <w:bCs/>
          <w:color w:val="auto"/>
          <w:kern w:val="2"/>
          <w:szCs w:val="24"/>
          <w:lang w:val="zh-CN"/>
        </w:rPr>
        <w:t>按《危废废物贮存污染控制标准》（GB18597-2023）及《环境影响评价技术导则  地下水环境》（HJ610-2016）中的要求进行分区防渗。</w:t>
      </w:r>
    </w:p>
    <w:p w14:paraId="40214949">
      <w:pPr>
        <w:pStyle w:val="51"/>
        <w:spacing w:line="360" w:lineRule="auto"/>
        <w:ind w:firstLine="480"/>
        <w:textAlignment w:val="auto"/>
        <w:rPr>
          <w:rFonts w:hint="default" w:ascii="Times New Roman" w:hAnsi="Times New Roman" w:eastAsia="宋体" w:cs="Times New Roman"/>
          <w:bCs/>
          <w:color w:val="auto"/>
          <w:kern w:val="2"/>
          <w:szCs w:val="24"/>
          <w:lang w:val="zh-CN"/>
        </w:rPr>
      </w:pPr>
      <w:r>
        <w:rPr>
          <w:rFonts w:hint="default" w:ascii="Times New Roman" w:hAnsi="Times New Roman" w:eastAsia="宋体" w:cs="Times New Roman"/>
          <w:bCs/>
          <w:color w:val="auto"/>
          <w:kern w:val="2"/>
          <w:szCs w:val="24"/>
          <w:lang w:val="en-US" w:eastAsia="zh-CN"/>
        </w:rPr>
        <w:t>②</w:t>
      </w:r>
      <w:r>
        <w:rPr>
          <w:rFonts w:hint="default" w:ascii="Times New Roman" w:hAnsi="Times New Roman" w:eastAsia="宋体" w:cs="Times New Roman"/>
          <w:bCs/>
          <w:color w:val="auto"/>
          <w:kern w:val="2"/>
          <w:szCs w:val="24"/>
          <w:lang w:val="zh-CN"/>
        </w:rPr>
        <w:t>建立地下水环境监测系统，在</w:t>
      </w:r>
      <w:r>
        <w:rPr>
          <w:rFonts w:hint="default" w:ascii="Times New Roman" w:hAnsi="Times New Roman" w:eastAsia="宋体" w:cs="Times New Roman"/>
          <w:bCs/>
          <w:color w:val="auto"/>
          <w:kern w:val="2"/>
          <w:szCs w:val="24"/>
          <w:lang w:val="zh-CN" w:eastAsia="zh-CN"/>
        </w:rPr>
        <w:t>废水收集池</w:t>
      </w:r>
      <w:r>
        <w:rPr>
          <w:rFonts w:hint="default" w:ascii="Times New Roman" w:hAnsi="Times New Roman" w:eastAsia="宋体" w:cs="Times New Roman"/>
          <w:bCs/>
          <w:color w:val="auto"/>
          <w:kern w:val="2"/>
          <w:szCs w:val="24"/>
          <w:lang w:val="zh-CN"/>
        </w:rPr>
        <w:t>下游</w:t>
      </w:r>
      <w:r>
        <w:rPr>
          <w:rFonts w:hint="eastAsia" w:cs="Times New Roman"/>
          <w:bCs/>
          <w:color w:val="auto"/>
          <w:kern w:val="2"/>
          <w:szCs w:val="24"/>
          <w:lang w:val="en-US" w:eastAsia="zh-CN"/>
        </w:rPr>
        <w:t>25</w:t>
      </w:r>
      <w:r>
        <w:rPr>
          <w:rFonts w:hint="default" w:ascii="Times New Roman" w:hAnsi="Times New Roman" w:eastAsia="宋体" w:cs="Times New Roman"/>
          <w:bCs/>
          <w:color w:val="auto"/>
          <w:kern w:val="2"/>
          <w:szCs w:val="24"/>
          <w:lang w:val="zh-CN"/>
        </w:rPr>
        <w:t>m范围内设置1个跟踪监测井。</w:t>
      </w:r>
    </w:p>
    <w:p w14:paraId="400D29EC">
      <w:pPr>
        <w:pStyle w:val="51"/>
        <w:spacing w:line="360" w:lineRule="auto"/>
        <w:ind w:firstLine="480"/>
        <w:textAlignment w:val="auto"/>
        <w:rPr>
          <w:rFonts w:hint="default" w:ascii="Times New Roman" w:hAnsi="Times New Roman" w:eastAsia="宋体" w:cs="Times New Roman"/>
          <w:bCs/>
          <w:color w:val="auto"/>
          <w:kern w:val="2"/>
          <w:szCs w:val="24"/>
          <w:lang w:val="en-US"/>
        </w:rPr>
      </w:pPr>
      <w:r>
        <w:rPr>
          <w:rFonts w:hint="default" w:ascii="Times New Roman" w:hAnsi="Times New Roman" w:eastAsia="宋体" w:cs="Times New Roman"/>
          <w:bCs/>
          <w:color w:val="auto"/>
          <w:kern w:val="2"/>
          <w:szCs w:val="24"/>
          <w:lang w:val="en-US" w:eastAsia="zh-CN"/>
        </w:rPr>
        <w:t>③</w:t>
      </w:r>
      <w:r>
        <w:rPr>
          <w:rFonts w:hint="default" w:ascii="Times New Roman" w:hAnsi="Times New Roman" w:eastAsia="宋体" w:cs="Times New Roman"/>
          <w:bCs/>
          <w:color w:val="auto"/>
          <w:kern w:val="2"/>
          <w:szCs w:val="24"/>
          <w:lang w:val="zh-CN"/>
        </w:rPr>
        <w:t>制定地下水污染应急响应预案</w:t>
      </w:r>
      <w:r>
        <w:rPr>
          <w:rFonts w:hint="default" w:ascii="Times New Roman" w:hAnsi="Times New Roman" w:eastAsia="宋体" w:cs="Times New Roman"/>
          <w:bCs/>
          <w:color w:val="auto"/>
          <w:kern w:val="2"/>
          <w:szCs w:val="24"/>
          <w:lang w:val="en-US"/>
        </w:rPr>
        <w:t>。</w:t>
      </w:r>
    </w:p>
    <w:p w14:paraId="3129D51B">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w:t>
      </w:r>
      <w:r>
        <w:rPr>
          <w:rFonts w:hint="eastAsia" w:cs="Times New Roman"/>
          <w:b/>
          <w:bCs/>
          <w:color w:val="auto"/>
          <w:sz w:val="24"/>
          <w:highlight w:val="none"/>
          <w:lang w:val="en-US" w:eastAsia="zh-CN"/>
        </w:rPr>
        <w:t>8</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9</w:t>
      </w:r>
      <w:r>
        <w:rPr>
          <w:rFonts w:hint="default" w:ascii="Times New Roman" w:hAnsi="Times New Roman" w:cs="Times New Roman"/>
          <w:b/>
          <w:bCs/>
          <w:color w:val="auto"/>
          <w:sz w:val="24"/>
          <w:highlight w:val="none"/>
        </w:rPr>
        <w:t>应急要求</w:t>
      </w:r>
    </w:p>
    <w:p w14:paraId="721171CD">
      <w:pPr>
        <w:pStyle w:val="51"/>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针对本项目可能发生的突发事故，为了将风险事故率降低到最小，建设单位应严格按照《企业突发环境事件风险分级方法》(HJ941-2018)、《企业突发环境事件应急预案编制指南》和《企业突发环境事件风险评估指南（试行）》开展应急预案的编制工作，包括环境风险评估报告、环境应急资源调查报告和突发环境事件应急预案三个报告，并报红河州生态环境局弥勒分局备案。</w:t>
      </w:r>
    </w:p>
    <w:p w14:paraId="489C78FC">
      <w:pPr>
        <w:adjustRightInd w:val="0"/>
        <w:snapToGrid w:val="0"/>
        <w:spacing w:line="360" w:lineRule="auto"/>
        <w:outlineLvl w:val="3"/>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5.2.</w:t>
      </w:r>
      <w:r>
        <w:rPr>
          <w:rFonts w:hint="eastAsia" w:cs="Times New Roman"/>
          <w:b/>
          <w:bCs/>
          <w:color w:val="auto"/>
          <w:sz w:val="24"/>
          <w:highlight w:val="none"/>
          <w:lang w:val="en-US" w:eastAsia="zh-CN"/>
        </w:rPr>
        <w:t>8</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10</w:t>
      </w:r>
      <w:r>
        <w:rPr>
          <w:rFonts w:hint="default" w:ascii="Times New Roman" w:hAnsi="Times New Roman" w:cs="Times New Roman"/>
          <w:b/>
          <w:bCs/>
          <w:color w:val="auto"/>
          <w:sz w:val="24"/>
          <w:highlight w:val="none"/>
        </w:rPr>
        <w:t>小结</w:t>
      </w:r>
    </w:p>
    <w:p w14:paraId="40309FC2">
      <w:pPr>
        <w:adjustRightInd w:val="0"/>
        <w:snapToGrid w:val="0"/>
        <w:spacing w:line="360" w:lineRule="auto"/>
        <w:ind w:firstLine="482"/>
        <w:rPr>
          <w:rFonts w:hint="default" w:ascii="Times New Roman" w:hAnsi="Times New Roman" w:cs="Times New Roman"/>
          <w:color w:val="auto"/>
          <w:kern w:val="0"/>
          <w:sz w:val="24"/>
          <w:highlight w:val="none"/>
          <w:lang w:bidi="ar"/>
        </w:rPr>
      </w:pPr>
      <w:r>
        <w:rPr>
          <w:rFonts w:hint="default" w:ascii="Times New Roman" w:hAnsi="Times New Roman" w:eastAsia="宋体" w:cs="Times New Roman"/>
          <w:color w:val="auto"/>
          <w:sz w:val="24"/>
          <w:szCs w:val="24"/>
          <w:lang w:val="en-US" w:eastAsia="zh-CN" w:bidi="ar"/>
        </w:rPr>
        <w:t>本项目可能发生的风险事件主要有</w:t>
      </w:r>
      <w:r>
        <w:rPr>
          <w:rFonts w:hint="default" w:ascii="Times New Roman" w:hAnsi="Times New Roman" w:cs="Times New Roman"/>
          <w:color w:val="auto"/>
          <w:sz w:val="24"/>
          <w:szCs w:val="24"/>
          <w:lang w:val="en-US" w:eastAsia="zh-CN" w:bidi="ar"/>
        </w:rPr>
        <w:t>柴油</w:t>
      </w:r>
      <w:r>
        <w:rPr>
          <w:rFonts w:hint="default" w:ascii="Times New Roman" w:hAnsi="Times New Roman" w:eastAsia="宋体" w:cs="Times New Roman"/>
          <w:color w:val="auto"/>
          <w:sz w:val="24"/>
          <w:szCs w:val="24"/>
          <w:lang w:val="en-US" w:eastAsia="zh-CN" w:bidi="ar"/>
        </w:rPr>
        <w:t>及废机油发生泄漏、火灾、爆炸风险事故。根据分析，项目废机油、备用发电机柴油等危险物质储存量Q值为0.000052，项目环境风险趋势为Ⅰ。</w:t>
      </w:r>
      <w:r>
        <w:rPr>
          <w:rFonts w:hint="default" w:ascii="Times New Roman" w:hAnsi="Times New Roman" w:cs="Times New Roman"/>
          <w:color w:val="auto"/>
          <w:kern w:val="0"/>
          <w:sz w:val="24"/>
          <w:highlight w:val="none"/>
          <w:lang w:bidi="ar"/>
        </w:rPr>
        <w:t>为防止风险事故的发生，造成严重的社会影响和经济损失，应在日常生产过程中加强风险防范措施的管理，建立完善的风险防范应急预案，并保证其有效运行，将环境风险事故危害降低到最低程度。</w:t>
      </w:r>
    </w:p>
    <w:p w14:paraId="60238C31">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通过采取本评价提出的环境风险防范措施后，可降低环境风险事故的发生概率，降低对周围环境的影响，环境风险在可接受范围内。</w:t>
      </w:r>
    </w:p>
    <w:p w14:paraId="713CCA3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建设项目环境风险简单分析内容见表5.2.</w:t>
      </w:r>
      <w:r>
        <w:rPr>
          <w:rFonts w:hint="eastAsia" w:cs="Times New Roman"/>
          <w:color w:val="auto"/>
          <w:kern w:val="2"/>
          <w:sz w:val="24"/>
          <w:szCs w:val="24"/>
          <w:lang w:val="en-US" w:eastAsia="zh-CN" w:bidi="ar"/>
        </w:rPr>
        <w:t>8</w:t>
      </w:r>
      <w:r>
        <w:rPr>
          <w:rFonts w:hint="default" w:ascii="Times New Roman" w:hAnsi="Times New Roman" w:eastAsia="宋体" w:cs="Times New Roman"/>
          <w:color w:val="auto"/>
          <w:kern w:val="2"/>
          <w:sz w:val="24"/>
          <w:szCs w:val="24"/>
          <w:lang w:val="en-US" w:eastAsia="zh-CN" w:bidi="ar"/>
        </w:rPr>
        <w:t>-</w:t>
      </w:r>
      <w:r>
        <w:rPr>
          <w:rFonts w:hint="default" w:ascii="Times New Roman" w:hAnsi="Times New Roman" w:cs="Times New Roman"/>
          <w:color w:val="auto"/>
          <w:kern w:val="2"/>
          <w:sz w:val="24"/>
          <w:szCs w:val="24"/>
          <w:lang w:val="en-US" w:eastAsia="zh-CN" w:bidi="ar"/>
        </w:rPr>
        <w:t>7</w:t>
      </w:r>
      <w:r>
        <w:rPr>
          <w:rFonts w:hint="default" w:ascii="Times New Roman" w:hAnsi="Times New Roman" w:eastAsia="宋体" w:cs="Times New Roman"/>
          <w:color w:val="auto"/>
          <w:kern w:val="2"/>
          <w:sz w:val="24"/>
          <w:szCs w:val="24"/>
          <w:lang w:val="en-US" w:eastAsia="zh-CN" w:bidi="ar"/>
        </w:rPr>
        <w:t>。环境风险评价自查表见附表4。</w:t>
      </w:r>
    </w:p>
    <w:p w14:paraId="7C400A94">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表5.2.</w:t>
      </w:r>
      <w:r>
        <w:rPr>
          <w:rFonts w:hint="eastAsia" w:cs="Times New Roman"/>
          <w:b/>
          <w:bCs w:val="0"/>
          <w:color w:val="auto"/>
          <w:kern w:val="2"/>
          <w:sz w:val="21"/>
          <w:szCs w:val="21"/>
          <w:lang w:val="en-US" w:eastAsia="zh-CN" w:bidi="ar"/>
        </w:rPr>
        <w:t>8</w:t>
      </w:r>
      <w:r>
        <w:rPr>
          <w:rFonts w:hint="default" w:ascii="Times New Roman" w:hAnsi="Times New Roman" w:eastAsia="宋体" w:cs="Times New Roman"/>
          <w:b/>
          <w:bCs w:val="0"/>
          <w:color w:val="auto"/>
          <w:kern w:val="2"/>
          <w:sz w:val="21"/>
          <w:szCs w:val="21"/>
          <w:lang w:val="en-US" w:eastAsia="zh-CN" w:bidi="ar"/>
        </w:rPr>
        <w:t>-</w:t>
      </w:r>
      <w:r>
        <w:rPr>
          <w:rFonts w:hint="default" w:ascii="Times New Roman" w:hAnsi="Times New Roman" w:cs="Times New Roman"/>
          <w:b/>
          <w:bCs w:val="0"/>
          <w:color w:val="auto"/>
          <w:kern w:val="2"/>
          <w:sz w:val="21"/>
          <w:szCs w:val="21"/>
          <w:lang w:val="en-US" w:eastAsia="zh-CN" w:bidi="ar"/>
        </w:rPr>
        <w:t>7</w:t>
      </w:r>
      <w:r>
        <w:rPr>
          <w:rFonts w:hint="default" w:ascii="Times New Roman" w:hAnsi="Times New Roman" w:eastAsia="宋体" w:cs="Times New Roman"/>
          <w:b/>
          <w:bCs w:val="0"/>
          <w:color w:val="auto"/>
          <w:kern w:val="2"/>
          <w:sz w:val="21"/>
          <w:szCs w:val="21"/>
          <w:lang w:val="en-US" w:eastAsia="zh-CN" w:bidi="ar"/>
        </w:rPr>
        <w:t xml:space="preserve">   建设项目环境风险简单分析表</w:t>
      </w:r>
    </w:p>
    <w:tbl>
      <w:tblPr>
        <w:tblStyle w:val="23"/>
        <w:tblW w:w="879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2439"/>
        <w:gridCol w:w="1326"/>
        <w:gridCol w:w="1960"/>
        <w:gridCol w:w="1133"/>
        <w:gridCol w:w="1937"/>
      </w:tblGrid>
      <w:tr w14:paraId="35E12F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9" w:hRule="atLeast"/>
          <w:jc w:val="center"/>
        </w:trPr>
        <w:tc>
          <w:tcPr>
            <w:tcW w:w="2439" w:type="dxa"/>
            <w:tcBorders>
              <w:top w:val="single" w:color="auto" w:sz="2" w:space="0"/>
              <w:left w:val="single" w:color="auto" w:sz="2" w:space="0"/>
              <w:bottom w:val="single" w:color="auto" w:sz="2" w:space="0"/>
              <w:right w:val="single" w:color="auto" w:sz="2" w:space="0"/>
            </w:tcBorders>
            <w:shd w:val="clear" w:color="auto" w:fill="auto"/>
            <w:vAlign w:val="center"/>
          </w:tcPr>
          <w:p w14:paraId="1ED63E0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建设项目名称</w:t>
            </w:r>
          </w:p>
        </w:tc>
        <w:tc>
          <w:tcPr>
            <w:tcW w:w="6356" w:type="dxa"/>
            <w:gridSpan w:val="4"/>
            <w:tcBorders>
              <w:top w:val="single" w:color="auto" w:sz="2" w:space="0"/>
              <w:left w:val="single" w:color="auto" w:sz="2" w:space="0"/>
              <w:bottom w:val="single" w:color="auto" w:sz="2" w:space="0"/>
              <w:right w:val="single" w:color="auto" w:sz="2" w:space="0"/>
            </w:tcBorders>
            <w:shd w:val="clear" w:color="auto" w:fill="auto"/>
            <w:vAlign w:val="center"/>
          </w:tcPr>
          <w:p w14:paraId="2F6EBCA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cs="Times New Roman"/>
                <w:color w:val="auto"/>
                <w:kern w:val="2"/>
                <w:sz w:val="21"/>
                <w:szCs w:val="24"/>
                <w:lang w:val="en-US" w:eastAsia="zh-CN" w:bidi="ar"/>
              </w:rPr>
              <w:t>弥勒温氏畜牧有限公司新哨二区后备猪培育基地</w:t>
            </w:r>
          </w:p>
        </w:tc>
      </w:tr>
      <w:tr w14:paraId="13DD97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74" w:hRule="atLeast"/>
          <w:jc w:val="center"/>
        </w:trPr>
        <w:tc>
          <w:tcPr>
            <w:tcW w:w="2439" w:type="dxa"/>
            <w:tcBorders>
              <w:top w:val="single" w:color="auto" w:sz="2" w:space="0"/>
              <w:left w:val="single" w:color="auto" w:sz="2" w:space="0"/>
              <w:bottom w:val="single" w:color="auto" w:sz="2" w:space="0"/>
              <w:right w:val="single" w:color="auto" w:sz="2" w:space="0"/>
            </w:tcBorders>
            <w:shd w:val="clear" w:color="auto" w:fill="auto"/>
            <w:vAlign w:val="center"/>
          </w:tcPr>
          <w:p w14:paraId="00C2BC95">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建设地点</w:t>
            </w:r>
          </w:p>
        </w:tc>
        <w:tc>
          <w:tcPr>
            <w:tcW w:w="6356" w:type="dxa"/>
            <w:gridSpan w:val="4"/>
            <w:tcBorders>
              <w:top w:val="single" w:color="auto" w:sz="2" w:space="0"/>
              <w:left w:val="single" w:color="auto" w:sz="2" w:space="0"/>
              <w:bottom w:val="single" w:color="auto" w:sz="2" w:space="0"/>
              <w:right w:val="single" w:color="auto" w:sz="2" w:space="0"/>
            </w:tcBorders>
            <w:shd w:val="clear" w:color="auto" w:fill="auto"/>
            <w:vAlign w:val="center"/>
          </w:tcPr>
          <w:p w14:paraId="0D0DE00C">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cs="Times New Roman"/>
                <w:bCs/>
                <w:color w:val="auto"/>
                <w:kern w:val="2"/>
                <w:sz w:val="21"/>
                <w:szCs w:val="21"/>
                <w:lang w:val="en-US" w:eastAsia="zh-CN" w:bidi="ar"/>
              </w:rPr>
              <w:t>弥勒市新哨镇猴街居委会猴街二组东北方向横山脚</w:t>
            </w:r>
          </w:p>
        </w:tc>
      </w:tr>
      <w:tr w14:paraId="4803E0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89" w:hRule="atLeast"/>
          <w:jc w:val="center"/>
        </w:trPr>
        <w:tc>
          <w:tcPr>
            <w:tcW w:w="2439" w:type="dxa"/>
            <w:tcBorders>
              <w:top w:val="single" w:color="auto" w:sz="2" w:space="0"/>
              <w:left w:val="single" w:color="auto" w:sz="2" w:space="0"/>
              <w:bottom w:val="single" w:color="auto" w:sz="2" w:space="0"/>
              <w:right w:val="single" w:color="auto" w:sz="2" w:space="0"/>
            </w:tcBorders>
            <w:shd w:val="clear" w:color="auto" w:fill="auto"/>
            <w:vAlign w:val="center"/>
          </w:tcPr>
          <w:p w14:paraId="5752EE5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地理坐标</w:t>
            </w:r>
          </w:p>
        </w:tc>
        <w:tc>
          <w:tcPr>
            <w:tcW w:w="1326" w:type="dxa"/>
            <w:tcBorders>
              <w:top w:val="single" w:color="auto" w:sz="2" w:space="0"/>
              <w:left w:val="single" w:color="auto" w:sz="2" w:space="0"/>
              <w:bottom w:val="single" w:color="auto" w:sz="2" w:space="0"/>
              <w:right w:val="single" w:color="auto" w:sz="2" w:space="0"/>
            </w:tcBorders>
            <w:shd w:val="clear" w:color="auto" w:fill="auto"/>
            <w:vAlign w:val="center"/>
          </w:tcPr>
          <w:p w14:paraId="442D791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经度</w:t>
            </w:r>
          </w:p>
        </w:tc>
        <w:tc>
          <w:tcPr>
            <w:tcW w:w="1960" w:type="dxa"/>
            <w:tcBorders>
              <w:top w:val="single" w:color="auto" w:sz="2" w:space="0"/>
              <w:left w:val="single" w:color="auto" w:sz="2" w:space="0"/>
              <w:bottom w:val="single" w:color="auto" w:sz="2" w:space="0"/>
              <w:right w:val="single" w:color="auto" w:sz="2" w:space="0"/>
            </w:tcBorders>
            <w:shd w:val="clear" w:color="auto" w:fill="auto"/>
            <w:vAlign w:val="center"/>
          </w:tcPr>
          <w:p w14:paraId="687EE99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103°29′33.959″</w:t>
            </w:r>
          </w:p>
        </w:tc>
        <w:tc>
          <w:tcPr>
            <w:tcW w:w="1133" w:type="dxa"/>
            <w:tcBorders>
              <w:top w:val="single" w:color="auto" w:sz="2" w:space="0"/>
              <w:left w:val="single" w:color="auto" w:sz="2" w:space="0"/>
              <w:bottom w:val="single" w:color="auto" w:sz="2" w:space="0"/>
              <w:right w:val="single" w:color="auto" w:sz="2" w:space="0"/>
            </w:tcBorders>
            <w:shd w:val="clear" w:color="auto" w:fill="auto"/>
            <w:vAlign w:val="center"/>
          </w:tcPr>
          <w:p w14:paraId="7F73C8B5">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纬度</w:t>
            </w:r>
          </w:p>
        </w:tc>
        <w:tc>
          <w:tcPr>
            <w:tcW w:w="1937" w:type="dxa"/>
            <w:tcBorders>
              <w:top w:val="single" w:color="auto" w:sz="2" w:space="0"/>
              <w:left w:val="single" w:color="auto" w:sz="2" w:space="0"/>
              <w:bottom w:val="single" w:color="auto" w:sz="2" w:space="0"/>
              <w:right w:val="single" w:color="auto" w:sz="2" w:space="0"/>
            </w:tcBorders>
            <w:shd w:val="clear" w:color="auto" w:fill="auto"/>
            <w:vAlign w:val="center"/>
          </w:tcPr>
          <w:p w14:paraId="65612D5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24°16′59.676″</w:t>
            </w:r>
          </w:p>
        </w:tc>
      </w:tr>
      <w:tr w14:paraId="437971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2439" w:type="dxa"/>
            <w:tcBorders>
              <w:top w:val="single" w:color="auto" w:sz="2" w:space="0"/>
              <w:left w:val="single" w:color="auto" w:sz="2" w:space="0"/>
              <w:bottom w:val="single" w:color="auto" w:sz="2" w:space="0"/>
              <w:right w:val="single" w:color="auto" w:sz="2" w:space="0"/>
            </w:tcBorders>
            <w:shd w:val="clear" w:color="auto" w:fill="auto"/>
            <w:vAlign w:val="center"/>
          </w:tcPr>
          <w:p w14:paraId="18A4CF1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主要危险物质及分布</w:t>
            </w:r>
          </w:p>
        </w:tc>
        <w:tc>
          <w:tcPr>
            <w:tcW w:w="6356" w:type="dxa"/>
            <w:gridSpan w:val="4"/>
            <w:tcBorders>
              <w:top w:val="single" w:color="auto" w:sz="2" w:space="0"/>
              <w:left w:val="single" w:color="auto" w:sz="2" w:space="0"/>
              <w:bottom w:val="single" w:color="auto" w:sz="2" w:space="0"/>
              <w:right w:val="single" w:color="auto" w:sz="2" w:space="0"/>
            </w:tcBorders>
            <w:shd w:val="clear" w:color="auto" w:fill="auto"/>
            <w:vAlign w:val="center"/>
          </w:tcPr>
          <w:p w14:paraId="038DA1F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废机油废润滑油（危废暂存间）、柴油（配电房）</w:t>
            </w:r>
          </w:p>
        </w:tc>
      </w:tr>
      <w:tr w14:paraId="1C0C9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1" w:hRule="atLeast"/>
          <w:jc w:val="center"/>
        </w:trPr>
        <w:tc>
          <w:tcPr>
            <w:tcW w:w="2439" w:type="dxa"/>
            <w:tcBorders>
              <w:top w:val="single" w:color="auto" w:sz="2" w:space="0"/>
              <w:left w:val="single" w:color="auto" w:sz="2" w:space="0"/>
              <w:bottom w:val="single" w:color="auto" w:sz="2" w:space="0"/>
              <w:right w:val="single" w:color="auto" w:sz="2" w:space="0"/>
            </w:tcBorders>
            <w:shd w:val="clear" w:color="auto" w:fill="auto"/>
            <w:vAlign w:val="center"/>
          </w:tcPr>
          <w:p w14:paraId="0312FA6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环境影响途径及危害后果（大气、地表水、地下水等）</w:t>
            </w:r>
          </w:p>
        </w:tc>
        <w:tc>
          <w:tcPr>
            <w:tcW w:w="6356" w:type="dxa"/>
            <w:gridSpan w:val="4"/>
            <w:tcBorders>
              <w:top w:val="single" w:color="auto" w:sz="2" w:space="0"/>
              <w:left w:val="single" w:color="auto" w:sz="2" w:space="0"/>
              <w:bottom w:val="single" w:color="auto" w:sz="2" w:space="0"/>
              <w:right w:val="single" w:color="auto" w:sz="2" w:space="0"/>
            </w:tcBorders>
            <w:shd w:val="clear" w:color="auto" w:fill="auto"/>
            <w:vAlign w:val="center"/>
          </w:tcPr>
          <w:p w14:paraId="7940305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具体见“环境风险分析”</w:t>
            </w:r>
          </w:p>
        </w:tc>
      </w:tr>
      <w:tr w14:paraId="5347E0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89" w:hRule="atLeast"/>
          <w:jc w:val="center"/>
        </w:trPr>
        <w:tc>
          <w:tcPr>
            <w:tcW w:w="2439" w:type="dxa"/>
            <w:tcBorders>
              <w:top w:val="single" w:color="auto" w:sz="2" w:space="0"/>
              <w:left w:val="single" w:color="auto" w:sz="2" w:space="0"/>
              <w:bottom w:val="single" w:color="auto" w:sz="2" w:space="0"/>
              <w:right w:val="single" w:color="auto" w:sz="2" w:space="0"/>
            </w:tcBorders>
            <w:shd w:val="clear" w:color="auto" w:fill="auto"/>
            <w:vAlign w:val="center"/>
          </w:tcPr>
          <w:p w14:paraId="02DE639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风险防范措施要求</w:t>
            </w:r>
          </w:p>
        </w:tc>
        <w:tc>
          <w:tcPr>
            <w:tcW w:w="6356" w:type="dxa"/>
            <w:gridSpan w:val="4"/>
            <w:tcBorders>
              <w:top w:val="single" w:color="auto" w:sz="2" w:space="0"/>
              <w:left w:val="single" w:color="auto" w:sz="2" w:space="0"/>
              <w:bottom w:val="single" w:color="auto" w:sz="2" w:space="0"/>
              <w:right w:val="single" w:color="auto" w:sz="2" w:space="0"/>
            </w:tcBorders>
            <w:shd w:val="clear" w:color="auto" w:fill="auto"/>
            <w:vAlign w:val="center"/>
          </w:tcPr>
          <w:p w14:paraId="6657438A">
            <w:pPr>
              <w:keepNext w:val="0"/>
              <w:keepLines w:val="0"/>
              <w:widowControl w:val="0"/>
              <w:suppressLineNumbers w:val="0"/>
              <w:spacing w:before="0" w:beforeAutospacing="0" w:after="0" w:afterAutospacing="0"/>
              <w:ind w:left="0" w:right="0" w:firstLine="422" w:firstLineChars="200"/>
              <w:jc w:val="both"/>
              <w:rPr>
                <w:rFonts w:hint="default" w:ascii="Times New Roman" w:hAnsi="Times New Roman" w:eastAsia="宋体" w:cs="Times New Roman"/>
                <w:b/>
                <w:bCs/>
                <w:color w:val="auto"/>
                <w:kern w:val="2"/>
                <w:sz w:val="21"/>
                <w:szCs w:val="21"/>
                <w:lang w:val="en-US" w:eastAsia="zh-CN" w:bidi="ar"/>
              </w:rPr>
            </w:pPr>
            <w:r>
              <w:rPr>
                <w:rFonts w:hint="default" w:ascii="Times New Roman" w:hAnsi="Times New Roman" w:cs="Times New Roman"/>
                <w:b/>
                <w:bCs/>
                <w:color w:val="auto"/>
                <w:kern w:val="2"/>
                <w:sz w:val="21"/>
                <w:szCs w:val="21"/>
                <w:lang w:val="en-US" w:eastAsia="zh-CN" w:bidi="ar"/>
              </w:rPr>
              <w:t>1</w:t>
            </w:r>
            <w:r>
              <w:rPr>
                <w:rFonts w:hint="default" w:ascii="Times New Roman" w:hAnsi="Times New Roman" w:eastAsia="宋体" w:cs="Times New Roman"/>
                <w:b/>
                <w:bCs/>
                <w:color w:val="auto"/>
                <w:kern w:val="2"/>
                <w:sz w:val="21"/>
                <w:szCs w:val="21"/>
                <w:lang w:val="en-US" w:eastAsia="zh-CN" w:bidi="ar"/>
              </w:rPr>
              <w:t>、废气非正常防范措施</w:t>
            </w:r>
          </w:p>
          <w:p w14:paraId="3BD469A7">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设立专人负责除臭剂喷洒，加强管理，建立台账，非正常情况下应立即组织人员进行补充生物除臭剂喷洒，并加大喷洒频次和密度，喷洒效果以无明显恶臭气味为准。确保恶臭治理有效，避免对附近居住区的人群健康危害。</w:t>
            </w:r>
          </w:p>
          <w:p w14:paraId="1BEC5A9C">
            <w:pPr>
              <w:keepNext w:val="0"/>
              <w:keepLines w:val="0"/>
              <w:widowControl w:val="0"/>
              <w:suppressLineNumbers w:val="0"/>
              <w:spacing w:before="0" w:beforeAutospacing="0" w:after="0" w:afterAutospacing="0"/>
              <w:ind w:left="0" w:right="0" w:firstLine="422" w:firstLineChars="200"/>
              <w:jc w:val="both"/>
              <w:rPr>
                <w:rFonts w:hint="default" w:ascii="Times New Roman" w:hAnsi="Times New Roman" w:cs="Times New Roman"/>
                <w:b/>
                <w:bCs w:val="0"/>
                <w:color w:val="auto"/>
                <w:szCs w:val="21"/>
                <w:lang w:val="en-US"/>
              </w:rPr>
            </w:pPr>
            <w:r>
              <w:rPr>
                <w:rFonts w:hint="default" w:ascii="Times New Roman" w:hAnsi="Times New Roman" w:cs="Times New Roman"/>
                <w:b/>
                <w:bCs w:val="0"/>
                <w:color w:val="auto"/>
                <w:kern w:val="2"/>
                <w:sz w:val="21"/>
                <w:szCs w:val="21"/>
                <w:lang w:val="en-US" w:eastAsia="zh-CN" w:bidi="ar"/>
              </w:rPr>
              <w:t>2</w:t>
            </w:r>
            <w:r>
              <w:rPr>
                <w:rFonts w:hint="default" w:ascii="Times New Roman" w:hAnsi="Times New Roman" w:eastAsia="宋体" w:cs="Times New Roman"/>
                <w:b/>
                <w:bCs w:val="0"/>
                <w:color w:val="auto"/>
                <w:kern w:val="2"/>
                <w:sz w:val="21"/>
                <w:szCs w:val="21"/>
                <w:lang w:val="en-US" w:eastAsia="zh-CN" w:bidi="ar"/>
              </w:rPr>
              <w:t>、</w:t>
            </w:r>
            <w:r>
              <w:rPr>
                <w:rFonts w:hint="default" w:ascii="Times New Roman" w:hAnsi="Times New Roman" w:eastAsia="宋体" w:cs="Times New Roman"/>
                <w:b/>
                <w:bCs/>
                <w:color w:val="auto"/>
                <w:kern w:val="2"/>
                <w:sz w:val="21"/>
                <w:szCs w:val="21"/>
                <w:lang w:val="en-US" w:eastAsia="zh-CN" w:bidi="ar"/>
              </w:rPr>
              <w:t>废机油、柴油泄漏事故的防范措施</w:t>
            </w:r>
          </w:p>
          <w:p w14:paraId="79FED4B9">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①废机油采用密闭容器收集，更换后及时暂存至危废暂存间，并设置托盘；</w:t>
            </w:r>
          </w:p>
          <w:p w14:paraId="08277AD8">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cs="Times New Roman"/>
                <w:bCs/>
                <w:color w:val="auto"/>
                <w:szCs w:val="21"/>
                <w:lang w:val="en-US"/>
              </w:rPr>
            </w:pPr>
            <w:r>
              <w:rPr>
                <w:rFonts w:hint="default" w:ascii="Times New Roman" w:hAnsi="Times New Roman" w:eastAsia="宋体" w:cs="Times New Roman"/>
                <w:color w:val="auto"/>
                <w:kern w:val="2"/>
                <w:sz w:val="21"/>
                <w:szCs w:val="21"/>
                <w:lang w:val="en-US" w:eastAsia="zh-CN" w:bidi="ar"/>
              </w:rPr>
              <w:t>②危废暂存间按照重点防渗要求建设，</w:t>
            </w:r>
            <w:r>
              <w:rPr>
                <w:rFonts w:hint="default" w:ascii="Times New Roman" w:hAnsi="Times New Roman" w:eastAsia="宋体" w:cs="Times New Roman"/>
                <w:bCs/>
                <w:color w:val="auto"/>
                <w:kern w:val="2"/>
                <w:sz w:val="21"/>
                <w:szCs w:val="21"/>
                <w:lang w:val="en-US" w:eastAsia="zh-CN" w:bidi="ar"/>
              </w:rPr>
              <w:t>确保渗透系数K≤1×10</w:t>
            </w:r>
            <w:r>
              <w:rPr>
                <w:rFonts w:hint="default" w:ascii="Times New Roman" w:hAnsi="Times New Roman" w:eastAsia="宋体" w:cs="Times New Roman"/>
                <w:bCs/>
                <w:color w:val="auto"/>
                <w:kern w:val="2"/>
                <w:sz w:val="21"/>
                <w:szCs w:val="21"/>
                <w:vertAlign w:val="superscript"/>
                <w:lang w:val="en-US" w:eastAsia="zh-CN" w:bidi="ar"/>
              </w:rPr>
              <w:t>-10</w:t>
            </w:r>
            <w:r>
              <w:rPr>
                <w:rFonts w:hint="default" w:ascii="Times New Roman" w:hAnsi="Times New Roman" w:eastAsia="宋体" w:cs="Times New Roman"/>
                <w:bCs/>
                <w:color w:val="auto"/>
                <w:kern w:val="2"/>
                <w:sz w:val="21"/>
                <w:szCs w:val="21"/>
                <w:lang w:val="en-US" w:eastAsia="zh-CN" w:bidi="ar"/>
              </w:rPr>
              <w:t>cm/s，设置禁火标识牌等，严格禁火制度；</w:t>
            </w:r>
          </w:p>
          <w:p w14:paraId="1C2EDBA2">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cs="Times New Roman"/>
                <w:bCs/>
                <w:color w:val="auto"/>
                <w:szCs w:val="21"/>
                <w:lang w:val="en-US"/>
              </w:rPr>
            </w:pPr>
            <w:r>
              <w:rPr>
                <w:rFonts w:hint="default" w:ascii="Times New Roman" w:hAnsi="Times New Roman" w:eastAsia="宋体" w:cs="Times New Roman"/>
                <w:bCs/>
                <w:color w:val="auto"/>
                <w:kern w:val="2"/>
                <w:sz w:val="21"/>
                <w:szCs w:val="21"/>
                <w:lang w:val="en-US" w:eastAsia="zh-CN" w:bidi="ar"/>
              </w:rPr>
              <w:t>③加强对废机油收集</w:t>
            </w:r>
            <w:r>
              <w:rPr>
                <w:rFonts w:hint="default" w:ascii="Times New Roman" w:hAnsi="Times New Roman" w:cs="Times New Roman"/>
                <w:bCs/>
                <w:color w:val="auto"/>
                <w:kern w:val="2"/>
                <w:sz w:val="21"/>
                <w:szCs w:val="21"/>
                <w:lang w:val="en-US" w:eastAsia="zh-CN" w:bidi="ar"/>
              </w:rPr>
              <w:t>容器</w:t>
            </w:r>
            <w:r>
              <w:rPr>
                <w:rFonts w:hint="default" w:ascii="Times New Roman" w:hAnsi="Times New Roman" w:eastAsia="宋体" w:cs="Times New Roman"/>
                <w:bCs/>
                <w:color w:val="auto"/>
                <w:kern w:val="2"/>
                <w:sz w:val="21"/>
                <w:szCs w:val="21"/>
                <w:lang w:val="en-US" w:eastAsia="zh-CN" w:bidi="ar"/>
              </w:rPr>
              <w:t>的检查，出现跑冒滴漏等情况立即开展调查及处理。</w:t>
            </w:r>
          </w:p>
          <w:p w14:paraId="618A0848">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④采用合格的备用发电机，油箱下方设置托盘，定期进行设备检查，避免设备油箱漏油外溢。</w:t>
            </w:r>
          </w:p>
          <w:p w14:paraId="602A576E">
            <w:pPr>
              <w:keepNext w:val="0"/>
              <w:keepLines w:val="0"/>
              <w:widowControl w:val="0"/>
              <w:suppressLineNumbers w:val="0"/>
              <w:spacing w:before="0" w:beforeAutospacing="0" w:after="0" w:afterAutospacing="0"/>
              <w:ind w:left="0" w:right="0" w:firstLine="422" w:firstLineChars="200"/>
              <w:jc w:val="both"/>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cs="Times New Roman"/>
                <w:b/>
                <w:bCs w:val="0"/>
                <w:color w:val="auto"/>
                <w:kern w:val="2"/>
                <w:sz w:val="21"/>
                <w:szCs w:val="21"/>
                <w:lang w:val="en-US" w:eastAsia="zh-CN" w:bidi="ar"/>
              </w:rPr>
              <w:t>3</w:t>
            </w:r>
            <w:r>
              <w:rPr>
                <w:rFonts w:hint="default" w:ascii="Times New Roman" w:hAnsi="Times New Roman" w:eastAsia="宋体" w:cs="Times New Roman"/>
                <w:b/>
                <w:bCs w:val="0"/>
                <w:color w:val="auto"/>
                <w:kern w:val="2"/>
                <w:sz w:val="21"/>
                <w:szCs w:val="21"/>
                <w:lang w:val="en-US" w:eastAsia="zh-CN" w:bidi="ar"/>
              </w:rPr>
              <w:t>、地下水环境风险防范措施</w:t>
            </w:r>
          </w:p>
          <w:p w14:paraId="780ADB84">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cs="Times New Roman"/>
                <w:bCs/>
                <w:color w:val="auto"/>
                <w:kern w:val="2"/>
                <w:sz w:val="21"/>
                <w:szCs w:val="21"/>
                <w:lang w:val="en-US" w:eastAsia="zh-CN" w:bidi="ar"/>
              </w:rPr>
              <w:t>①</w:t>
            </w:r>
            <w:r>
              <w:rPr>
                <w:rFonts w:hint="default" w:ascii="Times New Roman" w:hAnsi="Times New Roman" w:eastAsia="宋体" w:cs="Times New Roman"/>
                <w:bCs/>
                <w:color w:val="auto"/>
                <w:kern w:val="2"/>
                <w:sz w:val="21"/>
                <w:szCs w:val="21"/>
                <w:lang w:val="en-US" w:eastAsia="zh-CN" w:bidi="ar"/>
              </w:rPr>
              <w:t>按《危废废物贮存污染控制标准》（GB18597-2023）及《环境影响评价技术导则  地下水环境》（HJ610-2016）中的要求进行分区防渗。</w:t>
            </w:r>
          </w:p>
          <w:p w14:paraId="2486EB59">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cs="Times New Roman"/>
                <w:bCs/>
                <w:color w:val="auto"/>
                <w:kern w:val="2"/>
                <w:sz w:val="21"/>
                <w:szCs w:val="21"/>
                <w:lang w:val="en-US" w:eastAsia="zh-CN" w:bidi="ar"/>
              </w:rPr>
              <w:t>②</w:t>
            </w:r>
            <w:r>
              <w:rPr>
                <w:rFonts w:hint="default" w:ascii="Times New Roman" w:hAnsi="Times New Roman" w:eastAsia="宋体" w:cs="Times New Roman"/>
                <w:bCs/>
                <w:color w:val="auto"/>
                <w:kern w:val="2"/>
                <w:sz w:val="21"/>
                <w:szCs w:val="21"/>
                <w:lang w:val="en-US" w:eastAsia="zh-CN" w:bidi="ar"/>
              </w:rPr>
              <w:t>建立地下水环境监测系统，在废水处理区下游</w:t>
            </w:r>
            <w:r>
              <w:rPr>
                <w:rFonts w:hint="eastAsia" w:cs="Times New Roman"/>
                <w:bCs/>
                <w:color w:val="auto"/>
                <w:kern w:val="2"/>
                <w:sz w:val="21"/>
                <w:szCs w:val="21"/>
                <w:lang w:val="en-US" w:eastAsia="zh-CN" w:bidi="ar"/>
              </w:rPr>
              <w:t>25</w:t>
            </w:r>
            <w:r>
              <w:rPr>
                <w:rFonts w:hint="default" w:ascii="Times New Roman" w:hAnsi="Times New Roman" w:eastAsia="宋体" w:cs="Times New Roman"/>
                <w:bCs/>
                <w:color w:val="auto"/>
                <w:kern w:val="2"/>
                <w:sz w:val="21"/>
                <w:szCs w:val="21"/>
                <w:lang w:val="en-US" w:eastAsia="zh-CN" w:bidi="ar"/>
              </w:rPr>
              <w:t>m</w:t>
            </w:r>
            <w:r>
              <w:rPr>
                <w:rFonts w:hint="default" w:ascii="Times New Roman" w:hAnsi="Times New Roman" w:cs="Times New Roman"/>
                <w:bCs/>
                <w:color w:val="auto"/>
                <w:kern w:val="2"/>
                <w:sz w:val="21"/>
                <w:szCs w:val="21"/>
                <w:lang w:val="en-US" w:eastAsia="zh-CN" w:bidi="ar"/>
              </w:rPr>
              <w:t>范围内</w:t>
            </w:r>
            <w:r>
              <w:rPr>
                <w:rFonts w:hint="default" w:ascii="Times New Roman" w:hAnsi="Times New Roman" w:eastAsia="宋体" w:cs="Times New Roman"/>
                <w:bCs/>
                <w:color w:val="auto"/>
                <w:kern w:val="2"/>
                <w:sz w:val="21"/>
                <w:szCs w:val="21"/>
                <w:lang w:val="en-US" w:eastAsia="zh-CN" w:bidi="ar"/>
              </w:rPr>
              <w:t>设置1个跟踪监测井，并定期监测。</w:t>
            </w:r>
          </w:p>
          <w:p w14:paraId="7C3C7C5F">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cs="Times New Roman"/>
                <w:bCs/>
                <w:color w:val="auto"/>
                <w:kern w:val="2"/>
                <w:sz w:val="21"/>
                <w:szCs w:val="21"/>
                <w:lang w:val="en-US" w:eastAsia="zh-CN" w:bidi="ar"/>
              </w:rPr>
              <w:t>③</w:t>
            </w:r>
            <w:r>
              <w:rPr>
                <w:rFonts w:hint="default" w:ascii="Times New Roman" w:hAnsi="Times New Roman" w:eastAsia="宋体" w:cs="Times New Roman"/>
                <w:bCs/>
                <w:color w:val="auto"/>
                <w:kern w:val="2"/>
                <w:sz w:val="21"/>
                <w:szCs w:val="21"/>
                <w:lang w:val="en-US" w:eastAsia="zh-CN" w:bidi="ar"/>
              </w:rPr>
              <w:t>制定地下水污染应急响应预案。</w:t>
            </w:r>
          </w:p>
          <w:p w14:paraId="6738F869">
            <w:pPr>
              <w:keepNext w:val="0"/>
              <w:keepLines w:val="0"/>
              <w:widowControl w:val="0"/>
              <w:suppressLineNumbers w:val="0"/>
              <w:spacing w:before="0" w:beforeAutospacing="0" w:after="0" w:afterAutospacing="0"/>
              <w:ind w:left="0" w:right="0" w:firstLine="422" w:firstLineChars="200"/>
              <w:jc w:val="both"/>
              <w:rPr>
                <w:rFonts w:hint="default" w:ascii="Times New Roman" w:hAnsi="Times New Roman" w:cs="Times New Roman"/>
                <w:b/>
                <w:bCs w:val="0"/>
                <w:color w:val="auto"/>
                <w:kern w:val="2"/>
                <w:sz w:val="21"/>
                <w:szCs w:val="21"/>
                <w:lang w:val="en-US" w:eastAsia="zh-CN" w:bidi="ar"/>
              </w:rPr>
            </w:pPr>
            <w:r>
              <w:rPr>
                <w:rFonts w:hint="default" w:ascii="Times New Roman" w:hAnsi="Times New Roman" w:cs="Times New Roman"/>
                <w:b/>
                <w:bCs w:val="0"/>
                <w:color w:val="auto"/>
                <w:kern w:val="2"/>
                <w:sz w:val="21"/>
                <w:szCs w:val="21"/>
                <w:lang w:val="en-US" w:eastAsia="zh-CN" w:bidi="ar"/>
              </w:rPr>
              <w:t>4、应急要求</w:t>
            </w:r>
          </w:p>
          <w:p w14:paraId="07434C79">
            <w:pPr>
              <w:keepNext w:val="0"/>
              <w:keepLines w:val="0"/>
              <w:widowControl w:val="0"/>
              <w:suppressLineNumbers w:val="0"/>
              <w:spacing w:before="0" w:beforeAutospacing="0" w:after="0" w:afterAutospacing="0"/>
              <w:ind w:left="0" w:right="0" w:firstLine="420" w:firstLineChars="200"/>
              <w:jc w:val="both"/>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针对本项目可能发生的突发事故，为了将风险事故率降低到最小，建设单位应严格按照《企业突发环境事件风险分级方法》(HJ941-2018)、《企业突发环境事件应急预案编制指南》和《企业突发环境事件风险评估指南（试行）》开展应急预案的编制工作，包括环境风险评估报告、环境应急资源调查报告和突发环境事件应急预案三个报告，并报红河州生态环境局弥勒分局备案。</w:t>
            </w:r>
          </w:p>
        </w:tc>
      </w:tr>
      <w:tr w14:paraId="28AB33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63" w:hRule="atLeast"/>
          <w:jc w:val="center"/>
        </w:trPr>
        <w:tc>
          <w:tcPr>
            <w:tcW w:w="8795" w:type="dxa"/>
            <w:gridSpan w:val="5"/>
            <w:tcBorders>
              <w:top w:val="single" w:color="auto" w:sz="2" w:space="0"/>
              <w:left w:val="single" w:color="auto" w:sz="2" w:space="0"/>
              <w:bottom w:val="single" w:color="auto" w:sz="2" w:space="0"/>
              <w:right w:val="single" w:color="auto" w:sz="2" w:space="0"/>
            </w:tcBorders>
            <w:shd w:val="clear" w:color="auto" w:fill="auto"/>
            <w:vAlign w:val="center"/>
          </w:tcPr>
          <w:p w14:paraId="13DABEB1">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填表说明（列出项目相关信息及评价说明）：</w:t>
            </w:r>
          </w:p>
          <w:p w14:paraId="5F86A83F">
            <w:pPr>
              <w:keepNext w:val="0"/>
              <w:keepLines w:val="0"/>
              <w:widowControl w:val="0"/>
              <w:suppressLineNumbers w:val="0"/>
              <w:spacing w:before="0" w:beforeAutospacing="0" w:after="0" w:afterAutospacing="0"/>
              <w:ind w:left="0" w:right="0" w:firstLine="420" w:firstLineChars="200"/>
              <w:jc w:val="left"/>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项目Q值小于1，故环境风险潜势为Ⅰ，只进行简单分析。</w:t>
            </w:r>
          </w:p>
        </w:tc>
      </w:tr>
    </w:tbl>
    <w:p w14:paraId="7C66DC03">
      <w:pPr>
        <w:keepNext w:val="0"/>
        <w:keepLines w:val="0"/>
        <w:widowControl/>
        <w:suppressLineNumbers w:val="0"/>
        <w:snapToGrid w:val="0"/>
        <w:spacing w:before="120" w:beforeLines="5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rPr>
      </w:pPr>
    </w:p>
    <w:p w14:paraId="1FDAF5D6">
      <w:pPr>
        <w:snapToGrid w:val="0"/>
        <w:spacing w:line="360" w:lineRule="auto"/>
        <w:ind w:firstLine="480" w:firstLineChars="200"/>
        <w:rPr>
          <w:rFonts w:hint="default" w:ascii="Times New Roman" w:hAnsi="Times New Roman" w:cs="Times New Roman"/>
          <w:color w:val="auto"/>
          <w:sz w:val="24"/>
          <w:highlight w:val="none"/>
        </w:rPr>
        <w:sectPr>
          <w:headerReference r:id="rId20" w:type="default"/>
          <w:footerReference r:id="rId21" w:type="default"/>
          <w:pgSz w:w="11907" w:h="16840"/>
          <w:pgMar w:top="1531" w:right="1797" w:bottom="1440" w:left="1531" w:header="851" w:footer="992" w:gutter="0"/>
          <w:pgBorders>
            <w:top w:val="none" w:sz="0" w:space="0"/>
            <w:left w:val="none" w:sz="0" w:space="0"/>
            <w:bottom w:val="none" w:sz="0" w:space="0"/>
            <w:right w:val="none" w:sz="0" w:space="0"/>
          </w:pgBorders>
          <w:pgNumType w:fmt="decimal" w:start="118"/>
          <w:cols w:space="720" w:num="1"/>
          <w:docGrid w:type="lines" w:linePitch="312" w:charSpace="0"/>
        </w:sectPr>
      </w:pPr>
    </w:p>
    <w:p w14:paraId="5A631ABD">
      <w:pPr>
        <w:pStyle w:val="2"/>
        <w:keepNext/>
        <w:keepLines/>
        <w:pageBreakBefore/>
        <w:widowControl w:val="0"/>
        <w:kinsoku/>
        <w:wordWrap/>
        <w:overflowPunct/>
        <w:topLinePunct w:val="0"/>
        <w:autoSpaceDE/>
        <w:autoSpaceDN/>
        <w:bidi w:val="0"/>
        <w:adjustRightInd/>
        <w:snapToGrid w:val="0"/>
        <w:spacing w:before="0" w:after="0" w:afterLines="0" w:line="360" w:lineRule="auto"/>
        <w:textAlignment w:val="auto"/>
        <w:rPr>
          <w:rFonts w:hint="default" w:ascii="Times New Roman" w:hAnsi="Times New Roman" w:cs="Times New Roman"/>
          <w:color w:val="auto"/>
          <w:sz w:val="28"/>
          <w:szCs w:val="28"/>
          <w:highlight w:val="none"/>
        </w:rPr>
      </w:pPr>
      <w:bookmarkStart w:id="305" w:name="_Toc25933"/>
      <w:bookmarkStart w:id="306" w:name="_Toc25984"/>
      <w:bookmarkStart w:id="307" w:name="_Toc28474"/>
      <w:bookmarkStart w:id="308" w:name="_Toc5947"/>
      <w:r>
        <w:rPr>
          <w:rFonts w:hint="default" w:ascii="Times New Roman" w:hAnsi="Times New Roman" w:cs="Times New Roman"/>
          <w:color w:val="auto"/>
          <w:sz w:val="28"/>
          <w:szCs w:val="28"/>
          <w:highlight w:val="none"/>
        </w:rPr>
        <w:t>6环境保护措施及可行性论证</w:t>
      </w:r>
      <w:bookmarkEnd w:id="305"/>
      <w:bookmarkEnd w:id="306"/>
      <w:bookmarkEnd w:id="307"/>
      <w:bookmarkEnd w:id="308"/>
    </w:p>
    <w:p w14:paraId="5436C4A6">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Style w:val="34"/>
          <w:rFonts w:hint="default" w:ascii="Times New Roman" w:hAnsi="Times New Roman" w:cs="Times New Roman"/>
          <w:b w:val="0"/>
          <w:bCs w:val="0"/>
          <w:color w:val="auto"/>
          <w:sz w:val="24"/>
          <w:highlight w:val="none"/>
        </w:rPr>
      </w:pPr>
      <w:bookmarkStart w:id="309" w:name="_Toc415152557"/>
      <w:bookmarkStart w:id="310" w:name="_Toc323657736"/>
      <w:bookmarkStart w:id="311" w:name="_Toc311116238"/>
      <w:bookmarkStart w:id="312" w:name="_Toc316388819"/>
      <w:bookmarkStart w:id="313" w:name="_Toc4796"/>
      <w:bookmarkStart w:id="314" w:name="_Toc11233"/>
      <w:bookmarkStart w:id="315" w:name="_Toc16803"/>
      <w:bookmarkStart w:id="316" w:name="_Toc10695"/>
      <w:r>
        <w:rPr>
          <w:rStyle w:val="34"/>
          <w:rFonts w:hint="default" w:ascii="Times New Roman" w:hAnsi="Times New Roman" w:cs="Times New Roman"/>
          <w:b w:val="0"/>
          <w:bCs w:val="0"/>
          <w:color w:val="auto"/>
          <w:sz w:val="24"/>
          <w:highlight w:val="none"/>
        </w:rPr>
        <w:t>6.1施工期</w:t>
      </w:r>
      <w:bookmarkEnd w:id="309"/>
      <w:bookmarkEnd w:id="310"/>
      <w:bookmarkEnd w:id="311"/>
      <w:bookmarkEnd w:id="312"/>
      <w:r>
        <w:rPr>
          <w:rStyle w:val="34"/>
          <w:rFonts w:hint="default" w:ascii="Times New Roman" w:hAnsi="Times New Roman" w:cs="Times New Roman"/>
          <w:b w:val="0"/>
          <w:bCs w:val="0"/>
          <w:color w:val="auto"/>
          <w:sz w:val="24"/>
          <w:highlight w:val="none"/>
        </w:rPr>
        <w:t>环保措施</w:t>
      </w:r>
      <w:bookmarkEnd w:id="313"/>
      <w:bookmarkEnd w:id="314"/>
      <w:bookmarkEnd w:id="315"/>
      <w:bookmarkEnd w:id="316"/>
    </w:p>
    <w:p w14:paraId="06566106">
      <w:pPr>
        <w:snapToGrid w:val="0"/>
        <w:spacing w:line="360" w:lineRule="auto"/>
        <w:ind w:firstLine="482" w:firstLineChars="200"/>
        <w:rPr>
          <w:rFonts w:hint="default" w:ascii="Times New Roman" w:hAnsi="Times New Roman" w:cs="Times New Roman"/>
          <w:b/>
          <w:bCs/>
          <w:color w:val="auto"/>
          <w:sz w:val="24"/>
          <w:highlight w:val="none"/>
        </w:rPr>
      </w:pPr>
      <w:bookmarkStart w:id="317" w:name="_Toc173617172"/>
      <w:r>
        <w:rPr>
          <w:rFonts w:hint="default" w:ascii="Times New Roman" w:hAnsi="Times New Roman" w:cs="Times New Roman"/>
          <w:b/>
          <w:bCs/>
          <w:color w:val="auto"/>
          <w:sz w:val="24"/>
          <w:highlight w:val="none"/>
        </w:rPr>
        <w:t>1、废气污染治理措施</w:t>
      </w:r>
      <w:r>
        <w:rPr>
          <w:rFonts w:hint="default" w:ascii="Times New Roman" w:hAnsi="Times New Roman" w:eastAsia="宋体" w:cs="Times New Roman"/>
          <w:b/>
          <w:color w:val="auto"/>
          <w:sz w:val="24"/>
          <w:highlight w:val="none"/>
        </w:rPr>
        <w:t>及可行性</w:t>
      </w:r>
    </w:p>
    <w:p w14:paraId="6BA0F75F">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w:t>
      </w:r>
      <w:r>
        <w:rPr>
          <w:rFonts w:hint="default" w:ascii="Times New Roman" w:hAnsi="Times New Roman" w:cs="Times New Roman"/>
          <w:color w:val="auto"/>
          <w:sz w:val="24"/>
          <w:highlight w:val="none"/>
        </w:rPr>
        <w:t>开挖土石方、建筑垃圾和材料等物料统一收集和存放，采取篷布覆盖</w:t>
      </w:r>
      <w:r>
        <w:rPr>
          <w:rFonts w:hint="default" w:ascii="Times New Roman" w:hAnsi="Times New Roman" w:cs="Times New Roman"/>
          <w:bCs/>
          <w:color w:val="auto"/>
          <w:sz w:val="24"/>
          <w:highlight w:val="none"/>
        </w:rPr>
        <w:t>。</w:t>
      </w:r>
    </w:p>
    <w:p w14:paraId="5D7D0007">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w:t>
      </w:r>
      <w:r>
        <w:rPr>
          <w:rFonts w:hint="default" w:ascii="Times New Roman" w:hAnsi="Times New Roman" w:cs="Times New Roman"/>
          <w:color w:val="auto"/>
          <w:sz w:val="24"/>
          <w:highlight w:val="none"/>
        </w:rPr>
        <w:t>对开挖等作业面进行洒水降尘</w:t>
      </w:r>
      <w:r>
        <w:rPr>
          <w:rFonts w:hint="default" w:ascii="Times New Roman" w:hAnsi="Times New Roman" w:cs="Times New Roman"/>
          <w:bCs/>
          <w:color w:val="auto"/>
          <w:sz w:val="24"/>
          <w:highlight w:val="none"/>
        </w:rPr>
        <w:t>。</w:t>
      </w:r>
    </w:p>
    <w:p w14:paraId="531FB005">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（3）装运建筑材料及建筑垃圾的车辆采用篷布覆盖。</w:t>
      </w:r>
    </w:p>
    <w:p w14:paraId="515A6812">
      <w:pPr>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根据类似工程及实践经验，施工现场进行洒水降尘、料堆渣堆进行遮盖等防治措施可大幅度减少扬尘措施，措施简单有效，经济可行。</w:t>
      </w:r>
    </w:p>
    <w:p w14:paraId="77AB17A3">
      <w:pPr>
        <w:tabs>
          <w:tab w:val="left" w:pos="611"/>
        </w:tabs>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2、废水治理措施</w:t>
      </w:r>
      <w:r>
        <w:rPr>
          <w:rFonts w:hint="default" w:ascii="Times New Roman" w:hAnsi="Times New Roman" w:eastAsia="宋体" w:cs="Times New Roman"/>
          <w:b/>
          <w:color w:val="auto"/>
          <w:sz w:val="24"/>
          <w:highlight w:val="none"/>
        </w:rPr>
        <w:t>及可行性</w:t>
      </w:r>
    </w:p>
    <w:p w14:paraId="3A4D2537">
      <w:pPr>
        <w:tabs>
          <w:tab w:val="left" w:pos="611"/>
        </w:tabs>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（1）施工场地设置旱厕，</w:t>
      </w:r>
      <w:r>
        <w:rPr>
          <w:rFonts w:hint="default" w:ascii="Times New Roman" w:hAnsi="Times New Roman" w:cs="Times New Roman"/>
          <w:color w:val="auto"/>
          <w:sz w:val="24"/>
        </w:rPr>
        <w:t>施工人员生活污水在施工场地内设置临时沉淀池（1座，规模</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），与施工废水一起经临时沉淀池收集处理后，回用于洒水降尘，施工生活污水不外排</w:t>
      </w:r>
      <w:r>
        <w:rPr>
          <w:rFonts w:hint="default" w:ascii="Times New Roman" w:hAnsi="Times New Roman" w:cs="Times New Roman"/>
          <w:color w:val="auto"/>
          <w:sz w:val="24"/>
          <w:highlight w:val="none"/>
        </w:rPr>
        <w:t>。</w:t>
      </w:r>
    </w:p>
    <w:p w14:paraId="0E4F31F3">
      <w:pPr>
        <w:adjustRightInd w:val="0"/>
        <w:snapToGrid w:val="0"/>
        <w:spacing w:line="360" w:lineRule="auto"/>
        <w:ind w:firstLine="480" w:firstLineChars="200"/>
        <w:textAlignment w:val="baseline"/>
        <w:rPr>
          <w:rFonts w:hint="default" w:ascii="Times New Roman" w:hAnsi="Times New Roman" w:eastAsia="宋体" w:cs="Times New Roman"/>
          <w:b/>
          <w:color w:val="auto"/>
          <w:sz w:val="24"/>
          <w:highlight w:val="none"/>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项目施工场区内设置截排水沟及临时沉砂池</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座，容积为</w:t>
      </w:r>
      <w:r>
        <w:rPr>
          <w:rFonts w:hint="default" w:ascii="Times New Roman" w:hAnsi="Times New Roman" w:cs="Times New Roman"/>
          <w:bCs/>
          <w:color w:val="auto"/>
          <w:sz w:val="24"/>
          <w:lang w:val="en-US" w:eastAsia="zh-CN"/>
        </w:rPr>
        <w:t>5</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color w:val="auto"/>
          <w:sz w:val="24"/>
        </w:rPr>
        <w:t>，雨天地表径流经截排水沟收集后，排入临时沉砂池沉淀处理后，部分回用于施工期洒水降尘，剩余部分排入周边雨水沟渠内</w:t>
      </w:r>
      <w:r>
        <w:rPr>
          <w:rFonts w:hint="default" w:ascii="Times New Roman" w:hAnsi="Times New Roman" w:cs="Times New Roman"/>
          <w:color w:val="auto"/>
          <w:sz w:val="24"/>
          <w:lang w:eastAsia="zh-CN"/>
        </w:rPr>
        <w:t>。</w:t>
      </w:r>
    </w:p>
    <w:p w14:paraId="72444454">
      <w:pPr>
        <w:pStyle w:val="11"/>
        <w:spacing w:before="0" w:line="360" w:lineRule="auto"/>
        <w:ind w:left="0" w:firstLine="48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通过采取以上措施，施工期对地表水环境的影响将明显减小。因此，项目施工期的水污染防治措施是可行的。</w:t>
      </w:r>
    </w:p>
    <w:p w14:paraId="20419CA3">
      <w:pPr>
        <w:adjustRightInd w:val="0"/>
        <w:snapToGrid w:val="0"/>
        <w:spacing w:line="360" w:lineRule="auto"/>
        <w:ind w:firstLine="482" w:firstLineChars="200"/>
        <w:textAlignment w:val="baseline"/>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3、噪声污染防治措施</w:t>
      </w:r>
      <w:r>
        <w:rPr>
          <w:rFonts w:hint="default" w:ascii="Times New Roman" w:hAnsi="Times New Roman" w:eastAsia="宋体" w:cs="Times New Roman"/>
          <w:b/>
          <w:color w:val="auto"/>
          <w:sz w:val="24"/>
          <w:highlight w:val="none"/>
        </w:rPr>
        <w:t>及可行性</w:t>
      </w:r>
    </w:p>
    <w:p w14:paraId="43741987">
      <w:pPr>
        <w:adjustRightInd w:val="0"/>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①施工期间必须严格按《建筑施工场界环境噪声排放标准》（GB12523-2011）进行施工噪声的控制，以减少工程建设施工对周边环境造成影响。</w:t>
      </w:r>
    </w:p>
    <w:p w14:paraId="507573F3">
      <w:pPr>
        <w:adjustRightInd w:val="0"/>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②禁止夜间施工。</w:t>
      </w:r>
    </w:p>
    <w:p w14:paraId="713525DA">
      <w:pPr>
        <w:adjustRightInd w:val="0"/>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③禁止使用高噪声设备，应尽量选择低噪声设备。</w:t>
      </w:r>
    </w:p>
    <w:p w14:paraId="3BEC97FD">
      <w:pPr>
        <w:adjustRightInd w:val="0"/>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④施工期运输车辆应尽量保持良好车况，合理调度。</w:t>
      </w:r>
    </w:p>
    <w:p w14:paraId="681D47F0">
      <w:pPr>
        <w:adjustRightInd w:val="0"/>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⑤考虑到建筑材料运输时车辆噪声可能影响到附近居民，在运输车辆途经村庄时应减速慢行，减少鸣笛；物料进场要安排在白天进行，避免夜间进场影响居民休息。</w:t>
      </w:r>
    </w:p>
    <w:p w14:paraId="77AB2747">
      <w:pPr>
        <w:pStyle w:val="11"/>
        <w:spacing w:before="0" w:line="360" w:lineRule="auto"/>
        <w:ind w:left="0"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通过采取上述措施，可将项目施工期噪声对周围环境、敏感点的影响降至最低。项目施工噪声不会对周边环境产生长期影响，随着项目施工结束，施工噪声污染将随之消失。因此项目施工期噪声对周围环境影响是可以接受的。</w:t>
      </w:r>
    </w:p>
    <w:p w14:paraId="02420355">
      <w:pPr>
        <w:snapToGrid w:val="0"/>
        <w:spacing w:line="360" w:lineRule="auto"/>
        <w:ind w:firstLine="373" w:firstLineChars="155"/>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4、固体废弃物处置措施</w:t>
      </w:r>
      <w:r>
        <w:rPr>
          <w:rFonts w:hint="default" w:ascii="Times New Roman" w:hAnsi="Times New Roman" w:eastAsia="宋体" w:cs="Times New Roman"/>
          <w:b/>
          <w:color w:val="auto"/>
          <w:sz w:val="24"/>
          <w:highlight w:val="none"/>
        </w:rPr>
        <w:t>及可行性</w:t>
      </w:r>
    </w:p>
    <w:p w14:paraId="6A038853">
      <w:pPr>
        <w:snapToGrid w:val="0"/>
        <w:spacing w:line="360" w:lineRule="auto"/>
        <w:ind w:firstLine="372" w:firstLineChars="15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（1）项目开挖产生的土石方全部回填，无弃渣产生。</w:t>
      </w:r>
    </w:p>
    <w:p w14:paraId="5E458C55">
      <w:pPr>
        <w:snapToGrid w:val="0"/>
        <w:spacing w:line="360" w:lineRule="auto"/>
        <w:ind w:firstLine="372" w:firstLineChars="15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（2）建筑垃圾按照住建部门要求处置。</w:t>
      </w:r>
    </w:p>
    <w:p w14:paraId="0F0C15DC">
      <w:pPr>
        <w:snapToGrid w:val="0"/>
        <w:spacing w:line="360" w:lineRule="auto"/>
        <w:ind w:firstLine="372" w:firstLineChars="155"/>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（3）生活垃圾清运至</w:t>
      </w:r>
      <w:r>
        <w:rPr>
          <w:rFonts w:hint="default" w:ascii="Times New Roman" w:hAnsi="Times New Roman" w:cs="Times New Roman"/>
          <w:color w:val="auto"/>
          <w:sz w:val="24"/>
          <w:highlight w:val="none"/>
          <w:lang w:eastAsia="zh-CN"/>
        </w:rPr>
        <w:t>猴街村</w:t>
      </w:r>
      <w:r>
        <w:rPr>
          <w:rFonts w:hint="default" w:ascii="Times New Roman" w:hAnsi="Times New Roman" w:cs="Times New Roman"/>
          <w:color w:val="auto"/>
          <w:sz w:val="24"/>
          <w:highlight w:val="none"/>
        </w:rPr>
        <w:t>垃圾收集点统一处置</w:t>
      </w:r>
      <w:r>
        <w:rPr>
          <w:rFonts w:hint="default" w:ascii="Times New Roman" w:hAnsi="Times New Roman" w:cs="Times New Roman"/>
          <w:bCs/>
          <w:color w:val="auto"/>
          <w:sz w:val="24"/>
          <w:highlight w:val="none"/>
        </w:rPr>
        <w:t>。</w:t>
      </w:r>
    </w:p>
    <w:p w14:paraId="2E84CE08">
      <w:pPr>
        <w:pStyle w:val="11"/>
        <w:spacing w:before="0" w:line="360" w:lineRule="auto"/>
        <w:ind w:left="0" w:firstLine="480"/>
        <w:rPr>
          <w:rFonts w:hint="default" w:ascii="Times New Roman" w:hAnsi="Times New Roman" w:eastAsia="宋体" w:cs="Times New Roman"/>
          <w:b w:val="0"/>
          <w:bCs w:val="0"/>
          <w:color w:val="auto"/>
          <w:sz w:val="24"/>
          <w:szCs w:val="24"/>
          <w:lang w:eastAsia="zh-CN"/>
        </w:rPr>
      </w:pPr>
      <w:bookmarkStart w:id="318" w:name="_Toc15075"/>
      <w:r>
        <w:rPr>
          <w:rFonts w:hint="default" w:ascii="Times New Roman" w:hAnsi="Times New Roman" w:eastAsia="宋体" w:cs="Times New Roman"/>
          <w:b w:val="0"/>
          <w:bCs w:val="0"/>
          <w:color w:val="auto"/>
          <w:sz w:val="24"/>
          <w:szCs w:val="24"/>
          <w:lang w:eastAsia="zh-CN"/>
        </w:rPr>
        <w:t>通过采取以上措施，施工期固废处置率100%。项目施工期的固废治理防治措施是可行的。</w:t>
      </w:r>
    </w:p>
    <w:p w14:paraId="43FCE50D">
      <w:pPr>
        <w:snapToGrid w:val="0"/>
        <w:spacing w:line="360" w:lineRule="auto"/>
        <w:ind w:firstLine="373" w:firstLineChars="155"/>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生态保护措施及可行性</w:t>
      </w:r>
    </w:p>
    <w:p w14:paraId="345B57DD">
      <w:pPr>
        <w:snapToGrid w:val="0"/>
        <w:spacing w:line="360" w:lineRule="auto"/>
        <w:ind w:firstLine="372" w:firstLineChars="155"/>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在场地设置截排水沟和</w:t>
      </w:r>
      <w:r>
        <w:rPr>
          <w:rFonts w:hint="default" w:ascii="Times New Roman" w:hAnsi="Times New Roman" w:eastAsia="宋体" w:cs="Times New Roman"/>
          <w:color w:val="auto"/>
          <w:sz w:val="24"/>
          <w:highlight w:val="none"/>
          <w:lang w:eastAsia="zh-CN"/>
        </w:rPr>
        <w:t>沉砂池</w:t>
      </w:r>
      <w:r>
        <w:rPr>
          <w:rFonts w:hint="default" w:ascii="Times New Roman" w:hAnsi="Times New Roman" w:eastAsia="宋体" w:cs="Times New Roman"/>
          <w:color w:val="auto"/>
          <w:sz w:val="24"/>
          <w:highlight w:val="none"/>
        </w:rPr>
        <w:t>降低场地的水土流失</w:t>
      </w:r>
      <w:r>
        <w:rPr>
          <w:rFonts w:hint="default" w:ascii="Times New Roman" w:hAnsi="Times New Roman" w:eastAsia="宋体" w:cs="Times New Roman"/>
          <w:color w:val="auto"/>
          <w:sz w:val="24"/>
          <w:highlight w:val="none"/>
          <w:lang w:eastAsia="zh-CN"/>
        </w:rPr>
        <w:t>。</w:t>
      </w:r>
    </w:p>
    <w:p w14:paraId="2D4607AA">
      <w:pPr>
        <w:snapToGrid w:val="0"/>
        <w:spacing w:line="360" w:lineRule="auto"/>
        <w:ind w:firstLine="372" w:firstLineChars="155"/>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）严格控制建设区建设施工范围，需临时堆置的建筑生产材料及设备需置于场内，尽量减少开采对周边区域的扰动和占压，避免造成环境的破坏。</w:t>
      </w:r>
    </w:p>
    <w:p w14:paraId="231C03AC">
      <w:pPr>
        <w:snapToGrid w:val="0"/>
        <w:spacing w:line="360" w:lineRule="auto"/>
        <w:ind w:firstLine="372" w:firstLineChars="155"/>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）建设过程中若对影响区内植被造成破坏、损毁，应及时设计恢复植物措施，恢复破坏区地表植被，改善其水土保持功能。</w:t>
      </w:r>
    </w:p>
    <w:p w14:paraId="7FC614DB">
      <w:pPr>
        <w:snapToGrid w:val="0"/>
        <w:spacing w:line="360" w:lineRule="auto"/>
        <w:ind w:firstLine="372" w:firstLineChars="155"/>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）加强施工人员的各类卫生管理，避免生活污水的直接排放，减少水体污染，最大限度保护动物生境。</w:t>
      </w:r>
    </w:p>
    <w:p w14:paraId="386DAD24">
      <w:pPr>
        <w:snapToGrid w:val="0"/>
        <w:spacing w:line="360" w:lineRule="auto"/>
        <w:ind w:firstLine="372" w:firstLineChars="155"/>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）避开雨季施工，并及时对地面进行夯实或硬化处理。</w:t>
      </w:r>
    </w:p>
    <w:p w14:paraId="7DEF413A">
      <w:pPr>
        <w:snapToGrid w:val="0"/>
        <w:spacing w:line="360" w:lineRule="auto"/>
        <w:ind w:firstLine="372" w:firstLineChars="155"/>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本项目施工过程中严格做好生态防护措施，施工对周围生态环境的影响是可以接受的。</w:t>
      </w:r>
    </w:p>
    <w:p w14:paraId="2994936A">
      <w:pPr>
        <w:pStyle w:val="3"/>
        <w:tabs>
          <w:tab w:val="left" w:pos="420"/>
        </w:tabs>
        <w:spacing w:before="0" w:after="0"/>
        <w:rPr>
          <w:rStyle w:val="34"/>
          <w:rFonts w:hint="default" w:ascii="Times New Roman" w:hAnsi="Times New Roman" w:cs="Times New Roman"/>
          <w:b w:val="0"/>
          <w:bCs w:val="0"/>
          <w:color w:val="auto"/>
          <w:sz w:val="24"/>
          <w:highlight w:val="none"/>
        </w:rPr>
      </w:pPr>
      <w:bookmarkStart w:id="319" w:name="_Toc17514"/>
      <w:bookmarkStart w:id="320" w:name="_Toc23256"/>
      <w:bookmarkStart w:id="321" w:name="_Toc3551"/>
      <w:r>
        <w:rPr>
          <w:rStyle w:val="34"/>
          <w:rFonts w:hint="default" w:ascii="Times New Roman" w:hAnsi="Times New Roman" w:cs="Times New Roman"/>
          <w:b w:val="0"/>
          <w:bCs w:val="0"/>
          <w:color w:val="auto"/>
          <w:sz w:val="24"/>
          <w:highlight w:val="none"/>
        </w:rPr>
        <w:t>6.2运营期污染物防治措施及其可行性论证</w:t>
      </w:r>
      <w:bookmarkEnd w:id="318"/>
      <w:bookmarkEnd w:id="319"/>
      <w:bookmarkEnd w:id="320"/>
      <w:bookmarkEnd w:id="321"/>
    </w:p>
    <w:p w14:paraId="5780A138">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rPr>
      </w:pPr>
      <w:bookmarkStart w:id="322" w:name="_Toc26493"/>
      <w:r>
        <w:rPr>
          <w:rStyle w:val="35"/>
          <w:rFonts w:hint="default" w:ascii="Times New Roman" w:hAnsi="Times New Roman" w:eastAsia="宋体" w:cs="Times New Roman"/>
          <w:color w:val="auto"/>
          <w:sz w:val="24"/>
          <w:szCs w:val="24"/>
          <w:highlight w:val="none"/>
        </w:rPr>
        <w:t>6.2.1废气污染防治措施</w:t>
      </w:r>
      <w:bookmarkEnd w:id="322"/>
    </w:p>
    <w:p w14:paraId="01EF37C4">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1、废气治理措施</w:t>
      </w:r>
    </w:p>
    <w:p w14:paraId="4FB463A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①猪舍恶臭：采用合理设计日粮（添加益生菌和EM活菌剂）以及喷洒微生物除臭剂，猪舍加强通风、以及猪舍周边种植绿化树等措施进行除臭。</w:t>
      </w:r>
    </w:p>
    <w:p w14:paraId="20702C2A">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②废水收集池</w:t>
      </w:r>
      <w:r>
        <w:rPr>
          <w:rFonts w:hint="default" w:ascii="Times New Roman" w:hAnsi="Times New Roman" w:cs="Times New Roman"/>
          <w:color w:val="auto"/>
          <w:sz w:val="24"/>
          <w:highlight w:val="none"/>
        </w:rPr>
        <w:t>恶臭：</w:t>
      </w:r>
      <w:r>
        <w:rPr>
          <w:rFonts w:hint="default" w:ascii="Times New Roman" w:hAnsi="Times New Roman" w:cs="Times New Roman"/>
          <w:color w:val="auto"/>
          <w:sz w:val="24"/>
          <w:highlight w:val="none"/>
          <w:lang w:val="en-US" w:eastAsia="zh-CN"/>
        </w:rPr>
        <w:t>盖板</w:t>
      </w:r>
      <w:r>
        <w:rPr>
          <w:rFonts w:hint="default" w:ascii="Times New Roman" w:hAnsi="Times New Roman" w:cs="Times New Roman"/>
          <w:color w:val="auto"/>
          <w:sz w:val="24"/>
          <w:highlight w:val="none"/>
        </w:rPr>
        <w:t>封闭，</w:t>
      </w:r>
      <w:r>
        <w:rPr>
          <w:rFonts w:hint="default" w:ascii="Times New Roman" w:hAnsi="Times New Roman" w:cs="Times New Roman"/>
          <w:color w:val="auto"/>
          <w:sz w:val="24"/>
          <w:highlight w:val="none"/>
          <w:lang w:val="en-US" w:eastAsia="zh-CN"/>
        </w:rPr>
        <w:t>喷洒除臭剂、</w:t>
      </w:r>
      <w:r>
        <w:rPr>
          <w:rFonts w:hint="default" w:ascii="Times New Roman" w:hAnsi="Times New Roman" w:cs="Times New Roman"/>
          <w:color w:val="auto"/>
          <w:sz w:val="24"/>
          <w:highlight w:val="none"/>
        </w:rPr>
        <w:t>周围加强绿化。</w:t>
      </w:r>
    </w:p>
    <w:p w14:paraId="5E272A0D">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lang w:val="en-US" w:eastAsia="zh-CN"/>
        </w:rPr>
        <w:t>③</w:t>
      </w:r>
      <w:r>
        <w:rPr>
          <w:rFonts w:hint="default" w:ascii="Times New Roman" w:hAnsi="Times New Roman" w:cs="Times New Roman"/>
          <w:color w:val="auto"/>
          <w:sz w:val="24"/>
          <w:highlight w:val="none"/>
          <w:lang w:eastAsia="zh-CN"/>
        </w:rPr>
        <w:t>堆粪棚</w:t>
      </w:r>
      <w:r>
        <w:rPr>
          <w:rFonts w:hint="default" w:ascii="Times New Roman" w:hAnsi="Times New Roman" w:cs="Times New Roman"/>
          <w:color w:val="auto"/>
          <w:sz w:val="24"/>
          <w:highlight w:val="none"/>
        </w:rPr>
        <w:t>恶臭：</w:t>
      </w:r>
      <w:r>
        <w:rPr>
          <w:rFonts w:hint="default" w:ascii="Times New Roman" w:hAnsi="Times New Roman" w:cs="Times New Roman"/>
          <w:bCs/>
          <w:color w:val="auto"/>
          <w:sz w:val="24"/>
          <w:highlight w:val="none"/>
          <w:lang w:eastAsia="zh-CN"/>
        </w:rPr>
        <w:t>堆粪棚</w:t>
      </w:r>
      <w:r>
        <w:rPr>
          <w:rFonts w:hint="default" w:ascii="Times New Roman" w:hAnsi="Times New Roman" w:cs="Times New Roman"/>
          <w:bCs/>
          <w:color w:val="auto"/>
          <w:sz w:val="24"/>
          <w:highlight w:val="none"/>
        </w:rPr>
        <w:t>为密闭车间，并定期喷洒微生物除臭剂；</w:t>
      </w:r>
    </w:p>
    <w:p w14:paraId="667189E7">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④</w:t>
      </w:r>
      <w:r>
        <w:rPr>
          <w:rFonts w:hint="default" w:ascii="Times New Roman" w:hAnsi="Times New Roman" w:cs="Times New Roman"/>
          <w:color w:val="auto"/>
          <w:sz w:val="24"/>
          <w:highlight w:val="none"/>
        </w:rPr>
        <w:t>食堂油烟经抽油烟机净化器处理后，通过高于食堂楼顶1.5m的烟囱排放。</w:t>
      </w:r>
    </w:p>
    <w:p w14:paraId="2494818C">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2、措施可行性分析</w:t>
      </w:r>
    </w:p>
    <w:p w14:paraId="197D803A">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（1）恶臭污染防治措施可行性</w:t>
      </w:r>
    </w:p>
    <w:p w14:paraId="2B75EB96">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本项目采取的恶臭污染防治措施与《排污许可证申请与核发技术规范 畜禽养殖行业》(HJ1029-2019)中恶臭污染防治可行技术与控制要求如下：</w:t>
      </w:r>
    </w:p>
    <w:p w14:paraId="16015293">
      <w:pPr>
        <w:spacing w:line="240" w:lineRule="auto"/>
        <w:ind w:firstLine="480"/>
        <w:jc w:val="center"/>
        <w:rPr>
          <w:rFonts w:hint="default" w:ascii="Times New Roman" w:hAnsi="Times New Roman" w:cs="Times New Roman"/>
          <w:b/>
          <w:bCs/>
          <w:color w:val="auto"/>
          <w:sz w:val="21"/>
          <w:szCs w:val="21"/>
          <w:lang w:bidi="zh-CN"/>
        </w:rPr>
      </w:pPr>
      <w:r>
        <w:rPr>
          <w:rFonts w:hint="default" w:ascii="Times New Roman" w:hAnsi="Times New Roman" w:cs="Times New Roman"/>
          <w:b/>
          <w:bCs/>
          <w:color w:val="auto"/>
          <w:sz w:val="21"/>
          <w:szCs w:val="21"/>
          <w:lang w:bidi="zh-CN"/>
        </w:rPr>
        <w:t>表</w:t>
      </w:r>
      <w:r>
        <w:rPr>
          <w:rFonts w:hint="default" w:ascii="Times New Roman" w:hAnsi="Times New Roman" w:cs="Times New Roman"/>
          <w:b/>
          <w:bCs/>
          <w:color w:val="auto"/>
          <w:sz w:val="21"/>
          <w:szCs w:val="21"/>
          <w:lang w:val="en-US" w:bidi="zh-CN"/>
        </w:rPr>
        <w:t>6</w:t>
      </w:r>
      <w:r>
        <w:rPr>
          <w:rFonts w:hint="default" w:ascii="Times New Roman" w:hAnsi="Times New Roman" w:cs="Times New Roman"/>
          <w:b/>
          <w:bCs/>
          <w:color w:val="auto"/>
          <w:sz w:val="21"/>
          <w:szCs w:val="21"/>
          <w:lang w:bidi="zh-CN"/>
        </w:rPr>
        <w:t>.</w:t>
      </w:r>
      <w:r>
        <w:rPr>
          <w:rFonts w:hint="default" w:ascii="Times New Roman" w:hAnsi="Times New Roman" w:cs="Times New Roman"/>
          <w:b/>
          <w:bCs/>
          <w:color w:val="auto"/>
          <w:sz w:val="21"/>
          <w:szCs w:val="21"/>
          <w:lang w:val="en-US" w:bidi="zh-CN"/>
        </w:rPr>
        <w:t>2.1</w:t>
      </w:r>
      <w:r>
        <w:rPr>
          <w:rFonts w:hint="default" w:ascii="Times New Roman" w:hAnsi="Times New Roman" w:cs="Times New Roman"/>
          <w:b/>
          <w:bCs/>
          <w:color w:val="auto"/>
          <w:sz w:val="21"/>
          <w:szCs w:val="21"/>
          <w:lang w:bidi="zh-CN"/>
        </w:rPr>
        <w:t>-1   本项目恶臭防治措施可行性比对分析</w:t>
      </w:r>
    </w:p>
    <w:tbl>
      <w:tblPr>
        <w:tblStyle w:val="23"/>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0"/>
        <w:gridCol w:w="3443"/>
        <w:gridCol w:w="1562"/>
      </w:tblGrid>
      <w:tr w14:paraId="5726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0" w:type="dxa"/>
            <w:vAlign w:val="center"/>
          </w:tcPr>
          <w:p w14:paraId="1308F2E6">
            <w:pPr>
              <w:spacing w:line="240" w:lineRule="auto"/>
              <w:jc w:val="center"/>
              <w:rPr>
                <w:rFonts w:hint="default" w:ascii="Times New Roman" w:hAnsi="Times New Roman" w:cs="Times New Roman"/>
                <w:b/>
                <w:bCs/>
                <w:color w:val="auto"/>
                <w:sz w:val="18"/>
                <w:szCs w:val="18"/>
                <w:lang w:bidi="zh-CN"/>
              </w:rPr>
            </w:pPr>
            <w:r>
              <w:rPr>
                <w:rFonts w:hint="default" w:ascii="Times New Roman" w:hAnsi="Times New Roman" w:cs="Times New Roman"/>
                <w:b/>
                <w:bCs/>
                <w:color w:val="auto"/>
                <w:sz w:val="18"/>
                <w:szCs w:val="18"/>
                <w:lang w:bidi="zh-CN"/>
              </w:rPr>
              <w:t>《排污许可证申请与核发技术规范 畜禽养殖行业》(HJ1029-2019)要求</w:t>
            </w:r>
          </w:p>
        </w:tc>
        <w:tc>
          <w:tcPr>
            <w:tcW w:w="3443" w:type="dxa"/>
            <w:vAlign w:val="center"/>
          </w:tcPr>
          <w:p w14:paraId="7872D418">
            <w:pPr>
              <w:spacing w:line="240" w:lineRule="auto"/>
              <w:jc w:val="center"/>
              <w:rPr>
                <w:rFonts w:hint="default" w:ascii="Times New Roman" w:hAnsi="Times New Roman" w:cs="Times New Roman"/>
                <w:b/>
                <w:bCs/>
                <w:color w:val="auto"/>
                <w:sz w:val="18"/>
                <w:szCs w:val="18"/>
                <w:lang w:bidi="zh-CN"/>
              </w:rPr>
            </w:pPr>
            <w:r>
              <w:rPr>
                <w:rFonts w:hint="default" w:ascii="Times New Roman" w:hAnsi="Times New Roman" w:cs="Times New Roman"/>
                <w:b/>
                <w:bCs/>
                <w:color w:val="auto"/>
                <w:sz w:val="18"/>
                <w:szCs w:val="18"/>
                <w:lang w:bidi="zh-CN"/>
              </w:rPr>
              <w:t>本项目采取的治理措施</w:t>
            </w:r>
          </w:p>
        </w:tc>
        <w:tc>
          <w:tcPr>
            <w:tcW w:w="1562" w:type="dxa"/>
            <w:vAlign w:val="center"/>
          </w:tcPr>
          <w:p w14:paraId="3EC986DD">
            <w:pPr>
              <w:spacing w:line="240" w:lineRule="auto"/>
              <w:jc w:val="center"/>
              <w:rPr>
                <w:rFonts w:hint="default" w:ascii="Times New Roman" w:hAnsi="Times New Roman" w:cs="Times New Roman"/>
                <w:b/>
                <w:bCs/>
                <w:color w:val="auto"/>
                <w:sz w:val="18"/>
                <w:szCs w:val="18"/>
                <w:lang w:bidi="zh-CN"/>
              </w:rPr>
            </w:pPr>
            <w:r>
              <w:rPr>
                <w:rFonts w:hint="default" w:ascii="Times New Roman" w:hAnsi="Times New Roman" w:cs="Times New Roman"/>
                <w:b/>
                <w:bCs/>
                <w:color w:val="auto"/>
                <w:sz w:val="18"/>
                <w:szCs w:val="18"/>
                <w:lang w:bidi="zh-CN"/>
              </w:rPr>
              <w:t>对比结果</w:t>
            </w:r>
          </w:p>
        </w:tc>
      </w:tr>
      <w:tr w14:paraId="3A63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0" w:type="dxa"/>
            <w:vAlign w:val="center"/>
          </w:tcPr>
          <w:p w14:paraId="7996882F">
            <w:pPr>
              <w:spacing w:line="240" w:lineRule="auto"/>
              <w:jc w:val="left"/>
              <w:rPr>
                <w:rFonts w:hint="default" w:ascii="Times New Roman" w:hAnsi="Times New Roman" w:cs="Times New Roman"/>
                <w:b/>
                <w:bCs/>
                <w:color w:val="auto"/>
                <w:sz w:val="18"/>
                <w:szCs w:val="18"/>
                <w:lang w:bidi="zh-CN"/>
              </w:rPr>
            </w:pPr>
            <w:r>
              <w:rPr>
                <w:rFonts w:hint="default" w:ascii="Times New Roman" w:hAnsi="Times New Roman" w:cs="Times New Roman"/>
                <w:b/>
                <w:bCs/>
                <w:color w:val="auto"/>
                <w:sz w:val="18"/>
                <w:szCs w:val="18"/>
                <w:lang w:bidi="zh-CN"/>
              </w:rPr>
              <w:t>养殖栏舍：</w:t>
            </w:r>
          </w:p>
          <w:p w14:paraId="296CDA6C">
            <w:pPr>
              <w:numPr>
                <w:ilvl w:val="0"/>
                <w:numId w:val="5"/>
              </w:numPr>
              <w:spacing w:line="240" w:lineRule="auto"/>
              <w:jc w:val="left"/>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选用益生菌配方饲料；</w:t>
            </w:r>
          </w:p>
          <w:p w14:paraId="75B23ADB">
            <w:pPr>
              <w:numPr>
                <w:ilvl w:val="0"/>
                <w:numId w:val="5"/>
              </w:numPr>
              <w:spacing w:line="240" w:lineRule="auto"/>
              <w:jc w:val="left"/>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及时清运粪污；</w:t>
            </w:r>
          </w:p>
          <w:p w14:paraId="3D925C03">
            <w:pPr>
              <w:numPr>
                <w:ilvl w:val="0"/>
                <w:numId w:val="5"/>
              </w:numPr>
              <w:spacing w:line="240" w:lineRule="auto"/>
              <w:jc w:val="left"/>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向粪便或舍内投（铺）放吸附剂减少臭气的散发；</w:t>
            </w:r>
          </w:p>
          <w:p w14:paraId="6700D3C9">
            <w:pPr>
              <w:numPr>
                <w:ilvl w:val="0"/>
                <w:numId w:val="5"/>
              </w:numPr>
              <w:spacing w:line="240" w:lineRule="auto"/>
              <w:jc w:val="left"/>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集中通风排气，经处理（喷淋法、生物洗涤法、吸收法等）后排放；</w:t>
            </w:r>
          </w:p>
          <w:p w14:paraId="5B7FA3F2">
            <w:pPr>
              <w:spacing w:line="240" w:lineRule="auto"/>
              <w:jc w:val="left"/>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（5）集中收集气体经处理（生物过滤法、生物洗涤法、吸收法等）后由排气筒排放。</w:t>
            </w:r>
          </w:p>
        </w:tc>
        <w:tc>
          <w:tcPr>
            <w:tcW w:w="3443" w:type="dxa"/>
            <w:vAlign w:val="center"/>
          </w:tcPr>
          <w:p w14:paraId="562DDD41">
            <w:pPr>
              <w:spacing w:line="240" w:lineRule="auto"/>
              <w:jc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合理设计日粮（添加益生菌和EM活菌剂）以及喷洒微生物除臭剂（</w:t>
            </w:r>
            <w:r>
              <w:rPr>
                <w:rFonts w:hint="default" w:ascii="Times New Roman" w:hAnsi="Times New Roman" w:cs="Times New Roman"/>
                <w:color w:val="auto"/>
                <w:sz w:val="18"/>
                <w:szCs w:val="18"/>
                <w:lang w:val="en-US" w:bidi="zh-CN"/>
              </w:rPr>
              <w:t>万洁芬</w:t>
            </w:r>
            <w:r>
              <w:rPr>
                <w:rFonts w:hint="default" w:ascii="Times New Roman" w:hAnsi="Times New Roman" w:cs="Times New Roman"/>
                <w:color w:val="auto"/>
                <w:sz w:val="18"/>
                <w:szCs w:val="18"/>
                <w:lang w:bidi="zh-CN"/>
              </w:rPr>
              <w:t>），同时控制养殖密度，猪舍</w:t>
            </w:r>
            <w:r>
              <w:rPr>
                <w:rFonts w:hint="default" w:ascii="Times New Roman" w:hAnsi="Times New Roman" w:cs="Times New Roman"/>
                <w:color w:val="auto"/>
                <w:sz w:val="18"/>
                <w:szCs w:val="18"/>
                <w:lang w:val="en-US" w:bidi="zh-CN"/>
              </w:rPr>
              <w:t>设置换气风组</w:t>
            </w:r>
            <w:r>
              <w:rPr>
                <w:rFonts w:hint="default" w:ascii="Times New Roman" w:hAnsi="Times New Roman" w:cs="Times New Roman"/>
                <w:color w:val="auto"/>
                <w:sz w:val="18"/>
                <w:szCs w:val="18"/>
                <w:lang w:bidi="zh-CN"/>
              </w:rPr>
              <w:t>，</w:t>
            </w:r>
            <w:r>
              <w:rPr>
                <w:rFonts w:hint="default" w:ascii="Times New Roman" w:hAnsi="Times New Roman" w:cs="Times New Roman"/>
                <w:color w:val="auto"/>
                <w:sz w:val="18"/>
                <w:szCs w:val="18"/>
                <w:lang w:val="en-US" w:bidi="zh-CN"/>
              </w:rPr>
              <w:t>采用干清粪工艺，</w:t>
            </w:r>
            <w:r>
              <w:rPr>
                <w:rFonts w:hint="default" w:ascii="Times New Roman" w:hAnsi="Times New Roman" w:cs="Times New Roman"/>
                <w:color w:val="auto"/>
                <w:sz w:val="18"/>
                <w:szCs w:val="18"/>
                <w:lang w:bidi="zh-CN"/>
              </w:rPr>
              <w:t>以及猪周边种植绿化树等措施进行除臭</w:t>
            </w:r>
          </w:p>
        </w:tc>
        <w:tc>
          <w:tcPr>
            <w:tcW w:w="1562" w:type="dxa"/>
            <w:vAlign w:val="center"/>
          </w:tcPr>
          <w:p w14:paraId="454D0C62">
            <w:pPr>
              <w:spacing w:line="240" w:lineRule="auto"/>
              <w:jc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属于可行措施</w:t>
            </w:r>
          </w:p>
        </w:tc>
      </w:tr>
      <w:tr w14:paraId="4232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0" w:type="dxa"/>
            <w:vAlign w:val="center"/>
          </w:tcPr>
          <w:p w14:paraId="5E71D2F9">
            <w:pPr>
              <w:spacing w:line="240" w:lineRule="auto"/>
              <w:jc w:val="left"/>
              <w:rPr>
                <w:rFonts w:hint="default" w:ascii="Times New Roman" w:hAnsi="Times New Roman" w:cs="Times New Roman"/>
                <w:b/>
                <w:bCs/>
                <w:color w:val="auto"/>
                <w:sz w:val="18"/>
                <w:szCs w:val="18"/>
                <w:lang w:bidi="zh-CN"/>
              </w:rPr>
            </w:pPr>
            <w:r>
              <w:rPr>
                <w:rFonts w:hint="default" w:ascii="Times New Roman" w:hAnsi="Times New Roman" w:cs="Times New Roman"/>
                <w:b/>
                <w:bCs/>
                <w:color w:val="auto"/>
                <w:sz w:val="18"/>
                <w:szCs w:val="18"/>
                <w:lang w:bidi="zh-CN"/>
              </w:rPr>
              <w:t>固体粪污处理工程：</w:t>
            </w:r>
          </w:p>
          <w:p w14:paraId="15E2CA74">
            <w:pPr>
              <w:spacing w:line="240" w:lineRule="auto"/>
              <w:jc w:val="left"/>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（1）定期喷洒除臭剂；</w:t>
            </w:r>
          </w:p>
          <w:p w14:paraId="418F1784">
            <w:pPr>
              <w:spacing w:line="240" w:lineRule="auto"/>
              <w:jc w:val="left"/>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（2）及时清运固体粪污；</w:t>
            </w:r>
          </w:p>
          <w:p w14:paraId="16E2A2CF">
            <w:pPr>
              <w:spacing w:line="240" w:lineRule="auto"/>
              <w:jc w:val="left"/>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（3）采用厌氧或好氧的堆肥方式；</w:t>
            </w:r>
          </w:p>
          <w:p w14:paraId="52143D7D">
            <w:pPr>
              <w:spacing w:line="240" w:lineRule="auto"/>
              <w:jc w:val="left"/>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（4）集中收集气体经处理（生物过滤法、生物洗涤法、吸收法等）后由排气筒排放。</w:t>
            </w:r>
          </w:p>
        </w:tc>
        <w:tc>
          <w:tcPr>
            <w:tcW w:w="3443" w:type="dxa"/>
            <w:vAlign w:val="center"/>
          </w:tcPr>
          <w:p w14:paraId="7EC4FFFD">
            <w:pPr>
              <w:spacing w:line="240" w:lineRule="auto"/>
              <w:jc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堆粪棚采用半封闭式，三面墙体，并设顶棚，堆粪棚周围进行植被绿化，同时建设单位在好氧堆肥过程喷洒肥料发酵菌剂以加快堆粪棚内粪渣的腐熟程度，降低恶臭产生量，堆粪棚、固液分离设备区域以及车间进出口定期喷洒微生物除臭剂（</w:t>
            </w:r>
            <w:r>
              <w:rPr>
                <w:rFonts w:hint="default" w:ascii="Times New Roman" w:hAnsi="Times New Roman" w:cs="Times New Roman"/>
                <w:color w:val="auto"/>
                <w:sz w:val="18"/>
                <w:szCs w:val="18"/>
                <w:lang w:val="en-US" w:bidi="zh-CN"/>
              </w:rPr>
              <w:t>万洁芬</w:t>
            </w:r>
            <w:r>
              <w:rPr>
                <w:rFonts w:hint="default" w:ascii="Times New Roman" w:hAnsi="Times New Roman" w:cs="Times New Roman"/>
                <w:color w:val="auto"/>
                <w:sz w:val="18"/>
                <w:szCs w:val="18"/>
                <w:lang w:bidi="zh-CN"/>
              </w:rPr>
              <w:t>）</w:t>
            </w:r>
          </w:p>
        </w:tc>
        <w:tc>
          <w:tcPr>
            <w:tcW w:w="1562" w:type="dxa"/>
            <w:vAlign w:val="center"/>
          </w:tcPr>
          <w:p w14:paraId="039AE958">
            <w:pPr>
              <w:spacing w:line="240" w:lineRule="auto"/>
              <w:jc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属于可行措施</w:t>
            </w:r>
          </w:p>
        </w:tc>
      </w:tr>
      <w:tr w14:paraId="205B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0" w:type="dxa"/>
            <w:vAlign w:val="center"/>
          </w:tcPr>
          <w:p w14:paraId="28D338E2">
            <w:pPr>
              <w:spacing w:line="240" w:lineRule="auto"/>
              <w:jc w:val="left"/>
              <w:rPr>
                <w:rFonts w:hint="default" w:ascii="Times New Roman" w:hAnsi="Times New Roman" w:cs="Times New Roman"/>
                <w:b/>
                <w:bCs/>
                <w:color w:val="auto"/>
                <w:sz w:val="18"/>
                <w:szCs w:val="18"/>
                <w:lang w:bidi="zh-CN"/>
              </w:rPr>
            </w:pPr>
            <w:r>
              <w:rPr>
                <w:rFonts w:hint="default" w:ascii="Times New Roman" w:hAnsi="Times New Roman" w:cs="Times New Roman"/>
                <w:b/>
                <w:bCs/>
                <w:color w:val="auto"/>
                <w:sz w:val="18"/>
                <w:szCs w:val="18"/>
                <w:lang w:bidi="zh-CN"/>
              </w:rPr>
              <w:t>废水处理工程：</w:t>
            </w:r>
          </w:p>
          <w:p w14:paraId="0ED0A31D">
            <w:pPr>
              <w:numPr>
                <w:ilvl w:val="0"/>
                <w:numId w:val="6"/>
              </w:numPr>
              <w:spacing w:line="240" w:lineRule="auto"/>
              <w:jc w:val="left"/>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定期喷洒除臭剂；</w:t>
            </w:r>
          </w:p>
          <w:p w14:paraId="41BF11AB">
            <w:pPr>
              <w:numPr>
                <w:ilvl w:val="0"/>
                <w:numId w:val="6"/>
              </w:numPr>
              <w:spacing w:line="240" w:lineRule="auto"/>
              <w:jc w:val="left"/>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废水处理设施加盖或加罩；</w:t>
            </w:r>
          </w:p>
          <w:p w14:paraId="78332350">
            <w:pPr>
              <w:numPr>
                <w:ilvl w:val="0"/>
                <w:numId w:val="6"/>
              </w:numPr>
              <w:spacing w:line="240" w:lineRule="auto"/>
              <w:jc w:val="left"/>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集中收集气体经处理（生物过滤法、生物洗涤法、吸收法等）后由排气筒排放。</w:t>
            </w:r>
          </w:p>
        </w:tc>
        <w:tc>
          <w:tcPr>
            <w:tcW w:w="3443" w:type="dxa"/>
            <w:vAlign w:val="center"/>
          </w:tcPr>
          <w:p w14:paraId="7DFA669E">
            <w:pPr>
              <w:spacing w:line="240" w:lineRule="auto"/>
              <w:jc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val="en-US" w:eastAsia="zh-CN"/>
              </w:rPr>
              <w:t>废水收集池盖板封闭</w:t>
            </w:r>
            <w:r>
              <w:rPr>
                <w:rFonts w:hint="default" w:ascii="Times New Roman" w:hAnsi="Times New Roman" w:cs="Times New Roman"/>
                <w:color w:val="auto"/>
                <w:sz w:val="18"/>
                <w:szCs w:val="18"/>
              </w:rPr>
              <w:t>，恶臭散逸口附近加强生物除臭剂</w:t>
            </w:r>
            <w:r>
              <w:rPr>
                <w:rFonts w:hint="default" w:ascii="Times New Roman" w:hAnsi="Times New Roman" w:cs="Times New Roman"/>
                <w:color w:val="auto"/>
                <w:sz w:val="18"/>
                <w:szCs w:val="18"/>
                <w:lang w:bidi="zh-CN"/>
              </w:rPr>
              <w:t>（</w:t>
            </w:r>
            <w:r>
              <w:rPr>
                <w:rFonts w:hint="default" w:ascii="Times New Roman" w:hAnsi="Times New Roman" w:cs="Times New Roman"/>
                <w:color w:val="auto"/>
                <w:sz w:val="18"/>
                <w:szCs w:val="18"/>
                <w:lang w:val="en-US" w:bidi="zh-CN"/>
              </w:rPr>
              <w:t>万洁芬</w:t>
            </w:r>
            <w:r>
              <w:rPr>
                <w:rFonts w:hint="default" w:ascii="Times New Roman" w:hAnsi="Times New Roman" w:cs="Times New Roman"/>
                <w:color w:val="auto"/>
                <w:sz w:val="18"/>
                <w:szCs w:val="18"/>
                <w:lang w:bidi="zh-CN"/>
              </w:rPr>
              <w:t>）</w:t>
            </w:r>
            <w:r>
              <w:rPr>
                <w:rFonts w:hint="default" w:ascii="Times New Roman" w:hAnsi="Times New Roman" w:cs="Times New Roman"/>
                <w:color w:val="auto"/>
                <w:sz w:val="18"/>
                <w:szCs w:val="18"/>
              </w:rPr>
              <w:t>的喷洒</w:t>
            </w:r>
          </w:p>
        </w:tc>
        <w:tc>
          <w:tcPr>
            <w:tcW w:w="1562" w:type="dxa"/>
            <w:vAlign w:val="center"/>
          </w:tcPr>
          <w:p w14:paraId="522CD741">
            <w:pPr>
              <w:spacing w:line="240" w:lineRule="auto"/>
              <w:jc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属于可行措施</w:t>
            </w:r>
          </w:p>
        </w:tc>
      </w:tr>
      <w:tr w14:paraId="4F51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0" w:type="dxa"/>
            <w:vAlign w:val="center"/>
          </w:tcPr>
          <w:p w14:paraId="0971B283">
            <w:pPr>
              <w:spacing w:line="240" w:lineRule="auto"/>
              <w:jc w:val="left"/>
              <w:rPr>
                <w:rFonts w:hint="default" w:ascii="Times New Roman" w:hAnsi="Times New Roman" w:cs="Times New Roman"/>
                <w:b/>
                <w:bCs/>
                <w:color w:val="auto"/>
                <w:sz w:val="18"/>
                <w:szCs w:val="18"/>
                <w:lang w:bidi="zh-CN"/>
              </w:rPr>
            </w:pPr>
            <w:r>
              <w:rPr>
                <w:rFonts w:hint="default" w:ascii="Times New Roman" w:hAnsi="Times New Roman" w:cs="Times New Roman"/>
                <w:b/>
                <w:bCs/>
                <w:color w:val="auto"/>
                <w:sz w:val="18"/>
                <w:szCs w:val="18"/>
                <w:lang w:bidi="zh-CN"/>
              </w:rPr>
              <w:t>全场：</w:t>
            </w:r>
          </w:p>
          <w:p w14:paraId="75F8068F">
            <w:pPr>
              <w:numPr>
                <w:ilvl w:val="0"/>
                <w:numId w:val="7"/>
              </w:numPr>
              <w:spacing w:line="240" w:lineRule="auto"/>
              <w:jc w:val="left"/>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固体粪污规范还田利用；</w:t>
            </w:r>
          </w:p>
          <w:p w14:paraId="5FC8E86A">
            <w:pPr>
              <w:numPr>
                <w:ilvl w:val="0"/>
                <w:numId w:val="7"/>
              </w:numPr>
              <w:spacing w:line="240" w:lineRule="auto"/>
              <w:jc w:val="left"/>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厂区运输道路全硬化，无积灰扬尘、定期洒水抑尘；</w:t>
            </w:r>
          </w:p>
          <w:p w14:paraId="3B1D2D78">
            <w:pPr>
              <w:numPr>
                <w:ilvl w:val="0"/>
                <w:numId w:val="7"/>
              </w:numPr>
              <w:spacing w:line="240" w:lineRule="auto"/>
              <w:jc w:val="left"/>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加强厂区绿化；</w:t>
            </w:r>
          </w:p>
        </w:tc>
        <w:tc>
          <w:tcPr>
            <w:tcW w:w="3443" w:type="dxa"/>
            <w:vAlign w:val="center"/>
          </w:tcPr>
          <w:p w14:paraId="7F68F343">
            <w:pPr>
              <w:spacing w:line="240" w:lineRule="auto"/>
              <w:jc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本项目粪污</w:t>
            </w:r>
            <w:r>
              <w:rPr>
                <w:rFonts w:hint="default" w:ascii="Times New Roman" w:hAnsi="Times New Roman" w:cs="Times New Roman"/>
                <w:color w:val="auto"/>
                <w:sz w:val="18"/>
                <w:szCs w:val="18"/>
                <w:lang w:val="en-US" w:bidi="zh-CN"/>
              </w:rPr>
              <w:t>经</w:t>
            </w:r>
            <w:r>
              <w:rPr>
                <w:rFonts w:hint="default" w:ascii="Times New Roman" w:hAnsi="Times New Roman" w:cs="Times New Roman"/>
                <w:color w:val="auto"/>
                <w:sz w:val="18"/>
                <w:szCs w:val="18"/>
              </w:rPr>
              <w:t>堆肥发酵后</w:t>
            </w:r>
            <w:r>
              <w:rPr>
                <w:rFonts w:hint="default" w:ascii="Times New Roman" w:hAnsi="Times New Roman" w:cs="Times New Roman"/>
                <w:color w:val="auto"/>
                <w:sz w:val="18"/>
                <w:szCs w:val="18"/>
                <w:lang w:val="en-US" w:eastAsia="zh-CN"/>
              </w:rPr>
              <w:t>用于农田施肥</w:t>
            </w:r>
            <w:r>
              <w:rPr>
                <w:rFonts w:hint="default" w:ascii="Times New Roman" w:hAnsi="Times New Roman" w:cs="Times New Roman"/>
                <w:color w:val="auto"/>
                <w:sz w:val="18"/>
                <w:szCs w:val="18"/>
                <w:lang w:bidi="zh-CN"/>
              </w:rPr>
              <w:t>，不随意处置；场内运输道路全部硬化，员工排班负责厂区卫生，厂区无积尘；项目区在猪舍、固体粪污处理、废水处理区域均进行植被绿化</w:t>
            </w:r>
          </w:p>
        </w:tc>
        <w:tc>
          <w:tcPr>
            <w:tcW w:w="1562" w:type="dxa"/>
            <w:vAlign w:val="center"/>
          </w:tcPr>
          <w:p w14:paraId="565AFEAA">
            <w:pPr>
              <w:spacing w:line="240" w:lineRule="auto"/>
              <w:jc w:val="center"/>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属于可行措施</w:t>
            </w:r>
          </w:p>
        </w:tc>
      </w:tr>
    </w:tbl>
    <w:p w14:paraId="796C0617">
      <w:pPr>
        <w:spacing w:before="120" w:beforeLines="50" w:line="360" w:lineRule="auto"/>
        <w:ind w:firstLine="482"/>
        <w:rPr>
          <w:rFonts w:hint="default" w:ascii="Times New Roman" w:hAnsi="Times New Roman" w:cs="Times New Roman"/>
          <w:color w:val="auto"/>
          <w:sz w:val="24"/>
          <w:szCs w:val="24"/>
          <w:lang w:bidi="zh-CN"/>
        </w:rPr>
      </w:pPr>
      <w:r>
        <w:rPr>
          <w:rFonts w:hint="default" w:ascii="Times New Roman" w:hAnsi="Times New Roman" w:cs="Times New Roman"/>
          <w:color w:val="auto"/>
          <w:sz w:val="24"/>
          <w:szCs w:val="24"/>
          <w:lang w:bidi="zh-CN"/>
        </w:rPr>
        <w:t>根据上表，本项目采取的恶臭治理措施属于《排污许可证申请与核发技术规范 畜禽养殖行业》(HJ1029-2019)中恶臭污染防治可行技术。经预测，</w:t>
      </w:r>
      <w:r>
        <w:rPr>
          <w:rFonts w:hint="default" w:ascii="Times New Roman" w:hAnsi="Times New Roman" w:cs="Times New Roman"/>
          <w:color w:val="auto"/>
          <w:sz w:val="24"/>
          <w:szCs w:val="24"/>
        </w:rPr>
        <w:t>无组织废气均能满足《恶臭污染物排放标准》（GB14554-93）表1二级标准中的“新扩改建”中厂界标准限值（NH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≤1500μg/m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S≤60μg /m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bidi="zh-CN"/>
        </w:rPr>
        <w:t>项目养殖场内恶臭治理技术可行。</w:t>
      </w:r>
    </w:p>
    <w:p w14:paraId="1CE1CDB9">
      <w:pPr>
        <w:spacing w:line="360" w:lineRule="auto"/>
        <w:ind w:firstLine="480"/>
        <w:rPr>
          <w:rFonts w:hint="default" w:ascii="Times New Roman" w:hAnsi="Times New Roman" w:cs="Times New Roman"/>
          <w:color w:val="auto"/>
          <w:sz w:val="24"/>
          <w:szCs w:val="24"/>
          <w:lang w:bidi="zh-CN"/>
        </w:rPr>
      </w:pPr>
      <w:r>
        <w:rPr>
          <w:rFonts w:hint="default" w:ascii="Times New Roman" w:hAnsi="Times New Roman" w:cs="Times New Roman"/>
          <w:b/>
          <w:bCs/>
          <w:color w:val="auto"/>
          <w:sz w:val="24"/>
          <w:szCs w:val="24"/>
          <w:lang w:bidi="zh-CN"/>
        </w:rPr>
        <w:t>（</w:t>
      </w:r>
      <w:r>
        <w:rPr>
          <w:rFonts w:hint="default" w:ascii="Times New Roman" w:hAnsi="Times New Roman" w:cs="Times New Roman"/>
          <w:b/>
          <w:bCs/>
          <w:color w:val="auto"/>
          <w:sz w:val="24"/>
          <w:szCs w:val="24"/>
          <w:lang w:val="en-US" w:bidi="zh-CN"/>
        </w:rPr>
        <w:t>2</w:t>
      </w:r>
      <w:r>
        <w:rPr>
          <w:rFonts w:hint="default" w:ascii="Times New Roman" w:hAnsi="Times New Roman" w:cs="Times New Roman"/>
          <w:b/>
          <w:bCs/>
          <w:color w:val="auto"/>
          <w:sz w:val="24"/>
          <w:szCs w:val="24"/>
          <w:lang w:bidi="zh-CN"/>
        </w:rPr>
        <w:t>）食堂油烟污染防治措施可行性</w:t>
      </w:r>
    </w:p>
    <w:p w14:paraId="03F96887">
      <w:pPr>
        <w:spacing w:line="360" w:lineRule="auto"/>
        <w:ind w:firstLine="480"/>
        <w:rPr>
          <w:rFonts w:hint="default" w:ascii="Times New Roman" w:hAnsi="Times New Roman" w:cs="Times New Roman"/>
          <w:color w:val="auto"/>
          <w:sz w:val="24"/>
          <w:szCs w:val="24"/>
          <w:lang w:bidi="zh-CN"/>
        </w:rPr>
      </w:pPr>
      <w:r>
        <w:rPr>
          <w:rFonts w:hint="default" w:ascii="Times New Roman" w:hAnsi="Times New Roman" w:cs="Times New Roman"/>
          <w:color w:val="auto"/>
          <w:sz w:val="24"/>
          <w:szCs w:val="24"/>
          <w:lang w:bidi="zh-CN"/>
        </w:rPr>
        <w:t>食堂内产生的油烟经油烟净化效率不低于30%的油烟净化器处理后引至屋顶排放，最终经大气稀释扩散。据工程分析，项目食堂油烟排放浓度为</w:t>
      </w:r>
      <w:r>
        <w:rPr>
          <w:rFonts w:hint="default" w:ascii="Times New Roman" w:hAnsi="Times New Roman" w:cs="Times New Roman"/>
          <w:color w:val="auto"/>
          <w:sz w:val="24"/>
          <w:szCs w:val="24"/>
          <w:highlight w:val="none"/>
        </w:rPr>
        <w:t>0.</w:t>
      </w:r>
      <w:r>
        <w:rPr>
          <w:rFonts w:hint="default" w:ascii="Times New Roman" w:hAnsi="Times New Roman" w:cs="Times New Roman"/>
          <w:color w:val="auto"/>
          <w:sz w:val="24"/>
          <w:szCs w:val="24"/>
          <w:highlight w:val="none"/>
          <w:lang w:val="en-US" w:eastAsia="zh-CN"/>
        </w:rPr>
        <w:t>59</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rPr>
        <w:t>，</w:t>
      </w:r>
      <w:r>
        <w:rPr>
          <w:rFonts w:hint="default" w:ascii="Times New Roman" w:hAnsi="Times New Roman" w:cs="Times New Roman"/>
          <w:color w:val="auto"/>
          <w:sz w:val="24"/>
          <w:szCs w:val="24"/>
          <w:lang w:bidi="zh-CN"/>
        </w:rPr>
        <w:t>能够达到《饮食业油烟排放标准（试行）》（GB18483-2001）中“小型”规模标准允许排放的浓度，即油烟排放浓度≤2mg/m</w:t>
      </w:r>
      <w:r>
        <w:rPr>
          <w:rFonts w:hint="default" w:ascii="Times New Roman" w:hAnsi="Times New Roman" w:cs="Times New Roman"/>
          <w:color w:val="auto"/>
          <w:sz w:val="24"/>
          <w:szCs w:val="24"/>
          <w:vertAlign w:val="superscript"/>
          <w:lang w:bidi="zh-CN"/>
        </w:rPr>
        <w:t>3</w:t>
      </w:r>
      <w:r>
        <w:rPr>
          <w:rFonts w:hint="default" w:ascii="Times New Roman" w:hAnsi="Times New Roman" w:cs="Times New Roman"/>
          <w:color w:val="auto"/>
          <w:sz w:val="24"/>
          <w:szCs w:val="24"/>
          <w:lang w:bidi="zh-CN"/>
        </w:rPr>
        <w:t>。故食堂油烟方式措施是可行的。</w:t>
      </w:r>
    </w:p>
    <w:p w14:paraId="4A635F36">
      <w:pPr>
        <w:spacing w:line="360" w:lineRule="auto"/>
        <w:ind w:firstLine="480"/>
        <w:rPr>
          <w:rFonts w:hint="default" w:ascii="Times New Roman" w:hAnsi="Times New Roman" w:cs="Times New Roman"/>
          <w:b/>
          <w:color w:val="auto"/>
          <w:sz w:val="24"/>
          <w:szCs w:val="24"/>
        </w:rPr>
      </w:pPr>
      <w:r>
        <w:rPr>
          <w:rFonts w:hint="default" w:ascii="Times New Roman" w:hAnsi="Times New Roman" w:cs="Times New Roman"/>
          <w:color w:val="auto"/>
          <w:sz w:val="24"/>
          <w:szCs w:val="24"/>
          <w:lang w:bidi="zh-CN"/>
        </w:rPr>
        <w:t>综上，本次评价认为项目拟采取的废气污染治理措施是可行的。</w:t>
      </w:r>
    </w:p>
    <w:p w14:paraId="7F53DF39">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rPr>
      </w:pPr>
      <w:bookmarkStart w:id="323" w:name="_Toc25535"/>
      <w:r>
        <w:rPr>
          <w:rStyle w:val="35"/>
          <w:rFonts w:hint="default" w:ascii="Times New Roman" w:hAnsi="Times New Roman" w:eastAsia="宋体" w:cs="Times New Roman"/>
          <w:color w:val="auto"/>
          <w:sz w:val="24"/>
          <w:szCs w:val="24"/>
          <w:highlight w:val="none"/>
        </w:rPr>
        <w:t>6.2.2废水污染防治措施</w:t>
      </w:r>
      <w:bookmarkEnd w:id="323"/>
    </w:p>
    <w:p w14:paraId="184BF697">
      <w:pPr>
        <w:pStyle w:val="43"/>
        <w:snapToGrid w:val="0"/>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1、废水处理措施</w:t>
      </w:r>
    </w:p>
    <w:p w14:paraId="6276F31E">
      <w:pPr>
        <w:pStyle w:val="43"/>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t>①项目区实行雨污分流，设置一个初期雨水收集池（规模</w:t>
      </w:r>
      <w:r>
        <w:rPr>
          <w:rFonts w:hint="eastAsia" w:cs="Times New Roman"/>
          <w:color w:val="auto"/>
          <w:highlight w:val="none"/>
          <w:lang w:val="en-US" w:eastAsia="zh-CN"/>
        </w:rPr>
        <w:t>15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），初期雨水沉淀处理后用于晴天绿化。</w:t>
      </w:r>
    </w:p>
    <w:p w14:paraId="27687AAC">
      <w:pPr>
        <w:pStyle w:val="43"/>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②</w:t>
      </w:r>
      <w:r>
        <w:rPr>
          <w:rFonts w:hint="default" w:ascii="Times New Roman" w:hAnsi="Times New Roman" w:cs="Times New Roman"/>
          <w:color w:val="auto"/>
          <w:highlight w:val="none"/>
        </w:rPr>
        <w:t>生活污水中食堂废水设置隔油池（规模0.05m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）预处理后，与其它生活污水一起进入容积为10m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的化粪池预处理，经预处理后进入</w:t>
      </w:r>
      <w:r>
        <w:rPr>
          <w:rFonts w:hint="default" w:ascii="Times New Roman" w:hAnsi="Times New Roman" w:cs="Times New Roman"/>
          <w:color w:val="auto"/>
          <w:highlight w:val="none"/>
          <w:lang w:val="en-US" w:eastAsia="zh-CN"/>
        </w:rPr>
        <w:t>废水收集池暂存，依托</w:t>
      </w:r>
      <w:r>
        <w:rPr>
          <w:rFonts w:hint="default" w:ascii="Times New Roman" w:hAnsi="Times New Roman" w:eastAsia="宋体" w:cs="Times New Roman"/>
          <w:color w:val="auto"/>
          <w:sz w:val="24"/>
          <w:highlight w:val="none"/>
          <w:lang w:val="en-US" w:eastAsia="zh-CN"/>
        </w:rPr>
        <w:t>弥勒温氏畜牧有限公司新哨种猪场建设项目污水处理站处理后用于绿化及农田灌溉</w:t>
      </w:r>
      <w:r>
        <w:rPr>
          <w:rFonts w:hint="default" w:ascii="Times New Roman" w:hAnsi="Times New Roman" w:cs="Times New Roman"/>
          <w:color w:val="auto"/>
          <w:highlight w:val="none"/>
        </w:rPr>
        <w:t>。</w:t>
      </w:r>
    </w:p>
    <w:p w14:paraId="00C860C4">
      <w:pPr>
        <w:pStyle w:val="43"/>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③</w:t>
      </w:r>
      <w:r>
        <w:rPr>
          <w:rFonts w:hint="default" w:ascii="Times New Roman" w:hAnsi="Times New Roman" w:cs="Times New Roman"/>
          <w:color w:val="auto"/>
          <w:highlight w:val="none"/>
        </w:rPr>
        <w:t>尿液、粪便经过</w:t>
      </w:r>
      <w:r>
        <w:rPr>
          <w:rFonts w:hint="default" w:ascii="Times New Roman" w:hAnsi="Times New Roman" w:cs="Times New Roman"/>
          <w:color w:val="auto"/>
          <w:highlight w:val="none"/>
          <w:lang w:eastAsia="zh-CN"/>
        </w:rPr>
        <w:t>粪尿收集池</w:t>
      </w:r>
      <w:r>
        <w:rPr>
          <w:rFonts w:hint="default" w:ascii="Times New Roman" w:hAnsi="Times New Roman" w:cs="Times New Roman"/>
          <w:color w:val="auto"/>
          <w:highlight w:val="none"/>
        </w:rPr>
        <w:t>收集后，通过PVC管道泵至固液分离机进行固液分离，</w:t>
      </w:r>
      <w:r>
        <w:rPr>
          <w:rFonts w:hint="default" w:ascii="Times New Roman" w:hAnsi="Times New Roman" w:cs="Times New Roman"/>
          <w:color w:val="auto"/>
          <w:highlight w:val="none"/>
          <w:lang w:eastAsia="zh-CN"/>
        </w:rPr>
        <w:t>粪污</w:t>
      </w:r>
      <w:r>
        <w:rPr>
          <w:rFonts w:hint="default" w:ascii="Times New Roman" w:hAnsi="Times New Roman" w:cs="Times New Roman"/>
          <w:color w:val="auto"/>
          <w:highlight w:val="none"/>
        </w:rPr>
        <w:t>进入PVC管道前设置过滤网进行初步过滤，固液分离后的固体粪便进入</w:t>
      </w:r>
      <w:r>
        <w:rPr>
          <w:rFonts w:hint="default" w:ascii="Times New Roman" w:hAnsi="Times New Roman" w:cs="Times New Roman"/>
          <w:color w:val="auto"/>
          <w:highlight w:val="none"/>
          <w:lang w:eastAsia="zh-CN"/>
        </w:rPr>
        <w:t>堆粪棚</w:t>
      </w:r>
      <w:r>
        <w:rPr>
          <w:rFonts w:hint="default" w:ascii="Times New Roman" w:hAnsi="Times New Roman" w:cs="Times New Roman"/>
          <w:color w:val="auto"/>
          <w:highlight w:val="none"/>
        </w:rPr>
        <w:t>发酵，尿液则通过PVC管道进入</w:t>
      </w:r>
      <w:r>
        <w:rPr>
          <w:rFonts w:hint="default" w:ascii="Times New Roman" w:hAnsi="Times New Roman" w:cs="Times New Roman"/>
          <w:color w:val="auto"/>
          <w:highlight w:val="none"/>
          <w:lang w:val="en-US" w:eastAsia="zh-CN"/>
        </w:rPr>
        <w:t>废水收集池，依托</w:t>
      </w:r>
      <w:r>
        <w:rPr>
          <w:rFonts w:hint="default" w:ascii="Times New Roman" w:hAnsi="Times New Roman" w:eastAsia="宋体" w:cs="Times New Roman"/>
          <w:color w:val="auto"/>
          <w:sz w:val="24"/>
          <w:highlight w:val="none"/>
          <w:lang w:val="en-US" w:eastAsia="zh-CN"/>
        </w:rPr>
        <w:t>弥勒温氏畜牧有限公司新哨种猪场建设项目污水处理站处理后用于绿化及农田灌溉</w:t>
      </w:r>
      <w:r>
        <w:rPr>
          <w:rFonts w:hint="default" w:ascii="Times New Roman" w:hAnsi="Times New Roman" w:cs="Times New Roman"/>
          <w:color w:val="auto"/>
          <w:highlight w:val="none"/>
        </w:rPr>
        <w:t>。</w:t>
      </w:r>
    </w:p>
    <w:p w14:paraId="11F91AC5">
      <w:pPr>
        <w:pStyle w:val="43"/>
        <w:snapToGrid w:val="0"/>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2、措施可行性分析</w:t>
      </w:r>
    </w:p>
    <w:p w14:paraId="33980F7C">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（1）隔油池设计符合《饮食业环境保护技术规范》（HJ554-2010）的要求；化粪池规模设计考虑1.2的安全系数，满足水利停留时间要求。</w:t>
      </w:r>
    </w:p>
    <w:p w14:paraId="051D8C0F">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cs="Times New Roman"/>
          <w:color w:val="auto"/>
          <w:lang w:bidi="en-US"/>
        </w:rPr>
      </w:pPr>
      <w:r>
        <w:rPr>
          <w:rFonts w:hint="default" w:ascii="Times New Roman" w:hAnsi="Times New Roman" w:cs="Times New Roman"/>
          <w:color w:val="auto"/>
          <w:sz w:val="24"/>
          <w:highlight w:val="none"/>
        </w:rPr>
        <w:t>（2）</w:t>
      </w:r>
      <w:r>
        <w:rPr>
          <w:rFonts w:hint="default" w:ascii="Times New Roman" w:hAnsi="Times New Roman" w:cs="Times New Roman"/>
          <w:color w:val="auto"/>
          <w:sz w:val="24"/>
          <w:highlight w:val="none"/>
          <w:lang w:val="en-US" w:eastAsia="zh-CN"/>
        </w:rPr>
        <w:t>依托</w:t>
      </w:r>
      <w:r>
        <w:rPr>
          <w:rFonts w:hint="default" w:ascii="Times New Roman" w:hAnsi="Times New Roman" w:eastAsia="宋体" w:cs="Times New Roman"/>
          <w:color w:val="auto"/>
          <w:sz w:val="24"/>
          <w:highlight w:val="none"/>
          <w:lang w:val="en-US" w:eastAsia="zh-CN"/>
        </w:rPr>
        <w:t>污水处理站处理能力能够满足本项目处理要求，出水水质稳定达标。</w:t>
      </w:r>
      <w:r>
        <w:rPr>
          <w:rFonts w:hint="default" w:ascii="Times New Roman" w:hAnsi="Times New Roman" w:cs="Times New Roman"/>
          <w:color w:val="auto"/>
          <w:lang w:val="en-US" w:eastAsia="zh-CN" w:bidi="en-US"/>
        </w:rPr>
        <w:t>同时，</w:t>
      </w:r>
      <w:r>
        <w:rPr>
          <w:rFonts w:hint="default" w:ascii="Times New Roman" w:hAnsi="Times New Roman" w:cs="Times New Roman"/>
          <w:bCs/>
          <w:color w:val="auto"/>
          <w:sz w:val="24"/>
          <w:highlight w:val="none"/>
        </w:rPr>
        <w:t>根据</w:t>
      </w:r>
      <w:r>
        <w:rPr>
          <w:rFonts w:hint="default" w:ascii="Times New Roman" w:hAnsi="Times New Roman" w:eastAsia="宋体" w:cs="Times New Roman"/>
          <w:bCs/>
          <w:color w:val="auto"/>
          <w:sz w:val="24"/>
          <w:highlight w:val="none"/>
          <w:lang w:val="en-US" w:eastAsia="zh-CN"/>
        </w:rPr>
        <w:t>粪污消纳</w:t>
      </w:r>
      <w:r>
        <w:rPr>
          <w:rFonts w:hint="default" w:ascii="Times New Roman" w:hAnsi="Times New Roman" w:cs="Times New Roman"/>
          <w:bCs/>
          <w:color w:val="auto"/>
          <w:sz w:val="24"/>
          <w:highlight w:val="none"/>
        </w:rPr>
        <w:t>配套面积计算，项目配套</w:t>
      </w:r>
      <w:r>
        <w:rPr>
          <w:rFonts w:hint="default" w:ascii="Times New Roman" w:hAnsi="Times New Roman" w:cs="Times New Roman"/>
          <w:bCs/>
          <w:color w:val="auto"/>
          <w:sz w:val="24"/>
          <w:highlight w:val="none"/>
          <w:lang w:eastAsia="zh-CN"/>
        </w:rPr>
        <w:t>粪污</w:t>
      </w:r>
      <w:r>
        <w:rPr>
          <w:rFonts w:hint="default" w:ascii="Times New Roman" w:hAnsi="Times New Roman" w:cs="Times New Roman"/>
          <w:bCs/>
          <w:color w:val="auto"/>
          <w:sz w:val="24"/>
          <w:highlight w:val="none"/>
        </w:rPr>
        <w:t>消纳面积可以</w:t>
      </w:r>
      <w:r>
        <w:rPr>
          <w:rFonts w:hint="default" w:ascii="Times New Roman" w:hAnsi="Times New Roman" w:cs="Times New Roman"/>
          <w:color w:val="auto"/>
          <w:sz w:val="24"/>
          <w:highlight w:val="none"/>
        </w:rPr>
        <w:t>满足一倍以上轮作面积要求</w:t>
      </w:r>
      <w:r>
        <w:rPr>
          <w:rFonts w:hint="default" w:ascii="Times New Roman" w:hAnsi="Times New Roman" w:cs="Times New Roman"/>
          <w:color w:val="auto"/>
          <w:lang w:val="en-US" w:bidi="zh-CN"/>
        </w:rPr>
        <w:t>。</w:t>
      </w:r>
      <w:r>
        <w:rPr>
          <w:rFonts w:hint="default" w:ascii="Times New Roman" w:hAnsi="Times New Roman" w:cs="Times New Roman"/>
          <w:color w:val="auto"/>
          <w:lang w:bidi="en-US"/>
        </w:rPr>
        <w:t>项目无废水直接外排至地表水体，</w:t>
      </w:r>
      <w:r>
        <w:rPr>
          <w:rFonts w:hint="default" w:ascii="Times New Roman" w:hAnsi="Times New Roman" w:cs="Times New Roman"/>
          <w:bCs/>
          <w:color w:val="auto"/>
          <w:kern w:val="2"/>
          <w:szCs w:val="24"/>
          <w:lang w:val="en-US" w:eastAsia="zh-CN"/>
        </w:rPr>
        <w:t>当污水处理站发生故障时，可将废水暂存于本项目1000m³废水收集池，待污水处理站事故解除后再进行污水处理</w:t>
      </w:r>
      <w:r>
        <w:rPr>
          <w:rFonts w:hint="default" w:ascii="Times New Roman" w:hAnsi="Times New Roman" w:cs="Times New Roman"/>
          <w:color w:val="auto"/>
          <w:sz w:val="24"/>
          <w:szCs w:val="24"/>
          <w:lang w:val="en-US" w:bidi="zh-CN"/>
        </w:rPr>
        <w:t>。</w:t>
      </w:r>
      <w:r>
        <w:rPr>
          <w:rFonts w:hint="default" w:ascii="Times New Roman" w:hAnsi="Times New Roman" w:cs="Times New Roman"/>
          <w:color w:val="auto"/>
          <w:lang w:bidi="en-US"/>
        </w:rPr>
        <w:t>项目运营</w:t>
      </w:r>
      <w:r>
        <w:rPr>
          <w:rFonts w:hint="default" w:ascii="Times New Roman" w:hAnsi="Times New Roman" w:cs="Times New Roman"/>
          <w:color w:val="auto"/>
          <w:lang w:val="en-US" w:eastAsia="zh-CN" w:bidi="en-US"/>
        </w:rPr>
        <w:t>期间不会有废水排放至周边地表水体，</w:t>
      </w:r>
      <w:r>
        <w:rPr>
          <w:rFonts w:hint="default" w:ascii="Times New Roman" w:hAnsi="Times New Roman" w:cs="Times New Roman"/>
          <w:color w:val="auto"/>
          <w:lang w:bidi="en-US"/>
        </w:rPr>
        <w:t>对周边地表水体影响较小。</w:t>
      </w:r>
    </w:p>
    <w:p w14:paraId="3AC2DD6B">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rPr>
      </w:pPr>
      <w:bookmarkStart w:id="324" w:name="_Toc17212"/>
      <w:r>
        <w:rPr>
          <w:rStyle w:val="35"/>
          <w:rFonts w:hint="default" w:ascii="Times New Roman" w:hAnsi="Times New Roman" w:eastAsia="宋体" w:cs="Times New Roman"/>
          <w:color w:val="auto"/>
          <w:sz w:val="24"/>
          <w:szCs w:val="24"/>
          <w:highlight w:val="none"/>
        </w:rPr>
        <w:t>6.2.3噪声污染防治措施</w:t>
      </w:r>
      <w:bookmarkEnd w:id="324"/>
    </w:p>
    <w:p w14:paraId="59E07BB2">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①设备选型低噪声设备，对固液分离机、水泵设备安装减振垫进行设备基础减振处理，且高噪声设备位于密闭房间内。</w:t>
      </w:r>
    </w:p>
    <w:p w14:paraId="71F0F2F4">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②优化设备平面布置，噪声设备与厂界有一定距离；加强绿化；通过距离及绿化吸收实现噪声衰减。</w:t>
      </w:r>
    </w:p>
    <w:p w14:paraId="741DBB2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③在场区周围及场内加强绿化，充分利用建筑的边角、场地外边坡等空隙土地及不规则土地进行绿化。</w:t>
      </w:r>
    </w:p>
    <w:p w14:paraId="04FBCC1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④加强设备的维护保养，加强减振等措施检查维护等，确保设备正常运转。</w:t>
      </w:r>
    </w:p>
    <w:p w14:paraId="76386698">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⑤</w:t>
      </w:r>
      <w:r>
        <w:rPr>
          <w:rFonts w:hint="default" w:ascii="Times New Roman" w:hAnsi="Times New Roman" w:cs="Times New Roman"/>
          <w:color w:val="auto"/>
          <w:sz w:val="24"/>
          <w:highlight w:val="none"/>
        </w:rPr>
        <w:t>为减少猪叫声对声环境的影响，合理安排猪饮食结构和时间，避免因饥饿或口渴而发出叫声；同时应减少外界噪声等对猪群的干扰，避免因惊吓而产生不安，使猪只保持安定平和的气氛，以缓解猪只的不安情绪。</w:t>
      </w:r>
    </w:p>
    <w:p w14:paraId="05581C36">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2、噪声防治措施可行性</w:t>
      </w:r>
    </w:p>
    <w:p w14:paraId="1476AEEC">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本项目从源强控制、合理布局、管理运维等方向提出噪声控制措施，容易实施，且噪声污染防治措施效果良好，方案可行。</w:t>
      </w:r>
    </w:p>
    <w:p w14:paraId="530AF3BA">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rPr>
      </w:pPr>
      <w:bookmarkStart w:id="325" w:name="_Toc23019"/>
      <w:r>
        <w:rPr>
          <w:rStyle w:val="35"/>
          <w:rFonts w:hint="default" w:ascii="Times New Roman" w:hAnsi="Times New Roman" w:eastAsia="宋体" w:cs="Times New Roman"/>
          <w:color w:val="auto"/>
          <w:sz w:val="24"/>
          <w:szCs w:val="24"/>
          <w:highlight w:val="none"/>
        </w:rPr>
        <w:t>6.2.4固废污染防治措施</w:t>
      </w:r>
      <w:bookmarkEnd w:id="325"/>
    </w:p>
    <w:p w14:paraId="435665FE">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1、固废处置措施</w:t>
      </w:r>
    </w:p>
    <w:p w14:paraId="38D280E4">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①</w:t>
      </w:r>
      <w:r>
        <w:rPr>
          <w:rFonts w:hint="default" w:ascii="Times New Roman" w:hAnsi="Times New Roman" w:cs="Times New Roman"/>
          <w:bCs/>
          <w:snapToGrid w:val="0"/>
          <w:color w:val="auto"/>
          <w:kern w:val="0"/>
          <w:sz w:val="24"/>
          <w:highlight w:val="none"/>
        </w:rPr>
        <w:t>病死猪委托弥勒市北斗星生物科技有限公司进场清运处置。并在厂内建设1个</w:t>
      </w:r>
      <w:r>
        <w:rPr>
          <w:rFonts w:hint="default" w:ascii="Times New Roman" w:hAnsi="Times New Roman" w:cs="Times New Roman"/>
          <w:bCs/>
          <w:snapToGrid w:val="0"/>
          <w:color w:val="auto"/>
          <w:kern w:val="0"/>
          <w:sz w:val="24"/>
          <w:highlight w:val="none"/>
          <w:lang w:val="en-US" w:eastAsia="zh-CN"/>
        </w:rPr>
        <w:t>冷库</w:t>
      </w:r>
      <w:r>
        <w:rPr>
          <w:rFonts w:hint="default" w:ascii="Times New Roman" w:hAnsi="Times New Roman" w:cs="Times New Roman"/>
          <w:bCs/>
          <w:snapToGrid w:val="0"/>
          <w:color w:val="auto"/>
          <w:kern w:val="0"/>
          <w:sz w:val="24"/>
          <w:highlight w:val="none"/>
        </w:rPr>
        <w:t>，用于临时暂存养殖过程中产生的病死猪。</w:t>
      </w:r>
    </w:p>
    <w:p w14:paraId="6E63A91D">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②建</w:t>
      </w:r>
      <w:r>
        <w:rPr>
          <w:rFonts w:hint="default" w:ascii="Times New Roman" w:hAnsi="Times New Roman" w:cs="Times New Roman"/>
          <w:bCs/>
          <w:color w:val="auto"/>
          <w:sz w:val="24"/>
          <w:highlight w:val="none"/>
          <w:lang w:val="en-US" w:eastAsia="zh-CN"/>
        </w:rPr>
        <w:t>设</w:t>
      </w:r>
      <w:r>
        <w:rPr>
          <w:rFonts w:hint="default" w:ascii="Times New Roman" w:hAnsi="Times New Roman" w:cs="Times New Roman"/>
          <w:bCs/>
          <w:color w:val="auto"/>
          <w:sz w:val="24"/>
          <w:highlight w:val="none"/>
        </w:rPr>
        <w:t>一个</w:t>
      </w:r>
      <w:r>
        <w:rPr>
          <w:rFonts w:hint="default" w:ascii="Times New Roman" w:hAnsi="Times New Roman" w:cs="Times New Roman"/>
          <w:bCs/>
          <w:color w:val="auto"/>
          <w:sz w:val="24"/>
          <w:highlight w:val="none"/>
          <w:lang w:eastAsia="zh-CN"/>
        </w:rPr>
        <w:t>堆粪棚</w:t>
      </w:r>
      <w:r>
        <w:rPr>
          <w:rFonts w:hint="default" w:ascii="Times New Roman" w:hAnsi="Times New Roman" w:cs="Times New Roman"/>
          <w:bCs/>
          <w:color w:val="auto"/>
          <w:sz w:val="24"/>
          <w:highlight w:val="none"/>
        </w:rPr>
        <w:t>（规模</w:t>
      </w:r>
      <w:r>
        <w:rPr>
          <w:rFonts w:hint="default" w:ascii="Times New Roman" w:hAnsi="Times New Roman" w:cs="Times New Roman"/>
          <w:bCs/>
          <w:color w:val="auto"/>
          <w:sz w:val="24"/>
          <w:highlight w:val="none"/>
          <w:lang w:val="en-US" w:eastAsia="zh-CN"/>
        </w:rPr>
        <w:t>300</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粪便、饲料残渣</w:t>
      </w:r>
      <w:r>
        <w:rPr>
          <w:rFonts w:hint="default" w:ascii="Times New Roman" w:hAnsi="Times New Roman" w:cs="Times New Roman"/>
          <w:bCs/>
          <w:color w:val="auto"/>
          <w:sz w:val="24"/>
          <w:highlight w:val="none"/>
        </w:rPr>
        <w:t>进入堆粪棚发酵</w:t>
      </w:r>
      <w:r>
        <w:rPr>
          <w:rFonts w:hint="default" w:ascii="Times New Roman" w:hAnsi="Times New Roman" w:cs="Times New Roman"/>
          <w:bCs/>
          <w:color w:val="auto"/>
          <w:sz w:val="24"/>
          <w:highlight w:val="none"/>
          <w:lang w:eastAsia="zh-CN"/>
        </w:rPr>
        <w:t>，用于还田施肥</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堆粪棚建设渗滤液收集管道，渗滤液直接通过污水管道进入废水收集池，同时按环评要求进行围挡，并进行重点防渗，防渗要求：</w:t>
      </w:r>
      <w:r>
        <w:rPr>
          <w:rFonts w:hint="default" w:ascii="Times New Roman" w:hAnsi="Times New Roman" w:cs="Times New Roman"/>
          <w:bCs/>
          <w:color w:val="auto"/>
          <w:sz w:val="24"/>
          <w:highlight w:val="none"/>
        </w:rPr>
        <w:t>防渗技术要求：等效黏土防渗层Mb≥6.0m，K≤1.0×10-7cm/s；或参照GB18598执行。</w:t>
      </w:r>
    </w:p>
    <w:p w14:paraId="1FCD41C6">
      <w:pPr>
        <w:pStyle w:val="11"/>
        <w:autoSpaceDE w:val="0"/>
        <w:spacing w:before="0" w:line="360" w:lineRule="auto"/>
        <w:ind w:left="0" w:firstLine="480"/>
        <w:jc w:val="both"/>
        <w:rPr>
          <w:rFonts w:hint="default" w:ascii="Times New Roman" w:hAnsi="Times New Roman" w:eastAsia="宋体" w:cs="Times New Roman"/>
          <w:b w:val="0"/>
          <w:bCs w:val="0"/>
          <w:color w:val="auto"/>
          <w:kern w:val="0"/>
          <w:sz w:val="24"/>
          <w:szCs w:val="24"/>
          <w:lang w:val="en-US" w:eastAsia="zh-CN" w:bidi="ar-SA"/>
        </w:rPr>
      </w:pPr>
      <w:r>
        <w:rPr>
          <w:rFonts w:hint="default" w:ascii="Times New Roman" w:hAnsi="Times New Roman" w:cs="Times New Roman"/>
          <w:bCs/>
          <w:color w:val="auto"/>
          <w:sz w:val="24"/>
          <w:highlight w:val="none"/>
          <w:lang w:val="en-US" w:eastAsia="zh-CN"/>
        </w:rPr>
        <w:t>③防疫固废</w:t>
      </w:r>
      <w:r>
        <w:rPr>
          <w:rFonts w:hint="default" w:ascii="Times New Roman" w:hAnsi="Times New Roman" w:eastAsia="宋体" w:cs="Times New Roman"/>
          <w:b w:val="0"/>
          <w:bCs w:val="0"/>
          <w:color w:val="auto"/>
          <w:kern w:val="0"/>
          <w:sz w:val="24"/>
          <w:szCs w:val="24"/>
          <w:lang w:val="en-US" w:eastAsia="zh-CN" w:bidi="ar-SA"/>
        </w:rPr>
        <w:t>设置一个</w:t>
      </w:r>
      <w:r>
        <w:rPr>
          <w:rFonts w:hint="eastAsia" w:cs="Times New Roman"/>
          <w:b w:val="0"/>
          <w:bCs w:val="0"/>
          <w:color w:val="auto"/>
          <w:kern w:val="0"/>
          <w:sz w:val="24"/>
          <w:szCs w:val="24"/>
          <w:lang w:val="en-US" w:eastAsia="zh-CN" w:bidi="ar-SA"/>
        </w:rPr>
        <w:t>5</w:t>
      </w:r>
      <w:r>
        <w:rPr>
          <w:rFonts w:hint="default" w:ascii="Times New Roman" w:hAnsi="Times New Roman" w:eastAsia="宋体" w:cs="Times New Roman"/>
          <w:b w:val="0"/>
          <w:bCs w:val="0"/>
          <w:color w:val="auto"/>
          <w:kern w:val="0"/>
          <w:sz w:val="24"/>
          <w:szCs w:val="24"/>
          <w:lang w:val="en-US" w:eastAsia="zh-CN" w:bidi="ar-SA"/>
        </w:rPr>
        <w:t>㎡的防疫固废暂存间暂存，设置明显的标识，定期消毒和清洁，采用专用包装袋、容器分类收集，按照当地动物防疫部门管理要求进行处置。</w:t>
      </w:r>
    </w:p>
    <w:p w14:paraId="42CB52F6">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val="en-US" w:eastAsia="zh-CN"/>
        </w:rPr>
        <w:t>④</w:t>
      </w:r>
      <w:r>
        <w:rPr>
          <w:rFonts w:hint="default" w:ascii="Times New Roman" w:hAnsi="Times New Roman" w:cs="Times New Roman"/>
          <w:color w:val="auto"/>
          <w:sz w:val="24"/>
          <w:highlight w:val="none"/>
        </w:rPr>
        <w:t>废弃包装材料统一收集定期外卖给废品站；</w:t>
      </w:r>
      <w:r>
        <w:rPr>
          <w:rFonts w:hint="default" w:ascii="Times New Roman" w:hAnsi="Times New Roman" w:cs="Times New Roman"/>
          <w:bCs/>
          <w:color w:val="auto"/>
          <w:sz w:val="24"/>
          <w:highlight w:val="none"/>
        </w:rPr>
        <w:t>生活垃圾经垃圾桶统一收集后，定期清运至</w:t>
      </w:r>
      <w:r>
        <w:rPr>
          <w:rFonts w:hint="default" w:ascii="Times New Roman" w:hAnsi="Times New Roman" w:cs="Times New Roman"/>
          <w:bCs/>
          <w:color w:val="auto"/>
          <w:sz w:val="24"/>
          <w:highlight w:val="none"/>
          <w:lang w:eastAsia="zh-CN"/>
        </w:rPr>
        <w:t>猴街村</w:t>
      </w:r>
      <w:r>
        <w:rPr>
          <w:rFonts w:hint="default" w:ascii="Times New Roman" w:hAnsi="Times New Roman" w:cs="Times New Roman"/>
          <w:bCs/>
          <w:color w:val="auto"/>
          <w:sz w:val="24"/>
          <w:highlight w:val="none"/>
        </w:rPr>
        <w:t>生活垃圾收集点集中处置。</w:t>
      </w:r>
    </w:p>
    <w:p w14:paraId="66FDA16B">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val="en-US" w:eastAsia="zh-CN"/>
        </w:rPr>
        <w:t>⑤</w:t>
      </w:r>
      <w:r>
        <w:rPr>
          <w:rFonts w:hint="default" w:ascii="Times New Roman" w:hAnsi="Times New Roman" w:cs="Times New Roman"/>
          <w:bCs/>
          <w:color w:val="auto"/>
          <w:sz w:val="24"/>
          <w:highlight w:val="none"/>
        </w:rPr>
        <w:t>食堂设置泔水收集桶，用于收集厨房产生的泔水，泔水收集后按照住建部门相关规定处置。</w:t>
      </w:r>
    </w:p>
    <w:p w14:paraId="5693C8AE">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val="en-US" w:eastAsia="zh-CN"/>
        </w:rPr>
        <w:t>⑥</w:t>
      </w:r>
      <w:r>
        <w:rPr>
          <w:rFonts w:hint="default" w:ascii="Times New Roman" w:hAnsi="Times New Roman" w:cs="Times New Roman"/>
          <w:bCs/>
          <w:color w:val="auto"/>
          <w:sz w:val="24"/>
          <w:highlight w:val="none"/>
        </w:rPr>
        <w:t>设置废油脂收集桶，用于收集隔油池隔油过程中产生的废油脂，收集后按照住建部门相关规定处置。</w:t>
      </w:r>
    </w:p>
    <w:p w14:paraId="23231601">
      <w:pPr>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val="en-US" w:eastAsia="zh-CN"/>
        </w:rPr>
        <w:t>⑦</w:t>
      </w:r>
      <w:r>
        <w:rPr>
          <w:rFonts w:hint="default" w:ascii="Times New Roman" w:hAnsi="Times New Roman" w:cs="Times New Roman"/>
          <w:color w:val="auto"/>
          <w:sz w:val="24"/>
          <w:highlight w:val="none"/>
        </w:rPr>
        <w:t>废机油</w:t>
      </w:r>
      <w:r>
        <w:rPr>
          <w:rFonts w:hint="default" w:ascii="Times New Roman" w:hAnsi="Times New Roman" w:cs="Times New Roman"/>
          <w:bCs/>
          <w:color w:val="auto"/>
          <w:sz w:val="24"/>
          <w:highlight w:val="none"/>
        </w:rPr>
        <w:t>采用专用容器密闭盛装，暂存在危废暂存间，委托相关资质单位处置。</w:t>
      </w:r>
    </w:p>
    <w:p w14:paraId="12C0B4F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项目产生的</w:t>
      </w:r>
      <w:r>
        <w:rPr>
          <w:rFonts w:hint="default" w:ascii="Times New Roman" w:hAnsi="Times New Roman" w:cs="Times New Roman"/>
          <w:color w:val="auto"/>
          <w:sz w:val="24"/>
          <w:highlight w:val="none"/>
        </w:rPr>
        <w:t>危险废物</w:t>
      </w:r>
      <w:r>
        <w:rPr>
          <w:rFonts w:hint="default" w:ascii="Times New Roman" w:hAnsi="Times New Roman" w:cs="Times New Roman"/>
          <w:color w:val="auto"/>
          <w:sz w:val="24"/>
          <w:highlight w:val="none"/>
          <w:lang w:val="en-US" w:eastAsia="zh-CN"/>
        </w:rPr>
        <w:t>设置</w:t>
      </w:r>
      <w:r>
        <w:rPr>
          <w:rFonts w:hint="default" w:ascii="Times New Roman" w:hAnsi="Times New Roman" w:cs="Times New Roman"/>
          <w:color w:val="auto"/>
          <w:sz w:val="24"/>
          <w:highlight w:val="none"/>
        </w:rPr>
        <w:t>暂存间</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建筑面积</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，危险废物暂存时应按照《危险废物贮存污染控制标准》（GB18597-2023）要求进行贮存，危废暂存间设置要求如下：</w:t>
      </w:r>
    </w:p>
    <w:p w14:paraId="55F59E71">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val="en-US" w:eastAsia="zh-CN"/>
        </w:rPr>
        <w:t>A.</w:t>
      </w:r>
      <w:r>
        <w:rPr>
          <w:rFonts w:hint="default" w:ascii="Times New Roman" w:hAnsi="Times New Roman" w:cs="Times New Roman"/>
          <w:color w:val="auto"/>
          <w:sz w:val="24"/>
          <w:highlight w:val="none"/>
          <w:lang w:eastAsia="zh-CN"/>
        </w:rPr>
        <w:t>一般规定</w:t>
      </w:r>
    </w:p>
    <w:p w14:paraId="71A4192E">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a.贮存设施应根据危险废物的形态、物理化学性质、包装形式和污染物迁移途径，采取必要的防风、防晒、防雨、防漏、防渗、防腐以及其他环境污染防治措施，不应露天堆放危险废物</w:t>
      </w:r>
      <w:r>
        <w:rPr>
          <w:rFonts w:hint="default" w:ascii="Times New Roman" w:hAnsi="Times New Roman" w:cs="Times New Roman"/>
          <w:color w:val="auto"/>
          <w:sz w:val="24"/>
          <w:highlight w:val="none"/>
          <w:lang w:eastAsia="zh-CN"/>
        </w:rPr>
        <w:t>；</w:t>
      </w:r>
    </w:p>
    <w:p w14:paraId="041324A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b.贮存设施应根据危险废物的类别、数量、形态、物理化学性质和污染防治等要求设置必要的贮存分区，避免不相容的危险废物接触、混合；</w:t>
      </w:r>
    </w:p>
    <w:p w14:paraId="10EEC278">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c.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cm/s），或至少2mm厚高密度聚乙烯膜等人工防渗材料（渗透系数不大于10</w:t>
      </w:r>
      <w:r>
        <w:rPr>
          <w:rFonts w:hint="default" w:ascii="Times New Roman" w:hAnsi="Times New Roman" w:cs="Times New Roman"/>
          <w:color w:val="auto"/>
          <w:sz w:val="24"/>
          <w:highlight w:val="none"/>
          <w:vertAlign w:val="superscript"/>
        </w:rPr>
        <w:t>-10</w:t>
      </w:r>
      <w:r>
        <w:rPr>
          <w:rFonts w:hint="default" w:ascii="Times New Roman" w:hAnsi="Times New Roman" w:cs="Times New Roman"/>
          <w:color w:val="auto"/>
          <w:sz w:val="24"/>
          <w:highlight w:val="none"/>
        </w:rPr>
        <w:t>cm/s），或其他防渗性能等效的材料</w:t>
      </w:r>
      <w:r>
        <w:rPr>
          <w:rFonts w:hint="default" w:ascii="Times New Roman" w:hAnsi="Times New Roman" w:cs="Times New Roman"/>
          <w:color w:val="auto"/>
          <w:sz w:val="24"/>
          <w:highlight w:val="none"/>
          <w:lang w:eastAsia="zh-CN"/>
        </w:rPr>
        <w:t>；</w:t>
      </w:r>
    </w:p>
    <w:p w14:paraId="41B71C29">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d.同一贮存设施宜采用相同的防渗、防腐工艺（包括防渗、防腐结构或材料），防渗、防腐材料应覆盖所有可能与废物及其渗滤液、渗漏液等接触的构筑物表面；采用不同防渗、防腐工艺应分别建设贮存分区</w:t>
      </w:r>
      <w:r>
        <w:rPr>
          <w:rFonts w:hint="default" w:ascii="Times New Roman" w:hAnsi="Times New Roman" w:cs="Times New Roman"/>
          <w:color w:val="auto"/>
          <w:sz w:val="24"/>
          <w:highlight w:val="none"/>
          <w:lang w:eastAsia="zh-CN"/>
        </w:rPr>
        <w:t>；</w:t>
      </w:r>
    </w:p>
    <w:p w14:paraId="7CC1D485">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e.贮存设施应采取技术和管理措施防止无关人员进入</w:t>
      </w:r>
      <w:r>
        <w:rPr>
          <w:rFonts w:hint="default" w:ascii="Times New Roman" w:hAnsi="Times New Roman" w:cs="Times New Roman"/>
          <w:color w:val="auto"/>
          <w:sz w:val="24"/>
          <w:highlight w:val="none"/>
          <w:lang w:eastAsia="zh-CN"/>
        </w:rPr>
        <w:t>。</w:t>
      </w:r>
    </w:p>
    <w:p w14:paraId="0832DB07">
      <w:pPr>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val="en-US" w:eastAsia="zh-CN"/>
        </w:rPr>
        <w:t>B.</w:t>
      </w:r>
      <w:r>
        <w:rPr>
          <w:rFonts w:hint="default" w:ascii="Times New Roman" w:hAnsi="Times New Roman" w:cs="Times New Roman"/>
          <w:color w:val="auto"/>
          <w:sz w:val="24"/>
          <w:highlight w:val="none"/>
          <w:lang w:eastAsia="zh-CN"/>
        </w:rPr>
        <w:t>容器和包装物污染控制要求</w:t>
      </w:r>
    </w:p>
    <w:p w14:paraId="634612E6">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a.容器和包装物材质、内衬应与盛装的危险废物相容；</w:t>
      </w:r>
    </w:p>
    <w:p w14:paraId="39A43D84">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b.针对不同类别、形态、物理化学性质的危险废物，其容器和包装物应满足相应的防渗、防漏、防腐和强度等要求；</w:t>
      </w:r>
    </w:p>
    <w:p w14:paraId="56184786">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c.硬质容器和包装物及其支护结构堆叠码放时不应有明显变形，无破损泄漏；</w:t>
      </w:r>
    </w:p>
    <w:p w14:paraId="76CF34C6">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d.柔性容器和包装物堆叠码放时应封口严密，无破损泄漏；</w:t>
      </w:r>
    </w:p>
    <w:p w14:paraId="2B603BA8">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e.使用容器盛装液态、半固态危险废物时，容器内部应留有适当的空间，以适应因温度变化等可能引发的收缩和膨胀，防止其导致容器渗漏或永久变形；</w:t>
      </w:r>
    </w:p>
    <w:p w14:paraId="76AC6AD9">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f.容器和包装物外表面应保持清洁。</w:t>
      </w:r>
    </w:p>
    <w:p w14:paraId="4FF5BED1">
      <w:pPr>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cs="Times New Roman"/>
          <w:b w:val="0"/>
          <w:bCs w:val="0"/>
          <w:color w:val="auto"/>
          <w:sz w:val="24"/>
          <w:highlight w:val="none"/>
          <w:lang w:val="en-US" w:eastAsia="zh-CN"/>
        </w:rPr>
        <w:t>C.管理要求</w:t>
      </w:r>
    </w:p>
    <w:p w14:paraId="777C7F82">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①</w:t>
      </w:r>
      <w:r>
        <w:rPr>
          <w:rFonts w:hint="default" w:ascii="Times New Roman" w:hAnsi="Times New Roman" w:cs="Times New Roman"/>
          <w:color w:val="auto"/>
          <w:sz w:val="24"/>
          <w:highlight w:val="none"/>
        </w:rPr>
        <w:t>建立完善的危险废物管理制度；</w:t>
      </w:r>
    </w:p>
    <w:p w14:paraId="6E6FC53F">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②</w:t>
      </w:r>
      <w:r>
        <w:rPr>
          <w:rFonts w:hint="default" w:ascii="Times New Roman" w:hAnsi="Times New Roman" w:cs="Times New Roman"/>
          <w:color w:val="auto"/>
          <w:sz w:val="24"/>
          <w:highlight w:val="none"/>
        </w:rPr>
        <w:t>危险废物需委托有资质的单位清运处理，并签订危险废物处理合同或协议；</w:t>
      </w:r>
    </w:p>
    <w:p w14:paraId="5BCE7097">
      <w:pPr>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color w:val="auto"/>
          <w:sz w:val="24"/>
          <w:highlight w:val="none"/>
          <w:lang w:val="en-US" w:eastAsia="zh-CN"/>
        </w:rPr>
        <w:t>③</w:t>
      </w:r>
      <w:r>
        <w:rPr>
          <w:rFonts w:hint="default" w:ascii="Times New Roman" w:hAnsi="Times New Roman" w:cs="Times New Roman"/>
          <w:color w:val="auto"/>
          <w:sz w:val="24"/>
          <w:highlight w:val="none"/>
        </w:rPr>
        <w:t>在危险废物转移交接时填写《危险废物转移联单》并存档，存档时间不得低于</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p>
    <w:p w14:paraId="7EFAC616">
      <w:pPr>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2、措施可行性分析</w:t>
      </w:r>
    </w:p>
    <w:p w14:paraId="5F643D25">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bCs/>
          <w:color w:val="auto"/>
          <w:sz w:val="24"/>
          <w:highlight w:val="none"/>
        </w:rPr>
        <w:t>经查阅《畜禽养殖业污染防治技术规范》（HJ/T 81-2001），项目病死猪处置符合规范要求；本项目</w:t>
      </w:r>
      <w:r>
        <w:rPr>
          <w:rFonts w:hint="default" w:ascii="Times New Roman" w:hAnsi="Times New Roman" w:cs="Times New Roman"/>
          <w:bCs/>
          <w:color w:val="auto"/>
          <w:sz w:val="24"/>
          <w:highlight w:val="none"/>
          <w:lang w:eastAsia="zh-CN"/>
        </w:rPr>
        <w:t>堆粪棚</w:t>
      </w:r>
      <w:r>
        <w:rPr>
          <w:rFonts w:hint="default" w:ascii="Times New Roman" w:hAnsi="Times New Roman" w:cs="Times New Roman"/>
          <w:bCs/>
          <w:color w:val="auto"/>
          <w:sz w:val="24"/>
          <w:highlight w:val="none"/>
        </w:rPr>
        <w:t>采用的槽式好氧堆肥方式属于《畜禽养殖业污染治理工程技术规范》（HJ497-2009）中推荐的无害化处理方式</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设置为2格式堆槽，可交替使用以满足不同入场批的物料堆肥时间要求，</w:t>
      </w:r>
      <w:r>
        <w:rPr>
          <w:rFonts w:hint="default" w:ascii="Times New Roman" w:hAnsi="Times New Roman" w:cs="Times New Roman"/>
          <w:bCs/>
          <w:color w:val="auto"/>
          <w:sz w:val="24"/>
          <w:highlight w:val="none"/>
          <w:lang w:bidi="en-US"/>
        </w:rPr>
        <w:t>堆肥工艺及发酵时间满足</w:t>
      </w:r>
      <w:r>
        <w:rPr>
          <w:rFonts w:hint="default" w:ascii="Times New Roman" w:hAnsi="Times New Roman" w:cs="Times New Roman"/>
          <w:bCs/>
          <w:color w:val="auto"/>
          <w:sz w:val="24"/>
          <w:highlight w:val="none"/>
          <w:lang w:eastAsia="zh-CN" w:bidi="en-US"/>
        </w:rPr>
        <w:t>《</w:t>
      </w:r>
      <w:r>
        <w:rPr>
          <w:rFonts w:hint="default" w:ascii="Times New Roman" w:hAnsi="Times New Roman" w:cs="Times New Roman"/>
          <w:bCs/>
          <w:color w:val="auto"/>
          <w:sz w:val="24"/>
          <w:highlight w:val="none"/>
        </w:rPr>
        <w:t>畜禽粪便无害化处理技术规范》（GB/T36195-2018）相关要求，根据配套面积计算，项目配套</w:t>
      </w:r>
      <w:r>
        <w:rPr>
          <w:rFonts w:hint="default" w:ascii="Times New Roman" w:hAnsi="Times New Roman" w:cs="Times New Roman"/>
          <w:bCs/>
          <w:color w:val="auto"/>
          <w:sz w:val="24"/>
          <w:highlight w:val="none"/>
          <w:lang w:eastAsia="zh-CN"/>
        </w:rPr>
        <w:t>粪污</w:t>
      </w:r>
      <w:r>
        <w:rPr>
          <w:rFonts w:hint="default" w:ascii="Times New Roman" w:hAnsi="Times New Roman" w:cs="Times New Roman"/>
          <w:bCs/>
          <w:color w:val="auto"/>
          <w:sz w:val="24"/>
          <w:highlight w:val="none"/>
        </w:rPr>
        <w:t>消纳面积可以</w:t>
      </w:r>
      <w:r>
        <w:rPr>
          <w:rFonts w:hint="default" w:ascii="Times New Roman" w:hAnsi="Times New Roman" w:cs="Times New Roman"/>
          <w:color w:val="auto"/>
          <w:sz w:val="24"/>
          <w:highlight w:val="none"/>
        </w:rPr>
        <w:t>满足一倍以上轮作面积要求</w:t>
      </w:r>
      <w:r>
        <w:rPr>
          <w:rFonts w:hint="default" w:ascii="Times New Roman" w:hAnsi="Times New Roman" w:cs="Times New Roman"/>
          <w:bCs/>
          <w:color w:val="auto"/>
          <w:sz w:val="24"/>
          <w:highlight w:val="none"/>
        </w:rPr>
        <w:t>，粪肥堆肥后作为农肥还田利用可行。</w:t>
      </w:r>
      <w:r>
        <w:rPr>
          <w:rFonts w:hint="default" w:ascii="Times New Roman" w:hAnsi="Times New Roman" w:cs="Times New Roman"/>
          <w:bCs/>
          <w:color w:val="auto"/>
          <w:sz w:val="24"/>
          <w:highlight w:val="none"/>
          <w:lang w:val="en-US" w:eastAsia="zh-CN"/>
        </w:rPr>
        <w:t>经过设置规范化危废暂存间后，项目区危废收集、暂存符合</w:t>
      </w:r>
      <w:r>
        <w:rPr>
          <w:rFonts w:hint="default" w:ascii="Times New Roman" w:hAnsi="Times New Roman" w:cs="Times New Roman"/>
          <w:color w:val="auto"/>
          <w:sz w:val="24"/>
          <w:highlight w:val="none"/>
        </w:rPr>
        <w:t>《危险废物贮存污染控制标准》（GB18597-2023）要求</w:t>
      </w:r>
      <w:r>
        <w:rPr>
          <w:rFonts w:hint="default" w:ascii="Times New Roman" w:hAnsi="Times New Roman" w:cs="Times New Roman"/>
          <w:color w:val="auto"/>
          <w:sz w:val="24"/>
          <w:highlight w:val="none"/>
          <w:lang w:eastAsia="zh-CN"/>
        </w:rPr>
        <w:t>。</w:t>
      </w:r>
    </w:p>
    <w:p w14:paraId="468D7F13">
      <w:pPr>
        <w:snapToGrid w:val="0"/>
        <w:spacing w:line="360" w:lineRule="auto"/>
        <w:ind w:firstLine="482"/>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综上，项目产生的固体废物处置率达100%，对周围环境影响小。</w:t>
      </w:r>
    </w:p>
    <w:p w14:paraId="19A8E6CD">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rPr>
      </w:pPr>
      <w:bookmarkStart w:id="326" w:name="_Toc8351"/>
      <w:r>
        <w:rPr>
          <w:rStyle w:val="35"/>
          <w:rFonts w:hint="default" w:ascii="Times New Roman" w:hAnsi="Times New Roman" w:eastAsia="宋体" w:cs="Times New Roman"/>
          <w:color w:val="auto"/>
          <w:sz w:val="24"/>
          <w:szCs w:val="24"/>
          <w:highlight w:val="none"/>
        </w:rPr>
        <w:t>6.2.</w:t>
      </w:r>
      <w:r>
        <w:rPr>
          <w:rStyle w:val="35"/>
          <w:rFonts w:hint="default" w:ascii="Times New Roman" w:hAnsi="Times New Roman" w:eastAsia="宋体" w:cs="Times New Roman"/>
          <w:color w:val="auto"/>
          <w:sz w:val="24"/>
          <w:szCs w:val="24"/>
          <w:highlight w:val="none"/>
          <w:lang w:val="en-US" w:eastAsia="zh-CN"/>
        </w:rPr>
        <w:t>5</w:t>
      </w:r>
      <w:r>
        <w:rPr>
          <w:rStyle w:val="35"/>
          <w:rFonts w:hint="default" w:ascii="Times New Roman" w:hAnsi="Times New Roman" w:eastAsia="宋体" w:cs="Times New Roman"/>
          <w:color w:val="auto"/>
          <w:sz w:val="24"/>
          <w:szCs w:val="24"/>
          <w:highlight w:val="none"/>
        </w:rPr>
        <w:t>地下水污染防治措施</w:t>
      </w:r>
      <w:bookmarkEnd w:id="326"/>
    </w:p>
    <w:p w14:paraId="35B30696">
      <w:pPr>
        <w:snapToGrid w:val="0"/>
        <w:spacing w:line="360" w:lineRule="auto"/>
        <w:ind w:firstLine="482"/>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1、已实施的地下水防治措施</w:t>
      </w:r>
    </w:p>
    <w:p w14:paraId="55FF58A0">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（1）清污分流</w:t>
      </w:r>
    </w:p>
    <w:p w14:paraId="69C34C74">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要按清污分流分质处理的原则，建成雨污排水系统。</w:t>
      </w:r>
    </w:p>
    <w:p w14:paraId="181412A5">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（2）厂区污染防渗措施及要求</w:t>
      </w:r>
    </w:p>
    <w:p w14:paraId="15213485">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地下水环境》（HJ610-2016）厂区按照重点防渗区、一般防渗区和简单防渗区进行分区防渗。具体如下：</w:t>
      </w:r>
    </w:p>
    <w:p w14:paraId="4590282E">
      <w:pPr>
        <w:snapToGrid w:val="0"/>
        <w:spacing w:line="360" w:lineRule="auto"/>
        <w:ind w:right="25" w:rightChars="12"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①重点防渗区：危废暂存间按照GB18597-2023要求进行防渗：基础防渗+表面防渗。表面防渗采用抗渗混凝土、高密度聚乙烯膜、钠基膨润土防水毯或其他防渗性能等效的材料；基础防渗为2mm厚高密度聚乙烯膜（K≤1.0×10</w:t>
      </w:r>
      <w:r>
        <w:rPr>
          <w:rFonts w:hint="default" w:ascii="Times New Roman" w:hAnsi="Times New Roman" w:cs="Times New Roman"/>
          <w:bCs/>
          <w:color w:val="auto"/>
          <w:sz w:val="24"/>
          <w:highlight w:val="none"/>
          <w:vertAlign w:val="superscript"/>
        </w:rPr>
        <w:t>-10</w:t>
      </w:r>
      <w:r>
        <w:rPr>
          <w:rFonts w:hint="default" w:ascii="Times New Roman" w:hAnsi="Times New Roman" w:cs="Times New Roman"/>
          <w:bCs/>
          <w:color w:val="auto"/>
          <w:sz w:val="24"/>
          <w:highlight w:val="none"/>
        </w:rPr>
        <w:t>cm/s）。防渗、防腐材料应覆盖所有可能与废物及其渗滤液、渗漏液等接触的构筑物表面。</w:t>
      </w:r>
      <w:r>
        <w:rPr>
          <w:rFonts w:hint="default" w:ascii="Times New Roman" w:hAnsi="Times New Roman" w:cs="Times New Roman"/>
          <w:bCs/>
          <w:color w:val="auto"/>
          <w:sz w:val="24"/>
          <w:highlight w:val="none"/>
          <w:lang w:eastAsia="zh-CN"/>
        </w:rPr>
        <w:t>粪尿收集池</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废水收集</w:t>
      </w:r>
      <w:r>
        <w:rPr>
          <w:rFonts w:hint="default" w:ascii="Times New Roman" w:hAnsi="Times New Roman" w:cs="Times New Roman"/>
          <w:bCs/>
          <w:color w:val="auto"/>
          <w:sz w:val="24"/>
          <w:highlight w:val="none"/>
        </w:rPr>
        <w:t>池、</w:t>
      </w:r>
      <w:r>
        <w:rPr>
          <w:rFonts w:hint="default" w:ascii="Times New Roman" w:hAnsi="Times New Roman" w:cs="Times New Roman"/>
          <w:bCs/>
          <w:color w:val="auto"/>
          <w:sz w:val="24"/>
          <w:highlight w:val="none"/>
          <w:lang w:val="en-US" w:eastAsia="zh-CN"/>
        </w:rPr>
        <w:t>固液分离区、</w:t>
      </w:r>
      <w:r>
        <w:rPr>
          <w:rFonts w:hint="default" w:ascii="Times New Roman" w:hAnsi="Times New Roman" w:cs="Times New Roman"/>
          <w:bCs/>
          <w:color w:val="auto"/>
          <w:sz w:val="24"/>
          <w:highlight w:val="none"/>
          <w:lang w:eastAsia="zh-CN"/>
        </w:rPr>
        <w:t>堆粪棚，</w:t>
      </w:r>
      <w:r>
        <w:rPr>
          <w:rFonts w:hint="default" w:ascii="Times New Roman" w:hAnsi="Times New Roman" w:cs="Times New Roman"/>
          <w:bCs/>
          <w:color w:val="auto"/>
          <w:sz w:val="24"/>
          <w:highlight w:val="none"/>
        </w:rPr>
        <w:t>采用压实的等效黏土防渗层+抗渗等级为P6、厚度20cm的抗渗混凝土为基础地面。</w:t>
      </w:r>
    </w:p>
    <w:p w14:paraId="7CDBCDB5">
      <w:pPr>
        <w:snapToGrid w:val="0"/>
        <w:spacing w:line="360" w:lineRule="auto"/>
        <w:ind w:right="25" w:rightChars="12"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②一般防渗区：隔油池、化粪池、初期雨水收集池、</w:t>
      </w:r>
      <w:r>
        <w:rPr>
          <w:rFonts w:hint="default" w:ascii="Times New Roman" w:hAnsi="Times New Roman" w:cs="Times New Roman"/>
          <w:bCs/>
          <w:color w:val="auto"/>
          <w:sz w:val="24"/>
          <w:highlight w:val="none"/>
          <w:lang w:val="en-US" w:eastAsia="zh-CN"/>
        </w:rPr>
        <w:t>车辆洗消棚沉淀池、</w:t>
      </w:r>
      <w:r>
        <w:rPr>
          <w:rFonts w:hint="default" w:ascii="Times New Roman" w:hAnsi="Times New Roman" w:cs="Times New Roman"/>
          <w:bCs/>
          <w:color w:val="auto"/>
          <w:sz w:val="24"/>
          <w:highlight w:val="none"/>
        </w:rPr>
        <w:t>柴油发电室</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冷库、防疫固废暂存间，</w:t>
      </w:r>
      <w:r>
        <w:rPr>
          <w:rFonts w:hint="default" w:ascii="Times New Roman" w:hAnsi="Times New Roman" w:cs="Times New Roman"/>
          <w:bCs/>
          <w:color w:val="auto"/>
          <w:sz w:val="24"/>
          <w:highlight w:val="none"/>
        </w:rPr>
        <w:t>在地面平整压实基土的基础上浇筑抗渗等级P6、厚度10cm的抗渗混凝土进行防渗，等效黏土防渗层厚度Mb≥1.5m，渗透系数K≤1.0×10</w:t>
      </w:r>
      <w:r>
        <w:rPr>
          <w:rFonts w:hint="default" w:ascii="Times New Roman" w:hAnsi="Times New Roman" w:cs="Times New Roman"/>
          <w:bCs/>
          <w:color w:val="auto"/>
          <w:sz w:val="24"/>
          <w:highlight w:val="none"/>
          <w:vertAlign w:val="superscript"/>
        </w:rPr>
        <w:t>-7</w:t>
      </w:r>
      <w:r>
        <w:rPr>
          <w:rFonts w:hint="default" w:ascii="Times New Roman" w:hAnsi="Times New Roman" w:cs="Times New Roman"/>
          <w:bCs/>
          <w:color w:val="auto"/>
          <w:sz w:val="24"/>
          <w:highlight w:val="none"/>
        </w:rPr>
        <w:t>cm/s。</w:t>
      </w:r>
    </w:p>
    <w:p w14:paraId="7490D6DE">
      <w:pPr>
        <w:snapToGrid w:val="0"/>
        <w:spacing w:line="360" w:lineRule="auto"/>
        <w:ind w:right="25" w:rightChars="12"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③简单防渗：</w:t>
      </w:r>
      <w:r>
        <w:rPr>
          <w:rFonts w:hint="default" w:ascii="Times New Roman" w:hAnsi="Times New Roman" w:cs="Times New Roman"/>
          <w:bCs/>
          <w:color w:val="auto"/>
          <w:sz w:val="24"/>
          <w:highlight w:val="none"/>
          <w:lang w:val="en-US" w:eastAsia="zh-CN"/>
        </w:rPr>
        <w:t>物资消毒仓库</w:t>
      </w:r>
      <w:r>
        <w:rPr>
          <w:rFonts w:hint="default" w:ascii="Times New Roman" w:hAnsi="Times New Roman" w:cs="Times New Roman"/>
          <w:bCs/>
          <w:color w:val="auto"/>
          <w:sz w:val="24"/>
          <w:highlight w:val="none"/>
        </w:rPr>
        <w:t>、配电房、料塔区、办公生活区、厂区道路采取一般水泥地面硬化。</w:t>
      </w:r>
    </w:p>
    <w:p w14:paraId="2D31D800">
      <w:pPr>
        <w:snapToGrid w:val="0"/>
        <w:spacing w:line="360" w:lineRule="auto"/>
        <w:ind w:right="25" w:rightChars="12"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val="en-US" w:eastAsia="zh-CN"/>
        </w:rPr>
        <w:t>④</w:t>
      </w:r>
      <w:r>
        <w:rPr>
          <w:rFonts w:hint="default" w:ascii="Times New Roman" w:hAnsi="Times New Roman" w:cs="Times New Roman"/>
          <w:bCs/>
          <w:color w:val="auto"/>
          <w:sz w:val="24"/>
          <w:highlight w:val="none"/>
        </w:rPr>
        <w:t>设置污废水渗漏检测及地下水污染监控措施</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在</w:t>
      </w:r>
      <w:r>
        <w:rPr>
          <w:rFonts w:hint="default" w:ascii="Times New Roman" w:hAnsi="Times New Roman" w:cs="Times New Roman"/>
          <w:bCs/>
          <w:color w:val="auto"/>
          <w:sz w:val="24"/>
          <w:highlight w:val="none"/>
          <w:lang w:val="en-US" w:eastAsia="zh-CN"/>
        </w:rPr>
        <w:t>废水收集池</w:t>
      </w:r>
      <w:r>
        <w:rPr>
          <w:rFonts w:hint="default" w:ascii="Times New Roman" w:hAnsi="Times New Roman" w:cs="Times New Roman"/>
          <w:bCs/>
          <w:color w:val="auto"/>
          <w:sz w:val="24"/>
          <w:highlight w:val="none"/>
        </w:rPr>
        <w:t>下游</w:t>
      </w:r>
      <w:r>
        <w:rPr>
          <w:rFonts w:hint="eastAsia" w:cs="Times New Roman"/>
          <w:bCs/>
          <w:color w:val="auto"/>
          <w:sz w:val="24"/>
          <w:highlight w:val="none"/>
          <w:lang w:val="en-US" w:eastAsia="zh-CN"/>
        </w:rPr>
        <w:t>25</w:t>
      </w:r>
      <w:r>
        <w:rPr>
          <w:rFonts w:hint="default" w:ascii="Times New Roman" w:hAnsi="Times New Roman" w:cs="Times New Roman"/>
          <w:bCs/>
          <w:color w:val="auto"/>
          <w:sz w:val="24"/>
          <w:highlight w:val="none"/>
        </w:rPr>
        <w:t>m范围内设置1个跟踪监测井。按照自行监测计划，应委托有资质的单位开展监测，并将每次的监测数据及时进行统计、整理，并将每次的监测结果与相关标准及历史监测结果进行比较，以分析地下水水质各项指标的变化。在日常例行监测中，一旦发现地下水水质监测数据异常，应尽快核查数据，确保数据的正确性。并将核查过的监测数据通告建设单位环保部门，由专人负责对数据进行分析、核实，并密切关注生产设施的运行情况，为防止地下水污染采取措施提供正确的依据。</w:t>
      </w:r>
    </w:p>
    <w:p w14:paraId="67DF0CB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⑤</w:t>
      </w:r>
      <w:r>
        <w:rPr>
          <w:rFonts w:hint="default" w:ascii="Times New Roman" w:hAnsi="Times New Roman" w:cs="Times New Roman"/>
          <w:color w:val="auto"/>
          <w:sz w:val="24"/>
          <w:highlight w:val="none"/>
        </w:rPr>
        <w:t>应急处置措施</w:t>
      </w:r>
    </w:p>
    <w:p w14:paraId="613401C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项目防渗层或污废水输送管道等出现破损或破裂时，应及时对其进行修补，避免污废水发生渗漏。</w:t>
      </w:r>
    </w:p>
    <w:p w14:paraId="408D4E73">
      <w:pPr>
        <w:snapToGrid w:val="0"/>
        <w:spacing w:line="360" w:lineRule="auto"/>
        <w:ind w:firstLine="482"/>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3、措施可行性</w:t>
      </w:r>
    </w:p>
    <w:p w14:paraId="2C722015">
      <w:pPr>
        <w:snapToGrid w:val="0"/>
        <w:spacing w:line="360" w:lineRule="auto"/>
        <w:ind w:right="25" w:rightChars="12"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经采取上述措施后，项目建设防渗措施及效果、跟踪监测计划等符合</w:t>
      </w:r>
      <w:r>
        <w:rPr>
          <w:rFonts w:hint="default" w:ascii="Times New Roman" w:hAnsi="Times New Roman" w:cs="Times New Roman"/>
          <w:color w:val="auto"/>
          <w:sz w:val="24"/>
          <w:highlight w:val="none"/>
        </w:rPr>
        <w:t>《环境影响评价技术导则 地下水环境》（HJ610-2016）要求，措施可行。</w:t>
      </w:r>
    </w:p>
    <w:p w14:paraId="040B8841">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Cs w:val="24"/>
          <w:highlight w:val="none"/>
        </w:rPr>
      </w:pPr>
      <w:bookmarkStart w:id="327" w:name="_Toc28078"/>
      <w:r>
        <w:rPr>
          <w:rStyle w:val="35"/>
          <w:rFonts w:hint="default" w:ascii="Times New Roman" w:hAnsi="Times New Roman" w:eastAsia="宋体" w:cs="Times New Roman"/>
          <w:color w:val="auto"/>
          <w:sz w:val="24"/>
          <w:szCs w:val="24"/>
          <w:highlight w:val="none"/>
        </w:rPr>
        <w:t>6.2.</w:t>
      </w:r>
      <w:r>
        <w:rPr>
          <w:rStyle w:val="35"/>
          <w:rFonts w:hint="default" w:ascii="Times New Roman" w:hAnsi="Times New Roman" w:eastAsia="宋体" w:cs="Times New Roman"/>
          <w:color w:val="auto"/>
          <w:sz w:val="24"/>
          <w:szCs w:val="24"/>
          <w:highlight w:val="none"/>
          <w:lang w:val="en-US" w:eastAsia="zh-CN"/>
        </w:rPr>
        <w:t>6</w:t>
      </w:r>
      <w:r>
        <w:rPr>
          <w:rStyle w:val="35"/>
          <w:rFonts w:hint="default" w:ascii="Times New Roman" w:hAnsi="Times New Roman" w:eastAsia="宋体" w:cs="Times New Roman"/>
          <w:color w:val="auto"/>
          <w:sz w:val="24"/>
          <w:szCs w:val="24"/>
          <w:highlight w:val="none"/>
        </w:rPr>
        <w:t>土壤污染防治措施</w:t>
      </w:r>
      <w:bookmarkEnd w:id="327"/>
    </w:p>
    <w:p w14:paraId="22180FF0">
      <w:pPr>
        <w:snapToGrid w:val="0"/>
        <w:spacing w:line="360" w:lineRule="auto"/>
        <w:ind w:right="25" w:rightChars="12"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①</w:t>
      </w:r>
      <w:r>
        <w:rPr>
          <w:rFonts w:hint="default" w:ascii="Times New Roman" w:hAnsi="Times New Roman" w:eastAsia="宋体" w:cs="Times New Roman"/>
          <w:bCs/>
          <w:color w:val="auto"/>
          <w:sz w:val="24"/>
          <w:highlight w:val="none"/>
        </w:rPr>
        <w:t>按照《环境影响评价技术导则 地下水环境》（HJ610-2016）要求设置分区防渗，防渗要求同地下水措施章节。</w:t>
      </w:r>
    </w:p>
    <w:p w14:paraId="670DFC74">
      <w:pPr>
        <w:snapToGrid w:val="0"/>
        <w:spacing w:line="360" w:lineRule="auto"/>
        <w:ind w:right="25" w:rightChars="12"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②</w:t>
      </w:r>
      <w:r>
        <w:rPr>
          <w:rFonts w:hint="default" w:ascii="Times New Roman" w:hAnsi="Times New Roman" w:eastAsia="宋体" w:cs="Times New Roman"/>
          <w:bCs/>
          <w:color w:val="auto"/>
          <w:sz w:val="24"/>
          <w:highlight w:val="none"/>
        </w:rPr>
        <w:t>项目建成运营后建立运营期土壤污染监控计划，要求在消纳区设置2个土壤跟踪监测点，每5年开展1次监测，及时掌握土壤环境质量状况，若发现土壤指标异常，应及时采取应急措施。</w:t>
      </w:r>
    </w:p>
    <w:p w14:paraId="5148CC9C">
      <w:pPr>
        <w:snapToGrid w:val="0"/>
        <w:spacing w:line="360" w:lineRule="auto"/>
        <w:ind w:right="25" w:rightChars="12"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项目采取从源头控制和扩散途径控制的措施，防止废水未经处理外排，场区分区防渗等措施后能够满足土壤污染防治要求，从经济技术上分析是合理可行的。</w:t>
      </w:r>
    </w:p>
    <w:p w14:paraId="21C0EC28">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lang w:val="en-US"/>
        </w:rPr>
      </w:pPr>
      <w:bookmarkStart w:id="328" w:name="_Toc7856"/>
      <w:r>
        <w:rPr>
          <w:rStyle w:val="35"/>
          <w:rFonts w:hint="default" w:ascii="Times New Roman" w:hAnsi="Times New Roman" w:eastAsia="宋体" w:cs="Times New Roman"/>
          <w:color w:val="auto"/>
          <w:sz w:val="24"/>
          <w:szCs w:val="24"/>
          <w:highlight w:val="none"/>
          <w:lang w:val="en-US"/>
        </w:rPr>
        <w:t>6.2.7环境风险防范措施</w:t>
      </w:r>
      <w:bookmarkEnd w:id="328"/>
    </w:p>
    <w:p w14:paraId="2DA6EC14">
      <w:pPr>
        <w:pStyle w:val="51"/>
        <w:rPr>
          <w:rFonts w:hint="default" w:ascii="Times New Roman" w:hAnsi="Times New Roman" w:cs="Times New Roman"/>
          <w:bCs/>
          <w:color w:val="auto"/>
          <w:highlight w:val="none"/>
          <w:lang w:val="en-US" w:eastAsia="zh-CN"/>
        </w:rPr>
      </w:pPr>
      <w:r>
        <w:rPr>
          <w:rFonts w:hint="default" w:ascii="Times New Roman" w:hAnsi="Times New Roman" w:cs="Times New Roman"/>
          <w:b/>
          <w:bCs w:val="0"/>
          <w:color w:val="auto"/>
          <w:highlight w:val="none"/>
          <w:lang w:val="en-US" w:eastAsia="zh-CN"/>
        </w:rPr>
        <w:t>1、废气非正常防范措施</w:t>
      </w:r>
    </w:p>
    <w:p w14:paraId="24EC0B1B">
      <w:pPr>
        <w:pStyle w:val="51"/>
        <w:rPr>
          <w:rFonts w:hint="default" w:ascii="Times New Roman" w:hAnsi="Times New Roman" w:cs="Times New Roman"/>
          <w:bCs/>
          <w:color w:val="auto"/>
          <w:highlight w:val="none"/>
          <w:lang w:val="en-US" w:eastAsia="zh-CN"/>
        </w:rPr>
      </w:pPr>
      <w:r>
        <w:rPr>
          <w:rFonts w:hint="default" w:ascii="Times New Roman" w:hAnsi="Times New Roman" w:cs="Times New Roman"/>
          <w:bCs/>
          <w:color w:val="auto"/>
          <w:sz w:val="24"/>
          <w:highlight w:val="none"/>
          <w:lang w:eastAsia="zh-CN"/>
        </w:rPr>
        <w:t>设立专人负责除臭剂喷洒，加强管理，建立台账，非正常情况下应立即组织人员进行补充生物除臭剂喷洒，并加大喷洒频次和密度，喷洒效果以无明显恶臭气味为准。确保恶臭治理有效，避免对附近居住区的人群健康危害。</w:t>
      </w:r>
    </w:p>
    <w:p w14:paraId="4BAF66A7">
      <w:pPr>
        <w:widowControl/>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rPr>
        <w:t>、</w:t>
      </w:r>
      <w:r>
        <w:rPr>
          <w:rFonts w:hint="default" w:ascii="Times New Roman" w:hAnsi="Times New Roman" w:cs="Times New Roman"/>
          <w:b/>
          <w:bCs/>
          <w:color w:val="auto"/>
          <w:sz w:val="24"/>
          <w:highlight w:val="none"/>
        </w:rPr>
        <w:t>废机油、柴油泄漏事故的防范措施</w:t>
      </w:r>
    </w:p>
    <w:p w14:paraId="4AC0B943">
      <w:pPr>
        <w:pStyle w:val="51"/>
        <w:rPr>
          <w:rFonts w:hint="default" w:ascii="Times New Roman" w:hAnsi="Times New Roman" w:cs="Times New Roman"/>
          <w:color w:val="auto"/>
          <w:highlight w:val="none"/>
        </w:rPr>
      </w:pPr>
      <w:r>
        <w:rPr>
          <w:rFonts w:hint="default" w:ascii="Times New Roman" w:hAnsi="Times New Roman" w:cs="Times New Roman"/>
          <w:color w:val="auto"/>
          <w:highlight w:val="none"/>
        </w:rPr>
        <w:t>①废机油采用密闭容器收集，更换后及时暂存至危废暂存间，并设置托盘；</w:t>
      </w:r>
    </w:p>
    <w:p w14:paraId="6591556D">
      <w:pPr>
        <w:pStyle w:val="51"/>
        <w:rPr>
          <w:rFonts w:hint="default" w:ascii="Times New Roman" w:hAnsi="Times New Roman" w:cs="Times New Roman"/>
          <w:bCs/>
          <w:color w:val="auto"/>
          <w:highlight w:val="none"/>
          <w:lang w:val="en-US"/>
        </w:rPr>
      </w:pPr>
      <w:r>
        <w:rPr>
          <w:rFonts w:hint="default" w:ascii="Times New Roman" w:hAnsi="Times New Roman" w:cs="Times New Roman"/>
          <w:color w:val="auto"/>
          <w:highlight w:val="none"/>
        </w:rPr>
        <w:t>②危废暂存间按照重点防渗要求建设，</w:t>
      </w:r>
      <w:r>
        <w:rPr>
          <w:rFonts w:hint="default" w:ascii="Times New Roman" w:hAnsi="Times New Roman" w:cs="Times New Roman"/>
          <w:bCs/>
          <w:color w:val="auto"/>
          <w:highlight w:val="none"/>
          <w:lang w:val="en-US"/>
        </w:rPr>
        <w:t>确保渗透系数K≤1×10</w:t>
      </w:r>
      <w:r>
        <w:rPr>
          <w:rFonts w:hint="default" w:ascii="Times New Roman" w:hAnsi="Times New Roman" w:cs="Times New Roman"/>
          <w:bCs/>
          <w:color w:val="auto"/>
          <w:highlight w:val="none"/>
          <w:vertAlign w:val="superscript"/>
          <w:lang w:val="en-US"/>
        </w:rPr>
        <w:t>-10</w:t>
      </w:r>
      <w:r>
        <w:rPr>
          <w:rFonts w:hint="default" w:ascii="Times New Roman" w:hAnsi="Times New Roman" w:cs="Times New Roman"/>
          <w:bCs/>
          <w:color w:val="auto"/>
          <w:highlight w:val="none"/>
          <w:lang w:val="en-US"/>
        </w:rPr>
        <w:t>cm/s，设置禁火标识牌等，严格禁火制度；</w:t>
      </w:r>
    </w:p>
    <w:p w14:paraId="56712AC7">
      <w:pPr>
        <w:pStyle w:val="51"/>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③加强对废机油收集容积的检查，出现跑冒滴漏等情况立即开展调查及处理。</w:t>
      </w:r>
    </w:p>
    <w:p w14:paraId="51B80F1B">
      <w:pPr>
        <w:pStyle w:val="51"/>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④采用合格的备用发电机，</w:t>
      </w:r>
      <w:r>
        <w:rPr>
          <w:rFonts w:hint="default" w:ascii="Times New Roman" w:hAnsi="Times New Roman" w:cs="Times New Roman"/>
          <w:bCs/>
          <w:color w:val="auto"/>
          <w:szCs w:val="21"/>
          <w:highlight w:val="none"/>
          <w:lang w:eastAsia="zh-CN"/>
        </w:rPr>
        <w:t>油箱下方设置托盘，</w:t>
      </w:r>
      <w:r>
        <w:rPr>
          <w:rFonts w:hint="default" w:ascii="Times New Roman" w:hAnsi="Times New Roman" w:cs="Times New Roman"/>
          <w:bCs/>
          <w:color w:val="auto"/>
          <w:szCs w:val="21"/>
          <w:highlight w:val="none"/>
        </w:rPr>
        <w:t>定期进行设备检查，</w:t>
      </w:r>
      <w:r>
        <w:rPr>
          <w:rFonts w:hint="default" w:ascii="Times New Roman" w:hAnsi="Times New Roman" w:cs="Times New Roman"/>
          <w:bCs/>
          <w:color w:val="auto"/>
          <w:szCs w:val="21"/>
          <w:highlight w:val="none"/>
          <w:lang w:eastAsia="zh-CN"/>
        </w:rPr>
        <w:t>避免设备</w:t>
      </w:r>
      <w:r>
        <w:rPr>
          <w:rFonts w:hint="default" w:ascii="Times New Roman" w:hAnsi="Times New Roman" w:cs="Times New Roman"/>
          <w:bCs/>
          <w:color w:val="auto"/>
          <w:szCs w:val="21"/>
          <w:highlight w:val="none"/>
        </w:rPr>
        <w:t>油箱漏油</w:t>
      </w:r>
      <w:r>
        <w:rPr>
          <w:rFonts w:hint="default" w:ascii="Times New Roman" w:hAnsi="Times New Roman" w:cs="Times New Roman"/>
          <w:bCs/>
          <w:color w:val="auto"/>
          <w:szCs w:val="21"/>
          <w:highlight w:val="none"/>
          <w:lang w:eastAsia="zh-CN"/>
        </w:rPr>
        <w:t>外溢</w:t>
      </w:r>
      <w:r>
        <w:rPr>
          <w:rFonts w:hint="default" w:ascii="Times New Roman" w:hAnsi="Times New Roman" w:cs="Times New Roman"/>
          <w:bCs/>
          <w:color w:val="auto"/>
          <w:szCs w:val="21"/>
          <w:highlight w:val="none"/>
        </w:rPr>
        <w:t>。</w:t>
      </w:r>
    </w:p>
    <w:p w14:paraId="49045B7E">
      <w:pPr>
        <w:widowControl/>
        <w:snapToGrid w:val="0"/>
        <w:spacing w:line="360" w:lineRule="auto"/>
        <w:ind w:firstLine="482" w:firstLineChars="200"/>
        <w:rPr>
          <w:rFonts w:hint="default" w:ascii="Times New Roman" w:hAnsi="Times New Roman" w:eastAsia="宋体" w:cs="Times New Roman"/>
          <w:b/>
          <w:color w:val="auto"/>
          <w:sz w:val="24"/>
          <w:highlight w:val="none"/>
          <w:lang w:val="en-US" w:eastAsia="zh-CN"/>
        </w:rPr>
      </w:pPr>
      <w:bookmarkStart w:id="329" w:name="_Toc29926"/>
      <w:r>
        <w:rPr>
          <w:rFonts w:hint="default" w:ascii="Times New Roman" w:hAnsi="Times New Roman" w:eastAsia="宋体" w:cs="Times New Roman"/>
          <w:b/>
          <w:color w:val="auto"/>
          <w:sz w:val="24"/>
          <w:highlight w:val="none"/>
          <w:lang w:val="en-US" w:eastAsia="zh-CN"/>
        </w:rPr>
        <w:t>3、地下水环境风险防范措施</w:t>
      </w:r>
    </w:p>
    <w:p w14:paraId="64469BEC">
      <w:pPr>
        <w:pStyle w:val="51"/>
        <w:spacing w:line="360" w:lineRule="auto"/>
        <w:ind w:firstLine="480"/>
        <w:textAlignment w:val="auto"/>
        <w:rPr>
          <w:rFonts w:hint="default" w:ascii="Times New Roman" w:hAnsi="Times New Roman" w:eastAsia="宋体" w:cs="Times New Roman"/>
          <w:bCs/>
          <w:color w:val="auto"/>
          <w:kern w:val="2"/>
          <w:szCs w:val="24"/>
          <w:lang w:val="zh-CN"/>
        </w:rPr>
      </w:pPr>
      <w:r>
        <w:rPr>
          <w:rFonts w:hint="default" w:ascii="Times New Roman" w:hAnsi="Times New Roman" w:eastAsia="宋体" w:cs="Times New Roman"/>
          <w:bCs/>
          <w:color w:val="auto"/>
          <w:kern w:val="2"/>
          <w:szCs w:val="24"/>
          <w:lang w:val="en-US" w:eastAsia="zh-CN"/>
        </w:rPr>
        <w:t>①</w:t>
      </w:r>
      <w:r>
        <w:rPr>
          <w:rFonts w:hint="default" w:ascii="Times New Roman" w:hAnsi="Times New Roman" w:eastAsia="宋体" w:cs="Times New Roman"/>
          <w:bCs/>
          <w:color w:val="auto"/>
          <w:kern w:val="2"/>
          <w:szCs w:val="24"/>
          <w:lang w:val="zh-CN"/>
        </w:rPr>
        <w:t>按《危废废物贮存污染控制标准》（GB18597-2023）及《环境影响评价技术导则  地下水环境》（HJ610-2016）中的要求进行分区防渗。</w:t>
      </w:r>
    </w:p>
    <w:p w14:paraId="3E559B04">
      <w:pPr>
        <w:pStyle w:val="51"/>
        <w:spacing w:line="360" w:lineRule="auto"/>
        <w:ind w:firstLine="480"/>
        <w:textAlignment w:val="auto"/>
        <w:rPr>
          <w:rFonts w:hint="default" w:ascii="Times New Roman" w:hAnsi="Times New Roman" w:eastAsia="宋体" w:cs="Times New Roman"/>
          <w:bCs/>
          <w:color w:val="auto"/>
          <w:kern w:val="2"/>
          <w:szCs w:val="24"/>
          <w:lang w:val="zh-CN"/>
        </w:rPr>
      </w:pPr>
      <w:r>
        <w:rPr>
          <w:rFonts w:hint="default" w:ascii="Times New Roman" w:hAnsi="Times New Roman" w:eastAsia="宋体" w:cs="Times New Roman"/>
          <w:bCs/>
          <w:color w:val="auto"/>
          <w:kern w:val="2"/>
          <w:szCs w:val="24"/>
          <w:lang w:val="en-US" w:eastAsia="zh-CN"/>
        </w:rPr>
        <w:t>②</w:t>
      </w:r>
      <w:r>
        <w:rPr>
          <w:rFonts w:hint="default" w:ascii="Times New Roman" w:hAnsi="Times New Roman" w:eastAsia="宋体" w:cs="Times New Roman"/>
          <w:bCs/>
          <w:color w:val="auto"/>
          <w:kern w:val="2"/>
          <w:szCs w:val="24"/>
          <w:lang w:val="zh-CN"/>
        </w:rPr>
        <w:t>建立地下水环境监测系统，在</w:t>
      </w:r>
      <w:r>
        <w:rPr>
          <w:rFonts w:hint="default" w:ascii="Times New Roman" w:hAnsi="Times New Roman" w:eastAsia="宋体" w:cs="Times New Roman"/>
          <w:bCs/>
          <w:color w:val="auto"/>
          <w:kern w:val="2"/>
          <w:szCs w:val="24"/>
          <w:lang w:val="zh-CN" w:eastAsia="zh-CN"/>
        </w:rPr>
        <w:t>废水收集池</w:t>
      </w:r>
      <w:r>
        <w:rPr>
          <w:rFonts w:hint="default" w:ascii="Times New Roman" w:hAnsi="Times New Roman" w:eastAsia="宋体" w:cs="Times New Roman"/>
          <w:bCs/>
          <w:color w:val="auto"/>
          <w:kern w:val="2"/>
          <w:szCs w:val="24"/>
          <w:lang w:val="zh-CN"/>
        </w:rPr>
        <w:t>下游</w:t>
      </w:r>
      <w:r>
        <w:rPr>
          <w:rFonts w:hint="eastAsia" w:cs="Times New Roman"/>
          <w:bCs/>
          <w:color w:val="auto"/>
          <w:kern w:val="2"/>
          <w:szCs w:val="24"/>
          <w:lang w:val="en-US" w:eastAsia="zh-CN"/>
        </w:rPr>
        <w:t>25</w:t>
      </w:r>
      <w:r>
        <w:rPr>
          <w:rFonts w:hint="default" w:ascii="Times New Roman" w:hAnsi="Times New Roman" w:eastAsia="宋体" w:cs="Times New Roman"/>
          <w:bCs/>
          <w:color w:val="auto"/>
          <w:kern w:val="2"/>
          <w:szCs w:val="24"/>
          <w:lang w:val="zh-CN"/>
        </w:rPr>
        <w:t>m范围内设置1个跟踪监测井。</w:t>
      </w:r>
    </w:p>
    <w:p w14:paraId="49B7F6D2">
      <w:pPr>
        <w:pStyle w:val="51"/>
        <w:spacing w:line="360" w:lineRule="auto"/>
        <w:ind w:firstLine="480"/>
        <w:textAlignment w:val="auto"/>
        <w:rPr>
          <w:rFonts w:hint="default" w:ascii="Times New Roman" w:hAnsi="Times New Roman" w:eastAsia="宋体" w:cs="Times New Roman"/>
          <w:bCs/>
          <w:color w:val="auto"/>
          <w:kern w:val="2"/>
          <w:szCs w:val="24"/>
          <w:lang w:val="en-US"/>
        </w:rPr>
      </w:pPr>
      <w:r>
        <w:rPr>
          <w:rFonts w:hint="default" w:ascii="Times New Roman" w:hAnsi="Times New Roman" w:eastAsia="宋体" w:cs="Times New Roman"/>
          <w:bCs/>
          <w:color w:val="auto"/>
          <w:kern w:val="2"/>
          <w:szCs w:val="24"/>
          <w:lang w:val="en-US" w:eastAsia="zh-CN"/>
        </w:rPr>
        <w:t>③</w:t>
      </w:r>
      <w:r>
        <w:rPr>
          <w:rFonts w:hint="default" w:ascii="Times New Roman" w:hAnsi="Times New Roman" w:eastAsia="宋体" w:cs="Times New Roman"/>
          <w:bCs/>
          <w:color w:val="auto"/>
          <w:kern w:val="2"/>
          <w:szCs w:val="24"/>
          <w:lang w:val="zh-CN"/>
        </w:rPr>
        <w:t>制定地下水污染应急响应预案</w:t>
      </w:r>
      <w:r>
        <w:rPr>
          <w:rFonts w:hint="default" w:ascii="Times New Roman" w:hAnsi="Times New Roman" w:eastAsia="宋体" w:cs="Times New Roman"/>
          <w:bCs/>
          <w:color w:val="auto"/>
          <w:kern w:val="2"/>
          <w:szCs w:val="24"/>
          <w:lang w:val="en-US"/>
        </w:rPr>
        <w:t>。</w:t>
      </w:r>
    </w:p>
    <w:p w14:paraId="6B5101B2">
      <w:pPr>
        <w:pStyle w:val="21"/>
        <w:spacing w:line="360" w:lineRule="auto"/>
        <w:ind w:firstLine="482" w:firstLineChars="200"/>
        <w:rPr>
          <w:rFonts w:hint="default" w:ascii="Times New Roman" w:hAnsi="Times New Roman" w:cs="Times New Roman"/>
          <w:color w:val="auto"/>
          <w:sz w:val="24"/>
          <w:szCs w:val="24"/>
        </w:rPr>
      </w:pPr>
      <w:bookmarkStart w:id="330" w:name="_Toc4111"/>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应急要求</w:t>
      </w:r>
      <w:bookmarkEnd w:id="330"/>
    </w:p>
    <w:p w14:paraId="6EEFE5F3">
      <w:pPr>
        <w:pStyle w:val="51"/>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针对本项目可能发生的突发事故，为了将风险事故率降低到最小，建设单位应严格按照《企业突发环境事件风险分级方法》(HJ941-2018)、《企业突发环境事件应急预案编制指南》和《企业突发环境事件风险评估指南（试行）》开展应急预案的编制工作，包括环境风险评估报告、环境应急资源调查报告和突发环境事件应急预案三个报告，并报红河州生态环境局弥勒分局备案。</w:t>
      </w:r>
    </w:p>
    <w:p w14:paraId="2EC53F5D">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2、措施可行性</w:t>
      </w:r>
    </w:p>
    <w:p w14:paraId="3AD2809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风险措施按照预防、控制、处理的要求进行设置，对项目区存在的风险源针对性的进行防控，可以有效避免突发环境事件的发生以及突发环境事件发生时从容有序的处理，措施可行。</w:t>
      </w:r>
    </w:p>
    <w:p w14:paraId="4D592986">
      <w:pPr>
        <w:pStyle w:val="3"/>
        <w:tabs>
          <w:tab w:val="left" w:pos="420"/>
        </w:tabs>
        <w:spacing w:before="0" w:after="0"/>
        <w:rPr>
          <w:rStyle w:val="34"/>
          <w:rFonts w:hint="default" w:ascii="Times New Roman" w:hAnsi="Times New Roman" w:cs="Times New Roman"/>
          <w:b w:val="0"/>
          <w:bCs w:val="0"/>
          <w:color w:val="auto"/>
          <w:sz w:val="24"/>
          <w:highlight w:val="none"/>
        </w:rPr>
      </w:pPr>
      <w:bookmarkStart w:id="331" w:name="_Toc5176"/>
      <w:bookmarkStart w:id="332" w:name="_Toc2036"/>
      <w:bookmarkStart w:id="333" w:name="_Toc32712"/>
      <w:r>
        <w:rPr>
          <w:rStyle w:val="34"/>
          <w:rFonts w:hint="default" w:ascii="Times New Roman" w:hAnsi="Times New Roman" w:cs="Times New Roman"/>
          <w:b w:val="0"/>
          <w:bCs w:val="0"/>
          <w:color w:val="auto"/>
          <w:sz w:val="24"/>
          <w:highlight w:val="none"/>
        </w:rPr>
        <w:t>6.3污染物防治措施汇总</w:t>
      </w:r>
      <w:bookmarkEnd w:id="329"/>
      <w:bookmarkEnd w:id="331"/>
      <w:bookmarkEnd w:id="332"/>
      <w:bookmarkEnd w:id="333"/>
    </w:p>
    <w:p w14:paraId="2230E6B5">
      <w:pPr>
        <w:pStyle w:val="43"/>
        <w:snapToGrid w:val="0"/>
        <w:rPr>
          <w:rFonts w:hint="default" w:ascii="Times New Roman" w:hAnsi="Times New Roman" w:cs="Times New Roman"/>
          <w:bCs/>
          <w:color w:val="auto"/>
          <w:highlight w:val="none"/>
        </w:rPr>
      </w:pPr>
      <w:r>
        <w:rPr>
          <w:rFonts w:hint="default" w:ascii="Times New Roman" w:hAnsi="Times New Roman" w:cs="Times New Roman"/>
          <w:color w:val="auto"/>
          <w:highlight w:val="none"/>
        </w:rPr>
        <w:t>项目污染物防治措施汇总详见表6.3-1。</w:t>
      </w:r>
    </w:p>
    <w:p w14:paraId="4BA3FB21">
      <w:pPr>
        <w:pStyle w:val="3"/>
        <w:tabs>
          <w:tab w:val="left" w:pos="420"/>
        </w:tabs>
        <w:spacing w:before="0" w:after="0"/>
        <w:rPr>
          <w:rStyle w:val="34"/>
          <w:rFonts w:hint="default" w:ascii="Times New Roman" w:hAnsi="Times New Roman" w:cs="Times New Roman"/>
          <w:b/>
          <w:bCs/>
          <w:color w:val="auto"/>
          <w:sz w:val="24"/>
          <w:highlight w:val="none"/>
        </w:rPr>
        <w:sectPr>
          <w:pgSz w:w="11907" w:h="16840"/>
          <w:pgMar w:top="1531" w:right="1797" w:bottom="1440"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4F3A6B7">
      <w:pPr>
        <w:tabs>
          <w:tab w:val="left" w:pos="611"/>
        </w:tabs>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表6.3-1   污染防治措施一览表</w:t>
      </w:r>
    </w:p>
    <w:tbl>
      <w:tblPr>
        <w:tblStyle w:val="23"/>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062"/>
        <w:gridCol w:w="6772"/>
      </w:tblGrid>
      <w:tr w14:paraId="2D69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Align w:val="center"/>
          </w:tcPr>
          <w:p w14:paraId="6B3CB75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时段</w:t>
            </w:r>
          </w:p>
        </w:tc>
        <w:tc>
          <w:tcPr>
            <w:tcW w:w="1062" w:type="dxa"/>
            <w:vAlign w:val="center"/>
          </w:tcPr>
          <w:p w14:paraId="27A4C91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污染类型</w:t>
            </w:r>
          </w:p>
        </w:tc>
        <w:tc>
          <w:tcPr>
            <w:tcW w:w="6772" w:type="dxa"/>
            <w:vAlign w:val="center"/>
          </w:tcPr>
          <w:p w14:paraId="03842BFC">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污染防治措施</w:t>
            </w:r>
          </w:p>
        </w:tc>
      </w:tr>
      <w:tr w14:paraId="0491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restart"/>
            <w:vAlign w:val="center"/>
          </w:tcPr>
          <w:p w14:paraId="4CC2028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w:t>
            </w:r>
          </w:p>
        </w:tc>
        <w:tc>
          <w:tcPr>
            <w:tcW w:w="1062" w:type="dxa"/>
            <w:vAlign w:val="center"/>
          </w:tcPr>
          <w:p w14:paraId="2ED2283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6772" w:type="dxa"/>
            <w:vAlign w:val="center"/>
          </w:tcPr>
          <w:p w14:paraId="5231E46E">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（1）开挖土石方、建筑垃圾和材料等物料统一收集和存放，采取篷布覆盖。</w:t>
            </w:r>
          </w:p>
          <w:p w14:paraId="43C12C2F">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（2）对开挖等作业面进行洒水降尘。</w:t>
            </w:r>
          </w:p>
          <w:p w14:paraId="00FF09C7">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（3）装运建筑材料及建筑垃圾的车辆采用篷布覆盖。</w:t>
            </w:r>
          </w:p>
        </w:tc>
      </w:tr>
      <w:tr w14:paraId="718C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vAlign w:val="center"/>
          </w:tcPr>
          <w:p w14:paraId="7B306A1A">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062" w:type="dxa"/>
            <w:vAlign w:val="center"/>
          </w:tcPr>
          <w:p w14:paraId="400C5D9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6772" w:type="dxa"/>
            <w:vAlign w:val="center"/>
          </w:tcPr>
          <w:p w14:paraId="4D536929">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（1）施工场地设置旱厕，</w:t>
            </w:r>
            <w:r>
              <w:rPr>
                <w:rFonts w:hint="default" w:ascii="Times New Roman" w:hAnsi="Times New Roman" w:eastAsia="宋体" w:cs="Times New Roman"/>
                <w:bCs/>
                <w:color w:val="auto"/>
                <w:sz w:val="21"/>
                <w:szCs w:val="21"/>
                <w:highlight w:val="none"/>
              </w:rPr>
              <w:t>施工人员生活污水在施工场地内设置临时沉淀池（1座，规模</w:t>
            </w:r>
            <w:r>
              <w:rPr>
                <w:rFonts w:hint="default"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），与施工废水一起经临时沉淀池收集处理后，回用于洒水降尘，施工生活污水不外排。</w:t>
            </w:r>
          </w:p>
          <w:p w14:paraId="214DA48F">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项目施工场区内设置截排水沟及临时沉砂池</w:t>
            </w:r>
            <w:r>
              <w:rPr>
                <w:rFonts w:hint="default" w:ascii="Times New Roman" w:hAnsi="Times New Roman" w:eastAsia="宋体"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rPr>
              <w:t>座，容积为</w:t>
            </w: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，雨天地表径流经截排水沟收集后，排入临时沉砂池沉淀处理后，部分回用于施工期洒水降尘，剩余部分排入周边雨水沟渠内</w:t>
            </w:r>
            <w:r>
              <w:rPr>
                <w:rFonts w:hint="default" w:ascii="Times New Roman" w:hAnsi="Times New Roman" w:eastAsia="宋体" w:cs="Times New Roman"/>
                <w:bCs/>
                <w:color w:val="auto"/>
                <w:sz w:val="21"/>
                <w:szCs w:val="21"/>
                <w:highlight w:val="none"/>
                <w:lang w:eastAsia="zh-CN"/>
              </w:rPr>
              <w:t>。</w:t>
            </w:r>
          </w:p>
        </w:tc>
      </w:tr>
      <w:tr w14:paraId="4C65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vAlign w:val="center"/>
          </w:tcPr>
          <w:p w14:paraId="68005E33">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062" w:type="dxa"/>
            <w:vAlign w:val="center"/>
          </w:tcPr>
          <w:p w14:paraId="4EC666DF">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6772" w:type="dxa"/>
            <w:vAlign w:val="center"/>
          </w:tcPr>
          <w:p w14:paraId="01F66B03">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①施工期间必须严格按《建筑施工场界环境噪声排放标准》（GB12523-2011）进行施工噪声的控制，以减少工程建设施工对周边环境造成影响。</w:t>
            </w:r>
          </w:p>
          <w:p w14:paraId="732DD823">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②禁止夜间施工。</w:t>
            </w:r>
          </w:p>
          <w:p w14:paraId="56D30136">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③禁止使用高噪声设备，应尽量选择低噪声设备。</w:t>
            </w:r>
          </w:p>
          <w:p w14:paraId="6F835DBB">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④施工期运输车辆应尽量保持良好车况，合理调度。</w:t>
            </w:r>
          </w:p>
          <w:p w14:paraId="4B1AC79D">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⑤考虑到建筑材料运输时车辆噪声可能影响到附近居民，在运输车辆途经村庄时应减速慢行，减少鸣笛；物料进场要安排在白天进行，避免夜间进场影响居民休息。</w:t>
            </w:r>
          </w:p>
        </w:tc>
      </w:tr>
      <w:tr w14:paraId="7627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vAlign w:val="center"/>
          </w:tcPr>
          <w:p w14:paraId="20735676">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062" w:type="dxa"/>
            <w:vAlign w:val="center"/>
          </w:tcPr>
          <w:p w14:paraId="10123773">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6772" w:type="dxa"/>
            <w:vAlign w:val="center"/>
          </w:tcPr>
          <w:p w14:paraId="6E17AE33">
            <w:pPr>
              <w:keepNext w:val="0"/>
              <w:keepLines w:val="0"/>
              <w:suppressLineNumbers w:val="0"/>
              <w:tabs>
                <w:tab w:val="left" w:pos="611"/>
              </w:tabs>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（1）项目开挖产生的土石方全部回填，无弃渣产生。</w:t>
            </w:r>
          </w:p>
          <w:p w14:paraId="4CF4CE90">
            <w:pPr>
              <w:keepNext w:val="0"/>
              <w:keepLines w:val="0"/>
              <w:suppressLineNumbers w:val="0"/>
              <w:tabs>
                <w:tab w:val="left" w:pos="611"/>
              </w:tabs>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（2）建筑垃圾按照住建部门要求处置。</w:t>
            </w:r>
          </w:p>
          <w:p w14:paraId="5D7AEE01">
            <w:pPr>
              <w:keepNext w:val="0"/>
              <w:keepLines w:val="0"/>
              <w:suppressLineNumbers w:val="0"/>
              <w:tabs>
                <w:tab w:val="left" w:pos="611"/>
              </w:tabs>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（3）生活垃圾清运至</w:t>
            </w:r>
            <w:r>
              <w:rPr>
                <w:rFonts w:hint="default" w:ascii="Times New Roman" w:hAnsi="Times New Roman" w:cs="Times New Roman"/>
                <w:color w:val="auto"/>
                <w:sz w:val="21"/>
                <w:szCs w:val="21"/>
                <w:highlight w:val="none"/>
                <w:lang w:eastAsia="zh-CN"/>
              </w:rPr>
              <w:t>猴街村</w:t>
            </w:r>
            <w:r>
              <w:rPr>
                <w:rFonts w:hint="default" w:ascii="Times New Roman" w:hAnsi="Times New Roman" w:cs="Times New Roman"/>
                <w:color w:val="auto"/>
                <w:sz w:val="21"/>
                <w:szCs w:val="21"/>
                <w:highlight w:val="none"/>
              </w:rPr>
              <w:t>垃圾收集点统一处置</w:t>
            </w:r>
            <w:r>
              <w:rPr>
                <w:rFonts w:hint="default" w:ascii="Times New Roman" w:hAnsi="Times New Roman" w:cs="Times New Roman"/>
                <w:bCs/>
                <w:color w:val="auto"/>
                <w:sz w:val="21"/>
                <w:szCs w:val="21"/>
                <w:highlight w:val="none"/>
              </w:rPr>
              <w:t>。</w:t>
            </w:r>
          </w:p>
        </w:tc>
      </w:tr>
      <w:tr w14:paraId="607D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vAlign w:val="center"/>
          </w:tcPr>
          <w:p w14:paraId="30AE71D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062" w:type="dxa"/>
            <w:vAlign w:val="center"/>
          </w:tcPr>
          <w:p w14:paraId="26B2638C">
            <w:pPr>
              <w:keepNext w:val="0"/>
              <w:keepLines w:val="0"/>
              <w:suppressLineNumbers w:val="0"/>
              <w:tabs>
                <w:tab w:val="left" w:pos="611"/>
              </w:tabs>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生态</w:t>
            </w:r>
          </w:p>
        </w:tc>
        <w:tc>
          <w:tcPr>
            <w:tcW w:w="6772" w:type="dxa"/>
            <w:vAlign w:val="center"/>
          </w:tcPr>
          <w:p w14:paraId="36C009FA">
            <w:pPr>
              <w:keepNext w:val="0"/>
              <w:keepLines w:val="0"/>
              <w:suppressLineNumbers w:val="0"/>
              <w:tabs>
                <w:tab w:val="left" w:pos="611"/>
              </w:tabs>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在场地设置截排水沟和</w:t>
            </w:r>
            <w:r>
              <w:rPr>
                <w:rFonts w:hint="default" w:ascii="Times New Roman" w:hAnsi="Times New Roman" w:eastAsia="宋体" w:cs="Times New Roman"/>
                <w:color w:val="auto"/>
                <w:sz w:val="21"/>
                <w:szCs w:val="21"/>
                <w:highlight w:val="none"/>
                <w:lang w:eastAsia="zh-CN"/>
              </w:rPr>
              <w:t>沉砂池</w:t>
            </w:r>
            <w:r>
              <w:rPr>
                <w:rFonts w:hint="default" w:ascii="Times New Roman" w:hAnsi="Times New Roman" w:eastAsia="宋体" w:cs="Times New Roman"/>
                <w:color w:val="auto"/>
                <w:sz w:val="21"/>
                <w:szCs w:val="21"/>
                <w:highlight w:val="none"/>
              </w:rPr>
              <w:t>降低场地的水土流失</w:t>
            </w:r>
            <w:r>
              <w:rPr>
                <w:rFonts w:hint="default" w:ascii="Times New Roman" w:hAnsi="Times New Roman" w:eastAsia="宋体" w:cs="Times New Roman"/>
                <w:color w:val="auto"/>
                <w:sz w:val="21"/>
                <w:szCs w:val="21"/>
                <w:highlight w:val="none"/>
                <w:lang w:eastAsia="zh-CN"/>
              </w:rPr>
              <w:t>。</w:t>
            </w:r>
          </w:p>
          <w:p w14:paraId="0FEE5CEF">
            <w:pPr>
              <w:keepNext w:val="0"/>
              <w:keepLines w:val="0"/>
              <w:suppressLineNumbers w:val="0"/>
              <w:tabs>
                <w:tab w:val="left" w:pos="611"/>
              </w:tabs>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）严格控制建设区建设施工范围，需临时堆置的建筑生产材料及设备需置于场内，尽量减少开采对周边区域的扰动和占压，避免造成环境的破坏。</w:t>
            </w:r>
          </w:p>
          <w:p w14:paraId="11478C66">
            <w:pPr>
              <w:keepNext w:val="0"/>
              <w:keepLines w:val="0"/>
              <w:suppressLineNumbers w:val="0"/>
              <w:tabs>
                <w:tab w:val="left" w:pos="611"/>
              </w:tabs>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）建设过程中若对影响区内植被造成破坏、损毁，应及时设计恢复植物措施，恢复破坏区地表植被，改善其水土保持功能。</w:t>
            </w:r>
          </w:p>
          <w:p w14:paraId="41741B1E">
            <w:pPr>
              <w:keepNext w:val="0"/>
              <w:keepLines w:val="0"/>
              <w:suppressLineNumbers w:val="0"/>
              <w:tabs>
                <w:tab w:val="left" w:pos="611"/>
              </w:tabs>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）加强施工人员的各类卫生管理，避免生活污水的直接排放，减少水体污染，最大限度保护动物生境。</w:t>
            </w:r>
          </w:p>
          <w:p w14:paraId="6632C34C">
            <w:pPr>
              <w:keepNext w:val="0"/>
              <w:keepLines w:val="0"/>
              <w:suppressLineNumbers w:val="0"/>
              <w:tabs>
                <w:tab w:val="left" w:pos="611"/>
              </w:tabs>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）避开雨季施工，并及时对地面进行夯实或硬化处理。</w:t>
            </w:r>
          </w:p>
        </w:tc>
      </w:tr>
      <w:tr w14:paraId="4059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restart"/>
            <w:vAlign w:val="center"/>
          </w:tcPr>
          <w:p w14:paraId="6D93F037">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w:t>
            </w:r>
          </w:p>
        </w:tc>
        <w:tc>
          <w:tcPr>
            <w:tcW w:w="1062" w:type="dxa"/>
            <w:vAlign w:val="center"/>
          </w:tcPr>
          <w:p w14:paraId="77657EF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6772" w:type="dxa"/>
            <w:vAlign w:val="center"/>
          </w:tcPr>
          <w:p w14:paraId="1BBE8E69">
            <w:pPr>
              <w:keepNext w:val="0"/>
              <w:keepLines w:val="0"/>
              <w:suppressLineNumbers w:val="0"/>
              <w:tabs>
                <w:tab w:val="left" w:pos="611"/>
              </w:tabs>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①猪舍恶臭：采用合理设计日粮（添加益生菌和EM活菌剂）以及喷洒微生物除臭剂，猪舍加强通风、以及猪舍周边种植绿化树等措施进行除臭。</w:t>
            </w:r>
          </w:p>
          <w:p w14:paraId="6E3BC5A0">
            <w:pPr>
              <w:keepNext w:val="0"/>
              <w:keepLines w:val="0"/>
              <w:suppressLineNumbers w:val="0"/>
              <w:tabs>
                <w:tab w:val="left" w:pos="611"/>
              </w:tabs>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②废水收集池</w:t>
            </w:r>
            <w:r>
              <w:rPr>
                <w:rFonts w:hint="default" w:ascii="Times New Roman" w:hAnsi="Times New Roman" w:eastAsia="宋体" w:cs="Times New Roman"/>
                <w:color w:val="auto"/>
                <w:sz w:val="21"/>
                <w:szCs w:val="21"/>
                <w:highlight w:val="none"/>
                <w:lang w:eastAsia="zh-CN"/>
              </w:rPr>
              <w:t>恶臭：</w:t>
            </w:r>
            <w:r>
              <w:rPr>
                <w:rFonts w:hint="default" w:ascii="Times New Roman" w:hAnsi="Times New Roman" w:eastAsia="宋体" w:cs="Times New Roman"/>
                <w:color w:val="auto"/>
                <w:sz w:val="21"/>
                <w:szCs w:val="21"/>
                <w:highlight w:val="none"/>
                <w:lang w:val="en-US" w:eastAsia="zh-CN"/>
              </w:rPr>
              <w:t>盖板</w:t>
            </w:r>
            <w:r>
              <w:rPr>
                <w:rFonts w:hint="default" w:ascii="Times New Roman" w:hAnsi="Times New Roman" w:eastAsia="宋体" w:cs="Times New Roman"/>
                <w:color w:val="auto"/>
                <w:sz w:val="21"/>
                <w:szCs w:val="21"/>
                <w:highlight w:val="none"/>
                <w:lang w:eastAsia="zh-CN"/>
              </w:rPr>
              <w:t>封闭，</w:t>
            </w:r>
            <w:r>
              <w:rPr>
                <w:rFonts w:hint="default" w:ascii="Times New Roman" w:hAnsi="Times New Roman" w:eastAsia="宋体" w:cs="Times New Roman"/>
                <w:color w:val="auto"/>
                <w:sz w:val="21"/>
                <w:szCs w:val="21"/>
                <w:highlight w:val="none"/>
                <w:lang w:val="en-US" w:eastAsia="zh-CN"/>
              </w:rPr>
              <w:t>喷洒除臭剂、</w:t>
            </w:r>
            <w:r>
              <w:rPr>
                <w:rFonts w:hint="default" w:ascii="Times New Roman" w:hAnsi="Times New Roman" w:eastAsia="宋体" w:cs="Times New Roman"/>
                <w:color w:val="auto"/>
                <w:sz w:val="21"/>
                <w:szCs w:val="21"/>
                <w:highlight w:val="none"/>
                <w:lang w:eastAsia="zh-CN"/>
              </w:rPr>
              <w:t>周围加强绿化。</w:t>
            </w:r>
          </w:p>
          <w:p w14:paraId="3A4EC4D9">
            <w:pPr>
              <w:keepNext w:val="0"/>
              <w:keepLines w:val="0"/>
              <w:suppressLineNumbers w:val="0"/>
              <w:tabs>
                <w:tab w:val="left" w:pos="611"/>
              </w:tabs>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eastAsia="zh-CN"/>
              </w:rPr>
              <w:t>堆粪棚恶臭：堆粪棚为密闭车间，并定期喷洒微生物除臭剂；</w:t>
            </w:r>
          </w:p>
          <w:p w14:paraId="3479E9C7">
            <w:pPr>
              <w:keepNext w:val="0"/>
              <w:keepLines w:val="0"/>
              <w:suppressLineNumbers w:val="0"/>
              <w:tabs>
                <w:tab w:val="left" w:pos="611"/>
              </w:tabs>
              <w:spacing w:before="0" w:beforeAutospacing="0" w:after="0" w:afterAutospacing="0"/>
              <w:ind w:left="0" w:right="0"/>
              <w:rPr>
                <w:rFonts w:hint="default" w:ascii="Times New Roman" w:hAnsi="Times New Roman" w:cs="Times New Roman"/>
                <w:b/>
                <w:color w:val="auto"/>
                <w:sz w:val="21"/>
                <w:szCs w:val="21"/>
                <w:highlight w:val="none"/>
              </w:rPr>
            </w:pP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lang w:eastAsia="zh-CN"/>
              </w:rPr>
              <w:t>食堂油烟经抽油烟机净化器处理后，通过高于食堂楼顶1.5m的烟囱排放。</w:t>
            </w:r>
          </w:p>
        </w:tc>
      </w:tr>
      <w:tr w14:paraId="6937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vAlign w:val="center"/>
          </w:tcPr>
          <w:p w14:paraId="050A4776">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062" w:type="dxa"/>
            <w:vAlign w:val="center"/>
          </w:tcPr>
          <w:p w14:paraId="04B7126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6772" w:type="dxa"/>
            <w:vAlign w:val="center"/>
          </w:tcPr>
          <w:p w14:paraId="7DC5784A">
            <w:pPr>
              <w:keepNext w:val="0"/>
              <w:keepLines w:val="0"/>
              <w:suppressLineNumbers w:val="0"/>
              <w:tabs>
                <w:tab w:val="left" w:pos="611"/>
              </w:tabs>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①项目区实行雨污分流，设置一个初期雨水收集池（规模</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lang w:eastAsia="zh-CN"/>
              </w:rPr>
              <w:t>），初期雨水沉淀处理后用于晴天绿化。</w:t>
            </w:r>
          </w:p>
          <w:p w14:paraId="1CA725CD">
            <w:pPr>
              <w:keepNext w:val="0"/>
              <w:keepLines w:val="0"/>
              <w:suppressLineNumbers w:val="0"/>
              <w:tabs>
                <w:tab w:val="left" w:pos="611"/>
              </w:tabs>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eastAsia="zh-CN"/>
              </w:rPr>
              <w:t>生活污水中食堂废水设置隔油池（规模0.05m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lang w:eastAsia="zh-CN"/>
              </w:rPr>
              <w:t>）预处理后，与其它生活污水一起进入容积为10m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lang w:eastAsia="zh-CN"/>
              </w:rPr>
              <w:t>的化粪池预处理，经预处理后进入</w:t>
            </w:r>
            <w:r>
              <w:rPr>
                <w:rFonts w:hint="default" w:ascii="Times New Roman" w:hAnsi="Times New Roman" w:cs="Times New Roman"/>
                <w:color w:val="auto"/>
                <w:sz w:val="21"/>
                <w:szCs w:val="21"/>
                <w:highlight w:val="none"/>
                <w:lang w:val="en-US" w:eastAsia="zh-CN"/>
              </w:rPr>
              <w:t>1000m³</w:t>
            </w:r>
            <w:r>
              <w:rPr>
                <w:rFonts w:hint="default" w:ascii="Times New Roman" w:hAnsi="Times New Roman" w:eastAsia="宋体" w:cs="Times New Roman"/>
                <w:color w:val="auto"/>
                <w:sz w:val="21"/>
                <w:szCs w:val="21"/>
                <w:highlight w:val="none"/>
                <w:lang w:val="en-US" w:eastAsia="zh-CN"/>
              </w:rPr>
              <w:t>废水收集池暂存，依托弥勒温氏畜牧有限公司新哨种猪场建设项目污水处理站处理后用于绿化及农田灌溉</w:t>
            </w:r>
            <w:r>
              <w:rPr>
                <w:rFonts w:hint="default" w:ascii="Times New Roman" w:hAnsi="Times New Roman" w:eastAsia="宋体" w:cs="Times New Roman"/>
                <w:color w:val="auto"/>
                <w:sz w:val="21"/>
                <w:szCs w:val="21"/>
                <w:highlight w:val="none"/>
                <w:lang w:eastAsia="zh-CN"/>
              </w:rPr>
              <w:t>。</w:t>
            </w:r>
          </w:p>
          <w:p w14:paraId="6CF62A21">
            <w:pPr>
              <w:keepNext w:val="0"/>
              <w:keepLines w:val="0"/>
              <w:suppressLineNumbers w:val="0"/>
              <w:tabs>
                <w:tab w:val="left" w:pos="611"/>
              </w:tabs>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eastAsia="zh-CN"/>
              </w:rPr>
              <w:t>尿液、粪便经过</w:t>
            </w:r>
            <w:r>
              <w:rPr>
                <w:rFonts w:hint="default" w:ascii="Times New Roman" w:hAnsi="Times New Roman" w:cs="Times New Roman"/>
                <w:color w:val="auto"/>
                <w:sz w:val="21"/>
                <w:szCs w:val="21"/>
                <w:highlight w:val="none"/>
                <w:lang w:eastAsia="zh-CN"/>
              </w:rPr>
              <w:t>粪尿收集池</w:t>
            </w:r>
            <w:r>
              <w:rPr>
                <w:rFonts w:hint="default" w:ascii="Times New Roman" w:hAnsi="Times New Roman" w:eastAsia="宋体" w:cs="Times New Roman"/>
                <w:color w:val="auto"/>
                <w:sz w:val="21"/>
                <w:szCs w:val="21"/>
                <w:highlight w:val="none"/>
                <w:lang w:eastAsia="zh-CN"/>
              </w:rPr>
              <w:t>收集后，通过PVC管道泵至固液分离机进行固液分离，粪污进入PVC管道前设置过滤网进行初步过滤，固液分离后的固体粪便进入堆粪棚发酵，尿液则通过PVC管道进入</w:t>
            </w:r>
            <w:r>
              <w:rPr>
                <w:rFonts w:hint="default" w:ascii="Times New Roman" w:hAnsi="Times New Roman" w:eastAsia="宋体" w:cs="Times New Roman"/>
                <w:color w:val="auto"/>
                <w:sz w:val="21"/>
                <w:szCs w:val="21"/>
                <w:highlight w:val="none"/>
                <w:lang w:val="en-US" w:eastAsia="zh-CN"/>
              </w:rPr>
              <w:t>废水收集池，依托弥勒温氏畜牧有限公司新哨种猪场建设项目污水处理站处理后用于绿化及农田灌溉</w:t>
            </w:r>
            <w:r>
              <w:rPr>
                <w:rFonts w:hint="default" w:ascii="Times New Roman" w:hAnsi="Times New Roman" w:eastAsia="宋体" w:cs="Times New Roman"/>
                <w:color w:val="auto"/>
                <w:sz w:val="21"/>
                <w:szCs w:val="21"/>
                <w:highlight w:val="none"/>
                <w:lang w:eastAsia="zh-CN"/>
              </w:rPr>
              <w:t>。</w:t>
            </w:r>
          </w:p>
        </w:tc>
      </w:tr>
      <w:tr w14:paraId="4755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vAlign w:val="center"/>
          </w:tcPr>
          <w:p w14:paraId="5E3B76D3">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062" w:type="dxa"/>
            <w:vAlign w:val="center"/>
          </w:tcPr>
          <w:p w14:paraId="449589D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6772" w:type="dxa"/>
            <w:vAlign w:val="center"/>
          </w:tcPr>
          <w:p w14:paraId="1CA4CB09">
            <w:pPr>
              <w:keepNext w:val="0"/>
              <w:keepLines w:val="0"/>
              <w:suppressLineNumbers w:val="0"/>
              <w:tabs>
                <w:tab w:val="left" w:pos="611"/>
              </w:tabs>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①设备选型低噪声设备，对固液分离机、水泵设备安装减振垫进行设备基础减振处理，且高噪声设备位于密闭房间内。</w:t>
            </w:r>
          </w:p>
          <w:p w14:paraId="699AAD1D">
            <w:pPr>
              <w:keepNext w:val="0"/>
              <w:keepLines w:val="0"/>
              <w:suppressLineNumbers w:val="0"/>
              <w:tabs>
                <w:tab w:val="left" w:pos="611"/>
              </w:tabs>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②优化设备平面布置，噪声设备与厂界有一定距离；加强绿化；通过距离及绿化吸收实现噪声衰减。</w:t>
            </w:r>
          </w:p>
          <w:p w14:paraId="57D26554">
            <w:pPr>
              <w:keepNext w:val="0"/>
              <w:keepLines w:val="0"/>
              <w:suppressLineNumbers w:val="0"/>
              <w:tabs>
                <w:tab w:val="left" w:pos="611"/>
              </w:tabs>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③在场区周围及场内加强绿化，充分利用建筑的边角、场地外边坡等空隙土地及不规则土地进行绿化。</w:t>
            </w:r>
          </w:p>
          <w:p w14:paraId="0A9791F2">
            <w:pPr>
              <w:keepNext w:val="0"/>
              <w:keepLines w:val="0"/>
              <w:suppressLineNumbers w:val="0"/>
              <w:tabs>
                <w:tab w:val="left" w:pos="611"/>
              </w:tabs>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④加强设备的维护保养，加强减振等措施检查维护等，确保设备正常运转。</w:t>
            </w:r>
          </w:p>
          <w:p w14:paraId="6CE17FC9">
            <w:pPr>
              <w:keepNext w:val="0"/>
              <w:keepLines w:val="0"/>
              <w:suppressLineNumbers w:val="0"/>
              <w:tabs>
                <w:tab w:val="left" w:pos="611"/>
              </w:tabs>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⑤为减少猪叫声对声环境的影响，合理安排猪饮食结构和时间，避免因饥饿或口渴而发出叫声；同时应减少外界噪声等对猪群的干扰，避免因惊吓而产生不安，使猪只保持安定平和的气氛，以缓解猪只的不安情绪。</w:t>
            </w:r>
          </w:p>
        </w:tc>
      </w:tr>
      <w:tr w14:paraId="2394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vAlign w:val="center"/>
          </w:tcPr>
          <w:p w14:paraId="188B5247">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062" w:type="dxa"/>
            <w:vAlign w:val="center"/>
          </w:tcPr>
          <w:p w14:paraId="022DFB3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6772" w:type="dxa"/>
            <w:vAlign w:val="center"/>
          </w:tcPr>
          <w:p w14:paraId="542FEAD5">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①病死猪委托弥勒市北斗星生物科技有限公司进场清运处置。并在厂内建设1个</w:t>
            </w:r>
            <w:r>
              <w:rPr>
                <w:rFonts w:hint="default" w:ascii="Times New Roman" w:hAnsi="Times New Roman" w:eastAsia="宋体" w:cs="Times New Roman"/>
                <w:bCs/>
                <w:color w:val="auto"/>
                <w:sz w:val="21"/>
                <w:szCs w:val="21"/>
                <w:highlight w:val="none"/>
                <w:lang w:val="en-US" w:eastAsia="zh-CN"/>
              </w:rPr>
              <w:t>冷库</w:t>
            </w:r>
            <w:r>
              <w:rPr>
                <w:rFonts w:hint="default" w:ascii="Times New Roman" w:hAnsi="Times New Roman" w:eastAsia="宋体" w:cs="Times New Roman"/>
                <w:bCs/>
                <w:color w:val="auto"/>
                <w:sz w:val="21"/>
                <w:szCs w:val="21"/>
                <w:highlight w:val="none"/>
                <w:lang w:eastAsia="zh-CN"/>
              </w:rPr>
              <w:t>，用于临时暂存养殖过程中产生的病死猪。</w:t>
            </w:r>
          </w:p>
          <w:p w14:paraId="079FB05B">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②建</w:t>
            </w:r>
            <w:r>
              <w:rPr>
                <w:rFonts w:hint="default" w:ascii="Times New Roman" w:hAnsi="Times New Roman" w:eastAsia="宋体" w:cs="Times New Roman"/>
                <w:bCs/>
                <w:color w:val="auto"/>
                <w:sz w:val="21"/>
                <w:szCs w:val="21"/>
                <w:highlight w:val="none"/>
                <w:lang w:val="en-US" w:eastAsia="zh-CN"/>
              </w:rPr>
              <w:t>设</w:t>
            </w:r>
            <w:r>
              <w:rPr>
                <w:rFonts w:hint="default" w:ascii="Times New Roman" w:hAnsi="Times New Roman" w:eastAsia="宋体" w:cs="Times New Roman"/>
                <w:bCs/>
                <w:color w:val="auto"/>
                <w:sz w:val="21"/>
                <w:szCs w:val="21"/>
                <w:highlight w:val="none"/>
                <w:lang w:eastAsia="zh-CN"/>
              </w:rPr>
              <w:t>一个堆粪棚（规模</w:t>
            </w:r>
            <w:r>
              <w:rPr>
                <w:rFonts w:hint="default" w:ascii="Times New Roman" w:hAnsi="Times New Roman" w:eastAsia="宋体" w:cs="Times New Roman"/>
                <w:bCs/>
                <w:color w:val="auto"/>
                <w:sz w:val="21"/>
                <w:szCs w:val="21"/>
                <w:highlight w:val="none"/>
                <w:lang w:val="en-US" w:eastAsia="zh-CN"/>
              </w:rPr>
              <w:t>300</w:t>
            </w:r>
            <w:r>
              <w:rPr>
                <w:rFonts w:hint="default" w:ascii="Times New Roman" w:hAnsi="Times New Roman" w:eastAsia="宋体" w:cs="Times New Roman"/>
                <w:bCs/>
                <w:color w:val="auto"/>
                <w:sz w:val="21"/>
                <w:szCs w:val="21"/>
                <w:highlight w:val="none"/>
                <w:lang w:eastAsia="zh-CN"/>
              </w:rPr>
              <w:t>m</w:t>
            </w:r>
            <w:r>
              <w:rPr>
                <w:rFonts w:hint="default" w:ascii="Times New Roman" w:hAnsi="Times New Roman" w:eastAsia="宋体" w:cs="Times New Roman"/>
                <w:bCs/>
                <w:color w:val="auto"/>
                <w:sz w:val="21"/>
                <w:szCs w:val="21"/>
                <w:highlight w:val="none"/>
                <w:vertAlign w:val="superscript"/>
                <w:lang w:eastAsia="zh-CN"/>
              </w:rPr>
              <w:t>2</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粪便、饲料残渣</w:t>
            </w:r>
            <w:r>
              <w:rPr>
                <w:rFonts w:hint="default" w:ascii="Times New Roman" w:hAnsi="Times New Roman" w:eastAsia="宋体" w:cs="Times New Roman"/>
                <w:bCs/>
                <w:color w:val="auto"/>
                <w:sz w:val="21"/>
                <w:szCs w:val="21"/>
                <w:highlight w:val="none"/>
                <w:lang w:eastAsia="zh-CN"/>
              </w:rPr>
              <w:t>进入堆粪棚发酵，用于还田施肥。</w:t>
            </w:r>
            <w:r>
              <w:rPr>
                <w:rFonts w:hint="default" w:ascii="Times New Roman" w:hAnsi="Times New Roman" w:eastAsia="宋体" w:cs="Times New Roman"/>
                <w:bCs/>
                <w:color w:val="auto"/>
                <w:sz w:val="21"/>
                <w:szCs w:val="21"/>
                <w:highlight w:val="none"/>
                <w:lang w:val="en-US" w:eastAsia="zh-CN"/>
              </w:rPr>
              <w:t>堆粪棚建设渗滤液收集管道，渗滤液直接通过污水管道进入废水收集池，同时按环评要求进行围挡，并进行重点防渗，防渗要求：</w:t>
            </w:r>
            <w:r>
              <w:rPr>
                <w:rFonts w:hint="default" w:ascii="Times New Roman" w:hAnsi="Times New Roman" w:eastAsia="宋体" w:cs="Times New Roman"/>
                <w:bCs/>
                <w:color w:val="auto"/>
                <w:sz w:val="21"/>
                <w:szCs w:val="21"/>
                <w:highlight w:val="none"/>
                <w:lang w:eastAsia="zh-CN"/>
              </w:rPr>
              <w:t>防渗技术要求：等效黏土防渗层Mb≥6.0m，K≤1.0×10</w:t>
            </w:r>
            <w:r>
              <w:rPr>
                <w:rFonts w:hint="default" w:ascii="Times New Roman" w:hAnsi="Times New Roman" w:eastAsia="宋体" w:cs="Times New Roman"/>
                <w:bCs/>
                <w:color w:val="auto"/>
                <w:sz w:val="21"/>
                <w:szCs w:val="21"/>
                <w:highlight w:val="none"/>
                <w:vertAlign w:val="superscript"/>
                <w:lang w:eastAsia="zh-CN"/>
              </w:rPr>
              <w:t>-7</w:t>
            </w:r>
            <w:r>
              <w:rPr>
                <w:rFonts w:hint="default" w:ascii="Times New Roman" w:hAnsi="Times New Roman" w:eastAsia="宋体" w:cs="Times New Roman"/>
                <w:bCs/>
                <w:color w:val="auto"/>
                <w:sz w:val="21"/>
                <w:szCs w:val="21"/>
                <w:highlight w:val="none"/>
                <w:lang w:eastAsia="zh-CN"/>
              </w:rPr>
              <w:t>cm/s；或参照GB18598执行。</w:t>
            </w:r>
          </w:p>
          <w:p w14:paraId="3B0AF345">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③防疫固废设置一个</w:t>
            </w: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㎡的防疫固废暂存间暂存，设置明显的标识，定期消毒和清洁，采用专用包装袋、容器分类收集，按照当地动物防疫部门管理要求进行处置。</w:t>
            </w:r>
          </w:p>
          <w:p w14:paraId="36F4AD13">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④</w:t>
            </w:r>
            <w:r>
              <w:rPr>
                <w:rFonts w:hint="default" w:ascii="Times New Roman" w:hAnsi="Times New Roman" w:eastAsia="宋体" w:cs="Times New Roman"/>
                <w:bCs/>
                <w:color w:val="auto"/>
                <w:sz w:val="21"/>
                <w:szCs w:val="21"/>
                <w:highlight w:val="none"/>
                <w:lang w:eastAsia="zh-CN"/>
              </w:rPr>
              <w:t>废弃包装材料统一收集定期外卖给废品站；生活垃圾经垃圾桶统一收集后，定期清运至猴街村生活垃圾收集点集中处置。</w:t>
            </w:r>
          </w:p>
          <w:p w14:paraId="09EADDE0">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⑤</w:t>
            </w:r>
            <w:r>
              <w:rPr>
                <w:rFonts w:hint="default" w:ascii="Times New Roman" w:hAnsi="Times New Roman" w:eastAsia="宋体" w:cs="Times New Roman"/>
                <w:bCs/>
                <w:color w:val="auto"/>
                <w:sz w:val="21"/>
                <w:szCs w:val="21"/>
                <w:highlight w:val="none"/>
                <w:lang w:eastAsia="zh-CN"/>
              </w:rPr>
              <w:t>食堂设置泔水收集桶，用于收集厨房产生的泔水，泔水收集后按照住建部门相关规定处置。</w:t>
            </w:r>
          </w:p>
          <w:p w14:paraId="00056291">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⑥</w:t>
            </w:r>
            <w:r>
              <w:rPr>
                <w:rFonts w:hint="default" w:ascii="Times New Roman" w:hAnsi="Times New Roman" w:eastAsia="宋体" w:cs="Times New Roman"/>
                <w:bCs/>
                <w:color w:val="auto"/>
                <w:sz w:val="21"/>
                <w:szCs w:val="21"/>
                <w:highlight w:val="none"/>
                <w:lang w:eastAsia="zh-CN"/>
              </w:rPr>
              <w:t>设置废油脂收集桶，用于收集隔油池隔油过程中产生的废油脂，收集后按照住建部门相关规定处置。</w:t>
            </w:r>
          </w:p>
          <w:p w14:paraId="3BAF866A">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⑦</w:t>
            </w:r>
            <w:r>
              <w:rPr>
                <w:rFonts w:hint="default" w:ascii="Times New Roman" w:hAnsi="Times New Roman" w:eastAsia="宋体" w:cs="Times New Roman"/>
                <w:bCs/>
                <w:color w:val="auto"/>
                <w:sz w:val="21"/>
                <w:szCs w:val="21"/>
                <w:highlight w:val="none"/>
                <w:lang w:eastAsia="zh-CN"/>
              </w:rPr>
              <w:t>废机油采用专用容器密闭盛装，暂存在危废暂存间，委托相关资质单位处置。</w:t>
            </w:r>
            <w:r>
              <w:rPr>
                <w:rFonts w:hint="default" w:ascii="Times New Roman" w:hAnsi="Times New Roman" w:eastAsia="宋体" w:cs="Times New Roman"/>
                <w:bCs/>
                <w:color w:val="auto"/>
                <w:sz w:val="21"/>
                <w:szCs w:val="21"/>
                <w:highlight w:val="none"/>
                <w:lang w:val="en-US" w:eastAsia="zh-CN"/>
              </w:rPr>
              <w:t>项目产生的</w:t>
            </w:r>
            <w:r>
              <w:rPr>
                <w:rFonts w:hint="default" w:ascii="Times New Roman" w:hAnsi="Times New Roman" w:eastAsia="宋体" w:cs="Times New Roman"/>
                <w:bCs/>
                <w:color w:val="auto"/>
                <w:sz w:val="21"/>
                <w:szCs w:val="21"/>
                <w:highlight w:val="none"/>
                <w:lang w:eastAsia="zh-CN"/>
              </w:rPr>
              <w:t>危险废物</w:t>
            </w:r>
            <w:r>
              <w:rPr>
                <w:rFonts w:hint="default" w:ascii="Times New Roman" w:hAnsi="Times New Roman" w:eastAsia="宋体" w:cs="Times New Roman"/>
                <w:bCs/>
                <w:color w:val="auto"/>
                <w:sz w:val="21"/>
                <w:szCs w:val="21"/>
                <w:highlight w:val="none"/>
                <w:lang w:val="en-US" w:eastAsia="zh-CN"/>
              </w:rPr>
              <w:t>设置</w:t>
            </w:r>
            <w:r>
              <w:rPr>
                <w:rFonts w:hint="default" w:ascii="Times New Roman" w:hAnsi="Times New Roman" w:eastAsia="宋体" w:cs="Times New Roman"/>
                <w:bCs/>
                <w:color w:val="auto"/>
                <w:sz w:val="21"/>
                <w:szCs w:val="21"/>
                <w:highlight w:val="none"/>
                <w:lang w:eastAsia="zh-CN"/>
              </w:rPr>
              <w:t>暂存间（建筑面积</w:t>
            </w: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eastAsia="zh-CN"/>
              </w:rPr>
              <w:t>m2），危险废物暂存时应按照《危险废物贮存污染控制标准》（GB18597-2023）要求进行</w:t>
            </w:r>
            <w:r>
              <w:rPr>
                <w:rFonts w:hint="default" w:ascii="Times New Roman" w:hAnsi="Times New Roman" w:cs="Times New Roman"/>
                <w:bCs/>
                <w:color w:val="auto"/>
                <w:sz w:val="21"/>
                <w:szCs w:val="21"/>
                <w:highlight w:val="none"/>
                <w:lang w:val="en-US" w:eastAsia="zh-CN"/>
              </w:rPr>
              <w:t>建设。</w:t>
            </w:r>
          </w:p>
        </w:tc>
      </w:tr>
      <w:tr w14:paraId="17A5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vAlign w:val="center"/>
          </w:tcPr>
          <w:p w14:paraId="55D637B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062" w:type="dxa"/>
            <w:vAlign w:val="center"/>
          </w:tcPr>
          <w:p w14:paraId="0615FAD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土壤污染防治措施</w:t>
            </w:r>
          </w:p>
        </w:tc>
        <w:tc>
          <w:tcPr>
            <w:tcW w:w="6772" w:type="dxa"/>
            <w:vAlign w:val="center"/>
          </w:tcPr>
          <w:p w14:paraId="739471A0">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①按照《环境影响评价技术导则 地下水环境》（HJ610-2016）要求设置分区防渗，防渗要求同地下水措施章节。</w:t>
            </w:r>
          </w:p>
          <w:p w14:paraId="441DE85A">
            <w:pPr>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②项目建成运营后建立运营期土壤污染监控计划，要求在消纳区设置2个土壤跟踪监测点，每5年开展1次监测，及时掌握土壤环境质量状况，若发现土壤指标异常，应及时采取应急措施。</w:t>
            </w:r>
          </w:p>
        </w:tc>
      </w:tr>
      <w:tr w14:paraId="7392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vAlign w:val="center"/>
          </w:tcPr>
          <w:p w14:paraId="4DC2AF93">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062" w:type="dxa"/>
            <w:vAlign w:val="center"/>
          </w:tcPr>
          <w:p w14:paraId="249E749C">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地下水污染防治措施</w:t>
            </w:r>
          </w:p>
        </w:tc>
        <w:tc>
          <w:tcPr>
            <w:tcW w:w="6772" w:type="dxa"/>
            <w:vAlign w:val="center"/>
          </w:tcPr>
          <w:p w14:paraId="55D7E6E4">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（1）清污分流</w:t>
            </w:r>
          </w:p>
          <w:p w14:paraId="00CEAD9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要按清污分流分质处理的原则，建成雨污排水系统。</w:t>
            </w:r>
          </w:p>
          <w:p w14:paraId="2189F9B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（2）厂区污染防渗措施及要求</w:t>
            </w:r>
          </w:p>
          <w:p w14:paraId="332B436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根据《环境影响评价技术导则 地下水环境》（HJ610-2016）厂区按照重点防渗区、一般防渗区和简单防渗区进行分区防渗。具体如下：</w:t>
            </w:r>
          </w:p>
          <w:p w14:paraId="4BFEE8F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重点防渗区：危废暂存间按照GB18597-2023要求进行防渗：基础防渗+表面防渗。表面防渗采用抗渗混凝土、高密度聚乙烯膜、钠基膨润土防水毯或其他防渗性能等效的材料；基础防渗为2mm厚高密度聚乙烯膜（K≤1.0×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cm/s）。防渗、防腐材料应覆盖所有可能与废物及其渗滤液、渗漏液等接触的构筑物表面。</w:t>
            </w:r>
            <w:r>
              <w:rPr>
                <w:rFonts w:hint="default" w:ascii="Times New Roman" w:hAnsi="Times New Roman" w:cs="Times New Roman"/>
                <w:color w:val="auto"/>
                <w:sz w:val="21"/>
                <w:szCs w:val="21"/>
                <w:highlight w:val="none"/>
                <w:lang w:eastAsia="zh-CN"/>
              </w:rPr>
              <w:t>粪尿收集池</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废水收集</w:t>
            </w:r>
            <w:r>
              <w:rPr>
                <w:rFonts w:hint="default" w:ascii="Times New Roman" w:hAnsi="Times New Roman" w:eastAsia="宋体" w:cs="Times New Roman"/>
                <w:color w:val="auto"/>
                <w:sz w:val="21"/>
                <w:szCs w:val="21"/>
                <w:highlight w:val="none"/>
              </w:rPr>
              <w:t>池、</w:t>
            </w:r>
            <w:r>
              <w:rPr>
                <w:rFonts w:hint="default" w:ascii="Times New Roman" w:hAnsi="Times New Roman" w:eastAsia="宋体" w:cs="Times New Roman"/>
                <w:color w:val="auto"/>
                <w:sz w:val="21"/>
                <w:szCs w:val="21"/>
                <w:highlight w:val="none"/>
                <w:lang w:val="en-US" w:eastAsia="zh-CN"/>
              </w:rPr>
              <w:t>固液分离区、</w:t>
            </w:r>
            <w:r>
              <w:rPr>
                <w:rFonts w:hint="default" w:ascii="Times New Roman" w:hAnsi="Times New Roman" w:eastAsia="宋体" w:cs="Times New Roman"/>
                <w:color w:val="auto"/>
                <w:sz w:val="21"/>
                <w:szCs w:val="21"/>
                <w:highlight w:val="none"/>
                <w:lang w:eastAsia="zh-CN"/>
              </w:rPr>
              <w:t>堆粪棚，</w:t>
            </w:r>
            <w:r>
              <w:rPr>
                <w:rFonts w:hint="default" w:ascii="Times New Roman" w:hAnsi="Times New Roman" w:eastAsia="宋体" w:cs="Times New Roman"/>
                <w:color w:val="auto"/>
                <w:sz w:val="21"/>
                <w:szCs w:val="21"/>
                <w:highlight w:val="none"/>
              </w:rPr>
              <w:t>采用压实的等效黏土防渗层+抗渗等级为P6、厚度20cm的抗渗混凝土为基础地面。</w:t>
            </w:r>
          </w:p>
          <w:p w14:paraId="780D7F17">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②一般防渗区：隔油池、化粪池、初期雨水收集池、</w:t>
            </w:r>
            <w:r>
              <w:rPr>
                <w:rFonts w:hint="default" w:ascii="Times New Roman" w:hAnsi="Times New Roman" w:eastAsia="宋体" w:cs="Times New Roman"/>
                <w:color w:val="auto"/>
                <w:sz w:val="21"/>
                <w:szCs w:val="21"/>
                <w:highlight w:val="none"/>
                <w:lang w:val="en-US" w:eastAsia="zh-CN"/>
              </w:rPr>
              <w:t>车辆洗消棚沉淀池、</w:t>
            </w:r>
            <w:r>
              <w:rPr>
                <w:rFonts w:hint="default" w:ascii="Times New Roman" w:hAnsi="Times New Roman" w:eastAsia="宋体" w:cs="Times New Roman"/>
                <w:color w:val="auto"/>
                <w:sz w:val="21"/>
                <w:szCs w:val="21"/>
                <w:highlight w:val="none"/>
              </w:rPr>
              <w:t>柴油发电室</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冷库、防疫固废暂存间</w:t>
            </w:r>
            <w:r>
              <w:rPr>
                <w:rFonts w:hint="default" w:ascii="Times New Roman" w:hAnsi="Times New Roman" w:eastAsia="宋体" w:cs="Times New Roman"/>
                <w:color w:val="auto"/>
                <w:sz w:val="21"/>
                <w:szCs w:val="21"/>
                <w:highlight w:val="none"/>
              </w:rPr>
              <w:t>，在地面平整压实基土的基础上浇筑抗渗等级P6、厚度10cm的抗渗混凝土进行防渗，等效黏土防渗层厚度Mb≥1.5m，渗透系数K≤1.0×10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w:t>
            </w:r>
          </w:p>
          <w:p w14:paraId="297F911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③简单防渗：</w:t>
            </w:r>
            <w:r>
              <w:rPr>
                <w:rFonts w:hint="default" w:ascii="Times New Roman" w:hAnsi="Times New Roman" w:eastAsia="宋体" w:cs="Times New Roman"/>
                <w:color w:val="auto"/>
                <w:sz w:val="21"/>
                <w:szCs w:val="21"/>
                <w:highlight w:val="none"/>
                <w:lang w:val="en-US" w:eastAsia="zh-CN"/>
              </w:rPr>
              <w:t>物资消毒仓库</w:t>
            </w:r>
            <w:r>
              <w:rPr>
                <w:rFonts w:hint="default" w:ascii="Times New Roman" w:hAnsi="Times New Roman" w:eastAsia="宋体" w:cs="Times New Roman"/>
                <w:color w:val="auto"/>
                <w:sz w:val="21"/>
                <w:szCs w:val="21"/>
                <w:highlight w:val="none"/>
              </w:rPr>
              <w:t>、配电房、料塔区、办公生活区、厂区道路采取一般水泥地面硬化。</w:t>
            </w:r>
          </w:p>
          <w:p w14:paraId="2B355AA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rPr>
              <w:t>设置污废水渗漏检测及地下水污染监控措施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在</w:t>
            </w:r>
            <w:r>
              <w:rPr>
                <w:rFonts w:hint="default" w:ascii="Times New Roman" w:hAnsi="Times New Roman" w:eastAsia="宋体" w:cs="Times New Roman"/>
                <w:color w:val="auto"/>
                <w:sz w:val="21"/>
                <w:szCs w:val="21"/>
                <w:highlight w:val="none"/>
                <w:lang w:val="en-US" w:eastAsia="zh-CN"/>
              </w:rPr>
              <w:t>废水收集池</w:t>
            </w:r>
            <w:r>
              <w:rPr>
                <w:rFonts w:hint="default" w:ascii="Times New Roman" w:hAnsi="Times New Roman" w:eastAsia="宋体" w:cs="Times New Roman"/>
                <w:color w:val="auto"/>
                <w:sz w:val="21"/>
                <w:szCs w:val="21"/>
                <w:highlight w:val="none"/>
              </w:rPr>
              <w:t>下游</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范围内设置1个跟踪监测井。按照自行监测计划，应委托有资质的单位开展监测，并将每次的监测数据及时进行统计、整理，并将每次的监测结果与相关标准及历史监测结果进行比较，以分析地下水水质各项指标的变化。在日常例行监测中，一旦发现地下水水质监测数据异常，应尽快核查数据，确保数据的正确性。并将核查过的监测数据通告建设单位环保部门，由专人负责对数据进行分析、核实，并密切关注生产设施的运行情况，为防止地下水污染采取措施提供正确的依据。</w:t>
            </w:r>
          </w:p>
          <w:p w14:paraId="670FCDE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rPr>
              <w:t>应急处置措施</w:t>
            </w:r>
          </w:p>
          <w:p w14:paraId="1EEA4BEF">
            <w:pPr>
              <w:keepNext w:val="0"/>
              <w:keepLines w:val="0"/>
              <w:suppressLineNumbers w:val="0"/>
              <w:spacing w:before="0" w:beforeAutospacing="0" w:after="0" w:afterAutospacing="0"/>
              <w:ind w:left="0" w:right="0"/>
              <w:rPr>
                <w:rFonts w:hint="default" w:ascii="Times New Roman" w:hAnsi="Times New Roman" w:cs="Times New Roman"/>
                <w:b/>
                <w:color w:val="auto"/>
                <w:sz w:val="21"/>
                <w:szCs w:val="21"/>
                <w:highlight w:val="none"/>
              </w:rPr>
            </w:pPr>
            <w:r>
              <w:rPr>
                <w:rFonts w:hint="default" w:ascii="Times New Roman" w:hAnsi="Times New Roman" w:eastAsia="宋体" w:cs="Times New Roman"/>
                <w:color w:val="auto"/>
                <w:sz w:val="21"/>
                <w:szCs w:val="21"/>
                <w:highlight w:val="none"/>
              </w:rPr>
              <w:t>项目防渗层或污废水输送管道等出现破损或破裂时，应及时对其进行修补，避免污废水发生渗漏。</w:t>
            </w:r>
          </w:p>
        </w:tc>
      </w:tr>
      <w:tr w14:paraId="4DB5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vAlign w:val="center"/>
          </w:tcPr>
          <w:p w14:paraId="435ED937">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062" w:type="dxa"/>
            <w:vAlign w:val="center"/>
          </w:tcPr>
          <w:p w14:paraId="3DEC4EB0">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环境风险防范措施</w:t>
            </w:r>
          </w:p>
        </w:tc>
        <w:tc>
          <w:tcPr>
            <w:tcW w:w="6772" w:type="dxa"/>
            <w:vAlign w:val="center"/>
          </w:tcPr>
          <w:p w14:paraId="18B71B6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1、废气非正常防范措施</w:t>
            </w:r>
          </w:p>
          <w:p w14:paraId="7B8D613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立专人负责除臭剂喷洒，加强管理，建立台账，非正常情况下应立即组织人员进行补充生物除臭剂喷洒，并加大喷洒频次和密度，喷洒效果以无明显恶臭气味为准。确保恶臭治理有效，避免对附近居住区的人群健康危害。</w:t>
            </w:r>
          </w:p>
          <w:p w14:paraId="1BE4243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2、废机油、柴油泄漏事故的防范措施</w:t>
            </w:r>
          </w:p>
          <w:p w14:paraId="2FB2C4C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①废机油采用密闭容器收集，更换后及时暂存至危废暂存间，并设置托盘；</w:t>
            </w:r>
          </w:p>
          <w:p w14:paraId="23E61B39">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②危废暂存间按照重点防渗要求建设，确保渗透系数K≤1×10-10cm/s，设置禁火标识牌等，严格禁火制度；</w:t>
            </w:r>
          </w:p>
          <w:p w14:paraId="7F1A5475">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③加强对废机油收集</w:t>
            </w:r>
            <w:r>
              <w:rPr>
                <w:rFonts w:hint="default" w:ascii="Times New Roman" w:hAnsi="Times New Roman" w:cs="Times New Roman"/>
                <w:color w:val="auto"/>
                <w:sz w:val="21"/>
                <w:szCs w:val="21"/>
                <w:highlight w:val="none"/>
                <w:lang w:val="en-US" w:eastAsia="zh-CN"/>
              </w:rPr>
              <w:t>容器</w:t>
            </w:r>
            <w:r>
              <w:rPr>
                <w:rFonts w:hint="default" w:ascii="Times New Roman" w:hAnsi="Times New Roman" w:eastAsia="宋体" w:cs="Times New Roman"/>
                <w:color w:val="auto"/>
                <w:sz w:val="21"/>
                <w:szCs w:val="21"/>
                <w:highlight w:val="none"/>
                <w:lang w:val="en-US" w:eastAsia="zh-CN"/>
              </w:rPr>
              <w:t>的检查，出现跑冒滴漏等情况立即开展调查及处理。</w:t>
            </w:r>
          </w:p>
          <w:p w14:paraId="14979BB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④采用合格的备用发电机，油箱下方设置托盘，定期进行设备检查，避免设备油箱漏油外溢。</w:t>
            </w:r>
          </w:p>
          <w:p w14:paraId="1A6A316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3、地下水环境风险防范措施</w:t>
            </w:r>
          </w:p>
          <w:p w14:paraId="25FF0438">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①按《危废废物贮存污染控制标准》（GB18597-2023）及《环境影响评价技术导则  地下水环境》（HJ610-2016）中的要求进行分区防渗。</w:t>
            </w:r>
          </w:p>
          <w:p w14:paraId="3397790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②建立地下水环境监测系统，在废水收集池下游</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lang w:val="en-US" w:eastAsia="zh-CN"/>
              </w:rPr>
              <w:t>m范围内设置1个跟踪监测井。</w:t>
            </w:r>
          </w:p>
          <w:p w14:paraId="086ECCE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③制定地下水污染应急响应预案。</w:t>
            </w:r>
          </w:p>
          <w:p w14:paraId="5E96F15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4、应急要求</w:t>
            </w:r>
          </w:p>
          <w:p w14:paraId="36FFBCF1">
            <w:pPr>
              <w:keepNext w:val="0"/>
              <w:keepLines w:val="0"/>
              <w:suppressLineNumbers w:val="0"/>
              <w:spacing w:before="0" w:beforeAutospacing="0" w:after="0" w:afterAutospacing="0"/>
              <w:ind w:left="0" w:right="0"/>
              <w:rPr>
                <w:rFonts w:hint="default" w:ascii="Times New Roman" w:hAnsi="Times New Roman" w:cs="Times New Roman"/>
                <w:b/>
                <w:color w:val="auto"/>
                <w:sz w:val="21"/>
                <w:szCs w:val="21"/>
                <w:highlight w:val="none"/>
              </w:rPr>
            </w:pPr>
            <w:r>
              <w:rPr>
                <w:rFonts w:hint="default" w:ascii="Times New Roman" w:hAnsi="Times New Roman" w:eastAsia="宋体" w:cs="Times New Roman"/>
                <w:color w:val="auto"/>
                <w:sz w:val="21"/>
                <w:szCs w:val="21"/>
                <w:highlight w:val="none"/>
                <w:lang w:val="en-US" w:eastAsia="zh-CN"/>
              </w:rPr>
              <w:t>针对本项目可能发生的突发事故，为了将风险事故率降低到最小，建设单位应严格按照《企业突发环境事件风险分级方法》(HJ941-2018)、《企业突发环境事件应急预案编制指南》和《企业突发环境事件风险评估指南（试行）》开展应急预案的编制工作，包括环境风险评估报告、环境应急资源调查报告和突发环境事件应急预案三个报告，并报红河州生态环境局弥勒分局备案。</w:t>
            </w:r>
          </w:p>
        </w:tc>
      </w:tr>
    </w:tbl>
    <w:p w14:paraId="54B660C5">
      <w:pPr>
        <w:pStyle w:val="43"/>
        <w:snapToGrid w:val="0"/>
        <w:rPr>
          <w:rFonts w:hint="default" w:ascii="Times New Roman" w:hAnsi="Times New Roman" w:cs="Times New Roman"/>
          <w:color w:val="auto"/>
          <w:highlight w:val="none"/>
        </w:rPr>
      </w:pPr>
    </w:p>
    <w:p w14:paraId="53C05908">
      <w:pPr>
        <w:snapToGrid w:val="0"/>
        <w:spacing w:line="360" w:lineRule="auto"/>
        <w:ind w:firstLine="420" w:firstLineChars="200"/>
        <w:rPr>
          <w:rFonts w:hint="default" w:ascii="Times New Roman" w:hAnsi="Times New Roman" w:cs="Times New Roman"/>
          <w:color w:val="auto"/>
          <w:szCs w:val="21"/>
          <w:highlight w:val="none"/>
        </w:rPr>
        <w:sectPr>
          <w:pgSz w:w="11907" w:h="16840"/>
          <w:pgMar w:top="1531" w:right="1797" w:bottom="1440" w:left="1531"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bookmarkEnd w:id="317"/>
    <w:p w14:paraId="59BAEBCE">
      <w:pPr>
        <w:pStyle w:val="2"/>
        <w:keepNext/>
        <w:keepLines/>
        <w:pageBreakBefore/>
        <w:widowControl w:val="0"/>
        <w:kinsoku/>
        <w:wordWrap/>
        <w:overflowPunct/>
        <w:topLinePunct w:val="0"/>
        <w:autoSpaceDE/>
        <w:autoSpaceDN/>
        <w:bidi w:val="0"/>
        <w:adjustRightInd/>
        <w:snapToGrid w:val="0"/>
        <w:spacing w:before="0" w:after="0" w:afterLines="0" w:line="360" w:lineRule="auto"/>
        <w:textAlignment w:val="auto"/>
        <w:rPr>
          <w:rFonts w:hint="default" w:ascii="Times New Roman" w:hAnsi="Times New Roman" w:cs="Times New Roman"/>
          <w:color w:val="auto"/>
          <w:sz w:val="28"/>
          <w:szCs w:val="28"/>
          <w:highlight w:val="none"/>
        </w:rPr>
      </w:pPr>
      <w:bookmarkStart w:id="334" w:name="_Toc26630"/>
      <w:bookmarkStart w:id="335" w:name="_Toc40654353"/>
      <w:bookmarkStart w:id="336" w:name="_Toc6553"/>
      <w:bookmarkStart w:id="337" w:name="_Toc28845"/>
      <w:bookmarkStart w:id="338" w:name="_Toc22820"/>
      <w:r>
        <w:rPr>
          <w:rFonts w:hint="default" w:ascii="Times New Roman" w:hAnsi="Times New Roman" w:cs="Times New Roman"/>
          <w:color w:val="auto"/>
          <w:sz w:val="28"/>
          <w:szCs w:val="28"/>
          <w:highlight w:val="none"/>
        </w:rPr>
        <w:t>7产业政策及选址合理性分析</w:t>
      </w:r>
      <w:bookmarkEnd w:id="334"/>
      <w:bookmarkEnd w:id="335"/>
      <w:bookmarkEnd w:id="336"/>
      <w:bookmarkEnd w:id="337"/>
      <w:bookmarkEnd w:id="338"/>
    </w:p>
    <w:p w14:paraId="1719A8C7">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Style w:val="34"/>
          <w:rFonts w:hint="default" w:ascii="Times New Roman" w:hAnsi="Times New Roman" w:cs="Times New Roman"/>
          <w:b w:val="0"/>
          <w:bCs w:val="0"/>
          <w:color w:val="auto"/>
          <w:sz w:val="24"/>
          <w:highlight w:val="none"/>
        </w:rPr>
      </w:pPr>
      <w:bookmarkStart w:id="339" w:name="_Toc40654354"/>
      <w:bookmarkStart w:id="340" w:name="_Toc26615"/>
      <w:bookmarkStart w:id="341" w:name="_Toc11175"/>
      <w:bookmarkStart w:id="342" w:name="_Toc13272"/>
      <w:bookmarkStart w:id="343" w:name="_Toc28920"/>
      <w:r>
        <w:rPr>
          <w:rStyle w:val="34"/>
          <w:rFonts w:hint="default" w:ascii="Times New Roman" w:hAnsi="Times New Roman" w:cs="Times New Roman"/>
          <w:b w:val="0"/>
          <w:bCs w:val="0"/>
          <w:color w:val="auto"/>
          <w:sz w:val="24"/>
          <w:highlight w:val="none"/>
        </w:rPr>
        <w:t>7.1产业政策符合性</w:t>
      </w:r>
      <w:bookmarkEnd w:id="339"/>
      <w:bookmarkEnd w:id="340"/>
      <w:bookmarkEnd w:id="341"/>
      <w:bookmarkEnd w:id="342"/>
      <w:bookmarkEnd w:id="343"/>
    </w:p>
    <w:p w14:paraId="2DBCFC74">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经查阅中华人民共和国国家发展和改革委员会令第</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号《</w:t>
      </w:r>
      <w:r>
        <w:rPr>
          <w:rFonts w:hint="default" w:ascii="Times New Roman" w:hAnsi="Times New Roman" w:cs="Times New Roman"/>
          <w:color w:val="auto"/>
          <w:kern w:val="0"/>
          <w:sz w:val="24"/>
          <w:highlight w:val="none"/>
        </w:rPr>
        <w:t>产业结构调整指导目录（</w:t>
      </w:r>
      <w:r>
        <w:rPr>
          <w:rFonts w:hint="default" w:ascii="Times New Roman" w:hAnsi="Times New Roman" w:cs="Times New Roman"/>
          <w:color w:val="auto"/>
          <w:kern w:val="0"/>
          <w:sz w:val="24"/>
          <w:highlight w:val="none"/>
          <w:lang w:val="en-US" w:eastAsia="zh-CN"/>
        </w:rPr>
        <w:t>2024</w:t>
      </w:r>
      <w:r>
        <w:rPr>
          <w:rFonts w:hint="default" w:ascii="Times New Roman" w:hAnsi="Times New Roman" w:cs="Times New Roman"/>
          <w:color w:val="auto"/>
          <w:kern w:val="0"/>
          <w:sz w:val="24"/>
          <w:highlight w:val="none"/>
        </w:rPr>
        <w:t>年本）</w:t>
      </w:r>
      <w:r>
        <w:rPr>
          <w:rFonts w:hint="default" w:ascii="Times New Roman" w:hAnsi="Times New Roman" w:cs="Times New Roman"/>
          <w:color w:val="auto"/>
          <w:sz w:val="24"/>
          <w:highlight w:val="none"/>
        </w:rPr>
        <w:t>》，本项目属于</w:t>
      </w:r>
      <w:r>
        <w:rPr>
          <w:rFonts w:hint="default" w:ascii="Times New Roman" w:hAnsi="Times New Roman" w:cs="Times New Roman"/>
          <w:color w:val="auto"/>
          <w:sz w:val="24"/>
          <w:highlight w:val="none"/>
          <w:lang w:bidi="zh-CN"/>
        </w:rPr>
        <w:t>鼓励类“一、农林业”中</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4、畜禽标准化规模养殖技术开发与应用”，项目建设符合国家及地方产业政策要求。</w:t>
      </w:r>
    </w:p>
    <w:p w14:paraId="6D54E0F2">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Style w:val="34"/>
          <w:rFonts w:hint="default" w:ascii="Times New Roman" w:hAnsi="Times New Roman" w:cs="Times New Roman"/>
          <w:b w:val="0"/>
          <w:bCs w:val="0"/>
          <w:color w:val="auto"/>
          <w:sz w:val="24"/>
          <w:highlight w:val="none"/>
        </w:rPr>
      </w:pPr>
      <w:bookmarkStart w:id="344" w:name="_Toc1729"/>
      <w:bookmarkStart w:id="345" w:name="_Toc17833"/>
      <w:bookmarkStart w:id="346" w:name="_Toc5305"/>
      <w:bookmarkStart w:id="347" w:name="_Toc88"/>
      <w:r>
        <w:rPr>
          <w:rStyle w:val="34"/>
          <w:rFonts w:hint="default" w:ascii="Times New Roman" w:hAnsi="Times New Roman" w:cs="Times New Roman"/>
          <w:b w:val="0"/>
          <w:bCs w:val="0"/>
          <w:color w:val="auto"/>
          <w:sz w:val="24"/>
          <w:highlight w:val="none"/>
        </w:rPr>
        <w:t>7.2与相关规划、区划的相符性</w:t>
      </w:r>
      <w:bookmarkEnd w:id="344"/>
      <w:bookmarkEnd w:id="345"/>
      <w:bookmarkEnd w:id="346"/>
      <w:bookmarkEnd w:id="347"/>
    </w:p>
    <w:p w14:paraId="29D73BF5">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48" w:name="_Toc6675"/>
      <w:r>
        <w:rPr>
          <w:rStyle w:val="35"/>
          <w:rFonts w:hint="default" w:ascii="Times New Roman" w:hAnsi="Times New Roman" w:eastAsia="宋体" w:cs="Times New Roman"/>
          <w:color w:val="auto"/>
          <w:sz w:val="24"/>
          <w:szCs w:val="24"/>
          <w:highlight w:val="none"/>
        </w:rPr>
        <w:t>7.2.1与《云南省主体功能区规划》的符合性</w:t>
      </w:r>
      <w:bookmarkEnd w:id="348"/>
    </w:p>
    <w:p w14:paraId="17ACC125">
      <w:pPr>
        <w:snapToGrid w:val="0"/>
        <w:spacing w:line="360" w:lineRule="auto"/>
        <w:ind w:firstLine="480" w:firstLineChars="200"/>
        <w:rPr>
          <w:rFonts w:hint="default" w:ascii="Times New Roman" w:hAnsi="Times New Roman" w:cs="Times New Roman"/>
          <w:snapToGrid w:val="0"/>
          <w:color w:val="auto"/>
          <w:kern w:val="0"/>
          <w:sz w:val="24"/>
          <w:highlight w:val="none"/>
        </w:rPr>
      </w:pPr>
      <w:bookmarkStart w:id="349" w:name="_Hlk85701868"/>
      <w:r>
        <w:rPr>
          <w:rFonts w:hint="default" w:ascii="Times New Roman" w:hAnsi="Times New Roman" w:cs="Times New Roman"/>
          <w:snapToGrid w:val="0"/>
          <w:color w:val="auto"/>
          <w:kern w:val="0"/>
          <w:sz w:val="24"/>
          <w:highlight w:val="none"/>
        </w:rPr>
        <w:t>《云南省主体功能区划》</w:t>
      </w:r>
      <w:bookmarkEnd w:id="349"/>
      <w:r>
        <w:rPr>
          <w:rFonts w:hint="default" w:ascii="Times New Roman" w:hAnsi="Times New Roman" w:cs="Times New Roman"/>
          <w:snapToGrid w:val="0"/>
          <w:color w:val="auto"/>
          <w:kern w:val="0"/>
          <w:sz w:val="24"/>
          <w:highlight w:val="none"/>
        </w:rPr>
        <w:t>将全省国土空间按照开发方式分为重点开发区域、限制开发区域和禁止开发区域3类主体功能区。重点开发区域是指有一定经济基础，资源环境承载能力较强，发展潜力较大，集聚人口和经济条件较好，从而应该重点进行工业化城镇化开发的城市化地区，其主体功能是提供工业品和服务产品，聚集经济和人口，但也要保护好基本农田、森林、水域，提供一定数量的农产品和生态产品。限制开发区域是指关系国家农产品供给安全和生态安全，不应该或不适宜进行大规模、高强度工业化城镇化开发的农产品主产区和重点生态功能区。其中，限制开发区域中的农产品主产区是以提供农产品、保障农产品供给安全为主体功能的区域。限制开发区域中的重点生态功能区是以提供生态产品、保障生态安全和生态系统稳定为主体功能的区域。限制开发区也可发展符合主体功能定位、当地资源环境可承载的产业。禁止开发区域是指依法设立的各级各类自然文化资源保护区域，以及其他禁止进行工业化城镇化开发、需要特殊保护的重点生态功能区。规划中禁止开发区域包括自然保护区、世界遗产、风景名胜区、森林公园、地质公园、城市饮用水源保护区、湿地公园、水产种质资源保护区、猪栏江流域上游保护区水源保护核心区等。</w:t>
      </w:r>
    </w:p>
    <w:p w14:paraId="60D81012">
      <w:pPr>
        <w:snapToGrid w:val="0"/>
        <w:spacing w:line="360" w:lineRule="auto"/>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项目位于</w:t>
      </w:r>
      <w:r>
        <w:rPr>
          <w:rFonts w:hint="default" w:ascii="Times New Roman" w:hAnsi="Times New Roman" w:cs="Times New Roman"/>
          <w:snapToGrid w:val="0"/>
          <w:color w:val="auto"/>
          <w:kern w:val="0"/>
          <w:sz w:val="24"/>
          <w:highlight w:val="none"/>
          <w:lang w:val="en-US" w:eastAsia="zh-CN"/>
        </w:rPr>
        <w:t>国家</w:t>
      </w:r>
      <w:r>
        <w:rPr>
          <w:rFonts w:hint="default" w:ascii="Times New Roman" w:hAnsi="Times New Roman" w:cs="Times New Roman"/>
          <w:snapToGrid w:val="0"/>
          <w:color w:val="auto"/>
          <w:kern w:val="0"/>
          <w:sz w:val="24"/>
          <w:highlight w:val="none"/>
        </w:rPr>
        <w:t>农产品主产区（见附图11），本项目为生猪养殖建设项目，属于生态农产品供给，满足当地土地承载力要求，符合《云南省主体功能区划》的要求。</w:t>
      </w:r>
    </w:p>
    <w:p w14:paraId="0CE0B0E2">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50" w:name="_Toc27592"/>
      <w:r>
        <w:rPr>
          <w:rStyle w:val="35"/>
          <w:rFonts w:hint="default" w:ascii="Times New Roman" w:hAnsi="Times New Roman" w:eastAsia="宋体" w:cs="Times New Roman"/>
          <w:color w:val="auto"/>
          <w:sz w:val="24"/>
          <w:szCs w:val="24"/>
          <w:highlight w:val="none"/>
        </w:rPr>
        <w:t>7.2.2与《云南省生态功能区划》的符合性</w:t>
      </w:r>
      <w:bookmarkEnd w:id="350"/>
    </w:p>
    <w:p w14:paraId="3B48ECC4">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云南省生态功能区划系统分为三个等级。具体划分如下：</w:t>
      </w:r>
    </w:p>
    <w:p w14:paraId="65BB5BCE">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一级区（生态区）：一级区为国家生态环境功能区划中的三级区，在云南省表现为生物气候带。</w:t>
      </w:r>
    </w:p>
    <w:p w14:paraId="59CC14B9">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二级区（生态亚区）：以一级生态区内，由地貌引起的气候、生态系统类型组合的差异为依据进行划分。</w:t>
      </w:r>
    </w:p>
    <w:p w14:paraId="66192F60">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三级区（生态功能区）：以生态服务功能的重要性、生态环境敏感性等指标进行划分。</w:t>
      </w:r>
    </w:p>
    <w:p w14:paraId="718C40D0">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云南省生态功能区共分一级区（生态区）5个，二级区（生态亚区）19个，三级区（生态功能区）65个。</w:t>
      </w:r>
    </w:p>
    <w:p w14:paraId="7C1BB73F">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经查阅云南省生态功能区划，项目区位于Ⅲ高原亚热带南部常绿阔叶林生态区——Ⅲ1 滇中高原谷盆半湿润常绿阔叶林、暖性针叶林生态亚区——Ⅲ1-12 南盘江、甸溪河岩溶低山水土保持生态功能区，主要生态特征：以石灰岩低山丘陵地貌为主，大部分地区年降雨量1000-1200毫米，东部局部地区达到 1500－2000毫米，主要属南盘江水系。主要植被类型为云南松和灌木林，土壤类型主要是黄红壤和石灰土。主要生态环境问题为人口密集、土地利用过度引起的潜在石漠化。生态敏感特征为石漠化高中度敏感。主要生态系统服务功能为岩溶地区的生态农业建设。保护措施与发展方向是发展以亚热带经济林木为主的生态林业，降低土地利用强度，开展多种经营和清洁生产，防止石漠化。</w:t>
      </w:r>
    </w:p>
    <w:p w14:paraId="443C7848">
      <w:pPr>
        <w:snapToGrid w:val="0"/>
        <w:spacing w:line="360" w:lineRule="auto"/>
        <w:ind w:firstLine="480" w:firstLineChars="200"/>
        <w:rPr>
          <w:rFonts w:hint="default" w:ascii="Times New Roman" w:hAnsi="Times New Roman" w:cs="Times New Roman"/>
          <w:color w:val="auto"/>
          <w:sz w:val="24"/>
          <w:highlight w:val="none"/>
          <w:lang w:bidi="zh-CN"/>
        </w:rPr>
      </w:pPr>
      <w:r>
        <w:rPr>
          <w:rFonts w:hint="default" w:ascii="Times New Roman" w:hAnsi="Times New Roman" w:cs="Times New Roman"/>
          <w:color w:val="auto"/>
          <w:sz w:val="24"/>
          <w:highlight w:val="none"/>
          <w:lang w:bidi="zh-CN"/>
        </w:rPr>
        <w:t>本项目为畜禽养殖项目，项目原始占地类型为</w:t>
      </w:r>
      <w:r>
        <w:rPr>
          <w:rFonts w:hint="default" w:ascii="Times New Roman" w:hAnsi="Times New Roman" w:cs="Times New Roman"/>
          <w:color w:val="auto"/>
          <w:sz w:val="24"/>
          <w:highlight w:val="none"/>
          <w:lang w:val="en-US" w:bidi="zh-CN"/>
        </w:rPr>
        <w:t>农用地</w:t>
      </w:r>
      <w:r>
        <w:rPr>
          <w:rFonts w:hint="default" w:ascii="Times New Roman" w:hAnsi="Times New Roman" w:cs="Times New Roman"/>
          <w:color w:val="auto"/>
          <w:sz w:val="24"/>
          <w:highlight w:val="none"/>
          <w:lang w:bidi="zh-CN"/>
        </w:rPr>
        <w:t>，现</w:t>
      </w:r>
      <w:r>
        <w:rPr>
          <w:rFonts w:hint="default" w:ascii="Times New Roman" w:hAnsi="Times New Roman" w:cs="Times New Roman"/>
          <w:bCs/>
          <w:color w:val="auto"/>
          <w:sz w:val="24"/>
          <w:highlight w:val="none"/>
          <w:lang w:bidi="zh-CN"/>
        </w:rPr>
        <w:t>建设单位</w:t>
      </w:r>
      <w:r>
        <w:rPr>
          <w:rFonts w:hint="default" w:ascii="Times New Roman" w:hAnsi="Times New Roman" w:cs="Times New Roman"/>
          <w:color w:val="auto"/>
          <w:sz w:val="24"/>
          <w:highlight w:val="none"/>
          <w:lang w:bidi="zh-CN"/>
        </w:rPr>
        <w:t>已与村民签订了《土地承包合同》，并</w:t>
      </w:r>
      <w:r>
        <w:rPr>
          <w:rFonts w:hint="default" w:ascii="Times New Roman" w:hAnsi="Times New Roman" w:cs="Times New Roman"/>
          <w:bCs/>
          <w:color w:val="auto"/>
          <w:sz w:val="24"/>
          <w:highlight w:val="none"/>
          <w:lang w:bidi="zh-CN"/>
        </w:rPr>
        <w:t>办理了项目用地《设施农用地备案表》，备案登记后属于设施农用地</w:t>
      </w:r>
      <w:r>
        <w:rPr>
          <w:rFonts w:hint="default" w:ascii="Times New Roman" w:hAnsi="Times New Roman" w:cs="Times New Roman"/>
          <w:color w:val="auto"/>
          <w:sz w:val="24"/>
          <w:highlight w:val="none"/>
          <w:lang w:bidi="zh-CN"/>
        </w:rPr>
        <w:t>。项目建成后通过在项目区内实施一定面积的绿化，在一定程度上可以减缓对该区域生态环境造成影响。若后期建设单位不再承包该土地时，将交还给居民使用，并进行土地复垦，因此，项目建设不会造成石漠化。项目建设与《云南省生态功能区划》不冲突。项目与云南省</w:t>
      </w:r>
      <w:r>
        <w:rPr>
          <w:rFonts w:hint="default" w:ascii="Times New Roman" w:hAnsi="Times New Roman" w:cs="Times New Roman"/>
          <w:color w:val="auto"/>
          <w:sz w:val="24"/>
          <w:highlight w:val="none"/>
        </w:rPr>
        <w:t>生态功能区划位置关系图见附图10。</w:t>
      </w:r>
    </w:p>
    <w:p w14:paraId="449CC290">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51" w:name="_Toc897"/>
      <w:r>
        <w:rPr>
          <w:rStyle w:val="35"/>
          <w:rFonts w:hint="default" w:ascii="Times New Roman" w:hAnsi="Times New Roman" w:eastAsia="宋体" w:cs="Times New Roman"/>
          <w:color w:val="auto"/>
          <w:sz w:val="24"/>
          <w:szCs w:val="24"/>
          <w:highlight w:val="none"/>
        </w:rPr>
        <w:t>7.2.3</w:t>
      </w:r>
      <w:r>
        <w:rPr>
          <w:rFonts w:hint="default" w:ascii="Times New Roman" w:hAnsi="Times New Roman" w:eastAsia="宋体" w:cs="Times New Roman"/>
          <w:color w:val="auto"/>
          <w:sz w:val="24"/>
          <w:szCs w:val="24"/>
          <w:highlight w:val="none"/>
        </w:rPr>
        <w:t>与《云南省“十四五”生态环境保护规划》符合性分析</w:t>
      </w:r>
      <w:bookmarkEnd w:id="351"/>
    </w:p>
    <w:p w14:paraId="030B8556">
      <w:pPr>
        <w:adjustRightInd w:val="0"/>
        <w:snapToGrid w:val="0"/>
        <w:spacing w:line="360" w:lineRule="auto"/>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根据《云南省“十四五”生态环境保护规划》（云环发</w:t>
      </w:r>
      <w:r>
        <w:rPr>
          <w:rFonts w:hint="eastAsia" w:ascii="Times New Roman" w:hAnsi="Times New Roman" w:cs="Times New Roman"/>
          <w:snapToGrid w:val="0"/>
          <w:color w:val="auto"/>
          <w:kern w:val="0"/>
          <w:sz w:val="24"/>
          <w:highlight w:val="none"/>
          <w:lang w:eastAsia="zh-CN"/>
        </w:rPr>
        <w:t>〔2022〕13号</w:t>
      </w:r>
      <w:r>
        <w:rPr>
          <w:rFonts w:hint="default" w:ascii="Times New Roman" w:hAnsi="Times New Roman" w:cs="Times New Roman"/>
          <w:snapToGrid w:val="0"/>
          <w:color w:val="auto"/>
          <w:kern w:val="0"/>
          <w:sz w:val="24"/>
          <w:highlight w:val="none"/>
        </w:rPr>
        <w:t>） 提出的要求：</w:t>
      </w:r>
    </w:p>
    <w:p w14:paraId="61E460A0">
      <w:pPr>
        <w:adjustRightInd w:val="0"/>
        <w:snapToGrid w:val="0"/>
        <w:spacing w:line="360" w:lineRule="auto"/>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“第五章  应对气候变化，控制温室气体排放——第二节  控制温室气体排放：加强标准化规模种植养殖，控制农田和畜禽养殖的甲烷、氧化亚氮排放。“</w:t>
      </w:r>
    </w:p>
    <w:p w14:paraId="59A25708">
      <w:pPr>
        <w:adjustRightInd w:val="0"/>
        <w:snapToGrid w:val="0"/>
        <w:spacing w:line="360" w:lineRule="auto"/>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“第七章  推进系统防治，有效管控土壤污染风险——第三节  加强农业农村环境治理：强化养殖业污染治理。科学划定养殖业适养、限养、禁养区域，加强禁养区日常监督管理。加快发展种养有机结合的循环农业，推进畜禽养殖废弃物资源化利用，鼓励规模以下畜禽养殖户采用种养结合、“截污建池、收运还田”等模式，实施畜禽粪污治理。到2025 年，规模畜禽养殖全部配套畜禽粪污处理设施。强化农业面源污染监管。逐步建立农业面源污染治理与监督指导体系，制定农业面源污染治理与监督指导实施方案，推动湖泊、重点流域等区域的农业面源污染治理与监督指导试点。对设有固定排污口的畜禽规模养殖场实施排污许可制度，开展水质监测，加强环境执法检查。</w:t>
      </w:r>
    </w:p>
    <w:p w14:paraId="41CDE9EC">
      <w:pPr>
        <w:adjustRightInd w:val="0"/>
        <w:snapToGrid w:val="0"/>
        <w:spacing w:line="360" w:lineRule="auto"/>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本项目为标准化生猪养殖项目。本项目选址不在禁养区及限养区范围内；本项目采用</w:t>
      </w:r>
      <w:r>
        <w:rPr>
          <w:rFonts w:hint="default" w:ascii="Times New Roman" w:hAnsi="Times New Roman" w:cs="Times New Roman"/>
          <w:snapToGrid w:val="0"/>
          <w:color w:val="auto"/>
          <w:kern w:val="0"/>
          <w:sz w:val="24"/>
          <w:highlight w:val="none"/>
          <w:lang w:eastAsia="zh-CN"/>
        </w:rPr>
        <w:t>干清粪</w:t>
      </w:r>
      <w:r>
        <w:rPr>
          <w:rFonts w:hint="default" w:ascii="Times New Roman" w:hAnsi="Times New Roman" w:cs="Times New Roman"/>
          <w:snapToGrid w:val="0"/>
          <w:color w:val="auto"/>
          <w:kern w:val="0"/>
          <w:sz w:val="24"/>
          <w:highlight w:val="none"/>
        </w:rPr>
        <w:t>工艺，</w:t>
      </w:r>
      <w:r>
        <w:rPr>
          <w:rFonts w:hint="default" w:ascii="Times New Roman" w:hAnsi="Times New Roman" w:cs="Times New Roman"/>
          <w:snapToGrid w:val="0"/>
          <w:color w:val="auto"/>
          <w:kern w:val="0"/>
          <w:sz w:val="24"/>
          <w:highlight w:val="none"/>
          <w:lang w:val="en-US" w:eastAsia="zh-CN"/>
        </w:rPr>
        <w:t>废水依托弥勒温氏畜牧有限公司新哨种猪场建设项目污水处理站处理后用于绿化及农田灌溉。粪便</w:t>
      </w:r>
      <w:r>
        <w:rPr>
          <w:rFonts w:hint="default" w:ascii="Times New Roman" w:hAnsi="Times New Roman" w:cs="Times New Roman"/>
          <w:snapToGrid w:val="0"/>
          <w:color w:val="auto"/>
          <w:kern w:val="0"/>
          <w:sz w:val="24"/>
          <w:highlight w:val="none"/>
        </w:rPr>
        <w:t>经过堆肥发酵</w:t>
      </w:r>
      <w:r>
        <w:rPr>
          <w:rFonts w:hint="default" w:ascii="Times New Roman" w:hAnsi="Times New Roman" w:cs="Times New Roman"/>
          <w:snapToGrid w:val="0"/>
          <w:color w:val="auto"/>
          <w:kern w:val="0"/>
          <w:sz w:val="24"/>
          <w:highlight w:val="none"/>
          <w:lang w:val="en-US" w:eastAsia="zh-CN"/>
        </w:rPr>
        <w:t>后</w:t>
      </w:r>
      <w:r>
        <w:rPr>
          <w:rFonts w:hint="default" w:ascii="Times New Roman" w:hAnsi="Times New Roman" w:cs="Times New Roman"/>
          <w:snapToGrid w:val="0"/>
          <w:color w:val="auto"/>
          <w:kern w:val="0"/>
          <w:sz w:val="24"/>
          <w:highlight w:val="none"/>
        </w:rPr>
        <w:t>用于周边农田施肥，有效实现了资源化利用。</w:t>
      </w:r>
    </w:p>
    <w:p w14:paraId="68D2C9DF">
      <w:pPr>
        <w:adjustRightInd w:val="0"/>
        <w:snapToGrid w:val="0"/>
        <w:spacing w:line="360" w:lineRule="auto"/>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因此，项目建设符合《云南省“十四五”生态环境保护规划》（云环发</w:t>
      </w:r>
      <w:r>
        <w:rPr>
          <w:rFonts w:hint="eastAsia" w:ascii="Times New Roman" w:hAnsi="Times New Roman" w:cs="Times New Roman"/>
          <w:snapToGrid w:val="0"/>
          <w:color w:val="auto"/>
          <w:kern w:val="0"/>
          <w:sz w:val="24"/>
          <w:highlight w:val="none"/>
          <w:lang w:eastAsia="zh-CN"/>
        </w:rPr>
        <w:t>〔2022〕13号</w:t>
      </w:r>
      <w:r>
        <w:rPr>
          <w:rFonts w:hint="default" w:ascii="Times New Roman" w:hAnsi="Times New Roman" w:cs="Times New Roman"/>
          <w:snapToGrid w:val="0"/>
          <w:color w:val="auto"/>
          <w:kern w:val="0"/>
          <w:sz w:val="24"/>
          <w:highlight w:val="none"/>
        </w:rPr>
        <w:t>）的要求。</w:t>
      </w:r>
    </w:p>
    <w:p w14:paraId="4719007C">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52" w:name="_Toc26814"/>
      <w:r>
        <w:rPr>
          <w:rStyle w:val="35"/>
          <w:rFonts w:hint="default" w:ascii="Times New Roman" w:hAnsi="Times New Roman" w:eastAsia="宋体" w:cs="Times New Roman"/>
          <w:color w:val="auto"/>
          <w:sz w:val="24"/>
          <w:szCs w:val="24"/>
          <w:highlight w:val="none"/>
        </w:rPr>
        <w:t>7.2.</w:t>
      </w:r>
      <w:r>
        <w:rPr>
          <w:rStyle w:val="35"/>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与《云南“十四五“畜牧业高质量发展实施意见》（云农牧〔2022〕3号）符合性分析</w:t>
      </w:r>
      <w:bookmarkEnd w:id="352"/>
    </w:p>
    <w:p w14:paraId="17B499B4">
      <w:pPr>
        <w:adjustRightInd w:val="0"/>
        <w:snapToGrid w:val="0"/>
        <w:spacing w:line="360" w:lineRule="auto"/>
        <w:ind w:firstLine="480" w:firstLineChars="200"/>
        <w:rPr>
          <w:rFonts w:hint="default" w:ascii="Times New Roman" w:hAnsi="Times New Roman" w:cs="Times New Roman"/>
          <w:snapToGrid w:val="0"/>
          <w:color w:val="auto"/>
          <w:kern w:val="0"/>
          <w:sz w:val="24"/>
          <w:highlight w:val="none"/>
          <w:lang w:eastAsia="zh-CN"/>
        </w:rPr>
      </w:pPr>
      <w:r>
        <w:rPr>
          <w:rFonts w:hint="default" w:ascii="Times New Roman" w:hAnsi="Times New Roman" w:cs="Times New Roman"/>
          <w:snapToGrid w:val="0"/>
          <w:color w:val="auto"/>
          <w:kern w:val="0"/>
          <w:sz w:val="24"/>
          <w:highlight w:val="none"/>
          <w:lang w:eastAsia="zh-CN"/>
        </w:rPr>
        <w:t>项目与《云南“十四五“畜牧业高质量发展实施意见》符合性分析如下：</w:t>
      </w:r>
    </w:p>
    <w:p w14:paraId="7ED399D1">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表7.</w:t>
      </w:r>
      <w:r>
        <w:rPr>
          <w:rFonts w:hint="default" w:ascii="Times New Roman" w:hAnsi="Times New Roman" w:cs="Times New Roman"/>
          <w:b/>
          <w:color w:val="auto"/>
          <w:highlight w:val="none"/>
          <w:lang w:val="en-US" w:eastAsia="zh-CN"/>
        </w:rPr>
        <w:t>2</w:t>
      </w:r>
      <w:r>
        <w:rPr>
          <w:rFonts w:hint="default" w:ascii="Times New Roman" w:hAnsi="Times New Roman" w:cs="Times New Roman"/>
          <w:b/>
          <w:color w:val="auto"/>
          <w:highlight w:val="none"/>
        </w:rPr>
        <w:t>-</w:t>
      </w:r>
      <w:r>
        <w:rPr>
          <w:rFonts w:hint="default" w:ascii="Times New Roman" w:hAnsi="Times New Roman" w:cs="Times New Roman"/>
          <w:b/>
          <w:color w:val="auto"/>
          <w:highlight w:val="none"/>
          <w:lang w:val="en-US" w:eastAsia="zh-CN"/>
        </w:rPr>
        <w:t xml:space="preserve">1 </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eastAsia="zh-CN"/>
        </w:rPr>
        <w:t>项目</w:t>
      </w:r>
      <w:r>
        <w:rPr>
          <w:rFonts w:hint="default" w:ascii="Times New Roman" w:hAnsi="Times New Roman" w:cs="Times New Roman"/>
          <w:b/>
          <w:color w:val="auto"/>
          <w:highlight w:val="none"/>
        </w:rPr>
        <w:t>与《云南“十四五“畜牧业高质量发展实施意见》符合性分析</w:t>
      </w:r>
    </w:p>
    <w:tbl>
      <w:tblPr>
        <w:tblStyle w:val="23"/>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4955"/>
        <w:gridCol w:w="2708"/>
        <w:gridCol w:w="801"/>
      </w:tblGrid>
      <w:tr w14:paraId="674E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883" w:type="dxa"/>
            <w:gridSpan w:val="2"/>
            <w:tcBorders>
              <w:top w:val="single" w:color="auto" w:sz="4" w:space="0"/>
              <w:left w:val="single" w:color="auto" w:sz="4" w:space="0"/>
              <w:bottom w:val="single" w:color="auto" w:sz="4" w:space="0"/>
              <w:right w:val="single" w:color="auto" w:sz="4" w:space="0"/>
            </w:tcBorders>
            <w:vAlign w:val="center"/>
          </w:tcPr>
          <w:p w14:paraId="1E649321">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相关要求</w:t>
            </w:r>
          </w:p>
        </w:tc>
        <w:tc>
          <w:tcPr>
            <w:tcW w:w="2708" w:type="dxa"/>
            <w:tcBorders>
              <w:top w:val="single" w:color="auto" w:sz="4" w:space="0"/>
              <w:left w:val="single" w:color="auto" w:sz="4" w:space="0"/>
              <w:bottom w:val="single" w:color="auto" w:sz="4" w:space="0"/>
              <w:right w:val="single" w:color="auto" w:sz="4" w:space="0"/>
            </w:tcBorders>
            <w:vAlign w:val="center"/>
          </w:tcPr>
          <w:p w14:paraId="66EFC630">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项目情况</w:t>
            </w:r>
          </w:p>
        </w:tc>
        <w:tc>
          <w:tcPr>
            <w:tcW w:w="801" w:type="dxa"/>
            <w:tcBorders>
              <w:top w:val="single" w:color="auto" w:sz="4" w:space="0"/>
              <w:left w:val="single" w:color="auto" w:sz="4" w:space="0"/>
              <w:bottom w:val="single" w:color="auto" w:sz="4" w:space="0"/>
              <w:right w:val="single" w:color="auto" w:sz="4" w:space="0"/>
            </w:tcBorders>
            <w:vAlign w:val="center"/>
          </w:tcPr>
          <w:p w14:paraId="319C0D6B">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符合性</w:t>
            </w:r>
          </w:p>
        </w:tc>
      </w:tr>
      <w:tr w14:paraId="410B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28" w:type="dxa"/>
            <w:tcBorders>
              <w:top w:val="single" w:color="auto" w:sz="4" w:space="0"/>
              <w:left w:val="single" w:color="auto" w:sz="4" w:space="0"/>
              <w:bottom w:val="single" w:color="auto" w:sz="4" w:space="0"/>
              <w:right w:val="single" w:color="auto" w:sz="4" w:space="0"/>
            </w:tcBorders>
            <w:vAlign w:val="center"/>
          </w:tcPr>
          <w:p w14:paraId="1E599E27">
            <w:pPr>
              <w:keepNext w:val="0"/>
              <w:keepLines w:val="0"/>
              <w:suppressLineNumbers w:val="0"/>
              <w:spacing w:before="0" w:beforeAutospacing="0" w:after="0" w:afterAutospacing="0"/>
              <w:ind w:left="0" w:right="0"/>
              <w:contextualSpacing/>
              <w:jc w:val="left"/>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三、总体思路</w:t>
            </w:r>
          </w:p>
          <w:p w14:paraId="011FFD6F">
            <w:pPr>
              <w:keepNext w:val="0"/>
              <w:keepLines w:val="0"/>
              <w:suppressLineNumbers w:val="0"/>
              <w:spacing w:before="0" w:beforeAutospacing="0" w:after="0" w:afterAutospacing="0"/>
              <w:ind w:left="0" w:right="0"/>
              <w:contextualSpacing/>
              <w:jc w:val="left"/>
              <w:rPr>
                <w:rFonts w:hint="default" w:ascii="Times New Roman" w:hAnsi="Times New Roman" w:cs="Times New Roman"/>
                <w:color w:val="auto"/>
                <w:sz w:val="18"/>
                <w:szCs w:val="18"/>
                <w:highlight w:val="none"/>
              </w:rPr>
            </w:pPr>
          </w:p>
        </w:tc>
        <w:tc>
          <w:tcPr>
            <w:tcW w:w="4955" w:type="dxa"/>
            <w:tcBorders>
              <w:top w:val="single" w:color="auto" w:sz="4" w:space="0"/>
              <w:left w:val="single" w:color="auto" w:sz="4" w:space="0"/>
              <w:bottom w:val="single" w:color="auto" w:sz="4" w:space="0"/>
              <w:right w:val="single" w:color="auto" w:sz="4" w:space="0"/>
            </w:tcBorders>
            <w:vAlign w:val="center"/>
          </w:tcPr>
          <w:p w14:paraId="25A8CAEF">
            <w:pPr>
              <w:keepNext w:val="0"/>
              <w:keepLines w:val="0"/>
              <w:suppressLineNumbers w:val="0"/>
              <w:spacing w:before="0" w:beforeAutospacing="0" w:after="0" w:afterAutospacing="0"/>
              <w:ind w:left="0" w:right="0"/>
              <w:contextualSpacing/>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（三）总体目标</w:t>
            </w:r>
          </w:p>
          <w:p w14:paraId="16BD44B9">
            <w:pPr>
              <w:keepNext w:val="0"/>
              <w:keepLines w:val="0"/>
              <w:suppressLineNumbers w:val="0"/>
              <w:spacing w:before="0" w:beforeAutospacing="0" w:after="0" w:afterAutospacing="0"/>
              <w:ind w:left="0" w:right="0"/>
              <w:contextualSpacing/>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到2025年，全省畜牧业生产能力持续提高，生猪、肉牛产业效益和竞争力显著提升，产业链供应链不断优化，产业素质、质量和效益不断增强，动物疫病防控体系日趋完善，畜产品对外贸易取得突破，绿色发展机制有效运转。</w:t>
            </w:r>
          </w:p>
        </w:tc>
        <w:tc>
          <w:tcPr>
            <w:tcW w:w="2708" w:type="dxa"/>
            <w:tcBorders>
              <w:top w:val="single" w:color="auto" w:sz="4" w:space="0"/>
              <w:left w:val="single" w:color="auto" w:sz="4" w:space="0"/>
              <w:bottom w:val="single" w:color="auto" w:sz="4" w:space="0"/>
              <w:right w:val="single" w:color="auto" w:sz="4" w:space="0"/>
            </w:tcBorders>
            <w:vAlign w:val="center"/>
          </w:tcPr>
          <w:p w14:paraId="395AAC18">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项目建成后年出栏生猪8000头，对全省畜牧业生产能力的提高是有利的。同时，项目为规模化养殖项目，采用先进管理方式进行养殖，可以增加产业素质、质量和效益。</w:t>
            </w:r>
          </w:p>
        </w:tc>
        <w:tc>
          <w:tcPr>
            <w:tcW w:w="801" w:type="dxa"/>
            <w:tcBorders>
              <w:top w:val="single" w:color="auto" w:sz="4" w:space="0"/>
              <w:left w:val="single" w:color="auto" w:sz="4" w:space="0"/>
              <w:bottom w:val="single" w:color="auto" w:sz="4" w:space="0"/>
              <w:right w:val="single" w:color="auto" w:sz="4" w:space="0"/>
            </w:tcBorders>
            <w:vAlign w:val="center"/>
          </w:tcPr>
          <w:p w14:paraId="4A2976C9">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6A2A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28" w:type="dxa"/>
            <w:tcBorders>
              <w:top w:val="single" w:color="auto" w:sz="4" w:space="0"/>
              <w:left w:val="single" w:color="auto" w:sz="4" w:space="0"/>
              <w:bottom w:val="single" w:color="auto" w:sz="4" w:space="0"/>
              <w:right w:val="single" w:color="auto" w:sz="4" w:space="0"/>
            </w:tcBorders>
            <w:vAlign w:val="center"/>
          </w:tcPr>
          <w:p w14:paraId="0B31E845">
            <w:pPr>
              <w:keepNext w:val="0"/>
              <w:keepLines w:val="0"/>
              <w:suppressLineNumbers w:val="0"/>
              <w:spacing w:before="0" w:beforeAutospacing="0" w:after="0" w:afterAutospacing="0"/>
              <w:ind w:left="0" w:right="0"/>
              <w:contextualSpacing/>
              <w:jc w:val="both"/>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四、重点产业</w:t>
            </w:r>
          </w:p>
        </w:tc>
        <w:tc>
          <w:tcPr>
            <w:tcW w:w="4955" w:type="dxa"/>
            <w:tcBorders>
              <w:top w:val="single" w:color="auto" w:sz="4" w:space="0"/>
              <w:left w:val="single" w:color="auto" w:sz="4" w:space="0"/>
              <w:bottom w:val="single" w:color="auto" w:sz="4" w:space="0"/>
              <w:right w:val="single" w:color="auto" w:sz="4" w:space="0"/>
            </w:tcBorders>
            <w:vAlign w:val="center"/>
          </w:tcPr>
          <w:p w14:paraId="2292275C">
            <w:pPr>
              <w:keepNext w:val="0"/>
              <w:keepLines w:val="0"/>
              <w:suppressLineNumbers w:val="0"/>
              <w:spacing w:before="0" w:beforeAutospacing="0" w:after="0" w:afterAutospacing="0"/>
              <w:ind w:left="0" w:right="0"/>
              <w:contextualSpacing/>
              <w:jc w:val="both"/>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（一）生猪</w:t>
            </w:r>
          </w:p>
          <w:p w14:paraId="7094C334">
            <w:pPr>
              <w:keepNext w:val="0"/>
              <w:keepLines w:val="0"/>
              <w:suppressLineNumbers w:val="0"/>
              <w:spacing w:before="0" w:beforeAutospacing="0" w:after="0" w:afterAutospacing="0"/>
              <w:ind w:left="0" w:right="0"/>
              <w:contextualSpacing/>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发展目标。到2025年，全省生猪存栏稳定在3400万头，其中能繁母猪存栏300万头左右，生猪出栏4200万头，猪肉产量350万吨，生猪产业综合产值3000亿元以上，生猪规模化养殖比重达到50%以上。培育年产值10亿元以上的生猪重点龙头企业3-5家，1-10亿元的生猪重点企业20家。力争把云南打造成中国优质种猪生产基地和重要生猪供应基地。</w:t>
            </w:r>
          </w:p>
          <w:p w14:paraId="67109C4C">
            <w:pPr>
              <w:keepNext w:val="0"/>
              <w:keepLines w:val="0"/>
              <w:suppressLineNumbers w:val="0"/>
              <w:spacing w:before="0" w:beforeAutospacing="0" w:after="0" w:afterAutospacing="0"/>
              <w:ind w:left="0" w:right="0"/>
              <w:contextualSpacing/>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区域布局。昆明、曲靖、玉溪、保山、昭通、楚雄、红河、文山、大理等州（市）为提质升级区，要稳定提升现有产能，加快产业转型升级，不断提高生猪养殖规模化、标准化、产业化、信息化水平，做强做大屠宰加工产业，推进生猪“就近屠宰、冷链配送”经营方式，促进产销有机衔接，发展优质高端生猪产业。丽江、普洱、临沧、西双版纳、德宏等州（市）为稳产发展区，要继续发挥资源优势，挖掘增长潜力，积极推进适度规模经营和标准化屠宰，推广先进高效实用养殖技术，因地制宜发展特色品种养殖。</w:t>
            </w:r>
          </w:p>
        </w:tc>
        <w:tc>
          <w:tcPr>
            <w:tcW w:w="2708" w:type="dxa"/>
            <w:tcBorders>
              <w:top w:val="single" w:color="auto" w:sz="4" w:space="0"/>
              <w:left w:val="single" w:color="auto" w:sz="4" w:space="0"/>
              <w:bottom w:val="single" w:color="auto" w:sz="4" w:space="0"/>
              <w:right w:val="single" w:color="auto" w:sz="4" w:space="0"/>
            </w:tcBorders>
            <w:vAlign w:val="center"/>
          </w:tcPr>
          <w:p w14:paraId="5D59758A">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项目为规模化养殖项目，建成后年出栏生猪8000头，能够为完成全省生猪发展目标提供支点。</w:t>
            </w:r>
          </w:p>
        </w:tc>
        <w:tc>
          <w:tcPr>
            <w:tcW w:w="801" w:type="dxa"/>
            <w:tcBorders>
              <w:top w:val="single" w:color="auto" w:sz="4" w:space="0"/>
              <w:left w:val="single" w:color="auto" w:sz="4" w:space="0"/>
              <w:bottom w:val="single" w:color="auto" w:sz="4" w:space="0"/>
              <w:right w:val="single" w:color="auto" w:sz="4" w:space="0"/>
            </w:tcBorders>
            <w:vAlign w:val="center"/>
          </w:tcPr>
          <w:p w14:paraId="78E3A870">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1CF3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6" w:hRule="atLeast"/>
          <w:jc w:val="center"/>
        </w:trPr>
        <w:tc>
          <w:tcPr>
            <w:tcW w:w="928" w:type="dxa"/>
            <w:vMerge w:val="restart"/>
            <w:tcBorders>
              <w:top w:val="single" w:color="auto" w:sz="4" w:space="0"/>
              <w:left w:val="single" w:color="auto" w:sz="4" w:space="0"/>
              <w:right w:val="single" w:color="auto" w:sz="4" w:space="0"/>
            </w:tcBorders>
            <w:vAlign w:val="center"/>
          </w:tcPr>
          <w:p w14:paraId="2E0B8ECF">
            <w:pPr>
              <w:keepNext w:val="0"/>
              <w:keepLines w:val="0"/>
              <w:suppressLineNumbers w:val="0"/>
              <w:spacing w:before="0" w:beforeAutospacing="0" w:after="0" w:afterAutospacing="0"/>
              <w:ind w:left="0" w:right="0"/>
              <w:contextualSpacing/>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五、主要任务</w:t>
            </w:r>
          </w:p>
          <w:p w14:paraId="5627519F">
            <w:pPr>
              <w:keepNext w:val="0"/>
              <w:keepLines w:val="0"/>
              <w:suppressLineNumbers w:val="0"/>
              <w:spacing w:before="0" w:beforeAutospacing="0" w:after="0" w:afterAutospacing="0"/>
              <w:ind w:left="0" w:right="0"/>
              <w:contextualSpacing/>
              <w:jc w:val="left"/>
              <w:rPr>
                <w:rFonts w:hint="default" w:ascii="Times New Roman" w:hAnsi="Times New Roman" w:cs="Times New Roman"/>
                <w:color w:val="auto"/>
                <w:sz w:val="18"/>
                <w:szCs w:val="18"/>
                <w:highlight w:val="none"/>
                <w:lang w:eastAsia="zh-CN"/>
              </w:rPr>
            </w:pPr>
          </w:p>
        </w:tc>
        <w:tc>
          <w:tcPr>
            <w:tcW w:w="4955" w:type="dxa"/>
            <w:tcBorders>
              <w:top w:val="single" w:color="auto" w:sz="4" w:space="0"/>
              <w:left w:val="single" w:color="auto" w:sz="4" w:space="0"/>
              <w:right w:val="single" w:color="auto" w:sz="4" w:space="0"/>
            </w:tcBorders>
            <w:vAlign w:val="center"/>
          </w:tcPr>
          <w:p w14:paraId="197CF0E3">
            <w:pPr>
              <w:keepNext w:val="0"/>
              <w:keepLines w:val="0"/>
              <w:suppressLineNumbers w:val="0"/>
              <w:spacing w:before="0" w:beforeAutospacing="0" w:after="0" w:afterAutospacing="0"/>
              <w:ind w:left="0" w:right="0"/>
              <w:contextualSpacing/>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（二）示范创建带动，构建高效益养殖生产体系</w:t>
            </w:r>
          </w:p>
          <w:p w14:paraId="2FBA4ADC">
            <w:pPr>
              <w:keepNext w:val="0"/>
              <w:keepLines w:val="0"/>
              <w:suppressLineNumbers w:val="0"/>
              <w:spacing w:before="0" w:beforeAutospacing="0" w:after="0" w:afterAutospacing="0"/>
              <w:ind w:left="0" w:right="0"/>
              <w:contextualSpacing/>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按照“生产标准化、饲养精细化、管理智能化”要求，加快转变发展方式，高标准推进畜禽规模化养殖，创新推动组织化生产经营，构建高效益养殖生产体系。</w:t>
            </w:r>
          </w:p>
          <w:p w14:paraId="4F1B51C1">
            <w:pPr>
              <w:keepNext w:val="0"/>
              <w:keepLines w:val="0"/>
              <w:suppressLineNumbers w:val="0"/>
              <w:spacing w:before="0" w:beforeAutospacing="0" w:after="0" w:afterAutospacing="0"/>
              <w:ind w:left="0" w:right="0"/>
              <w:contextualSpacing/>
              <w:jc w:val="left"/>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1.深入开展标准化示范创建。引导中小养殖场户推进规模化经营，加强规范和指导，深入开展标准化示范创建，发展清洁养殖，加速推动“传统养殖”向“标准化养殖”、“现代化养殖”转变，打造一批种养结合生态家庭农场，一批“生产高效、环境友好、产品优质、生物安全、管理先进”的标准化示范养殖场，一批“智能饲喂、物联管理”的现代化牧场。</w:t>
            </w:r>
          </w:p>
          <w:p w14:paraId="4A5E033A">
            <w:pPr>
              <w:keepNext w:val="0"/>
              <w:keepLines w:val="0"/>
              <w:suppressLineNumbers w:val="0"/>
              <w:spacing w:before="0" w:beforeAutospacing="0" w:after="0" w:afterAutospacing="0"/>
              <w:ind w:left="0" w:right="0"/>
              <w:contextualSpacing/>
              <w:jc w:val="left"/>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3.扶持中小养殖户发展。引导和推动龙头企业与其他经营主体以“龙头企业+合作社+家庭农场”、“协会+龙头企业+合作社”等模式联合，加快推动产业化联合体建设。鼓励大型龙头企业“以大带小”，支持龙头企业通过股份合作、信贷担保、技术支持等方式帮助农民发展生产。鼓励新型农业经营主体与中小养殖户建立长期稳定的利益联结机制。</w:t>
            </w:r>
          </w:p>
        </w:tc>
        <w:tc>
          <w:tcPr>
            <w:tcW w:w="2708" w:type="dxa"/>
            <w:tcBorders>
              <w:top w:val="single" w:color="auto" w:sz="4" w:space="0"/>
              <w:left w:val="single" w:color="auto" w:sz="4" w:space="0"/>
              <w:right w:val="single" w:color="auto" w:sz="4" w:space="0"/>
            </w:tcBorders>
            <w:vAlign w:val="center"/>
          </w:tcPr>
          <w:p w14:paraId="608C3110">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本项目采用“公司+家庭农场”的经营模式，与农户建立生猪饲养合作关系，以此拓宽当地农民经济收入渠道，带动一方农民致富，促进当地生猪养殖业向现代化、产业化、规模化发展。</w:t>
            </w:r>
          </w:p>
        </w:tc>
        <w:tc>
          <w:tcPr>
            <w:tcW w:w="801" w:type="dxa"/>
            <w:tcBorders>
              <w:top w:val="single" w:color="auto" w:sz="4" w:space="0"/>
              <w:left w:val="single" w:color="auto" w:sz="4" w:space="0"/>
              <w:bottom w:val="single" w:color="auto" w:sz="4" w:space="0"/>
              <w:right w:val="single" w:color="auto" w:sz="4" w:space="0"/>
            </w:tcBorders>
            <w:vAlign w:val="center"/>
          </w:tcPr>
          <w:p w14:paraId="2A6CE860">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符合</w:t>
            </w:r>
          </w:p>
        </w:tc>
      </w:tr>
      <w:tr w14:paraId="37E2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28" w:type="dxa"/>
            <w:vMerge w:val="continue"/>
            <w:tcBorders>
              <w:left w:val="single" w:color="auto" w:sz="4" w:space="0"/>
              <w:bottom w:val="single" w:color="auto" w:sz="4" w:space="0"/>
              <w:right w:val="single" w:color="auto" w:sz="4" w:space="0"/>
            </w:tcBorders>
            <w:vAlign w:val="center"/>
          </w:tcPr>
          <w:p w14:paraId="66C6283D">
            <w:pPr>
              <w:keepNext w:val="0"/>
              <w:keepLines w:val="0"/>
              <w:suppressLineNumbers w:val="0"/>
              <w:spacing w:before="0" w:beforeAutospacing="0" w:after="0" w:afterAutospacing="0"/>
              <w:ind w:left="0" w:right="0"/>
              <w:contextualSpacing/>
              <w:jc w:val="left"/>
              <w:rPr>
                <w:rFonts w:hint="default" w:ascii="Times New Roman" w:hAnsi="Times New Roman" w:cs="Times New Roman"/>
                <w:color w:val="auto"/>
                <w:sz w:val="18"/>
                <w:szCs w:val="18"/>
                <w:highlight w:val="none"/>
              </w:rPr>
            </w:pPr>
          </w:p>
        </w:tc>
        <w:tc>
          <w:tcPr>
            <w:tcW w:w="4955" w:type="dxa"/>
            <w:tcBorders>
              <w:top w:val="single" w:color="auto" w:sz="4" w:space="0"/>
              <w:left w:val="single" w:color="auto" w:sz="4" w:space="0"/>
              <w:bottom w:val="single" w:color="auto" w:sz="4" w:space="0"/>
              <w:right w:val="single" w:color="auto" w:sz="4" w:space="0"/>
            </w:tcBorders>
            <w:vAlign w:val="center"/>
          </w:tcPr>
          <w:p w14:paraId="5B78DED3">
            <w:pPr>
              <w:keepNext w:val="0"/>
              <w:keepLines w:val="0"/>
              <w:suppressLineNumbers w:val="0"/>
              <w:spacing w:before="0" w:beforeAutospacing="0" w:after="0" w:afterAutospacing="0"/>
              <w:ind w:left="0" w:right="0"/>
              <w:contextualSpacing/>
              <w:jc w:val="left"/>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（五）绿色发展引领，打造生态高效畜牧业</w:t>
            </w:r>
          </w:p>
          <w:p w14:paraId="6E0BEEE2">
            <w:pPr>
              <w:keepNext w:val="0"/>
              <w:keepLines w:val="0"/>
              <w:suppressLineNumbers w:val="0"/>
              <w:spacing w:before="0" w:beforeAutospacing="0" w:after="0" w:afterAutospacing="0"/>
              <w:ind w:left="0" w:right="0"/>
              <w:contextualSpacing/>
              <w:jc w:val="left"/>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以提升兽药饲料质量安全水平、推进畜禽粪污综合利用和病死畜禽无害化处理为工作重点，打造“减量化生产、资源化利用、无害化处理、生态化循环”的绿色、生态型畜牧业。</w:t>
            </w:r>
          </w:p>
          <w:p w14:paraId="6D50EB0B">
            <w:pPr>
              <w:keepNext w:val="0"/>
              <w:keepLines w:val="0"/>
              <w:suppressLineNumbers w:val="0"/>
              <w:spacing w:before="0" w:beforeAutospacing="0" w:after="0" w:afterAutospacing="0"/>
              <w:ind w:left="0" w:right="0"/>
              <w:contextualSpacing/>
              <w:jc w:val="left"/>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1.持续推进粪污资源化利用。继续支持实施畜禽粪污资源化利用整县推进项目，建设粪肥还田示范基地，推行液体粪肥机械化施用，统筹种养用地配套，提高粪肥还田效率。培育粪肥还田社会化服务组织，探索推行养殖场户付费处理，种植户付费用肥方式，完善种养双方的利益联结机制。推进种养循环，支持建设生态牧场、美丽牧场。</w:t>
            </w:r>
          </w:p>
          <w:p w14:paraId="180A0C8F">
            <w:pPr>
              <w:keepNext w:val="0"/>
              <w:keepLines w:val="0"/>
              <w:suppressLineNumbers w:val="0"/>
              <w:spacing w:before="0" w:beforeAutospacing="0" w:after="0" w:afterAutospacing="0"/>
              <w:ind w:left="0" w:right="0"/>
              <w:contextualSpacing/>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3.完善病死畜禽无害化处理机制。支持畜牧养殖大县建设专业无害化处理场，鼓励规模养殖场全面配备无害化处理设施。支持有关部门和机构研究新型、高效、环保的无害化处理技术和装备，推动形成病死畜禽无害化处理与保险联动工作机制，落实病死畜禽无害化处理补助政策，保障无害化处理场所正常运营</w:t>
            </w:r>
          </w:p>
        </w:tc>
        <w:tc>
          <w:tcPr>
            <w:tcW w:w="2708" w:type="dxa"/>
            <w:tcBorders>
              <w:top w:val="single" w:color="auto" w:sz="4" w:space="0"/>
              <w:left w:val="single" w:color="auto" w:sz="4" w:space="0"/>
              <w:bottom w:val="single" w:color="auto" w:sz="4" w:space="0"/>
              <w:right w:val="single" w:color="auto" w:sz="4" w:space="0"/>
            </w:tcBorders>
            <w:vAlign w:val="center"/>
          </w:tcPr>
          <w:p w14:paraId="451518E9">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①项目猪舍采用干清粪工艺，尿液、粪便经过粪尿收集池收集后进行固液分离，粪便进行堆肥发酵，尿液</w:t>
            </w:r>
            <w:r>
              <w:rPr>
                <w:rFonts w:hint="default" w:ascii="Times New Roman" w:hAnsi="Times New Roman" w:eastAsia="宋体" w:cs="Times New Roman"/>
                <w:color w:val="auto"/>
                <w:sz w:val="18"/>
                <w:szCs w:val="18"/>
                <w:highlight w:val="none"/>
                <w:lang w:val="en-US" w:eastAsia="zh-CN"/>
              </w:rPr>
              <w:t>依托弥勒温氏畜牧有限公司新哨种猪场建设项目污水处理站处理后用于绿化及农田灌溉</w:t>
            </w:r>
            <w:r>
              <w:rPr>
                <w:rFonts w:hint="default" w:ascii="Times New Roman" w:hAnsi="Times New Roman" w:eastAsia="宋体" w:cs="Times New Roman"/>
                <w:color w:val="auto"/>
                <w:sz w:val="18"/>
                <w:szCs w:val="18"/>
                <w:highlight w:val="none"/>
                <w:lang w:eastAsia="zh-CN"/>
              </w:rPr>
              <w:t>。</w:t>
            </w:r>
          </w:p>
          <w:p w14:paraId="093AFF82">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②项目产生的饲料残渣收集后清运至堆肥棚进行发酵堆肥，回</w:t>
            </w:r>
            <w:r>
              <w:rPr>
                <w:rFonts w:hint="eastAsia" w:ascii="Times New Roman" w:hAnsi="Times New Roman" w:cs="Times New Roman"/>
                <w:color w:val="auto"/>
                <w:sz w:val="18"/>
                <w:szCs w:val="18"/>
                <w:highlight w:val="none"/>
                <w:lang w:val="en-US" w:eastAsia="zh-CN"/>
              </w:rPr>
              <w:t>用于</w:t>
            </w:r>
            <w:r>
              <w:rPr>
                <w:rFonts w:hint="default" w:ascii="Times New Roman" w:hAnsi="Times New Roman" w:cs="Times New Roman"/>
                <w:color w:val="auto"/>
                <w:sz w:val="18"/>
                <w:szCs w:val="18"/>
                <w:highlight w:val="none"/>
                <w:lang w:val="en-US" w:eastAsia="zh-CN"/>
              </w:rPr>
              <w:t>周边田地。</w:t>
            </w:r>
          </w:p>
          <w:p w14:paraId="41957A98">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③项目在厂内建设1个冷库，用于临时暂存养殖过程中产生的病死猪，并委托弥勒市北斗星生物科技有限公司进场清运处置。</w:t>
            </w:r>
          </w:p>
        </w:tc>
        <w:tc>
          <w:tcPr>
            <w:tcW w:w="801" w:type="dxa"/>
            <w:tcBorders>
              <w:top w:val="single" w:color="auto" w:sz="4" w:space="0"/>
              <w:left w:val="single" w:color="auto" w:sz="4" w:space="0"/>
              <w:bottom w:val="single" w:color="auto" w:sz="4" w:space="0"/>
              <w:right w:val="single" w:color="auto" w:sz="4" w:space="0"/>
            </w:tcBorders>
            <w:vAlign w:val="center"/>
          </w:tcPr>
          <w:p w14:paraId="6EA03BED">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符合</w:t>
            </w:r>
          </w:p>
        </w:tc>
      </w:tr>
    </w:tbl>
    <w:p w14:paraId="6A10AC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color w:val="auto"/>
          <w:kern w:val="0"/>
          <w:sz w:val="24"/>
          <w:highlight w:val="none"/>
          <w:lang w:eastAsia="zh-CN"/>
        </w:rPr>
      </w:pPr>
      <w:r>
        <w:rPr>
          <w:rFonts w:hint="default" w:ascii="Times New Roman" w:hAnsi="Times New Roman" w:cs="Times New Roman"/>
          <w:color w:val="auto"/>
          <w:sz w:val="24"/>
          <w:szCs w:val="24"/>
          <w:highlight w:val="none"/>
        </w:rPr>
        <w:t>由上表</w:t>
      </w:r>
      <w:r>
        <w:rPr>
          <w:rFonts w:hint="default" w:ascii="Times New Roman" w:hAnsi="Times New Roman" w:cs="Times New Roman"/>
          <w:color w:val="auto"/>
          <w:sz w:val="24"/>
          <w:szCs w:val="24"/>
          <w:highlight w:val="none"/>
          <w:lang w:eastAsia="zh-CN"/>
        </w:rPr>
        <w:t>分享</w:t>
      </w:r>
      <w:r>
        <w:rPr>
          <w:rFonts w:hint="default" w:ascii="Times New Roman" w:hAnsi="Times New Roman" w:cs="Times New Roman"/>
          <w:color w:val="auto"/>
          <w:sz w:val="24"/>
          <w:szCs w:val="24"/>
          <w:highlight w:val="none"/>
        </w:rPr>
        <w:t>可知，本项目的建设</w:t>
      </w:r>
      <w:r>
        <w:rPr>
          <w:rFonts w:hint="default" w:ascii="Times New Roman" w:hAnsi="Times New Roman" w:cs="Times New Roman"/>
          <w:color w:val="auto"/>
          <w:sz w:val="24"/>
          <w:szCs w:val="24"/>
          <w:highlight w:val="none"/>
          <w:lang w:eastAsia="zh-CN"/>
        </w:rPr>
        <w:t>与</w:t>
      </w:r>
      <w:r>
        <w:rPr>
          <w:rFonts w:hint="default" w:ascii="Times New Roman" w:hAnsi="Times New Roman" w:cs="Times New Roman"/>
          <w:color w:val="auto"/>
          <w:sz w:val="24"/>
          <w:szCs w:val="24"/>
          <w:highlight w:val="none"/>
        </w:rPr>
        <w:t>《云南“十四五“畜牧业高质量发展实施意见》（云农牧〔2022〕3号）</w:t>
      </w:r>
      <w:r>
        <w:rPr>
          <w:rFonts w:hint="default" w:ascii="Times New Roman" w:hAnsi="Times New Roman" w:cs="Times New Roman"/>
          <w:color w:val="auto"/>
          <w:sz w:val="24"/>
          <w:szCs w:val="24"/>
          <w:highlight w:val="none"/>
          <w:lang w:eastAsia="zh-CN"/>
        </w:rPr>
        <w:t>的相关要求是相符的。</w:t>
      </w:r>
    </w:p>
    <w:p w14:paraId="18E81011">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53" w:name="_Toc31487"/>
      <w:r>
        <w:rPr>
          <w:rStyle w:val="35"/>
          <w:rFonts w:hint="default" w:ascii="Times New Roman" w:hAnsi="Times New Roman" w:eastAsia="宋体" w:cs="Times New Roman"/>
          <w:color w:val="auto"/>
          <w:sz w:val="24"/>
          <w:szCs w:val="24"/>
          <w:highlight w:val="none"/>
        </w:rPr>
        <w:t>7.2.</w:t>
      </w:r>
      <w:r>
        <w:rPr>
          <w:rStyle w:val="35"/>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与《红河州人民政府办公室关于印发红河州畜禽养殖废弃物资源化利用工作方案的通知》符合性分析</w:t>
      </w:r>
      <w:bookmarkEnd w:id="353"/>
    </w:p>
    <w:p w14:paraId="73A83FE3">
      <w:pPr>
        <w:tabs>
          <w:tab w:val="left" w:pos="611"/>
        </w:tabs>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《红河州人民政府办公室关于印发红河州畜禽养殖废弃物资源化利用工作方案的通知》（红政办发</w:t>
      </w:r>
      <w:r>
        <w:rPr>
          <w:rFonts w:hint="eastAsia" w:ascii="Times New Roman" w:hAnsi="Times New Roman" w:cs="Times New Roman"/>
          <w:color w:val="auto"/>
          <w:kern w:val="0"/>
          <w:sz w:val="24"/>
          <w:highlight w:val="none"/>
          <w:lang w:eastAsia="zh-CN"/>
        </w:rPr>
        <w:t>〔2018〕18号</w:t>
      </w:r>
      <w:r>
        <w:rPr>
          <w:rFonts w:hint="default" w:ascii="Times New Roman" w:hAnsi="Times New Roman" w:cs="Times New Roman"/>
          <w:color w:val="auto"/>
          <w:kern w:val="0"/>
          <w:sz w:val="24"/>
          <w:highlight w:val="none"/>
        </w:rPr>
        <w:t>）提出：深入贯彻创新、协调、绿色、开放、共享的发展理念，坚持保供给与保环境并重，坚持政府支持、企业主体、市场化运作的方针，坚持源头减量、过程控制、末端利用的治理路径，以畜牧大县和规模养殖场为重点，以农用有机肥和农村能源为主要利用方向，健全制度体系，强化责任落实，完善扶持政策，严格执法监管，加强科技支撑，加快畜禽养殖粪污处理设施建设，全面推进畜禽养殖废弃物资源化利用，构建种养结合、农牧循环的可持续发展新格局。</w:t>
      </w:r>
    </w:p>
    <w:p w14:paraId="4A49AA08">
      <w:pPr>
        <w:tabs>
          <w:tab w:val="left" w:pos="611"/>
        </w:tabs>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本项目为生猪养殖，采用</w:t>
      </w:r>
      <w:r>
        <w:rPr>
          <w:rFonts w:hint="default" w:ascii="Times New Roman" w:hAnsi="Times New Roman" w:cs="Times New Roman"/>
          <w:color w:val="auto"/>
          <w:kern w:val="0"/>
          <w:sz w:val="24"/>
          <w:highlight w:val="none"/>
          <w:lang w:eastAsia="zh-CN"/>
        </w:rPr>
        <w:t>干清粪</w:t>
      </w:r>
      <w:r>
        <w:rPr>
          <w:rFonts w:hint="default" w:ascii="Times New Roman" w:hAnsi="Times New Roman" w:cs="Times New Roman"/>
          <w:color w:val="auto"/>
          <w:kern w:val="0"/>
          <w:sz w:val="24"/>
          <w:highlight w:val="none"/>
        </w:rPr>
        <w:t>工艺，固体粪便经过堆肥发酵后用于周边农田施肥</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废水</w:t>
      </w:r>
      <w:r>
        <w:rPr>
          <w:rFonts w:hint="default" w:ascii="Times New Roman" w:hAnsi="Times New Roman" w:cs="Times New Roman"/>
          <w:color w:val="auto"/>
          <w:kern w:val="0"/>
          <w:sz w:val="24"/>
          <w:highlight w:val="none"/>
          <w:lang w:val="en-US" w:eastAsia="zh-CN"/>
        </w:rPr>
        <w:t>依托弥勒温氏畜牧有限公司新哨种猪场建设项目污水处理站处理后用于绿化及农田灌溉</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有效实现了畜禽养殖废弃物资源化利用，因此，项目建设符合《红河州人民政府办公室关于印发红河州畜禽养殖废弃物资源化利用工作方案的通知》（红政办发</w:t>
      </w:r>
      <w:r>
        <w:rPr>
          <w:rFonts w:hint="eastAsia" w:ascii="Times New Roman" w:hAnsi="Times New Roman" w:cs="Times New Roman"/>
          <w:color w:val="auto"/>
          <w:kern w:val="0"/>
          <w:sz w:val="24"/>
          <w:highlight w:val="none"/>
          <w:lang w:eastAsia="zh-CN"/>
        </w:rPr>
        <w:t>〔2018〕18号</w:t>
      </w:r>
      <w:r>
        <w:rPr>
          <w:rFonts w:hint="default" w:ascii="Times New Roman" w:hAnsi="Times New Roman" w:cs="Times New Roman"/>
          <w:color w:val="auto"/>
          <w:kern w:val="0"/>
          <w:sz w:val="24"/>
          <w:highlight w:val="none"/>
        </w:rPr>
        <w:t>）的相关要求。</w:t>
      </w:r>
    </w:p>
    <w:p w14:paraId="472E16B8">
      <w:pPr>
        <w:pStyle w:val="3"/>
        <w:keepNext/>
        <w:keepLines/>
        <w:pageBreakBefore w:val="0"/>
        <w:widowControl w:val="0"/>
        <w:kinsoku/>
        <w:wordWrap/>
        <w:overflowPunct/>
        <w:topLinePunct w:val="0"/>
        <w:autoSpaceDE/>
        <w:autoSpaceDN/>
        <w:bidi w:val="0"/>
        <w:adjustRightInd/>
        <w:snapToGrid/>
        <w:spacing w:before="0" w:after="0" w:line="413" w:lineRule="auto"/>
        <w:textAlignment w:val="auto"/>
        <w:rPr>
          <w:rStyle w:val="34"/>
          <w:rFonts w:hint="default" w:ascii="Times New Roman" w:hAnsi="Times New Roman" w:cs="Times New Roman"/>
          <w:b w:val="0"/>
          <w:bCs w:val="0"/>
          <w:color w:val="auto"/>
          <w:sz w:val="24"/>
          <w:highlight w:val="none"/>
        </w:rPr>
      </w:pPr>
      <w:bookmarkStart w:id="354" w:name="_Toc14620"/>
      <w:bookmarkStart w:id="355" w:name="_Toc10846"/>
      <w:bookmarkStart w:id="356" w:name="_Toc17899"/>
      <w:bookmarkStart w:id="357" w:name="_Toc40654356"/>
      <w:bookmarkStart w:id="358" w:name="_Toc26821"/>
      <w:r>
        <w:rPr>
          <w:rStyle w:val="34"/>
          <w:rFonts w:hint="default" w:ascii="Times New Roman" w:hAnsi="Times New Roman" w:cs="Times New Roman"/>
          <w:b w:val="0"/>
          <w:bCs w:val="0"/>
          <w:color w:val="auto"/>
          <w:sz w:val="24"/>
          <w:highlight w:val="none"/>
        </w:rPr>
        <w:t>7.3与相关规范、标准、条例的符合性分析</w:t>
      </w:r>
      <w:bookmarkEnd w:id="354"/>
      <w:bookmarkEnd w:id="355"/>
      <w:bookmarkEnd w:id="356"/>
      <w:bookmarkEnd w:id="357"/>
      <w:bookmarkEnd w:id="358"/>
    </w:p>
    <w:p w14:paraId="71E54CD7">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lang w:val="en-US"/>
        </w:rPr>
      </w:pPr>
      <w:bookmarkStart w:id="359" w:name="_Toc12937"/>
      <w:r>
        <w:rPr>
          <w:rStyle w:val="35"/>
          <w:rFonts w:hint="default" w:ascii="Times New Roman" w:hAnsi="Times New Roman" w:eastAsia="宋体" w:cs="Times New Roman"/>
          <w:color w:val="auto"/>
          <w:sz w:val="24"/>
          <w:szCs w:val="24"/>
          <w:highlight w:val="none"/>
          <w:lang w:val="en-US"/>
        </w:rPr>
        <w:t>7.3.1与《弥勒市人民政府关于印发弥勒市畜禽养殖禁（限）养区划定调整方案的通知》符合性分析</w:t>
      </w:r>
      <w:bookmarkEnd w:id="359"/>
    </w:p>
    <w:p w14:paraId="3904282F">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根据查阅《弥勒市人民政府关于印发弥勒市畜禽养殖禁（限）养区划定调整方案的通知》（2018年8月21日），划定的禁养区及限养区中，</w:t>
      </w:r>
      <w:r>
        <w:rPr>
          <w:rFonts w:hint="default" w:ascii="Times New Roman" w:hAnsi="Times New Roman" w:cs="Times New Roman"/>
          <w:color w:val="auto"/>
          <w:sz w:val="24"/>
          <w:highlight w:val="none"/>
          <w:lang w:val="en-US" w:eastAsia="zh-CN"/>
        </w:rPr>
        <w:t>新哨</w:t>
      </w:r>
      <w:r>
        <w:rPr>
          <w:rFonts w:hint="default" w:ascii="Times New Roman" w:hAnsi="Times New Roman" w:cs="Times New Roman"/>
          <w:color w:val="auto"/>
          <w:sz w:val="24"/>
          <w:highlight w:val="none"/>
        </w:rPr>
        <w:t>镇涉及的区域为黑龙潭地下水饮用水源地，其中禁养区范围为以龙潭出水口为中心，半径200m区域，面积为0.13km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；限养区范围为禁养区边界外延200m范围内的区域，面积为0.38 km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p>
    <w:p w14:paraId="3D65B679">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202</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月</w:t>
      </w:r>
      <w:r>
        <w:rPr>
          <w:rFonts w:hint="eastAsia" w:cs="Times New Roman"/>
          <w:color w:val="auto"/>
          <w:sz w:val="24"/>
          <w:highlight w:val="none"/>
          <w:lang w:val="en-US" w:eastAsia="zh-CN"/>
        </w:rPr>
        <w:t>9</w:t>
      </w:r>
      <w:r>
        <w:rPr>
          <w:rFonts w:hint="default" w:ascii="Times New Roman" w:hAnsi="Times New Roman" w:cs="Times New Roman"/>
          <w:color w:val="auto"/>
          <w:sz w:val="24"/>
          <w:highlight w:val="none"/>
        </w:rPr>
        <w:t>日，建设单位取得弥勒市农业农村局出具的项目选址不在规定的“禁</w:t>
      </w:r>
      <w:r>
        <w:rPr>
          <w:rFonts w:hint="eastAsia" w:cs="Times New Roman"/>
          <w:color w:val="auto"/>
          <w:sz w:val="24"/>
          <w:highlight w:val="none"/>
          <w:lang w:eastAsia="zh-CN"/>
        </w:rPr>
        <w:t>（</w:t>
      </w:r>
      <w:r>
        <w:rPr>
          <w:rFonts w:hint="eastAsia" w:cs="Times New Roman"/>
          <w:color w:val="auto"/>
          <w:sz w:val="24"/>
          <w:highlight w:val="none"/>
          <w:lang w:val="en-US" w:eastAsia="zh-CN"/>
        </w:rPr>
        <w:t>限）</w:t>
      </w:r>
      <w:r>
        <w:rPr>
          <w:rFonts w:hint="default" w:ascii="Times New Roman" w:hAnsi="Times New Roman" w:cs="Times New Roman"/>
          <w:color w:val="auto"/>
          <w:sz w:val="24"/>
          <w:highlight w:val="none"/>
        </w:rPr>
        <w:t>养区”的情况说明（详见附件7）。</w:t>
      </w:r>
    </w:p>
    <w:p w14:paraId="02D4B7CA">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综上，项目选址符合《弥勒市人民政府关于印发弥勒市畜禽养殖禁（限）养区划定调整方案的通知》（2018年8月21日）要求。</w:t>
      </w:r>
    </w:p>
    <w:p w14:paraId="3CF0213E">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60" w:name="_Toc23015"/>
      <w:r>
        <w:rPr>
          <w:rStyle w:val="35"/>
          <w:rFonts w:hint="default" w:ascii="Times New Roman" w:hAnsi="Times New Roman" w:eastAsia="宋体" w:cs="Times New Roman"/>
          <w:color w:val="auto"/>
          <w:sz w:val="24"/>
          <w:szCs w:val="24"/>
          <w:highlight w:val="none"/>
        </w:rPr>
        <w:t>7.3.2与《畜禽养殖业污染防治技术规范》（HJ/T 81-2001）符合性分析</w:t>
      </w:r>
      <w:bookmarkEnd w:id="360"/>
    </w:p>
    <w:p w14:paraId="439BF845">
      <w:pPr>
        <w:tabs>
          <w:tab w:val="left" w:pos="611"/>
        </w:tabs>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本项目场址建设条件与</w:t>
      </w:r>
      <w:r>
        <w:rPr>
          <w:rFonts w:hint="default" w:ascii="Times New Roman" w:hAnsi="Times New Roman" w:cs="Times New Roman"/>
          <w:color w:val="auto"/>
          <w:sz w:val="24"/>
          <w:highlight w:val="none"/>
        </w:rPr>
        <w:t>《畜禽养殖业污染防治技术规范》（HJ/T 81-2001）</w:t>
      </w:r>
      <w:r>
        <w:rPr>
          <w:rFonts w:hint="default" w:ascii="Times New Roman" w:hAnsi="Times New Roman" w:cs="Times New Roman"/>
          <w:color w:val="auto"/>
          <w:kern w:val="0"/>
          <w:sz w:val="24"/>
          <w:highlight w:val="none"/>
        </w:rPr>
        <w:t>要求对比分析结果见表</w:t>
      </w:r>
      <w:r>
        <w:rPr>
          <w:rFonts w:hint="default" w:ascii="Times New Roman" w:hAnsi="Times New Roman" w:eastAsia="TimesNewRomanPSMT" w:cs="Times New Roman"/>
          <w:color w:val="auto"/>
          <w:kern w:val="0"/>
          <w:sz w:val="24"/>
          <w:highlight w:val="none"/>
        </w:rPr>
        <w:t>7.3-1</w:t>
      </w:r>
      <w:r>
        <w:rPr>
          <w:rFonts w:hint="default" w:ascii="Times New Roman" w:hAnsi="Times New Roman" w:cs="Times New Roman"/>
          <w:color w:val="auto"/>
          <w:kern w:val="0"/>
          <w:sz w:val="24"/>
          <w:highlight w:val="none"/>
        </w:rPr>
        <w:t>。</w:t>
      </w:r>
    </w:p>
    <w:p w14:paraId="2ABEC7FA">
      <w:pPr>
        <w:tabs>
          <w:tab w:val="left" w:pos="611"/>
        </w:tabs>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表7.3-1   场址选择与《畜禽养殖业污染防治技术规范》的符合性</w:t>
      </w:r>
    </w:p>
    <w:tbl>
      <w:tblPr>
        <w:tblStyle w:val="23"/>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6"/>
        <w:gridCol w:w="4396"/>
        <w:gridCol w:w="929"/>
      </w:tblGrid>
      <w:tr w14:paraId="692E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2C394727">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《畜禽养殖业污染防治技术规范》要求</w:t>
            </w:r>
          </w:p>
        </w:tc>
        <w:tc>
          <w:tcPr>
            <w:tcW w:w="4396" w:type="dxa"/>
            <w:vAlign w:val="center"/>
          </w:tcPr>
          <w:p w14:paraId="4E65E80A">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项目情况</w:t>
            </w:r>
          </w:p>
        </w:tc>
        <w:tc>
          <w:tcPr>
            <w:tcW w:w="929" w:type="dxa"/>
            <w:vAlign w:val="center"/>
          </w:tcPr>
          <w:p w14:paraId="0117AFFE">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符合性</w:t>
            </w:r>
          </w:p>
        </w:tc>
      </w:tr>
      <w:tr w14:paraId="3258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gridSpan w:val="3"/>
            <w:vAlign w:val="center"/>
          </w:tcPr>
          <w:p w14:paraId="11FFC080">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一、选址要求</w:t>
            </w:r>
          </w:p>
        </w:tc>
      </w:tr>
      <w:tr w14:paraId="56AE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79CC9A1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禁止建设在生活饮用水水源保护区、风景名胜区、自然保护区的核心区及缓冲区</w:t>
            </w:r>
          </w:p>
        </w:tc>
        <w:tc>
          <w:tcPr>
            <w:tcW w:w="4396" w:type="dxa"/>
            <w:vAlign w:val="center"/>
          </w:tcPr>
          <w:p w14:paraId="4E51F867">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项目不涉及饮用水水源保护区、风景名胜区、自然保护区的核心区及缓冲区</w:t>
            </w:r>
          </w:p>
        </w:tc>
        <w:tc>
          <w:tcPr>
            <w:tcW w:w="929" w:type="dxa"/>
            <w:vAlign w:val="center"/>
          </w:tcPr>
          <w:p w14:paraId="5105971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0138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34A9D1EC">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color w:val="auto"/>
                <w:sz w:val="18"/>
                <w:szCs w:val="18"/>
                <w:highlight w:val="none"/>
              </w:rPr>
              <w:t>禁止建设在城市和城镇居民区，包括文教科研区、医疗区、商业区、工业区、游览区等人口集中地区</w:t>
            </w:r>
          </w:p>
        </w:tc>
        <w:tc>
          <w:tcPr>
            <w:tcW w:w="4396" w:type="dxa"/>
            <w:vAlign w:val="center"/>
          </w:tcPr>
          <w:p w14:paraId="32DAF399">
            <w:pPr>
              <w:keepNext w:val="0"/>
              <w:keepLines w:val="0"/>
              <w:suppressLineNumbers w:val="0"/>
              <w:tabs>
                <w:tab w:val="left" w:pos="611"/>
              </w:tabs>
              <w:spacing w:before="0" w:beforeAutospacing="0" w:after="0" w:afterAutospacing="0"/>
              <w:ind w:left="0" w:right="0"/>
              <w:jc w:val="center"/>
              <w:rPr>
                <w:rFonts w:hint="default" w:ascii="Times New Roman" w:hAnsi="Times New Roman" w:eastAsia="宋体" w:cs="Times New Roman"/>
                <w:b/>
                <w:color w:val="auto"/>
                <w:sz w:val="18"/>
                <w:szCs w:val="18"/>
                <w:highlight w:val="none"/>
                <w:lang w:val="en-US" w:eastAsia="zh-CN"/>
              </w:rPr>
            </w:pPr>
            <w:r>
              <w:rPr>
                <w:rFonts w:hint="default" w:ascii="Times New Roman" w:hAnsi="Times New Roman" w:cs="Times New Roman"/>
                <w:color w:val="auto"/>
                <w:sz w:val="18"/>
                <w:szCs w:val="18"/>
                <w:highlight w:val="none"/>
              </w:rPr>
              <w:t>项目位于弥勒市新哨镇猴街居委会猴街二组，属于农村地区，不在城市及城镇居民区等人口集中地区</w:t>
            </w:r>
            <w:r>
              <w:rPr>
                <w:rFonts w:hint="default" w:ascii="Times New Roman" w:hAnsi="Times New Roman" w:cs="Times New Roman"/>
                <w:color w:val="auto"/>
                <w:sz w:val="18"/>
                <w:szCs w:val="18"/>
                <w:highlight w:val="none"/>
                <w:lang w:eastAsia="zh-CN"/>
              </w:rPr>
              <w:t>，</w:t>
            </w:r>
          </w:p>
        </w:tc>
        <w:tc>
          <w:tcPr>
            <w:tcW w:w="929" w:type="dxa"/>
            <w:vAlign w:val="center"/>
          </w:tcPr>
          <w:p w14:paraId="4763F518">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1CC8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2EDC2DD8">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禁止建设在县级人民政府依法划定的禁养区</w:t>
            </w:r>
          </w:p>
        </w:tc>
        <w:tc>
          <w:tcPr>
            <w:tcW w:w="4396" w:type="dxa"/>
            <w:vAlign w:val="center"/>
          </w:tcPr>
          <w:p w14:paraId="37FDA15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根据弥勒市农业农村局出具的情况说明：项目不在畜禽养殖禁养区划定范围。</w:t>
            </w:r>
          </w:p>
        </w:tc>
        <w:tc>
          <w:tcPr>
            <w:tcW w:w="929" w:type="dxa"/>
            <w:vAlign w:val="center"/>
          </w:tcPr>
          <w:p w14:paraId="63D0A6B8">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color w:val="auto"/>
                <w:sz w:val="18"/>
                <w:szCs w:val="18"/>
                <w:highlight w:val="none"/>
              </w:rPr>
              <w:t>符合</w:t>
            </w:r>
          </w:p>
        </w:tc>
      </w:tr>
      <w:tr w14:paraId="6C3D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2583B847">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color w:val="auto"/>
                <w:sz w:val="18"/>
                <w:szCs w:val="18"/>
                <w:highlight w:val="none"/>
              </w:rPr>
              <w:t>禁止建设在国家或地方法律、法规规定需特殊保护的其它区域。</w:t>
            </w:r>
          </w:p>
        </w:tc>
        <w:tc>
          <w:tcPr>
            <w:tcW w:w="4396" w:type="dxa"/>
            <w:vAlign w:val="center"/>
          </w:tcPr>
          <w:p w14:paraId="39BE72E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项目建设不在国家或地方法律、法规依法划定的文物保护区、遗迹保护区等区域</w:t>
            </w:r>
          </w:p>
        </w:tc>
        <w:tc>
          <w:tcPr>
            <w:tcW w:w="929" w:type="dxa"/>
            <w:vAlign w:val="center"/>
          </w:tcPr>
          <w:p w14:paraId="5C5D77B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4C35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591ECF7C">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新建改建、扩建的畜禽养殖场选址应避开以上规定的禁建区域，在禁建区域附近建设的，应设在以上规定的禁建区域常年主导风向的下风向或侧风向处，场界与禁建区域边界的最小距离不得小于500m</w:t>
            </w:r>
          </w:p>
        </w:tc>
        <w:tc>
          <w:tcPr>
            <w:tcW w:w="4396" w:type="dxa"/>
            <w:vAlign w:val="center"/>
          </w:tcPr>
          <w:p w14:paraId="21903A30">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项目建设均不在以上规定的禁建区域内，周边也不涉及禁建区域；项目距离甸溪河约</w:t>
            </w:r>
            <w:r>
              <w:rPr>
                <w:rFonts w:hint="default" w:ascii="Times New Roman" w:hAnsi="Times New Roman" w:cs="Times New Roman"/>
                <w:color w:val="auto"/>
                <w:sz w:val="18"/>
                <w:szCs w:val="18"/>
                <w:highlight w:val="none"/>
                <w:lang w:val="en-US" w:eastAsia="zh-CN"/>
              </w:rPr>
              <w:t>3800</w:t>
            </w:r>
            <w:r>
              <w:rPr>
                <w:rFonts w:hint="default" w:ascii="Times New Roman" w:hAnsi="Times New Roman" w:cs="Times New Roman"/>
                <w:color w:val="auto"/>
                <w:sz w:val="18"/>
                <w:szCs w:val="18"/>
                <w:highlight w:val="none"/>
              </w:rPr>
              <w:t>m，</w:t>
            </w:r>
          </w:p>
          <w:p w14:paraId="163D01FE">
            <w:pPr>
              <w:keepNext w:val="0"/>
              <w:keepLines w:val="0"/>
              <w:suppressLineNumbers w:val="0"/>
              <w:tabs>
                <w:tab w:val="left" w:pos="611"/>
              </w:tabs>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根据弥勒市农业农村局出具的情况说明：项目不在畜禽养殖禁养区划定范围</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项目与上述</w:t>
            </w:r>
            <w:r>
              <w:rPr>
                <w:rFonts w:hint="default" w:ascii="Times New Roman" w:hAnsi="Times New Roman" w:cs="Times New Roman"/>
                <w:color w:val="auto"/>
                <w:sz w:val="18"/>
                <w:szCs w:val="18"/>
                <w:highlight w:val="none"/>
              </w:rPr>
              <w:t>禁建区域边界的</w:t>
            </w:r>
            <w:r>
              <w:rPr>
                <w:rFonts w:hint="default" w:ascii="Times New Roman" w:hAnsi="Times New Roman" w:cs="Times New Roman"/>
                <w:color w:val="auto"/>
                <w:sz w:val="18"/>
                <w:szCs w:val="18"/>
                <w:highlight w:val="none"/>
                <w:lang w:val="en-US" w:eastAsia="zh-CN"/>
              </w:rPr>
              <w:t>距离大于500m。</w:t>
            </w:r>
          </w:p>
        </w:tc>
        <w:tc>
          <w:tcPr>
            <w:tcW w:w="929" w:type="dxa"/>
            <w:vAlign w:val="center"/>
          </w:tcPr>
          <w:p w14:paraId="385FF047">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486D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gridSpan w:val="3"/>
            <w:vAlign w:val="center"/>
          </w:tcPr>
          <w:p w14:paraId="5B22606A">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二、场区布局与清粪工艺</w:t>
            </w:r>
          </w:p>
        </w:tc>
      </w:tr>
      <w:tr w14:paraId="210A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02B42590">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新建、改建、扩建的畜禽养殖场应实现生产区、生活管理区的隔离，粪便污水处理设施和畜禽尸体焚烧炉应设在养殖场的生产区、生活管理区的常年主导风向的下风向或侧风向处</w:t>
            </w:r>
          </w:p>
        </w:tc>
        <w:tc>
          <w:tcPr>
            <w:tcW w:w="4396" w:type="dxa"/>
            <w:vAlign w:val="center"/>
          </w:tcPr>
          <w:p w14:paraId="1E8999A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项目生产区与生活管理区隔离，</w:t>
            </w:r>
            <w:r>
              <w:rPr>
                <w:rFonts w:hint="default" w:ascii="Times New Roman" w:hAnsi="Times New Roman" w:cs="Times New Roman"/>
                <w:color w:val="auto"/>
                <w:sz w:val="18"/>
                <w:szCs w:val="18"/>
                <w:highlight w:val="none"/>
                <w:lang w:eastAsia="zh-CN"/>
              </w:rPr>
              <w:t>粪污</w:t>
            </w:r>
            <w:r>
              <w:rPr>
                <w:rFonts w:hint="default" w:ascii="Times New Roman" w:hAnsi="Times New Roman" w:cs="Times New Roman"/>
                <w:color w:val="auto"/>
                <w:sz w:val="18"/>
                <w:szCs w:val="18"/>
                <w:highlight w:val="none"/>
              </w:rPr>
              <w:t>处理区位于生活区东北侧，位于生活管理区的</w:t>
            </w:r>
            <w:r>
              <w:rPr>
                <w:rFonts w:hint="default" w:ascii="Times New Roman" w:hAnsi="Times New Roman" w:cs="Times New Roman"/>
                <w:color w:val="auto"/>
                <w:sz w:val="18"/>
                <w:szCs w:val="18"/>
                <w:highlight w:val="none"/>
                <w:lang w:val="en-US" w:eastAsia="zh-CN"/>
              </w:rPr>
              <w:t>侧</w:t>
            </w:r>
            <w:r>
              <w:rPr>
                <w:rFonts w:hint="default" w:ascii="Times New Roman" w:hAnsi="Times New Roman" w:cs="Times New Roman"/>
                <w:color w:val="auto"/>
                <w:sz w:val="18"/>
                <w:szCs w:val="18"/>
                <w:highlight w:val="none"/>
              </w:rPr>
              <w:t>风向。</w:t>
            </w:r>
          </w:p>
        </w:tc>
        <w:tc>
          <w:tcPr>
            <w:tcW w:w="929" w:type="dxa"/>
            <w:vAlign w:val="center"/>
          </w:tcPr>
          <w:p w14:paraId="043351C6">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792B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338DF18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养殖场的排水系统应实行雨水和污水收集输送系统分离，在场区内外设置的污水收集输送系统，不得采取明沟布设</w:t>
            </w:r>
          </w:p>
        </w:tc>
        <w:tc>
          <w:tcPr>
            <w:tcW w:w="4396" w:type="dxa"/>
            <w:vAlign w:val="center"/>
          </w:tcPr>
          <w:p w14:paraId="503EA452">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养殖场的排水系统采用“雨污分流”的排水体制，在场区内、外设置的污水收集输送系统均采用暗沟或PVC管道铺设</w:t>
            </w:r>
          </w:p>
        </w:tc>
        <w:tc>
          <w:tcPr>
            <w:tcW w:w="929" w:type="dxa"/>
            <w:vAlign w:val="center"/>
          </w:tcPr>
          <w:p w14:paraId="33CC0EB3">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274A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0A309A68">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建、改建、扩建的畜禽养殖场应采取干法清粪工艺，采取有效措施将粪便及时、单独清出，不可与尿、污水混合排出，并将产生的粪渣及时运至贮存或处理场所，实现日产日清。采用水冲粪、水泡粪湿法清粪工艺的养殖场，要逐步改为干法清粪工艺</w:t>
            </w:r>
          </w:p>
        </w:tc>
        <w:tc>
          <w:tcPr>
            <w:tcW w:w="4396" w:type="dxa"/>
            <w:vAlign w:val="center"/>
          </w:tcPr>
          <w:p w14:paraId="776AC5D4">
            <w:pPr>
              <w:keepNext w:val="0"/>
              <w:keepLines w:val="0"/>
              <w:suppressLineNumbers w:val="0"/>
              <w:tabs>
                <w:tab w:val="left" w:pos="611"/>
              </w:tabs>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项目</w:t>
            </w:r>
            <w:r>
              <w:rPr>
                <w:rFonts w:hint="default" w:ascii="Times New Roman" w:hAnsi="Times New Roman" w:cs="Times New Roman"/>
                <w:color w:val="auto"/>
                <w:sz w:val="18"/>
                <w:szCs w:val="18"/>
                <w:highlight w:val="none"/>
              </w:rPr>
              <w:t>猪舍内设置漏缝地板</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尿液和粪便经</w:t>
            </w:r>
            <w:r>
              <w:rPr>
                <w:rFonts w:hint="default" w:ascii="Times New Roman" w:hAnsi="Times New Roman" w:cs="Times New Roman"/>
                <w:color w:val="auto"/>
                <w:sz w:val="18"/>
                <w:szCs w:val="18"/>
                <w:highlight w:val="none"/>
              </w:rPr>
              <w:t>漏缝地板</w:t>
            </w:r>
            <w:r>
              <w:rPr>
                <w:rFonts w:hint="default" w:ascii="Times New Roman" w:hAnsi="Times New Roman" w:cs="Times New Roman"/>
                <w:color w:val="auto"/>
                <w:sz w:val="18"/>
                <w:szCs w:val="18"/>
                <w:highlight w:val="none"/>
                <w:lang w:val="en-US" w:eastAsia="zh-CN"/>
              </w:rPr>
              <w:t>进入猪舍下方粪尿收集池后先进行固液分离，粪便进行堆肥发酵。猪舍日常不冲洗，仅空栏期冲洗一次，减少废水产生量，根据分析项目</w:t>
            </w:r>
            <w:r>
              <w:rPr>
                <w:rFonts w:hint="default" w:ascii="Times New Roman" w:hAnsi="Times New Roman" w:cs="Times New Roman"/>
                <w:color w:val="auto"/>
                <w:sz w:val="18"/>
                <w:szCs w:val="18"/>
                <w:highlight w:val="none"/>
              </w:rPr>
              <w:t>属于</w:t>
            </w:r>
            <w:r>
              <w:rPr>
                <w:rFonts w:hint="default" w:ascii="Times New Roman" w:hAnsi="Times New Roman" w:cs="Times New Roman"/>
                <w:color w:val="auto"/>
                <w:sz w:val="18"/>
                <w:szCs w:val="18"/>
                <w:highlight w:val="none"/>
                <w:lang w:eastAsia="zh-CN"/>
              </w:rPr>
              <w:t>干清粪</w:t>
            </w:r>
            <w:r>
              <w:rPr>
                <w:rFonts w:hint="default" w:ascii="Times New Roman" w:hAnsi="Times New Roman" w:cs="Times New Roman"/>
                <w:color w:val="auto"/>
                <w:sz w:val="18"/>
                <w:szCs w:val="18"/>
                <w:highlight w:val="none"/>
              </w:rPr>
              <w:t>工艺。</w:t>
            </w:r>
            <w:r>
              <w:rPr>
                <w:rFonts w:hint="default" w:ascii="Times New Roman" w:hAnsi="Times New Roman" w:cs="Times New Roman"/>
                <w:color w:val="auto"/>
                <w:sz w:val="18"/>
                <w:szCs w:val="18"/>
                <w:highlight w:val="none"/>
                <w:lang w:val="en-US" w:eastAsia="zh-CN"/>
              </w:rPr>
              <w:t>猪舍内喷洒除臭剂，堆粪棚投加快速发酵菌，加速发酵过程，以减少恶臭等。</w:t>
            </w:r>
          </w:p>
        </w:tc>
        <w:tc>
          <w:tcPr>
            <w:tcW w:w="929" w:type="dxa"/>
            <w:vAlign w:val="center"/>
          </w:tcPr>
          <w:p w14:paraId="1EEBBE14">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41FB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gridSpan w:val="3"/>
            <w:vAlign w:val="center"/>
          </w:tcPr>
          <w:p w14:paraId="07C1CD3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三、畜禽粪便的贮存</w:t>
            </w:r>
          </w:p>
        </w:tc>
      </w:tr>
      <w:tr w14:paraId="1DC8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178D6093">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畜禽养殖场产生的畜禽粪便应设置专门的贮存设施，其恶臭及污染物排放应符合《畜</w:t>
            </w:r>
          </w:p>
          <w:p w14:paraId="5053B1B2">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禽养殖业污染物排放标准》</w:t>
            </w:r>
          </w:p>
        </w:tc>
        <w:tc>
          <w:tcPr>
            <w:tcW w:w="4396" w:type="dxa"/>
            <w:vAlign w:val="center"/>
          </w:tcPr>
          <w:p w14:paraId="4AC56E0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设置了</w:t>
            </w:r>
            <w:r>
              <w:rPr>
                <w:rFonts w:hint="default" w:ascii="Times New Roman" w:hAnsi="Times New Roman" w:cs="Times New Roman"/>
                <w:color w:val="auto"/>
                <w:sz w:val="18"/>
                <w:szCs w:val="18"/>
                <w:highlight w:val="none"/>
                <w:lang w:val="en-US" w:eastAsia="zh-CN"/>
              </w:rPr>
              <w:t>堆粪棚</w:t>
            </w:r>
            <w:r>
              <w:rPr>
                <w:rFonts w:hint="default" w:ascii="Times New Roman" w:hAnsi="Times New Roman" w:cs="Times New Roman"/>
                <w:color w:val="auto"/>
                <w:sz w:val="18"/>
                <w:szCs w:val="18"/>
                <w:highlight w:val="none"/>
              </w:rPr>
              <w:t>进行粪便的贮存，根据工程分析恶臭及其排放浓度满足《畜禽养殖业污染物排放标准》（GB18596-2001）要求。</w:t>
            </w:r>
          </w:p>
        </w:tc>
        <w:tc>
          <w:tcPr>
            <w:tcW w:w="929" w:type="dxa"/>
            <w:vAlign w:val="center"/>
          </w:tcPr>
          <w:p w14:paraId="197FC0EE">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250E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36D4FB1C">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贮存设施的位置必须远离各类功能地表水体（距离不得小于400m），并应设在养殖场生产及生活管理区的常年主导风向的下风向或侧风向处</w:t>
            </w:r>
          </w:p>
        </w:tc>
        <w:tc>
          <w:tcPr>
            <w:tcW w:w="4396" w:type="dxa"/>
            <w:vAlign w:val="center"/>
          </w:tcPr>
          <w:p w14:paraId="7EFCB96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粪尿收集池</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堆粪棚</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废水收集</w:t>
            </w:r>
            <w:r>
              <w:rPr>
                <w:rFonts w:hint="default" w:ascii="Times New Roman" w:hAnsi="Times New Roman" w:cs="Times New Roman"/>
                <w:color w:val="auto"/>
                <w:sz w:val="18"/>
                <w:szCs w:val="18"/>
                <w:highlight w:val="none"/>
              </w:rPr>
              <w:t>池等</w:t>
            </w:r>
            <w:r>
              <w:rPr>
                <w:rFonts w:hint="default" w:ascii="Times New Roman" w:hAnsi="Times New Roman" w:cs="Times New Roman"/>
                <w:color w:val="auto"/>
                <w:sz w:val="18"/>
                <w:szCs w:val="18"/>
                <w:highlight w:val="none"/>
                <w:lang w:eastAsia="zh-CN"/>
              </w:rPr>
              <w:t>粪污</w:t>
            </w:r>
            <w:r>
              <w:rPr>
                <w:rFonts w:hint="default" w:ascii="Times New Roman" w:hAnsi="Times New Roman" w:cs="Times New Roman"/>
                <w:color w:val="auto"/>
                <w:sz w:val="18"/>
                <w:szCs w:val="18"/>
                <w:highlight w:val="none"/>
              </w:rPr>
              <w:t>处理区距离</w:t>
            </w:r>
            <w:r>
              <w:rPr>
                <w:rFonts w:hint="default" w:ascii="Times New Roman" w:hAnsi="Times New Roman" w:cs="Times New Roman"/>
                <w:color w:val="auto"/>
                <w:sz w:val="18"/>
                <w:szCs w:val="18"/>
                <w:highlight w:val="none"/>
                <w:lang w:eastAsia="zh-CN"/>
              </w:rPr>
              <w:t>项目最近的地表水体为西侧3.8km甸溪河</w:t>
            </w:r>
            <w:r>
              <w:rPr>
                <w:rFonts w:hint="default" w:ascii="Times New Roman" w:hAnsi="Times New Roman" w:cs="Times New Roman"/>
                <w:color w:val="auto"/>
                <w:sz w:val="18"/>
                <w:szCs w:val="18"/>
                <w:highlight w:val="none"/>
              </w:rPr>
              <w:t>（相对位置关系见附图2），并位于养殖场生产及生活管理区的常年主导风向的</w:t>
            </w:r>
            <w:r>
              <w:rPr>
                <w:rFonts w:hint="default" w:ascii="Times New Roman" w:hAnsi="Times New Roman" w:cs="Times New Roman"/>
                <w:color w:val="auto"/>
                <w:sz w:val="18"/>
                <w:szCs w:val="18"/>
                <w:highlight w:val="none"/>
                <w:lang w:val="en-US" w:eastAsia="zh-CN"/>
              </w:rPr>
              <w:t>侧</w:t>
            </w:r>
            <w:r>
              <w:rPr>
                <w:rFonts w:hint="default" w:ascii="Times New Roman" w:hAnsi="Times New Roman" w:cs="Times New Roman"/>
                <w:color w:val="auto"/>
                <w:sz w:val="18"/>
                <w:szCs w:val="18"/>
                <w:highlight w:val="none"/>
              </w:rPr>
              <w:t>风向。</w:t>
            </w:r>
          </w:p>
        </w:tc>
        <w:tc>
          <w:tcPr>
            <w:tcW w:w="929" w:type="dxa"/>
            <w:vAlign w:val="center"/>
          </w:tcPr>
          <w:p w14:paraId="4681287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6A38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6EAF0B5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贮存设施应采取有效的防渗处理工艺，防止畜禽粪便污染地下水</w:t>
            </w:r>
          </w:p>
        </w:tc>
        <w:tc>
          <w:tcPr>
            <w:tcW w:w="4396" w:type="dxa"/>
            <w:vAlign w:val="center"/>
          </w:tcPr>
          <w:p w14:paraId="2E5A8C78">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粪尿收集池</w:t>
            </w:r>
            <w:r>
              <w:rPr>
                <w:rFonts w:hint="default" w:ascii="Times New Roman" w:hAnsi="Times New Roman" w:cs="Times New Roman"/>
                <w:color w:val="auto"/>
                <w:sz w:val="18"/>
                <w:szCs w:val="18"/>
                <w:highlight w:val="none"/>
              </w:rPr>
              <w:t>、固液分离区、</w:t>
            </w:r>
            <w:r>
              <w:rPr>
                <w:rFonts w:hint="default" w:ascii="Times New Roman" w:hAnsi="Times New Roman" w:cs="Times New Roman"/>
                <w:color w:val="auto"/>
                <w:sz w:val="18"/>
                <w:szCs w:val="18"/>
                <w:highlight w:val="none"/>
                <w:lang w:val="en-US" w:eastAsia="zh-CN"/>
              </w:rPr>
              <w:t>废水收集</w:t>
            </w:r>
            <w:r>
              <w:rPr>
                <w:rFonts w:hint="default" w:ascii="Times New Roman" w:hAnsi="Times New Roman" w:cs="Times New Roman"/>
                <w:color w:val="auto"/>
                <w:sz w:val="18"/>
                <w:szCs w:val="18"/>
                <w:highlight w:val="none"/>
              </w:rPr>
              <w:t>池、</w:t>
            </w:r>
            <w:r>
              <w:rPr>
                <w:rFonts w:hint="default" w:ascii="Times New Roman" w:hAnsi="Times New Roman" w:cs="Times New Roman"/>
                <w:color w:val="auto"/>
                <w:sz w:val="18"/>
                <w:szCs w:val="18"/>
                <w:highlight w:val="none"/>
                <w:lang w:eastAsia="zh-CN"/>
              </w:rPr>
              <w:t>堆粪棚</w:t>
            </w:r>
            <w:r>
              <w:rPr>
                <w:rFonts w:hint="default" w:ascii="Times New Roman" w:hAnsi="Times New Roman" w:cs="Times New Roman"/>
                <w:color w:val="auto"/>
                <w:sz w:val="18"/>
                <w:szCs w:val="18"/>
                <w:highlight w:val="none"/>
              </w:rPr>
              <w:t>等</w:t>
            </w:r>
            <w:r>
              <w:rPr>
                <w:rFonts w:hint="default" w:ascii="Times New Roman" w:hAnsi="Times New Roman" w:cs="Times New Roman"/>
                <w:color w:val="auto"/>
                <w:sz w:val="18"/>
                <w:szCs w:val="18"/>
                <w:highlight w:val="none"/>
                <w:lang w:eastAsia="zh-CN"/>
              </w:rPr>
              <w:t>粪污</w:t>
            </w:r>
            <w:r>
              <w:rPr>
                <w:rFonts w:hint="default" w:ascii="Times New Roman" w:hAnsi="Times New Roman" w:cs="Times New Roman"/>
                <w:color w:val="auto"/>
                <w:sz w:val="18"/>
                <w:szCs w:val="18"/>
                <w:highlight w:val="none"/>
              </w:rPr>
              <w:t>处理区设为重点防渗区，防渗等级为等效黏土防渗层厚度Mb≥6m，渗透系数K≤1.0×10</w:t>
            </w:r>
            <w:r>
              <w:rPr>
                <w:rFonts w:hint="default" w:ascii="Times New Roman" w:hAnsi="Times New Roman" w:cs="Times New Roman"/>
                <w:color w:val="auto"/>
                <w:sz w:val="18"/>
                <w:szCs w:val="18"/>
                <w:highlight w:val="none"/>
                <w:vertAlign w:val="superscript"/>
              </w:rPr>
              <w:t>-7</w:t>
            </w:r>
            <w:r>
              <w:rPr>
                <w:rFonts w:hint="default" w:ascii="Times New Roman" w:hAnsi="Times New Roman" w:cs="Times New Roman"/>
                <w:color w:val="auto"/>
                <w:sz w:val="18"/>
                <w:szCs w:val="18"/>
                <w:highlight w:val="none"/>
              </w:rPr>
              <w:t>cm/s；或参照GB18598执行，防渗系数K≤1.0×10</w:t>
            </w:r>
            <w:r>
              <w:rPr>
                <w:rFonts w:hint="default" w:ascii="Times New Roman" w:hAnsi="Times New Roman" w:cs="Times New Roman"/>
                <w:color w:val="auto"/>
                <w:sz w:val="18"/>
                <w:szCs w:val="18"/>
                <w:highlight w:val="none"/>
                <w:vertAlign w:val="superscript"/>
              </w:rPr>
              <w:t>-10</w:t>
            </w:r>
            <w:r>
              <w:rPr>
                <w:rFonts w:hint="default" w:ascii="Times New Roman" w:hAnsi="Times New Roman" w:cs="Times New Roman"/>
                <w:color w:val="auto"/>
                <w:sz w:val="18"/>
                <w:szCs w:val="18"/>
                <w:highlight w:val="none"/>
              </w:rPr>
              <w:t>cm/s</w:t>
            </w:r>
          </w:p>
        </w:tc>
        <w:tc>
          <w:tcPr>
            <w:tcW w:w="929" w:type="dxa"/>
            <w:vAlign w:val="center"/>
          </w:tcPr>
          <w:p w14:paraId="78DC998F">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0030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1CCE95E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对于种养结合的养殖场，畜禽粪便贮存设施的总容积不得低于当地农林作物生产用肥的最大间隔时间内本养殖场所产生粪便的总量。</w:t>
            </w:r>
          </w:p>
        </w:tc>
        <w:tc>
          <w:tcPr>
            <w:tcW w:w="4396" w:type="dxa"/>
            <w:vAlign w:val="center"/>
          </w:tcPr>
          <w:p w14:paraId="77032EC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bidi="zh-CN"/>
              </w:rPr>
              <w:t>本项目不属于种养结合的养殖场，项目只进行养殖，</w:t>
            </w:r>
            <w:r>
              <w:rPr>
                <w:rFonts w:hint="default" w:ascii="Times New Roman" w:hAnsi="Times New Roman" w:cs="Times New Roman"/>
                <w:color w:val="auto"/>
                <w:sz w:val="18"/>
                <w:szCs w:val="18"/>
                <w:highlight w:val="none"/>
                <w:lang w:val="en-US" w:bidi="zh-CN"/>
              </w:rPr>
              <w:t>项目</w:t>
            </w:r>
            <w:r>
              <w:rPr>
                <w:rFonts w:hint="default" w:ascii="Times New Roman" w:hAnsi="Times New Roman" w:cs="Times New Roman"/>
                <w:color w:val="auto"/>
                <w:sz w:val="18"/>
                <w:szCs w:val="18"/>
                <w:highlight w:val="none"/>
                <w:lang w:bidi="zh-CN"/>
              </w:rPr>
              <w:t>粪污无害化处理后作为肥料还田利用；</w:t>
            </w:r>
            <w:r>
              <w:rPr>
                <w:rFonts w:hint="default" w:ascii="Times New Roman" w:hAnsi="Times New Roman" w:cs="Times New Roman"/>
                <w:color w:val="auto"/>
                <w:sz w:val="18"/>
                <w:szCs w:val="18"/>
                <w:highlight w:val="none"/>
                <w:lang w:val="en-US" w:bidi="zh-CN"/>
              </w:rPr>
              <w:t>根据计算</w:t>
            </w:r>
            <w:r>
              <w:rPr>
                <w:rFonts w:hint="default" w:ascii="Times New Roman" w:hAnsi="Times New Roman" w:cs="Times New Roman"/>
                <w:color w:val="auto"/>
                <w:sz w:val="18"/>
                <w:szCs w:val="18"/>
                <w:highlight w:val="none"/>
                <w:lang w:bidi="zh-CN"/>
              </w:rPr>
              <w:t>堆粪棚规模满足要求。</w:t>
            </w:r>
          </w:p>
        </w:tc>
        <w:tc>
          <w:tcPr>
            <w:tcW w:w="929" w:type="dxa"/>
            <w:vAlign w:val="center"/>
          </w:tcPr>
          <w:p w14:paraId="59FAD332">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780C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3355A11C">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贮存设施应采取设置顶盖等防止降雨（水）进入的措施</w:t>
            </w:r>
          </w:p>
        </w:tc>
        <w:tc>
          <w:tcPr>
            <w:tcW w:w="4396" w:type="dxa"/>
            <w:vAlign w:val="center"/>
          </w:tcPr>
          <w:p w14:paraId="4F86564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堆粪棚</w:t>
            </w:r>
            <w:r>
              <w:rPr>
                <w:rFonts w:hint="default" w:ascii="Times New Roman" w:hAnsi="Times New Roman" w:cs="Times New Roman"/>
                <w:color w:val="auto"/>
                <w:sz w:val="18"/>
                <w:szCs w:val="18"/>
                <w:highlight w:val="none"/>
              </w:rPr>
              <w:t>设置顶棚防止雨水进入。</w:t>
            </w:r>
          </w:p>
        </w:tc>
        <w:tc>
          <w:tcPr>
            <w:tcW w:w="929" w:type="dxa"/>
            <w:vAlign w:val="center"/>
          </w:tcPr>
          <w:p w14:paraId="66E41172">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6987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gridSpan w:val="3"/>
            <w:vAlign w:val="center"/>
          </w:tcPr>
          <w:p w14:paraId="50B482C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四、污水的处理</w:t>
            </w:r>
          </w:p>
        </w:tc>
      </w:tr>
      <w:tr w14:paraId="3E2B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579C13E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畜禽养殖过程中产生的污水应坚持种植结合的原则，经无害化处理后尽量充分还田，实现污水资源化利用</w:t>
            </w:r>
          </w:p>
        </w:tc>
        <w:tc>
          <w:tcPr>
            <w:tcW w:w="4396" w:type="dxa"/>
            <w:vAlign w:val="center"/>
          </w:tcPr>
          <w:p w14:paraId="41449EAC">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项目对综合污水</w:t>
            </w:r>
            <w:r>
              <w:rPr>
                <w:rFonts w:hint="default" w:ascii="Times New Roman" w:hAnsi="Times New Roman" w:cs="Times New Roman"/>
                <w:color w:val="auto"/>
                <w:kern w:val="0"/>
                <w:sz w:val="18"/>
                <w:szCs w:val="18"/>
                <w:highlight w:val="none"/>
                <w:lang w:val="en-US" w:eastAsia="zh-CN"/>
              </w:rPr>
              <w:t>依托弥勒温氏畜牧有限公司新哨种猪场建设项目污水处理站处理后用于绿化及农田灌溉</w:t>
            </w:r>
            <w:r>
              <w:rPr>
                <w:rFonts w:hint="default" w:ascii="Times New Roman" w:hAnsi="Times New Roman" w:cs="Times New Roman"/>
                <w:color w:val="auto"/>
                <w:kern w:val="0"/>
                <w:sz w:val="18"/>
                <w:szCs w:val="18"/>
                <w:highlight w:val="none"/>
              </w:rPr>
              <w:t>。</w:t>
            </w:r>
          </w:p>
        </w:tc>
        <w:tc>
          <w:tcPr>
            <w:tcW w:w="929" w:type="dxa"/>
            <w:vAlign w:val="center"/>
          </w:tcPr>
          <w:p w14:paraId="49F2F13E">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2FE6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0EDA5B30">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在畜禽养殖场与还田利用的农田之间应建立有效的污水输送网络，通过车载或管道形式将处理(置)后的污水输送至农田，要加强管理，严格控制污水输送沿途的弃、撒和跑、冒、滴、漏。</w:t>
            </w:r>
          </w:p>
        </w:tc>
        <w:tc>
          <w:tcPr>
            <w:tcW w:w="4396" w:type="dxa"/>
            <w:vAlign w:val="center"/>
          </w:tcPr>
          <w:p w14:paraId="78969E3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弥勒温氏畜牧有限公司新哨种猪场建设项目</w:t>
            </w:r>
            <w:r>
              <w:rPr>
                <w:rFonts w:hint="default" w:ascii="Times New Roman" w:hAnsi="Times New Roman" w:cs="Times New Roman"/>
                <w:color w:val="auto"/>
                <w:kern w:val="0"/>
                <w:sz w:val="18"/>
                <w:szCs w:val="18"/>
                <w:highlight w:val="none"/>
              </w:rPr>
              <w:t>采用罐车将液体粪肥运输至还田区域。按照要求加强管理，进行台账记录，对运输过程进行全程监督管控，严格控制污水输送沿途的弃、撒和跑、冒、滴、漏。</w:t>
            </w:r>
          </w:p>
        </w:tc>
        <w:tc>
          <w:tcPr>
            <w:tcW w:w="929" w:type="dxa"/>
            <w:vAlign w:val="center"/>
          </w:tcPr>
          <w:p w14:paraId="4E278BB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720F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3D5379E8">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畜禽养殖场污水排入农田前必须进行预处理（采格栅、厌氧、沉淀等工艺、流程）， 并应配套设置田间储存池，以解决农田在非施肥期间的污水出路问题，田间储存池的总容积不得低于当地农林作物生产用肥的最大间隔时间内畜禽养殖场排放污水的总量。</w:t>
            </w:r>
          </w:p>
        </w:tc>
        <w:tc>
          <w:tcPr>
            <w:tcW w:w="4396" w:type="dxa"/>
            <w:vAlign w:val="center"/>
          </w:tcPr>
          <w:p w14:paraId="6CE2714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项目对综合污水</w:t>
            </w:r>
            <w:r>
              <w:rPr>
                <w:rFonts w:hint="default" w:ascii="Times New Roman" w:hAnsi="Times New Roman" w:cs="Times New Roman"/>
                <w:color w:val="auto"/>
                <w:kern w:val="0"/>
                <w:sz w:val="18"/>
                <w:szCs w:val="18"/>
                <w:highlight w:val="none"/>
                <w:lang w:val="en-US" w:eastAsia="zh-CN"/>
              </w:rPr>
              <w:t>依托弥勒温氏畜牧有限公司新哨种猪场建设项目污水处理站处理达《城市污水再生利用、城市生活杂用水水质》（GB/T18920-2020）及《农田灌溉水质标准》（GB5084-2021）中的“旱地作物”标准后用于绿化及农田灌溉。</w:t>
            </w:r>
          </w:p>
        </w:tc>
        <w:tc>
          <w:tcPr>
            <w:tcW w:w="929" w:type="dxa"/>
            <w:vAlign w:val="center"/>
          </w:tcPr>
          <w:p w14:paraId="695E7737">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0901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597EF6D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对没有充足土地消纳污水的畜禽养殖场，可根据当地实际情况选用下列综合利用措施；①经过生物发酵后，可浓缩制成商品液体有机肥料。②进行沼气发酵，对沼渣、沼液应尽可能实现综合利用，同时要避免产生新的污染，沼渣及时清运至粪便贮存场所；沼液尽可能进行还田利用，不能还田利用并需外排的要进行进一步净化处理，达到排放标准。沼气发酵产物应符合《粪便无害化卫生标准》(GB7959—87)。</w:t>
            </w:r>
          </w:p>
        </w:tc>
        <w:tc>
          <w:tcPr>
            <w:tcW w:w="4396" w:type="dxa"/>
            <w:vAlign w:val="center"/>
          </w:tcPr>
          <w:p w14:paraId="20ABE88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根据计算，项目</w:t>
            </w:r>
            <w:r>
              <w:rPr>
                <w:rFonts w:hint="default" w:ascii="Times New Roman" w:hAnsi="Times New Roman" w:cs="Times New Roman"/>
                <w:color w:val="auto"/>
                <w:kern w:val="0"/>
                <w:sz w:val="18"/>
                <w:szCs w:val="18"/>
                <w:highlight w:val="none"/>
                <w:lang w:eastAsia="zh-CN"/>
              </w:rPr>
              <w:t>粪污</w:t>
            </w:r>
            <w:r>
              <w:rPr>
                <w:rFonts w:hint="default" w:ascii="Times New Roman" w:hAnsi="Times New Roman" w:cs="Times New Roman"/>
                <w:color w:val="auto"/>
                <w:kern w:val="0"/>
                <w:sz w:val="18"/>
                <w:szCs w:val="18"/>
                <w:highlight w:val="none"/>
              </w:rPr>
              <w:t>消纳区配套的土地面积能满足一倍以上的轮作面积要求。</w:t>
            </w:r>
          </w:p>
        </w:tc>
        <w:tc>
          <w:tcPr>
            <w:tcW w:w="929" w:type="dxa"/>
            <w:vAlign w:val="center"/>
          </w:tcPr>
          <w:p w14:paraId="662EACB0">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4D80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7209E11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污水的净化处理应根据养殖种类、养殖规模、清粪方式和当地的自然地理条件，选择合理、适用的污水净化处理工艺和技术路线，尽可能采用自然生物处理的方法，达到回用标准或排放标准</w:t>
            </w:r>
          </w:p>
        </w:tc>
        <w:tc>
          <w:tcPr>
            <w:tcW w:w="4396" w:type="dxa"/>
            <w:vAlign w:val="center"/>
          </w:tcPr>
          <w:p w14:paraId="7847FB0C">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lang w:val="en-US"/>
              </w:rPr>
            </w:pPr>
            <w:r>
              <w:rPr>
                <w:rFonts w:hint="default" w:ascii="Times New Roman" w:hAnsi="Times New Roman" w:cs="Times New Roman"/>
                <w:color w:val="auto"/>
                <w:kern w:val="0"/>
                <w:sz w:val="18"/>
                <w:szCs w:val="18"/>
                <w:highlight w:val="none"/>
              </w:rPr>
              <w:t>项目对综合污水</w:t>
            </w:r>
            <w:r>
              <w:rPr>
                <w:rFonts w:hint="default" w:ascii="Times New Roman" w:hAnsi="Times New Roman" w:cs="Times New Roman"/>
                <w:color w:val="auto"/>
                <w:kern w:val="0"/>
                <w:sz w:val="18"/>
                <w:szCs w:val="18"/>
                <w:highlight w:val="none"/>
                <w:lang w:val="en-US" w:eastAsia="zh-CN"/>
              </w:rPr>
              <w:t>依托弥勒温氏畜牧有限公司新哨种猪场建设项目污水处理站处理达《城市污水再生利用、城市生活杂用水水质》（GB/T18920-2020）及《农田灌溉水质标准》（GB5084-2021）中的“旱地作物”标准后用于绿化及农田灌溉。</w:t>
            </w:r>
          </w:p>
        </w:tc>
        <w:tc>
          <w:tcPr>
            <w:tcW w:w="929" w:type="dxa"/>
            <w:vAlign w:val="center"/>
          </w:tcPr>
          <w:p w14:paraId="68D4A96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35FE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gridSpan w:val="3"/>
            <w:vAlign w:val="center"/>
          </w:tcPr>
          <w:p w14:paraId="000101D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kern w:val="0"/>
                <w:sz w:val="18"/>
                <w:szCs w:val="18"/>
                <w:highlight w:val="none"/>
              </w:rPr>
              <w:t>五、固体粪肥的处理利用</w:t>
            </w:r>
          </w:p>
        </w:tc>
      </w:tr>
      <w:tr w14:paraId="794C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2B69DC0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畜禽粪便必须经过无害化处理，并且须符合《粪便无害化卫生标准》后，才能进行土地利用，禁止未经处理的畜禽粪便直接施入农田</w:t>
            </w:r>
          </w:p>
        </w:tc>
        <w:tc>
          <w:tcPr>
            <w:tcW w:w="4396" w:type="dxa"/>
            <w:vAlign w:val="center"/>
          </w:tcPr>
          <w:p w14:paraId="020E968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项目产生的粪便采用好</w:t>
            </w:r>
            <w:r>
              <w:rPr>
                <w:rFonts w:hint="default" w:ascii="Times New Roman" w:hAnsi="Times New Roman" w:cs="Times New Roman"/>
                <w:color w:val="auto"/>
                <w:kern w:val="0"/>
                <w:sz w:val="18"/>
                <w:szCs w:val="18"/>
                <w:highlight w:val="none"/>
                <w:lang w:eastAsia="zh-CN"/>
              </w:rPr>
              <w:t>氧</w:t>
            </w:r>
            <w:r>
              <w:rPr>
                <w:rFonts w:hint="default" w:ascii="Times New Roman" w:hAnsi="Times New Roman" w:cs="Times New Roman"/>
                <w:color w:val="auto"/>
                <w:kern w:val="0"/>
                <w:sz w:val="18"/>
                <w:szCs w:val="18"/>
                <w:highlight w:val="none"/>
              </w:rPr>
              <w:t>堆肥发酵工艺，根据堆肥工艺可行性分析章节，项目堆肥温度及发酵周期满足《畜禽粪便无害化处理技术规范》（GB/T36195-2018）相关要求</w:t>
            </w:r>
            <w:r>
              <w:rPr>
                <w:rFonts w:hint="default" w:ascii="Times New Roman" w:hAnsi="Times New Roman" w:cs="Times New Roman"/>
                <w:color w:val="auto"/>
                <w:sz w:val="18"/>
                <w:szCs w:val="18"/>
                <w:highlight w:val="none"/>
              </w:rPr>
              <w:t>，确保粪肥充分无害化处理后再还田利用。</w:t>
            </w:r>
          </w:p>
        </w:tc>
        <w:tc>
          <w:tcPr>
            <w:tcW w:w="929" w:type="dxa"/>
            <w:vAlign w:val="center"/>
          </w:tcPr>
          <w:p w14:paraId="1D4B2288">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19D0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519DE61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经过处理的粪便作为土地的肥料或土壤调节剂来满足作物生长的需要，其用量不能超过作物当年生长所需养分的需求量。</w:t>
            </w:r>
          </w:p>
        </w:tc>
        <w:tc>
          <w:tcPr>
            <w:tcW w:w="4396" w:type="dxa"/>
            <w:vAlign w:val="center"/>
          </w:tcPr>
          <w:p w14:paraId="7B50461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根据计算，项目</w:t>
            </w:r>
            <w:r>
              <w:rPr>
                <w:rFonts w:hint="default" w:ascii="Times New Roman" w:hAnsi="Times New Roman" w:cs="Times New Roman"/>
                <w:color w:val="auto"/>
                <w:kern w:val="0"/>
                <w:sz w:val="18"/>
                <w:szCs w:val="18"/>
                <w:highlight w:val="none"/>
                <w:lang w:eastAsia="zh-CN"/>
              </w:rPr>
              <w:t>粪污</w:t>
            </w:r>
            <w:r>
              <w:rPr>
                <w:rFonts w:hint="default" w:ascii="Times New Roman" w:hAnsi="Times New Roman" w:cs="Times New Roman"/>
                <w:color w:val="auto"/>
                <w:kern w:val="0"/>
                <w:sz w:val="18"/>
                <w:szCs w:val="18"/>
                <w:highlight w:val="none"/>
              </w:rPr>
              <w:t>消纳区配套的土地养分需求量大于项目粪肥养分供给量，能满足一倍以上的轮作面积要求，满足土地承载力。</w:t>
            </w:r>
          </w:p>
        </w:tc>
        <w:tc>
          <w:tcPr>
            <w:tcW w:w="929" w:type="dxa"/>
            <w:vAlign w:val="center"/>
          </w:tcPr>
          <w:p w14:paraId="4D497CBA">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6D5D7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4661D7AE">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对高降雨区、坡地及沙质容易产生径流和渗透性较强的土壤，不适宜施用粪肥或粪肥使用量过高易使粪肥流失引起地表水或地下水污染时，应禁止或暂停使用粪肥。</w:t>
            </w:r>
          </w:p>
        </w:tc>
        <w:tc>
          <w:tcPr>
            <w:tcW w:w="4396" w:type="dxa"/>
            <w:vAlign w:val="center"/>
          </w:tcPr>
          <w:p w14:paraId="3206215F">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项目区不处于高降雨地区和沙质容易产生径流和渗透性较强的土壤。</w:t>
            </w:r>
          </w:p>
        </w:tc>
        <w:tc>
          <w:tcPr>
            <w:tcW w:w="929" w:type="dxa"/>
            <w:vAlign w:val="center"/>
          </w:tcPr>
          <w:p w14:paraId="3FDDB3B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58F2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34C04ED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对没有充足土地消纳利用粪肥的大中型畜禽养殖场和养殖小区，应建立集中处理畜禽粪便的有机肥厂或处理(置)机制。</w:t>
            </w:r>
          </w:p>
        </w:tc>
        <w:tc>
          <w:tcPr>
            <w:tcW w:w="4396" w:type="dxa"/>
            <w:vAlign w:val="center"/>
          </w:tcPr>
          <w:p w14:paraId="3AC4452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根据计算，项目</w:t>
            </w:r>
            <w:r>
              <w:rPr>
                <w:rFonts w:hint="default" w:ascii="Times New Roman" w:hAnsi="Times New Roman" w:cs="Times New Roman"/>
                <w:color w:val="auto"/>
                <w:kern w:val="0"/>
                <w:sz w:val="18"/>
                <w:szCs w:val="18"/>
                <w:highlight w:val="none"/>
                <w:lang w:eastAsia="zh-CN"/>
              </w:rPr>
              <w:t>粪污</w:t>
            </w:r>
            <w:r>
              <w:rPr>
                <w:rFonts w:hint="default" w:ascii="Times New Roman" w:hAnsi="Times New Roman" w:cs="Times New Roman"/>
                <w:color w:val="auto"/>
                <w:kern w:val="0"/>
                <w:sz w:val="18"/>
                <w:szCs w:val="18"/>
                <w:highlight w:val="none"/>
              </w:rPr>
              <w:t>消纳区配套的土地养分需求量大于项目粪肥养分供给量，能满足一倍以上的轮作面积要求，满足土地承载力。</w:t>
            </w:r>
          </w:p>
        </w:tc>
        <w:tc>
          <w:tcPr>
            <w:tcW w:w="929" w:type="dxa"/>
            <w:vAlign w:val="center"/>
          </w:tcPr>
          <w:p w14:paraId="13DD22CC">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64B4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1074F5D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固体粪便的堆制可采用高温好氧发酵或其他适用技术和方法，以杀死其中的病原菌和蛔虫卵，缩短堆制时间，实现无害化</w:t>
            </w:r>
          </w:p>
        </w:tc>
        <w:tc>
          <w:tcPr>
            <w:tcW w:w="4396" w:type="dxa"/>
            <w:vAlign w:val="center"/>
          </w:tcPr>
          <w:p w14:paraId="0FEC1E9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项目产生的粪便采用好</w:t>
            </w:r>
            <w:r>
              <w:rPr>
                <w:rFonts w:hint="default" w:ascii="Times New Roman" w:hAnsi="Times New Roman" w:cs="Times New Roman"/>
                <w:color w:val="auto"/>
                <w:kern w:val="0"/>
                <w:sz w:val="18"/>
                <w:szCs w:val="18"/>
                <w:highlight w:val="none"/>
                <w:lang w:eastAsia="zh-CN"/>
              </w:rPr>
              <w:t>氧</w:t>
            </w:r>
            <w:r>
              <w:rPr>
                <w:rFonts w:hint="default" w:ascii="Times New Roman" w:hAnsi="Times New Roman" w:cs="Times New Roman"/>
                <w:color w:val="auto"/>
                <w:kern w:val="0"/>
                <w:sz w:val="18"/>
                <w:szCs w:val="18"/>
                <w:highlight w:val="none"/>
              </w:rPr>
              <w:t>堆肥发酵工艺，根据堆肥工艺可行性分析章节，项目堆肥温度及发酵周期满足《畜禽粪便无害化处理技术规范》（GB/T36195-2018）相关要求，确保粪肥达标后再还田利用。</w:t>
            </w:r>
          </w:p>
        </w:tc>
        <w:tc>
          <w:tcPr>
            <w:tcW w:w="929" w:type="dxa"/>
            <w:vAlign w:val="center"/>
          </w:tcPr>
          <w:p w14:paraId="74FB38A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3926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gridSpan w:val="3"/>
            <w:vAlign w:val="center"/>
          </w:tcPr>
          <w:p w14:paraId="3B636A3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kern w:val="0"/>
                <w:sz w:val="18"/>
                <w:szCs w:val="18"/>
                <w:highlight w:val="none"/>
              </w:rPr>
              <w:t>六、病死畜禽尸体的处理与处置</w:t>
            </w:r>
          </w:p>
        </w:tc>
      </w:tr>
      <w:tr w14:paraId="4C2AA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6" w:type="dxa"/>
            <w:vAlign w:val="center"/>
          </w:tcPr>
          <w:p w14:paraId="24FDFC4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病死畜禽尸体要及时处理，严禁随意丢弃，严禁出售或作为饲料再利用</w:t>
            </w:r>
          </w:p>
        </w:tc>
        <w:tc>
          <w:tcPr>
            <w:tcW w:w="4396" w:type="dxa"/>
            <w:vAlign w:val="center"/>
          </w:tcPr>
          <w:p w14:paraId="07F0487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bCs/>
                <w:color w:val="auto"/>
                <w:kern w:val="0"/>
                <w:sz w:val="18"/>
                <w:szCs w:val="18"/>
                <w:highlight w:val="none"/>
              </w:rPr>
              <w:t>病死猪采用冷库暂存，定期委托弥勒市北斗星生物科技有限公司进行无害化处置。</w:t>
            </w:r>
          </w:p>
        </w:tc>
        <w:tc>
          <w:tcPr>
            <w:tcW w:w="929" w:type="dxa"/>
            <w:vAlign w:val="center"/>
          </w:tcPr>
          <w:p w14:paraId="07DF0E00">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14:paraId="634E29DF">
      <w:pPr>
        <w:tabs>
          <w:tab w:val="left" w:pos="611"/>
        </w:tabs>
        <w:snapToGrid w:val="0"/>
        <w:spacing w:before="156" w:beforeLines="5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根据上表分析，项目建设符合《畜禽养殖业污染防治技术规范》（HJ/T 81-2001）中的相关要求。</w:t>
      </w:r>
    </w:p>
    <w:p w14:paraId="70CCFDAC">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61" w:name="_Toc23547"/>
      <w:r>
        <w:rPr>
          <w:rStyle w:val="35"/>
          <w:rFonts w:hint="default" w:ascii="Times New Roman" w:hAnsi="Times New Roman" w:eastAsia="宋体" w:cs="Times New Roman"/>
          <w:color w:val="auto"/>
          <w:sz w:val="24"/>
          <w:szCs w:val="24"/>
          <w:highlight w:val="none"/>
        </w:rPr>
        <w:t>7.3.3与《畜禽规模养殖污染防治条例》符合性分析</w:t>
      </w:r>
      <w:bookmarkEnd w:id="361"/>
    </w:p>
    <w:p w14:paraId="0584D207">
      <w:pPr>
        <w:tabs>
          <w:tab w:val="left" w:pos="611"/>
        </w:tabs>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本项目场址建设条件与《畜禽规模养殖污染防治条例》要求对比分析结果见表</w:t>
      </w:r>
      <w:r>
        <w:rPr>
          <w:rFonts w:hint="default" w:ascii="Times New Roman" w:hAnsi="Times New Roman" w:eastAsia="TimesNewRomanPSMT" w:cs="Times New Roman"/>
          <w:color w:val="auto"/>
          <w:kern w:val="0"/>
          <w:sz w:val="24"/>
          <w:highlight w:val="none"/>
        </w:rPr>
        <w:t>7.3-2</w:t>
      </w:r>
      <w:r>
        <w:rPr>
          <w:rFonts w:hint="default" w:ascii="Times New Roman" w:hAnsi="Times New Roman" w:cs="Times New Roman"/>
          <w:color w:val="auto"/>
          <w:kern w:val="0"/>
          <w:sz w:val="24"/>
          <w:highlight w:val="none"/>
        </w:rPr>
        <w:t>。</w:t>
      </w:r>
    </w:p>
    <w:p w14:paraId="29FA22B3">
      <w:pPr>
        <w:tabs>
          <w:tab w:val="left" w:pos="611"/>
        </w:tabs>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表7.3-2    项目与《畜禽规模养殖污染防治条例》的符合性</w:t>
      </w:r>
    </w:p>
    <w:tbl>
      <w:tblPr>
        <w:tblStyle w:val="23"/>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3828"/>
        <w:gridCol w:w="929"/>
      </w:tblGrid>
      <w:tr w14:paraId="56C0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4" w:type="dxa"/>
            <w:vAlign w:val="center"/>
          </w:tcPr>
          <w:p w14:paraId="2CE6E058">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《畜禽规模养殖污染防治条例》要求</w:t>
            </w:r>
          </w:p>
        </w:tc>
        <w:tc>
          <w:tcPr>
            <w:tcW w:w="3828" w:type="dxa"/>
            <w:vAlign w:val="center"/>
          </w:tcPr>
          <w:p w14:paraId="10DCFACE">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项目情况</w:t>
            </w:r>
          </w:p>
        </w:tc>
        <w:tc>
          <w:tcPr>
            <w:tcW w:w="929" w:type="dxa"/>
            <w:vAlign w:val="center"/>
          </w:tcPr>
          <w:p w14:paraId="7F7E2A76">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符合性</w:t>
            </w:r>
          </w:p>
        </w:tc>
      </w:tr>
      <w:tr w14:paraId="051A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4" w:type="dxa"/>
            <w:vAlign w:val="center"/>
          </w:tcPr>
          <w:p w14:paraId="6DD8314F">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第十一条：禁止建设在饮用水水源保护区、风景名胜区。禁止建设在自然保护区的核心区和缓冲区。 禁止建设在城镇居民区、文化教育科学研究区 等人口集中区域禁止建设在法律、法规规定的其他禁止养殖区域。</w:t>
            </w:r>
          </w:p>
        </w:tc>
        <w:tc>
          <w:tcPr>
            <w:tcW w:w="3828" w:type="dxa"/>
            <w:vAlign w:val="center"/>
          </w:tcPr>
          <w:p w14:paraId="4CA4ABA2">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本项目选址不涉及饮用水水源保护区、风景名胜区。不涉及自然保护区。不在城镇居民区等人口集中区域。根据弥勒市农业农村局出具的情况说明：项目选址不在禁养区。</w:t>
            </w:r>
          </w:p>
        </w:tc>
        <w:tc>
          <w:tcPr>
            <w:tcW w:w="929" w:type="dxa"/>
            <w:vAlign w:val="center"/>
          </w:tcPr>
          <w:p w14:paraId="3B48F1F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574C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4" w:type="dxa"/>
            <w:vAlign w:val="center"/>
          </w:tcPr>
          <w:p w14:paraId="5E3B5194">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第十二条：新建、改建、扩建畜禽养殖场、养殖小区，应当符合畜牧业发展规划、畜禽养殖污染防治规划，满足动物防疫条件，并进行环境影响评价。对环境可能造成重大影响的大型畜禽养殖场、养殖小区，应当编制环境影响报告书；其他畜禽养殖场、养殖小区应当填报环境影响登记表。</w:t>
            </w:r>
          </w:p>
        </w:tc>
        <w:tc>
          <w:tcPr>
            <w:tcW w:w="3828" w:type="dxa"/>
            <w:vAlign w:val="center"/>
          </w:tcPr>
          <w:p w14:paraId="5CF92D62">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项目属于新建的畜禽养殖场，项目选址不在禁养区范围内，项目建设符合畜禽养殖污染防治规划等，本项目正在办理环境影响报告书手续。</w:t>
            </w:r>
          </w:p>
        </w:tc>
        <w:tc>
          <w:tcPr>
            <w:tcW w:w="929" w:type="dxa"/>
            <w:vAlign w:val="center"/>
          </w:tcPr>
          <w:p w14:paraId="22503AC2">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2FBD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4" w:type="dxa"/>
            <w:vAlign w:val="center"/>
          </w:tcPr>
          <w:p w14:paraId="566BB863">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第十三条：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w:t>
            </w:r>
          </w:p>
        </w:tc>
        <w:tc>
          <w:tcPr>
            <w:tcW w:w="3828" w:type="dxa"/>
            <w:vAlign w:val="center"/>
          </w:tcPr>
          <w:p w14:paraId="0D4B48B6">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w:t>
            </w:r>
            <w:r>
              <w:rPr>
                <w:rFonts w:hint="default" w:ascii="Times New Roman" w:hAnsi="Times New Roman" w:cs="Times New Roman"/>
                <w:color w:val="auto"/>
                <w:sz w:val="18"/>
                <w:szCs w:val="18"/>
                <w:highlight w:val="none"/>
                <w:lang w:val="en-US" w:eastAsia="zh-CN"/>
              </w:rPr>
              <w:t>实行</w:t>
            </w:r>
            <w:r>
              <w:rPr>
                <w:rFonts w:hint="default" w:ascii="Times New Roman" w:hAnsi="Times New Roman" w:cs="Times New Roman"/>
                <w:color w:val="auto"/>
                <w:sz w:val="18"/>
                <w:szCs w:val="18"/>
                <w:highlight w:val="none"/>
              </w:rPr>
              <w:t>雨污分流，配套</w:t>
            </w:r>
            <w:r>
              <w:rPr>
                <w:rFonts w:hint="default" w:ascii="Times New Roman" w:hAnsi="Times New Roman" w:cs="Times New Roman"/>
                <w:color w:val="auto"/>
                <w:sz w:val="18"/>
                <w:szCs w:val="18"/>
                <w:highlight w:val="none"/>
                <w:lang w:eastAsia="zh-CN"/>
              </w:rPr>
              <w:t>粪尿收集池</w:t>
            </w:r>
            <w:r>
              <w:rPr>
                <w:rFonts w:hint="default" w:ascii="Times New Roman" w:hAnsi="Times New Roman" w:cs="Times New Roman"/>
                <w:color w:val="auto"/>
                <w:sz w:val="18"/>
                <w:szCs w:val="18"/>
                <w:highlight w:val="none"/>
              </w:rPr>
              <w:t>、固液分离、</w:t>
            </w:r>
            <w:r>
              <w:rPr>
                <w:rFonts w:hint="default" w:ascii="Times New Roman" w:hAnsi="Times New Roman" w:cs="Times New Roman"/>
                <w:color w:val="auto"/>
                <w:sz w:val="18"/>
                <w:szCs w:val="18"/>
                <w:highlight w:val="none"/>
                <w:lang w:val="en-US" w:eastAsia="zh-CN"/>
              </w:rPr>
              <w:t>废水收集</w:t>
            </w:r>
            <w:r>
              <w:rPr>
                <w:rFonts w:hint="default" w:ascii="Times New Roman" w:hAnsi="Times New Roman" w:cs="Times New Roman"/>
                <w:color w:val="auto"/>
                <w:sz w:val="18"/>
                <w:szCs w:val="18"/>
                <w:highlight w:val="none"/>
              </w:rPr>
              <w:t>池等设施，</w:t>
            </w:r>
            <w:r>
              <w:rPr>
                <w:rFonts w:hint="default" w:ascii="Times New Roman" w:hAnsi="Times New Roman" w:cs="Times New Roman"/>
                <w:color w:val="auto"/>
                <w:sz w:val="18"/>
                <w:szCs w:val="18"/>
                <w:highlight w:val="none"/>
                <w:lang w:val="en-US" w:eastAsia="zh-CN"/>
              </w:rPr>
              <w:t>固体粪便</w:t>
            </w:r>
            <w:r>
              <w:rPr>
                <w:rFonts w:hint="default" w:ascii="Times New Roman" w:hAnsi="Times New Roman" w:cs="Times New Roman"/>
                <w:color w:val="auto"/>
                <w:sz w:val="18"/>
                <w:szCs w:val="18"/>
                <w:highlight w:val="none"/>
              </w:rPr>
              <w:t>经过</w:t>
            </w:r>
            <w:r>
              <w:rPr>
                <w:rFonts w:hint="default" w:ascii="Times New Roman" w:hAnsi="Times New Roman" w:cs="Times New Roman"/>
                <w:color w:val="auto"/>
                <w:sz w:val="18"/>
                <w:szCs w:val="18"/>
                <w:highlight w:val="none"/>
                <w:lang w:val="en-US" w:eastAsia="zh-CN"/>
              </w:rPr>
              <w:t>堆肥</w:t>
            </w:r>
            <w:r>
              <w:rPr>
                <w:rFonts w:hint="default" w:ascii="Times New Roman" w:hAnsi="Times New Roman" w:cs="Times New Roman"/>
                <w:color w:val="auto"/>
                <w:sz w:val="18"/>
                <w:szCs w:val="18"/>
                <w:highlight w:val="none"/>
              </w:rPr>
              <w:t>处理后回用于周边农田施肥，实现资源化利用。</w:t>
            </w:r>
            <w:r>
              <w:rPr>
                <w:rFonts w:hint="default" w:ascii="Times New Roman" w:hAnsi="Times New Roman" w:cs="Times New Roman"/>
                <w:bCs/>
                <w:color w:val="auto"/>
                <w:sz w:val="18"/>
                <w:szCs w:val="18"/>
                <w:highlight w:val="none"/>
              </w:rPr>
              <w:t>病死猪委托弥勒市北斗星生物科技有限公司进行无害化处置。</w:t>
            </w:r>
          </w:p>
        </w:tc>
        <w:tc>
          <w:tcPr>
            <w:tcW w:w="929" w:type="dxa"/>
            <w:vAlign w:val="center"/>
          </w:tcPr>
          <w:p w14:paraId="4C3E2D6C">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58D2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4" w:type="dxa"/>
            <w:vAlign w:val="center"/>
          </w:tcPr>
          <w:p w14:paraId="20FD0784">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第十五条：国家鼓励和支持采取粪肥还田、制取沼气、制造有机肥等方法，对畜禽养殖废弃物进行综合利用。</w:t>
            </w:r>
          </w:p>
        </w:tc>
        <w:tc>
          <w:tcPr>
            <w:tcW w:w="3828" w:type="dxa"/>
            <w:vAlign w:val="center"/>
          </w:tcPr>
          <w:p w14:paraId="7B2A452C">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固体粪便</w:t>
            </w:r>
            <w:r>
              <w:rPr>
                <w:rFonts w:hint="default" w:ascii="Times New Roman" w:hAnsi="Times New Roman" w:cs="Times New Roman"/>
                <w:color w:val="auto"/>
                <w:sz w:val="18"/>
                <w:szCs w:val="18"/>
                <w:highlight w:val="none"/>
              </w:rPr>
              <w:t>经过无害化处理后回用于周边农田施肥，实现资源化利用。</w:t>
            </w:r>
          </w:p>
        </w:tc>
        <w:tc>
          <w:tcPr>
            <w:tcW w:w="929" w:type="dxa"/>
            <w:vAlign w:val="center"/>
          </w:tcPr>
          <w:p w14:paraId="59D28F1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2164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4" w:type="dxa"/>
            <w:vAlign w:val="center"/>
          </w:tcPr>
          <w:p w14:paraId="799D8204">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第十八条：将畜禽粪便、污水、沼渣、沼液等用作肥料的，应当与土地的消纳能力相适应，并采取有效措施，消除可能引起传染病的微生物，防止污染环境和传播疫病。</w:t>
            </w:r>
          </w:p>
        </w:tc>
        <w:tc>
          <w:tcPr>
            <w:tcW w:w="3828" w:type="dxa"/>
            <w:vAlign w:val="center"/>
          </w:tcPr>
          <w:p w14:paraId="64A0AF1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w:t>
            </w:r>
            <w:r>
              <w:rPr>
                <w:rFonts w:hint="default" w:ascii="Times New Roman" w:hAnsi="Times New Roman" w:cs="Times New Roman"/>
                <w:color w:val="auto"/>
                <w:sz w:val="18"/>
                <w:szCs w:val="18"/>
                <w:highlight w:val="none"/>
                <w:lang w:eastAsia="zh-CN"/>
              </w:rPr>
              <w:t>粪污</w:t>
            </w:r>
            <w:r>
              <w:rPr>
                <w:rFonts w:hint="default" w:ascii="Times New Roman" w:hAnsi="Times New Roman" w:cs="Times New Roman"/>
                <w:color w:val="auto"/>
                <w:sz w:val="18"/>
                <w:szCs w:val="18"/>
                <w:highlight w:val="none"/>
              </w:rPr>
              <w:t>还田前均经过无害化处理，根据计算，</w:t>
            </w:r>
            <w:r>
              <w:rPr>
                <w:rFonts w:hint="default" w:ascii="Times New Roman" w:hAnsi="Times New Roman" w:cs="Times New Roman"/>
                <w:color w:val="auto"/>
                <w:sz w:val="18"/>
                <w:szCs w:val="18"/>
                <w:highlight w:val="none"/>
                <w:lang w:eastAsia="zh-CN"/>
              </w:rPr>
              <w:t>粪污</w:t>
            </w:r>
            <w:r>
              <w:rPr>
                <w:rFonts w:hint="default" w:ascii="Times New Roman" w:hAnsi="Times New Roman" w:cs="Times New Roman"/>
                <w:color w:val="auto"/>
                <w:sz w:val="18"/>
                <w:szCs w:val="18"/>
                <w:highlight w:val="none"/>
              </w:rPr>
              <w:t>消纳区配套的土地面积满足一倍以上的轮作面积要求，符合土地承载力要求。</w:t>
            </w:r>
          </w:p>
        </w:tc>
        <w:tc>
          <w:tcPr>
            <w:tcW w:w="929" w:type="dxa"/>
            <w:vAlign w:val="center"/>
          </w:tcPr>
          <w:p w14:paraId="22701EAC">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2788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4" w:type="dxa"/>
            <w:vAlign w:val="center"/>
          </w:tcPr>
          <w:p w14:paraId="3077C040">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第十九条：从事畜禽养殖活动和畜禽养殖废弃物处理活动，应当及时对畜禽粪便、畜禽尸体、污水等进行收集、贮存、清运，防止恶臭和畜禽养殖废弃物渗出、泄漏。</w:t>
            </w:r>
          </w:p>
        </w:tc>
        <w:tc>
          <w:tcPr>
            <w:tcW w:w="3828" w:type="dxa"/>
            <w:vAlign w:val="center"/>
          </w:tcPr>
          <w:p w14:paraId="2D6839D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尿液和粪便经</w:t>
            </w:r>
            <w:r>
              <w:rPr>
                <w:rFonts w:hint="default" w:ascii="Times New Roman" w:hAnsi="Times New Roman" w:cs="Times New Roman"/>
                <w:color w:val="auto"/>
                <w:sz w:val="18"/>
                <w:szCs w:val="18"/>
                <w:highlight w:val="none"/>
              </w:rPr>
              <w:t>漏缝地板</w:t>
            </w:r>
            <w:r>
              <w:rPr>
                <w:rFonts w:hint="default" w:ascii="Times New Roman" w:hAnsi="Times New Roman" w:cs="Times New Roman"/>
                <w:color w:val="auto"/>
                <w:sz w:val="18"/>
                <w:szCs w:val="18"/>
                <w:highlight w:val="none"/>
                <w:lang w:val="en-US" w:eastAsia="zh-CN"/>
              </w:rPr>
              <w:t>进入猪舍下方粪尿收集池后先进行固液分离，粪便进行堆肥发酵，尿液进入废水收集池。粪污</w:t>
            </w:r>
            <w:r>
              <w:rPr>
                <w:rFonts w:hint="default" w:ascii="Times New Roman" w:hAnsi="Times New Roman" w:cs="Times New Roman"/>
                <w:color w:val="auto"/>
                <w:sz w:val="18"/>
                <w:szCs w:val="18"/>
                <w:highlight w:val="none"/>
                <w:lang w:eastAsia="zh-CN"/>
              </w:rPr>
              <w:t>及时排出进行固液分离</w:t>
            </w:r>
            <w:r>
              <w:rPr>
                <w:rFonts w:hint="default" w:ascii="Times New Roman" w:hAnsi="Times New Roman" w:cs="Times New Roman"/>
                <w:color w:val="auto"/>
                <w:sz w:val="18"/>
                <w:szCs w:val="18"/>
                <w:highlight w:val="none"/>
              </w:rPr>
              <w:t>，不在</w:t>
            </w:r>
            <w:r>
              <w:rPr>
                <w:rFonts w:hint="default" w:ascii="Times New Roman" w:hAnsi="Times New Roman" w:cs="Times New Roman"/>
                <w:color w:val="auto"/>
                <w:sz w:val="18"/>
                <w:szCs w:val="18"/>
                <w:highlight w:val="none"/>
                <w:lang w:eastAsia="zh-CN"/>
              </w:rPr>
              <w:t>粪尿收集池</w:t>
            </w:r>
            <w:r>
              <w:rPr>
                <w:rFonts w:hint="default" w:ascii="Times New Roman" w:hAnsi="Times New Roman" w:cs="Times New Roman"/>
                <w:color w:val="auto"/>
                <w:sz w:val="18"/>
                <w:szCs w:val="18"/>
                <w:highlight w:val="none"/>
              </w:rPr>
              <w:t>长期浸泡。</w:t>
            </w:r>
            <w:r>
              <w:rPr>
                <w:rFonts w:hint="default" w:ascii="Times New Roman" w:hAnsi="Times New Roman" w:cs="Times New Roman"/>
                <w:color w:val="auto"/>
                <w:sz w:val="18"/>
                <w:szCs w:val="18"/>
                <w:highlight w:val="none"/>
                <w:lang w:val="en-US" w:eastAsia="zh-CN"/>
              </w:rPr>
              <w:t>猪舍内喷洒除臭剂，</w:t>
            </w:r>
            <w:r>
              <w:rPr>
                <w:rFonts w:hint="default" w:ascii="Times New Roman" w:hAnsi="Times New Roman" w:cs="Times New Roman"/>
                <w:color w:val="auto"/>
                <w:sz w:val="18"/>
                <w:szCs w:val="18"/>
                <w:highlight w:val="none"/>
                <w:lang w:eastAsia="zh-CN"/>
              </w:rPr>
              <w:t>粪污</w:t>
            </w:r>
            <w:r>
              <w:rPr>
                <w:rFonts w:hint="default" w:ascii="Times New Roman" w:hAnsi="Times New Roman" w:cs="Times New Roman"/>
                <w:color w:val="auto"/>
                <w:sz w:val="18"/>
                <w:szCs w:val="18"/>
                <w:highlight w:val="none"/>
              </w:rPr>
              <w:t>处理区按照重点防渗区进行建设，防止渗漏。</w:t>
            </w:r>
          </w:p>
        </w:tc>
        <w:tc>
          <w:tcPr>
            <w:tcW w:w="929" w:type="dxa"/>
            <w:vAlign w:val="center"/>
          </w:tcPr>
          <w:p w14:paraId="7727747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14:paraId="2EAE59BF">
      <w:pPr>
        <w:tabs>
          <w:tab w:val="left" w:pos="611"/>
        </w:tabs>
        <w:snapToGrid w:val="0"/>
        <w:spacing w:before="156" w:beforeLines="5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综上分，项目选址符合《畜禽规模养殖污染防治条例》中的相关要求。</w:t>
      </w:r>
    </w:p>
    <w:p w14:paraId="28532017">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62" w:name="_Toc6825"/>
      <w:r>
        <w:rPr>
          <w:rStyle w:val="35"/>
          <w:rFonts w:hint="default" w:ascii="Times New Roman" w:hAnsi="Times New Roman" w:eastAsia="宋体" w:cs="Times New Roman"/>
          <w:color w:val="auto"/>
          <w:sz w:val="24"/>
          <w:szCs w:val="24"/>
          <w:highlight w:val="none"/>
        </w:rPr>
        <w:t>7.3.4</w:t>
      </w:r>
      <w:r>
        <w:rPr>
          <w:rFonts w:hint="default" w:ascii="Times New Roman" w:hAnsi="Times New Roman" w:eastAsia="宋体" w:cs="Times New Roman"/>
          <w:color w:val="auto"/>
          <w:sz w:val="24"/>
          <w:szCs w:val="24"/>
          <w:highlight w:val="none"/>
        </w:rPr>
        <w:t>与《畜禽养殖业污染治理工程技术规范》（HJ 497-2009）符合性分析</w:t>
      </w:r>
      <w:bookmarkEnd w:id="362"/>
    </w:p>
    <w:p w14:paraId="667D4BEA">
      <w:pPr>
        <w:tabs>
          <w:tab w:val="left" w:pos="611"/>
        </w:tabs>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本项目与《畜禽养殖业污染治理工程技术规范》（HJ 497-2009）对比分析结果见</w:t>
      </w:r>
      <w:r>
        <w:rPr>
          <w:rStyle w:val="35"/>
          <w:rFonts w:hint="default" w:ascii="Times New Roman" w:hAnsi="Times New Roman" w:cs="Times New Roman"/>
          <w:color w:val="auto"/>
          <w:sz w:val="24"/>
          <w:highlight w:val="none"/>
        </w:rPr>
        <w:t>表7.3-3。</w:t>
      </w:r>
    </w:p>
    <w:p w14:paraId="5912B543">
      <w:pPr>
        <w:tabs>
          <w:tab w:val="left" w:pos="611"/>
        </w:tabs>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表7.3-3项目与《畜禽养殖业污染治理工程技术规范》的符合性</w:t>
      </w:r>
    </w:p>
    <w:tbl>
      <w:tblPr>
        <w:tblStyle w:val="23"/>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6"/>
        <w:gridCol w:w="3896"/>
        <w:gridCol w:w="929"/>
      </w:tblGrid>
      <w:tr w14:paraId="1AB1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6C83998C">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《畜禽养殖业污染治理工程技术规范》要求</w:t>
            </w:r>
          </w:p>
        </w:tc>
        <w:tc>
          <w:tcPr>
            <w:tcW w:w="3896" w:type="dxa"/>
            <w:vAlign w:val="center"/>
          </w:tcPr>
          <w:p w14:paraId="720FA36B">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项目情况</w:t>
            </w:r>
          </w:p>
        </w:tc>
        <w:tc>
          <w:tcPr>
            <w:tcW w:w="929" w:type="dxa"/>
            <w:vAlign w:val="center"/>
          </w:tcPr>
          <w:p w14:paraId="165976FB">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符合性</w:t>
            </w:r>
          </w:p>
        </w:tc>
      </w:tr>
      <w:tr w14:paraId="112E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2"/>
            <w:vAlign w:val="center"/>
          </w:tcPr>
          <w:p w14:paraId="4BA52E93">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一般规定</w:t>
            </w:r>
          </w:p>
        </w:tc>
        <w:tc>
          <w:tcPr>
            <w:tcW w:w="929" w:type="dxa"/>
            <w:vAlign w:val="center"/>
          </w:tcPr>
          <w:p w14:paraId="35691A2C">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p>
        </w:tc>
      </w:tr>
      <w:tr w14:paraId="2116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2E5536A5">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畜禽粪污资源化时应经无害化处理后方可还田利用，固体畜禽粪便宜采用好氧堆肥技术进行无害化处理。</w:t>
            </w:r>
          </w:p>
        </w:tc>
        <w:tc>
          <w:tcPr>
            <w:tcW w:w="3896" w:type="dxa"/>
            <w:vAlign w:val="center"/>
          </w:tcPr>
          <w:p w14:paraId="009A6A68">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18"/>
                <w:szCs w:val="18"/>
                <w:highlight w:val="none"/>
              </w:rPr>
              <w:t>项目固体粪便采用好氧堆肥发酵工艺，堆肥温度及发酵周期满足《畜禽粪便无害化处理技术规范》（GB/T36195-2018）相关要求，确保粪肥无害化处理后再还田利用。</w:t>
            </w:r>
          </w:p>
        </w:tc>
        <w:tc>
          <w:tcPr>
            <w:tcW w:w="929" w:type="dxa"/>
            <w:vAlign w:val="center"/>
          </w:tcPr>
          <w:p w14:paraId="4D8AC01C">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w:t>
            </w:r>
          </w:p>
        </w:tc>
      </w:tr>
      <w:tr w14:paraId="43AD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6A888B22">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经无害化处理后进行还田综合利用的，粪肥用量不能超过作物当年生长所需的养分量。</w:t>
            </w:r>
          </w:p>
        </w:tc>
        <w:tc>
          <w:tcPr>
            <w:tcW w:w="3896" w:type="dxa"/>
            <w:vAlign w:val="center"/>
          </w:tcPr>
          <w:p w14:paraId="26DE0ABC">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堆肥温度及发酵周期满足《畜禽粪便无害化处理技术规范》（GB/T36195-2018）相关要求，确保粪肥无害化处理后再还田利用。</w:t>
            </w:r>
          </w:p>
        </w:tc>
        <w:tc>
          <w:tcPr>
            <w:tcW w:w="929" w:type="dxa"/>
            <w:vAlign w:val="center"/>
          </w:tcPr>
          <w:p w14:paraId="07E7BBAB">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w:t>
            </w:r>
          </w:p>
        </w:tc>
      </w:tr>
      <w:tr w14:paraId="2B4A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173202C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没有充足土地消纳利用固体粪便的养殖场，应建立集中处理处置畜禽粪便的有机肥厂或处理（处置）设施。生产商品化有机肥和复混肥的应分别满足NY525 和 GB18877 的有关规定。</w:t>
            </w:r>
          </w:p>
        </w:tc>
        <w:tc>
          <w:tcPr>
            <w:tcW w:w="3896" w:type="dxa"/>
            <w:vAlign w:val="center"/>
          </w:tcPr>
          <w:p w14:paraId="48A43CD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根据计算，项目</w:t>
            </w:r>
            <w:r>
              <w:rPr>
                <w:rFonts w:hint="default" w:ascii="Times New Roman" w:hAnsi="Times New Roman" w:cs="Times New Roman"/>
                <w:color w:val="auto"/>
                <w:sz w:val="18"/>
                <w:szCs w:val="18"/>
                <w:highlight w:val="none"/>
                <w:lang w:eastAsia="zh-CN"/>
              </w:rPr>
              <w:t>粪污</w:t>
            </w:r>
            <w:r>
              <w:rPr>
                <w:rFonts w:hint="default" w:ascii="Times New Roman" w:hAnsi="Times New Roman" w:cs="Times New Roman"/>
                <w:color w:val="auto"/>
                <w:sz w:val="18"/>
                <w:szCs w:val="18"/>
                <w:highlight w:val="none"/>
              </w:rPr>
              <w:t>消纳区配套的土地养分需求量大于项目粪肥养分供给量，能满足一倍以上的轮作面积要求，满足土地承载力。</w:t>
            </w:r>
          </w:p>
        </w:tc>
        <w:tc>
          <w:tcPr>
            <w:tcW w:w="929" w:type="dxa"/>
            <w:vAlign w:val="center"/>
          </w:tcPr>
          <w:p w14:paraId="38051EB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782E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6ACD034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畜禽养殖废水不得排入敏感水域和有特殊功能的水域，排放去向应符合国家和地方的有关规定。排放水质应满足GB18596—2001 或有关地方污染物排放标准的规定；处理后用于农田灌溉的，出水水质应满足 GB5084的规定。</w:t>
            </w:r>
          </w:p>
        </w:tc>
        <w:tc>
          <w:tcPr>
            <w:tcW w:w="3896" w:type="dxa"/>
            <w:vAlign w:val="center"/>
          </w:tcPr>
          <w:p w14:paraId="175AC39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项目综合污水</w:t>
            </w:r>
            <w:r>
              <w:rPr>
                <w:rFonts w:hint="default" w:ascii="Times New Roman" w:hAnsi="Times New Roman" w:cs="Times New Roman"/>
                <w:color w:val="auto"/>
                <w:kern w:val="0"/>
                <w:sz w:val="18"/>
                <w:szCs w:val="18"/>
                <w:highlight w:val="none"/>
                <w:lang w:val="en-US" w:eastAsia="zh-CN"/>
              </w:rPr>
              <w:t>依托弥勒温氏畜牧有限公司新哨种猪场建设项目污水处理站处理达《城市污水再生利用、城市生活杂用水水质》（GB/T18920-2020）及《农田灌溉水质标准》（GB5084-2021）中的“旱地作物”标准后用于绿化及农田灌溉。</w:t>
            </w:r>
          </w:p>
        </w:tc>
        <w:tc>
          <w:tcPr>
            <w:tcW w:w="929" w:type="dxa"/>
            <w:vAlign w:val="center"/>
          </w:tcPr>
          <w:p w14:paraId="5923DD1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74F2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2"/>
            <w:vAlign w:val="center"/>
          </w:tcPr>
          <w:p w14:paraId="6824C87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
                <w:color w:val="auto"/>
                <w:sz w:val="18"/>
                <w:szCs w:val="18"/>
                <w:highlight w:val="none"/>
              </w:rPr>
              <w:t>选址要求</w:t>
            </w:r>
          </w:p>
        </w:tc>
        <w:tc>
          <w:tcPr>
            <w:tcW w:w="929" w:type="dxa"/>
            <w:vAlign w:val="center"/>
          </w:tcPr>
          <w:p w14:paraId="1FA8814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580E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5E26D2A2">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畜禽养殖业污染治理工程应与养殖场生产区、居民区等建筑保持一定的卫生防护距离，设置在畜禽养殖场的生产生活区主导风向的下风向或侧风向处。</w:t>
            </w:r>
          </w:p>
        </w:tc>
        <w:tc>
          <w:tcPr>
            <w:tcW w:w="3896" w:type="dxa"/>
            <w:vAlign w:val="center"/>
          </w:tcPr>
          <w:p w14:paraId="656E94E2">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项目</w:t>
            </w:r>
            <w:r>
              <w:rPr>
                <w:rFonts w:hint="default" w:ascii="Times New Roman" w:hAnsi="Times New Roman" w:cs="Times New Roman"/>
                <w:bCs/>
                <w:color w:val="auto"/>
                <w:sz w:val="18"/>
                <w:szCs w:val="18"/>
                <w:highlight w:val="none"/>
                <w:lang w:eastAsia="zh-CN"/>
              </w:rPr>
              <w:t>粪污</w:t>
            </w:r>
            <w:r>
              <w:rPr>
                <w:rFonts w:hint="default" w:ascii="Times New Roman" w:hAnsi="Times New Roman" w:cs="Times New Roman"/>
                <w:bCs/>
                <w:color w:val="auto"/>
                <w:sz w:val="18"/>
                <w:szCs w:val="18"/>
                <w:highlight w:val="none"/>
              </w:rPr>
              <w:t>处理区均位于养殖场生产生活区主导风向的</w:t>
            </w:r>
            <w:r>
              <w:rPr>
                <w:rFonts w:hint="default" w:ascii="Times New Roman" w:hAnsi="Times New Roman" w:cs="Times New Roman"/>
                <w:bCs/>
                <w:color w:val="auto"/>
                <w:sz w:val="18"/>
                <w:szCs w:val="18"/>
                <w:highlight w:val="none"/>
                <w:lang w:val="en-US" w:eastAsia="zh-CN"/>
              </w:rPr>
              <w:t>侧</w:t>
            </w:r>
            <w:r>
              <w:rPr>
                <w:rFonts w:hint="default" w:ascii="Times New Roman" w:hAnsi="Times New Roman" w:cs="Times New Roman"/>
                <w:bCs/>
                <w:color w:val="auto"/>
                <w:sz w:val="18"/>
                <w:szCs w:val="18"/>
                <w:highlight w:val="none"/>
              </w:rPr>
              <w:t>风向，与养殖场生产区、居民区有一定的距离，并在其中间设置绿化带。</w:t>
            </w:r>
          </w:p>
        </w:tc>
        <w:tc>
          <w:tcPr>
            <w:tcW w:w="929" w:type="dxa"/>
            <w:vAlign w:val="center"/>
          </w:tcPr>
          <w:p w14:paraId="502945BA">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w:t>
            </w:r>
          </w:p>
        </w:tc>
      </w:tr>
      <w:tr w14:paraId="0E80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2C35360C">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畜禽养殖业污染治理工程的位置应有利于排放、资源化利用和运输，并留有扩建的余地，方便施工、运行和维护。</w:t>
            </w:r>
          </w:p>
        </w:tc>
        <w:tc>
          <w:tcPr>
            <w:tcW w:w="3896" w:type="dxa"/>
            <w:vAlign w:val="center"/>
          </w:tcPr>
          <w:p w14:paraId="08EA687A">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项目污水收集措施等设置在项目区</w:t>
            </w:r>
            <w:r>
              <w:rPr>
                <w:rFonts w:hint="default" w:ascii="Times New Roman" w:hAnsi="Times New Roman" w:cs="Times New Roman"/>
                <w:bCs/>
                <w:color w:val="auto"/>
                <w:sz w:val="18"/>
                <w:szCs w:val="18"/>
                <w:highlight w:val="none"/>
                <w:lang w:val="en-US" w:eastAsia="zh-CN"/>
              </w:rPr>
              <w:t>西</w:t>
            </w:r>
            <w:r>
              <w:rPr>
                <w:rFonts w:hint="default" w:ascii="Times New Roman" w:hAnsi="Times New Roman" w:cs="Times New Roman"/>
                <w:bCs/>
                <w:color w:val="auto"/>
                <w:sz w:val="18"/>
                <w:szCs w:val="18"/>
                <w:highlight w:val="none"/>
              </w:rPr>
              <w:t>侧，属地势最低处，有利于收集废水，且与养殖区、生活区隔开，方便运行和维护。</w:t>
            </w:r>
          </w:p>
        </w:tc>
        <w:tc>
          <w:tcPr>
            <w:tcW w:w="929" w:type="dxa"/>
            <w:vAlign w:val="center"/>
          </w:tcPr>
          <w:p w14:paraId="550B0FFE">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w:t>
            </w:r>
          </w:p>
        </w:tc>
      </w:tr>
      <w:tr w14:paraId="2215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2"/>
            <w:vAlign w:val="center"/>
          </w:tcPr>
          <w:p w14:paraId="0CA89135">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
                <w:bCs/>
                <w:color w:val="auto"/>
                <w:sz w:val="18"/>
                <w:szCs w:val="18"/>
                <w:highlight w:val="none"/>
              </w:rPr>
              <w:t>粪污收集与贮存</w:t>
            </w:r>
          </w:p>
        </w:tc>
        <w:tc>
          <w:tcPr>
            <w:tcW w:w="929" w:type="dxa"/>
            <w:vAlign w:val="center"/>
          </w:tcPr>
          <w:p w14:paraId="59D2AD9D">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p>
        </w:tc>
      </w:tr>
      <w:tr w14:paraId="582A3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035FFE15">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新建、改建、扩建的畜禽养殖场宜采用</w:t>
            </w:r>
            <w:r>
              <w:rPr>
                <w:rFonts w:hint="default" w:ascii="Times New Roman" w:hAnsi="Times New Roman" w:cs="Times New Roman"/>
                <w:bCs/>
                <w:color w:val="auto"/>
                <w:sz w:val="18"/>
                <w:szCs w:val="18"/>
                <w:highlight w:val="none"/>
                <w:lang w:val="en-US" w:eastAsia="zh-CN"/>
              </w:rPr>
              <w:t>干清粪</w:t>
            </w:r>
            <w:r>
              <w:rPr>
                <w:rFonts w:hint="default" w:ascii="Times New Roman" w:hAnsi="Times New Roman" w:cs="Times New Roman"/>
                <w:bCs/>
                <w:color w:val="auto"/>
                <w:sz w:val="18"/>
                <w:szCs w:val="18"/>
                <w:highlight w:val="none"/>
              </w:rPr>
              <w:t>工艺。畜禽粪污应日产日清。畜禽养殖场应建立排水系统，并实行雨污分流。</w:t>
            </w:r>
          </w:p>
        </w:tc>
        <w:tc>
          <w:tcPr>
            <w:tcW w:w="3896" w:type="dxa"/>
            <w:vAlign w:val="center"/>
          </w:tcPr>
          <w:p w14:paraId="47E2B821">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18"/>
                <w:szCs w:val="18"/>
                <w:highlight w:val="none"/>
              </w:rPr>
              <w:t>项目尿和固体粪便通过集尿池收集后</w:t>
            </w:r>
            <w:r>
              <w:rPr>
                <w:rFonts w:hint="default" w:ascii="Times New Roman" w:hAnsi="Times New Roman" w:cs="Times New Roman"/>
                <w:color w:val="auto"/>
                <w:sz w:val="18"/>
                <w:szCs w:val="18"/>
                <w:highlight w:val="none"/>
                <w:lang w:val="en-US" w:eastAsia="zh-CN"/>
              </w:rPr>
              <w:t>先进行固液分离，粪便进行堆肥发酵，尿液进入废水收集池</w:t>
            </w:r>
            <w:r>
              <w:rPr>
                <w:rFonts w:hint="default" w:ascii="Times New Roman" w:hAnsi="Times New Roman" w:cs="Times New Roman"/>
                <w:color w:val="auto"/>
                <w:sz w:val="18"/>
                <w:szCs w:val="18"/>
                <w:highlight w:val="none"/>
              </w:rPr>
              <w:t>，属于</w:t>
            </w:r>
            <w:r>
              <w:rPr>
                <w:rFonts w:hint="default" w:ascii="Times New Roman" w:hAnsi="Times New Roman" w:cs="Times New Roman"/>
                <w:color w:val="auto"/>
                <w:sz w:val="18"/>
                <w:szCs w:val="18"/>
                <w:highlight w:val="none"/>
                <w:lang w:eastAsia="zh-CN"/>
              </w:rPr>
              <w:t>干清粪</w:t>
            </w:r>
            <w:r>
              <w:rPr>
                <w:rFonts w:hint="default" w:ascii="Times New Roman" w:hAnsi="Times New Roman" w:cs="Times New Roman"/>
                <w:color w:val="auto"/>
                <w:sz w:val="18"/>
                <w:szCs w:val="18"/>
                <w:highlight w:val="none"/>
              </w:rPr>
              <w:t>工艺，</w:t>
            </w:r>
            <w:r>
              <w:rPr>
                <w:rFonts w:hint="default" w:ascii="Times New Roman" w:hAnsi="Times New Roman" w:cs="Times New Roman"/>
                <w:color w:val="auto"/>
                <w:sz w:val="18"/>
                <w:szCs w:val="18"/>
                <w:highlight w:val="none"/>
                <w:lang w:val="en-US" w:eastAsia="zh-CN"/>
              </w:rPr>
              <w:t>猪舍日常不冲洗，仅空栏期冲洗一次，减少废水产生量。</w:t>
            </w:r>
            <w:r>
              <w:rPr>
                <w:rFonts w:hint="default" w:ascii="Times New Roman" w:hAnsi="Times New Roman" w:cs="Times New Roman"/>
                <w:color w:val="auto"/>
                <w:sz w:val="18"/>
                <w:szCs w:val="18"/>
                <w:highlight w:val="none"/>
                <w:lang w:eastAsia="zh-CN"/>
              </w:rPr>
              <w:t>粪污及时排出进行固液分离</w:t>
            </w:r>
            <w:r>
              <w:rPr>
                <w:rFonts w:hint="default" w:ascii="Times New Roman" w:hAnsi="Times New Roman" w:cs="Times New Roman"/>
                <w:color w:val="auto"/>
                <w:sz w:val="18"/>
                <w:szCs w:val="18"/>
                <w:highlight w:val="none"/>
              </w:rPr>
              <w:t>，不在</w:t>
            </w:r>
            <w:r>
              <w:rPr>
                <w:rFonts w:hint="default" w:ascii="Times New Roman" w:hAnsi="Times New Roman" w:cs="Times New Roman"/>
                <w:color w:val="auto"/>
                <w:sz w:val="18"/>
                <w:szCs w:val="18"/>
                <w:highlight w:val="none"/>
                <w:lang w:eastAsia="zh-CN"/>
              </w:rPr>
              <w:t>粪尿收集池</w:t>
            </w:r>
            <w:r>
              <w:rPr>
                <w:rFonts w:hint="default" w:ascii="Times New Roman" w:hAnsi="Times New Roman" w:cs="Times New Roman"/>
                <w:color w:val="auto"/>
                <w:sz w:val="18"/>
                <w:szCs w:val="18"/>
                <w:highlight w:val="none"/>
              </w:rPr>
              <w:t>长期浸泡。</w:t>
            </w:r>
            <w:r>
              <w:rPr>
                <w:rFonts w:hint="default" w:ascii="Times New Roman" w:hAnsi="Times New Roman" w:cs="Times New Roman"/>
                <w:bCs/>
                <w:color w:val="auto"/>
                <w:sz w:val="18"/>
                <w:szCs w:val="18"/>
                <w:highlight w:val="none"/>
              </w:rPr>
              <w:t>项目实行雨污分流制，并按要求建设完备的排水系统。</w:t>
            </w:r>
          </w:p>
        </w:tc>
        <w:tc>
          <w:tcPr>
            <w:tcW w:w="929" w:type="dxa"/>
            <w:vAlign w:val="center"/>
          </w:tcPr>
          <w:p w14:paraId="16A56B13">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w:t>
            </w:r>
          </w:p>
        </w:tc>
      </w:tr>
      <w:tr w14:paraId="3643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0A5D7F92">
            <w:pPr>
              <w:keepNext w:val="0"/>
              <w:keepLines w:val="0"/>
              <w:suppressLineNumbers w:val="0"/>
              <w:spacing w:before="0" w:beforeAutospacing="0" w:after="0" w:afterAutospacing="0"/>
              <w:ind w:left="0" w:right="0"/>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粪污无害化处理后用于还田利用的，畜禽粪污处理厂（站）应设置专门的贮存池。</w:t>
            </w:r>
          </w:p>
          <w:p w14:paraId="2E3A1B35">
            <w:pPr>
              <w:keepNext w:val="0"/>
              <w:keepLines w:val="0"/>
              <w:suppressLineNumbers w:val="0"/>
              <w:spacing w:before="0" w:beforeAutospacing="0" w:after="0" w:afterAutospacing="0"/>
              <w:ind w:left="0" w:right="0"/>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贮存池的位置选择应满足 HJ/T 81—2001 第 5.2 条的规定。</w:t>
            </w:r>
          </w:p>
          <w:p w14:paraId="14A4BB32">
            <w:pPr>
              <w:keepNext w:val="0"/>
              <w:keepLines w:val="0"/>
              <w:suppressLineNumbers w:val="0"/>
              <w:spacing w:before="0" w:beforeAutospacing="0" w:after="0" w:afterAutospacing="0"/>
              <w:ind w:left="0" w:right="0"/>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贮存池的总有效容积应根据贮存期确定。种养结合的养殖场，贮存池的贮存期不得低于当地农作物生产用肥的最大间隔时间和冬季封冻期或雨季最长降雨期，一般不得小于 30d 的排放总量。</w:t>
            </w:r>
          </w:p>
          <w:p w14:paraId="7B5261C2">
            <w:pPr>
              <w:keepNext w:val="0"/>
              <w:keepLines w:val="0"/>
              <w:suppressLineNumbers w:val="0"/>
              <w:spacing w:before="0" w:beforeAutospacing="0" w:after="0" w:afterAutospacing="0"/>
              <w:ind w:left="0" w:right="0"/>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贮存池的结构应符合 GB50069 的有关规定，具有防渗漏功能，不得污染地下水。</w:t>
            </w:r>
          </w:p>
        </w:tc>
        <w:tc>
          <w:tcPr>
            <w:tcW w:w="3896" w:type="dxa"/>
            <w:vAlign w:val="center"/>
          </w:tcPr>
          <w:p w14:paraId="1005530F">
            <w:pPr>
              <w:keepNext w:val="0"/>
              <w:keepLines w:val="0"/>
              <w:suppressLineNumbers w:val="0"/>
              <w:spacing w:before="0" w:beforeAutospacing="0" w:after="0" w:afterAutospacing="0"/>
              <w:ind w:left="0" w:right="0"/>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根据计算，</w:t>
            </w:r>
            <w:r>
              <w:rPr>
                <w:rFonts w:hint="default" w:ascii="Times New Roman" w:hAnsi="Times New Roman" w:cs="Times New Roman"/>
                <w:bCs/>
                <w:color w:val="auto"/>
                <w:sz w:val="18"/>
                <w:szCs w:val="18"/>
                <w:highlight w:val="none"/>
                <w:lang w:val="en-US" w:eastAsia="zh-CN"/>
              </w:rPr>
              <w:t>项目堆粪棚</w:t>
            </w:r>
            <w:r>
              <w:rPr>
                <w:rFonts w:hint="default" w:ascii="Times New Roman" w:hAnsi="Times New Roman" w:cs="Times New Roman"/>
                <w:bCs/>
                <w:color w:val="auto"/>
                <w:sz w:val="18"/>
                <w:szCs w:val="18"/>
                <w:highlight w:val="none"/>
              </w:rPr>
              <w:t>容积满足</w:t>
            </w:r>
            <w:r>
              <w:rPr>
                <w:rFonts w:hint="default" w:ascii="Times New Roman" w:hAnsi="Times New Roman" w:cs="Times New Roman"/>
                <w:bCs/>
                <w:color w:val="auto"/>
                <w:sz w:val="18"/>
                <w:szCs w:val="18"/>
                <w:highlight w:val="none"/>
                <w:lang w:val="en-US" w:eastAsia="zh-CN"/>
              </w:rPr>
              <w:t>项目配套还田区</w:t>
            </w:r>
            <w:r>
              <w:rPr>
                <w:rFonts w:hint="default" w:ascii="Times New Roman" w:hAnsi="Times New Roman" w:cs="Times New Roman"/>
                <w:bCs/>
                <w:color w:val="auto"/>
                <w:sz w:val="18"/>
                <w:szCs w:val="18"/>
                <w:highlight w:val="none"/>
              </w:rPr>
              <w:t>施肥间隔期的暂存要求。</w:t>
            </w:r>
          </w:p>
        </w:tc>
        <w:tc>
          <w:tcPr>
            <w:tcW w:w="929" w:type="dxa"/>
            <w:vAlign w:val="center"/>
          </w:tcPr>
          <w:p w14:paraId="75374CC4">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w:t>
            </w:r>
          </w:p>
        </w:tc>
      </w:tr>
      <w:tr w14:paraId="1C0D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14B55511">
            <w:pPr>
              <w:keepNext w:val="0"/>
              <w:keepLines w:val="0"/>
              <w:suppressLineNumbers w:val="0"/>
              <w:spacing w:before="0" w:beforeAutospacing="0" w:after="0" w:afterAutospacing="0"/>
              <w:ind w:left="0" w:right="0"/>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val="en-US" w:eastAsia="zh-CN"/>
              </w:rPr>
              <w:t>干清粪</w:t>
            </w:r>
            <w:r>
              <w:rPr>
                <w:rFonts w:hint="default" w:ascii="Times New Roman" w:hAnsi="Times New Roman" w:cs="Times New Roman"/>
                <w:bCs/>
                <w:color w:val="auto"/>
                <w:sz w:val="18"/>
                <w:szCs w:val="18"/>
                <w:highlight w:val="none"/>
              </w:rPr>
              <w:t>工艺的养殖场，不宜采用模式Ⅰ处理工艺，固体粪便宜采用好氧堆肥等技术单独进行无害化处理。</w:t>
            </w:r>
          </w:p>
        </w:tc>
        <w:tc>
          <w:tcPr>
            <w:tcW w:w="3896" w:type="dxa"/>
            <w:vAlign w:val="center"/>
          </w:tcPr>
          <w:p w14:paraId="4478087F">
            <w:pPr>
              <w:keepNext w:val="0"/>
              <w:keepLines w:val="0"/>
              <w:suppressLineNumbers w:val="0"/>
              <w:spacing w:before="0" w:beforeAutospacing="0" w:after="0" w:afterAutospacing="0"/>
              <w:ind w:left="0" w:right="0"/>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项目采用</w:t>
            </w:r>
            <w:r>
              <w:rPr>
                <w:rFonts w:hint="default" w:ascii="Times New Roman" w:hAnsi="Times New Roman" w:cs="Times New Roman"/>
                <w:bCs/>
                <w:color w:val="auto"/>
                <w:sz w:val="18"/>
                <w:szCs w:val="18"/>
                <w:highlight w:val="none"/>
                <w:lang w:eastAsia="zh-CN"/>
              </w:rPr>
              <w:t>干清粪</w:t>
            </w:r>
            <w:r>
              <w:rPr>
                <w:rFonts w:hint="default" w:ascii="Times New Roman" w:hAnsi="Times New Roman" w:cs="Times New Roman"/>
                <w:bCs/>
                <w:color w:val="auto"/>
                <w:sz w:val="18"/>
                <w:szCs w:val="18"/>
                <w:highlight w:val="none"/>
              </w:rPr>
              <w:t>工艺，固体粪便采用槽式好氧堆肥技术单独无害化处理。</w:t>
            </w:r>
          </w:p>
        </w:tc>
        <w:tc>
          <w:tcPr>
            <w:tcW w:w="929" w:type="dxa"/>
            <w:vAlign w:val="center"/>
          </w:tcPr>
          <w:p w14:paraId="32166984">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w:t>
            </w:r>
          </w:p>
        </w:tc>
      </w:tr>
      <w:tr w14:paraId="3CAD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0B69C7F2">
            <w:pPr>
              <w:keepNext w:val="0"/>
              <w:keepLines w:val="0"/>
              <w:suppressLineNumbers w:val="0"/>
              <w:spacing w:before="0" w:beforeAutospacing="0" w:after="0" w:afterAutospacing="0"/>
              <w:ind w:left="0" w:right="0"/>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当采用</w:t>
            </w:r>
            <w:r>
              <w:rPr>
                <w:rFonts w:hint="default" w:ascii="Times New Roman" w:hAnsi="Times New Roman" w:cs="Times New Roman"/>
                <w:bCs/>
                <w:color w:val="auto"/>
                <w:sz w:val="18"/>
                <w:szCs w:val="18"/>
                <w:highlight w:val="none"/>
                <w:lang w:val="en-US" w:eastAsia="zh-CN"/>
              </w:rPr>
              <w:t>干清粪</w:t>
            </w:r>
            <w:r>
              <w:rPr>
                <w:rFonts w:hint="default" w:ascii="Times New Roman" w:hAnsi="Times New Roman" w:cs="Times New Roman"/>
                <w:bCs/>
                <w:color w:val="auto"/>
                <w:sz w:val="18"/>
                <w:szCs w:val="18"/>
                <w:highlight w:val="none"/>
              </w:rPr>
              <w:t>工艺时，清粪比例宜控制在70%。</w:t>
            </w:r>
          </w:p>
        </w:tc>
        <w:tc>
          <w:tcPr>
            <w:tcW w:w="3896" w:type="dxa"/>
            <w:vAlign w:val="center"/>
          </w:tcPr>
          <w:p w14:paraId="567854DE">
            <w:pPr>
              <w:keepNext w:val="0"/>
              <w:keepLines w:val="0"/>
              <w:suppressLineNumbers w:val="0"/>
              <w:spacing w:before="0" w:beforeAutospacing="0" w:after="0" w:afterAutospacing="0"/>
              <w:ind w:left="0" w:right="0"/>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项目清粪比例大于70%</w:t>
            </w:r>
          </w:p>
        </w:tc>
        <w:tc>
          <w:tcPr>
            <w:tcW w:w="929" w:type="dxa"/>
            <w:vAlign w:val="center"/>
          </w:tcPr>
          <w:p w14:paraId="463A7607">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w:t>
            </w:r>
          </w:p>
        </w:tc>
      </w:tr>
      <w:tr w14:paraId="1387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2"/>
            <w:vAlign w:val="center"/>
          </w:tcPr>
          <w:p w14:paraId="0065DDF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固体粪便处理</w:t>
            </w:r>
          </w:p>
        </w:tc>
        <w:tc>
          <w:tcPr>
            <w:tcW w:w="929" w:type="dxa"/>
            <w:vAlign w:val="center"/>
          </w:tcPr>
          <w:p w14:paraId="4B6984B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w:t>
            </w:r>
          </w:p>
        </w:tc>
      </w:tr>
      <w:tr w14:paraId="56F0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1070006E">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畜禽固体粪便宜采用好氧堆肥技术进行无害化处理。</w:t>
            </w:r>
          </w:p>
        </w:tc>
        <w:tc>
          <w:tcPr>
            <w:tcW w:w="3896" w:type="dxa"/>
            <w:vAlign w:val="center"/>
          </w:tcPr>
          <w:p w14:paraId="61701828">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固体粪便采用槽式好氧堆肥技术单独无害化处理。</w:t>
            </w:r>
          </w:p>
        </w:tc>
        <w:tc>
          <w:tcPr>
            <w:tcW w:w="929" w:type="dxa"/>
            <w:vAlign w:val="center"/>
          </w:tcPr>
          <w:p w14:paraId="2105AAC0">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w:t>
            </w:r>
          </w:p>
        </w:tc>
      </w:tr>
      <w:tr w14:paraId="4BEC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6BFEBA5C">
            <w:pPr>
              <w:keepNext w:val="0"/>
              <w:keepLines w:val="0"/>
              <w:suppressLineNumbers w:val="0"/>
              <w:spacing w:before="0" w:beforeAutospacing="0" w:after="0" w:afterAutospacing="0"/>
              <w:ind w:left="0" w:right="0"/>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堆肥场地的设计应满足下列规定：a）堆肥场地一般应由粪便贮存池、堆肥场地以及成品堆肥存放场地等组成；b）采用间歇式堆肥处理时，粪便贮存池的有效体积应按至少能容纳6个月粪便产生量计算；c）场内应建立收集堆肥渗滤液的贮存池；d）应考虑防渗漏措施，不得对地下水造成污染；e）应配置防雨淋设施和雨水排水系统。</w:t>
            </w:r>
          </w:p>
        </w:tc>
        <w:tc>
          <w:tcPr>
            <w:tcW w:w="3896" w:type="dxa"/>
            <w:vAlign w:val="center"/>
          </w:tcPr>
          <w:p w14:paraId="78A42B67">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bidi="zh-CN"/>
              </w:rPr>
              <w:t>本项目堆粪棚采用槽式好氧堆肥工艺，为连续式堆肥；堆粪棚设置顶棚且周边设置渗滤液收集管道，渗滤液进入</w:t>
            </w:r>
            <w:r>
              <w:rPr>
                <w:rFonts w:hint="default" w:ascii="Times New Roman" w:hAnsi="Times New Roman" w:cs="Times New Roman"/>
                <w:bCs/>
                <w:color w:val="auto"/>
                <w:sz w:val="18"/>
                <w:szCs w:val="18"/>
                <w:highlight w:val="none"/>
                <w:lang w:val="en-US" w:bidi="zh-CN"/>
              </w:rPr>
              <w:t>废水收集池</w:t>
            </w:r>
            <w:r>
              <w:rPr>
                <w:rFonts w:hint="default" w:ascii="Times New Roman" w:hAnsi="Times New Roman" w:cs="Times New Roman"/>
                <w:bCs/>
                <w:color w:val="auto"/>
                <w:sz w:val="18"/>
                <w:szCs w:val="18"/>
                <w:highlight w:val="none"/>
                <w:lang w:bidi="zh-CN"/>
              </w:rPr>
              <w:t>。堆粪棚按照重点防渗要求设计。</w:t>
            </w:r>
          </w:p>
        </w:tc>
        <w:tc>
          <w:tcPr>
            <w:tcW w:w="929" w:type="dxa"/>
            <w:vAlign w:val="center"/>
          </w:tcPr>
          <w:p w14:paraId="27325D9D">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w:t>
            </w:r>
          </w:p>
        </w:tc>
      </w:tr>
      <w:tr w14:paraId="1913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2"/>
            <w:vAlign w:val="center"/>
          </w:tcPr>
          <w:p w14:paraId="6B74F91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病死畜禽尸体处理与处置</w:t>
            </w:r>
          </w:p>
        </w:tc>
        <w:tc>
          <w:tcPr>
            <w:tcW w:w="929" w:type="dxa"/>
            <w:vAlign w:val="center"/>
          </w:tcPr>
          <w:p w14:paraId="72A82596">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w:t>
            </w:r>
          </w:p>
        </w:tc>
      </w:tr>
      <w:tr w14:paraId="4260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6BC5BC54">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病死畜禽尸体应及时处理，不得随意丢弃，不得出售或作为饲料再利用。畜禽尸体的处理与处置应符合HJ/T81-2001 第 9 章的规定。</w:t>
            </w:r>
          </w:p>
        </w:tc>
        <w:tc>
          <w:tcPr>
            <w:tcW w:w="3896" w:type="dxa"/>
            <w:vAlign w:val="center"/>
          </w:tcPr>
          <w:p w14:paraId="729DB087">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项目产生的病死猪采用</w:t>
            </w:r>
            <w:r>
              <w:rPr>
                <w:rFonts w:hint="default" w:ascii="Times New Roman" w:hAnsi="Times New Roman" w:cs="Times New Roman"/>
                <w:color w:val="auto"/>
                <w:sz w:val="18"/>
                <w:szCs w:val="18"/>
                <w:highlight w:val="none"/>
              </w:rPr>
              <w:t>冷库暂存，并委托</w:t>
            </w:r>
            <w:r>
              <w:rPr>
                <w:rFonts w:hint="default" w:ascii="Times New Roman" w:hAnsi="Times New Roman" w:cs="Times New Roman"/>
                <w:bCs/>
                <w:color w:val="auto"/>
                <w:sz w:val="18"/>
                <w:szCs w:val="18"/>
                <w:highlight w:val="none"/>
              </w:rPr>
              <w:t>弥勒市北斗星生物科技有限公司进行无害化处置。</w:t>
            </w:r>
          </w:p>
        </w:tc>
        <w:tc>
          <w:tcPr>
            <w:tcW w:w="929" w:type="dxa"/>
            <w:vAlign w:val="center"/>
          </w:tcPr>
          <w:p w14:paraId="10B31BFF">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w:t>
            </w:r>
          </w:p>
        </w:tc>
      </w:tr>
      <w:tr w14:paraId="5F7C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1EE42F50">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因高致病性禽流感疫情导致禽类死亡，死禽尸体的处理与处置应符合《高致病性禽流感疫情处置技术规范》（试行）的规定。</w:t>
            </w:r>
          </w:p>
        </w:tc>
        <w:tc>
          <w:tcPr>
            <w:tcW w:w="3896" w:type="dxa"/>
            <w:vAlign w:val="center"/>
          </w:tcPr>
          <w:p w14:paraId="48326E2A">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因发生禽流感疫情导致生猪死亡，对病死猪及其污染物按照防疫要求处置。</w:t>
            </w:r>
          </w:p>
        </w:tc>
        <w:tc>
          <w:tcPr>
            <w:tcW w:w="929" w:type="dxa"/>
            <w:vAlign w:val="center"/>
          </w:tcPr>
          <w:p w14:paraId="03E9BEF5">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w:t>
            </w:r>
          </w:p>
        </w:tc>
      </w:tr>
      <w:tr w14:paraId="02F3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2"/>
            <w:vAlign w:val="center"/>
          </w:tcPr>
          <w:p w14:paraId="49269AA5">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
                <w:bCs/>
                <w:color w:val="auto"/>
                <w:sz w:val="18"/>
                <w:szCs w:val="18"/>
                <w:highlight w:val="none"/>
              </w:rPr>
              <w:t>恶臭控制</w:t>
            </w:r>
          </w:p>
        </w:tc>
        <w:tc>
          <w:tcPr>
            <w:tcW w:w="929" w:type="dxa"/>
            <w:vAlign w:val="center"/>
          </w:tcPr>
          <w:p w14:paraId="689BF6CC">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p>
        </w:tc>
      </w:tr>
      <w:tr w14:paraId="5801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256B0722">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养殖场区应通过控制饲养密度、加强舍内通风、采用节水型饮水器、及时清粪、绿化等措施抑制或减少臭气的产生。</w:t>
            </w:r>
          </w:p>
        </w:tc>
        <w:tc>
          <w:tcPr>
            <w:tcW w:w="3896" w:type="dxa"/>
            <w:vAlign w:val="center"/>
          </w:tcPr>
          <w:p w14:paraId="527A3330">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项目采取合理搭配饲料、在饲料中添加EM活菌剂，及时清理猪舍猪粪、猪舍保持清洁、通风，定期喷洒生物除臭剂，场区进行绿化等措施抑制或减少臭气的产生。</w:t>
            </w:r>
          </w:p>
        </w:tc>
        <w:tc>
          <w:tcPr>
            <w:tcW w:w="929" w:type="dxa"/>
            <w:vAlign w:val="center"/>
          </w:tcPr>
          <w:p w14:paraId="253F027A">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w:t>
            </w:r>
          </w:p>
        </w:tc>
      </w:tr>
      <w:tr w14:paraId="2C9E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367D5A41">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粪污处理各工艺单元宜设计为密闭形式，减少恶臭对周围环境的污染。</w:t>
            </w:r>
          </w:p>
        </w:tc>
        <w:tc>
          <w:tcPr>
            <w:tcW w:w="3896" w:type="dxa"/>
            <w:vAlign w:val="center"/>
          </w:tcPr>
          <w:p w14:paraId="422055D6">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eastAsia="zh-CN"/>
              </w:rPr>
              <w:t>粪尿收集池</w:t>
            </w:r>
            <w:r>
              <w:rPr>
                <w:rFonts w:hint="default" w:ascii="Times New Roman" w:hAnsi="Times New Roman" w:cs="Times New Roman"/>
                <w:bCs/>
                <w:color w:val="auto"/>
                <w:sz w:val="18"/>
                <w:szCs w:val="18"/>
                <w:highlight w:val="none"/>
              </w:rPr>
              <w:t>、固液分离区</w:t>
            </w:r>
            <w:r>
              <w:rPr>
                <w:rFonts w:hint="default" w:ascii="Times New Roman" w:hAnsi="Times New Roman" w:cs="Times New Roman"/>
                <w:bCs/>
                <w:color w:val="auto"/>
                <w:sz w:val="18"/>
                <w:szCs w:val="18"/>
                <w:highlight w:val="none"/>
                <w:lang w:eastAsia="zh-CN"/>
              </w:rPr>
              <w:t>、</w:t>
            </w:r>
            <w:r>
              <w:rPr>
                <w:rFonts w:hint="default" w:ascii="Times New Roman" w:hAnsi="Times New Roman" w:cs="Times New Roman"/>
                <w:bCs/>
                <w:color w:val="auto"/>
                <w:sz w:val="18"/>
                <w:szCs w:val="18"/>
                <w:highlight w:val="none"/>
                <w:lang w:val="en-US" w:eastAsia="zh-CN"/>
              </w:rPr>
              <w:t>废水收集</w:t>
            </w:r>
            <w:r>
              <w:rPr>
                <w:rFonts w:hint="default" w:ascii="Times New Roman" w:hAnsi="Times New Roman" w:cs="Times New Roman"/>
                <w:bCs/>
                <w:color w:val="auto"/>
                <w:sz w:val="18"/>
                <w:szCs w:val="18"/>
                <w:highlight w:val="none"/>
              </w:rPr>
              <w:t>池均密闭，定期喷洒生物除臭剂，并在周边加强绿化。</w:t>
            </w:r>
            <w:r>
              <w:rPr>
                <w:rFonts w:hint="default" w:ascii="Times New Roman" w:hAnsi="Times New Roman" w:cs="Times New Roman"/>
                <w:bCs/>
                <w:color w:val="auto"/>
                <w:sz w:val="18"/>
                <w:szCs w:val="18"/>
                <w:highlight w:val="none"/>
                <w:lang w:eastAsia="zh-CN"/>
              </w:rPr>
              <w:t>堆粪棚</w:t>
            </w:r>
            <w:r>
              <w:rPr>
                <w:rFonts w:hint="default" w:ascii="Times New Roman" w:hAnsi="Times New Roman" w:cs="Times New Roman"/>
                <w:bCs/>
                <w:color w:val="auto"/>
                <w:sz w:val="18"/>
                <w:szCs w:val="18"/>
                <w:highlight w:val="none"/>
              </w:rPr>
              <w:t>设置围挡、顶棚及大门，通过喷洒生物除臭剂等措施可以削减恶臭。</w:t>
            </w:r>
          </w:p>
        </w:tc>
        <w:tc>
          <w:tcPr>
            <w:tcW w:w="929" w:type="dxa"/>
            <w:vAlign w:val="center"/>
          </w:tcPr>
          <w:p w14:paraId="29051DCE">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w:t>
            </w:r>
          </w:p>
        </w:tc>
      </w:tr>
      <w:tr w14:paraId="1FEE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11CBE7B4">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在集中式粪污处理厂的泄粪接口及固液分离设备等位置宜喷淋生化除臭剂。</w:t>
            </w:r>
          </w:p>
        </w:tc>
        <w:tc>
          <w:tcPr>
            <w:tcW w:w="3896" w:type="dxa"/>
            <w:vAlign w:val="center"/>
          </w:tcPr>
          <w:p w14:paraId="5EC37192">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项目对猪舍、</w:t>
            </w:r>
            <w:r>
              <w:rPr>
                <w:rFonts w:hint="default" w:ascii="Times New Roman" w:hAnsi="Times New Roman" w:cs="Times New Roman"/>
                <w:bCs/>
                <w:color w:val="auto"/>
                <w:sz w:val="18"/>
                <w:szCs w:val="18"/>
                <w:highlight w:val="none"/>
                <w:lang w:eastAsia="zh-CN"/>
              </w:rPr>
              <w:t>堆粪棚</w:t>
            </w:r>
            <w:r>
              <w:rPr>
                <w:rFonts w:hint="default" w:ascii="Times New Roman" w:hAnsi="Times New Roman" w:cs="Times New Roman"/>
                <w:bCs/>
                <w:color w:val="auto"/>
                <w:sz w:val="18"/>
                <w:szCs w:val="18"/>
                <w:highlight w:val="none"/>
              </w:rPr>
              <w:t>、</w:t>
            </w:r>
            <w:r>
              <w:rPr>
                <w:rFonts w:hint="default" w:ascii="Times New Roman" w:hAnsi="Times New Roman" w:cs="Times New Roman"/>
                <w:bCs/>
                <w:color w:val="auto"/>
                <w:sz w:val="18"/>
                <w:szCs w:val="18"/>
                <w:highlight w:val="none"/>
                <w:lang w:val="en-US" w:eastAsia="zh-CN"/>
              </w:rPr>
              <w:t>废水收集池</w:t>
            </w:r>
            <w:r>
              <w:rPr>
                <w:rFonts w:hint="default" w:ascii="Times New Roman" w:hAnsi="Times New Roman" w:cs="Times New Roman"/>
                <w:bCs/>
                <w:color w:val="auto"/>
                <w:sz w:val="18"/>
                <w:szCs w:val="18"/>
                <w:highlight w:val="none"/>
              </w:rPr>
              <w:t>等区域定期喷洒生物除臭剂来控制场区臭气浓度，周边进行绿化。</w:t>
            </w:r>
          </w:p>
        </w:tc>
        <w:tc>
          <w:tcPr>
            <w:tcW w:w="929" w:type="dxa"/>
            <w:vAlign w:val="center"/>
          </w:tcPr>
          <w:p w14:paraId="67646F12">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w:t>
            </w:r>
          </w:p>
        </w:tc>
      </w:tr>
      <w:tr w14:paraId="7395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6" w:type="dxa"/>
            <w:vAlign w:val="center"/>
          </w:tcPr>
          <w:p w14:paraId="1F885957">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畜禽养殖场恶臭污染物的排放浓度应符合 GB18596-2001的规定。</w:t>
            </w:r>
          </w:p>
        </w:tc>
        <w:tc>
          <w:tcPr>
            <w:tcW w:w="3896" w:type="dxa"/>
            <w:vAlign w:val="center"/>
          </w:tcPr>
          <w:p w14:paraId="501B0BDC">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根据大气环境影响预测，项目恶臭污染物的排放浓度均达到GB18596-2001的规定</w:t>
            </w:r>
          </w:p>
        </w:tc>
        <w:tc>
          <w:tcPr>
            <w:tcW w:w="929" w:type="dxa"/>
            <w:vAlign w:val="center"/>
          </w:tcPr>
          <w:p w14:paraId="02030072">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w:t>
            </w:r>
          </w:p>
        </w:tc>
      </w:tr>
    </w:tbl>
    <w:p w14:paraId="4C733E18">
      <w:pPr>
        <w:tabs>
          <w:tab w:val="left" w:pos="611"/>
        </w:tabs>
        <w:snapToGrid w:val="0"/>
        <w:spacing w:before="156" w:beforeLines="5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综上，项目建设符合《畜禽养殖业污染治理工程技术规范》（HJ 497-2009）要求。</w:t>
      </w:r>
    </w:p>
    <w:p w14:paraId="4BED6FED">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63" w:name="_Toc18320"/>
      <w:r>
        <w:rPr>
          <w:rStyle w:val="35"/>
          <w:rFonts w:hint="default" w:ascii="Times New Roman" w:hAnsi="Times New Roman" w:eastAsia="宋体" w:cs="Times New Roman"/>
          <w:color w:val="auto"/>
          <w:sz w:val="24"/>
          <w:szCs w:val="24"/>
          <w:highlight w:val="none"/>
        </w:rPr>
        <w:t>7.3.</w:t>
      </w:r>
      <w:r>
        <w:rPr>
          <w:rStyle w:val="35"/>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与《农业农村部办公厅 生态环境部办公厅关于进一步明确畜禽粪污还田利用要求强化养殖污染监管的通知》符合性分析</w:t>
      </w:r>
      <w:bookmarkEnd w:id="363"/>
    </w:p>
    <w:p w14:paraId="2EA4ED49">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根据《农业农村部办公厅 生态环境部办公厅关于进一步明确畜禽粪污还田利用要求强化养殖污染监管的通知》（农办牧〔2020〕23 号），与其符合性分析见表7.3-</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w:t>
      </w:r>
    </w:p>
    <w:p w14:paraId="1C5567FF">
      <w:pPr>
        <w:tabs>
          <w:tab w:val="left" w:pos="1147"/>
        </w:tabs>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表7.3-</w:t>
      </w:r>
      <w:r>
        <w:rPr>
          <w:rFonts w:hint="default" w:ascii="Times New Roman" w:hAnsi="Times New Roman" w:cs="Times New Roman"/>
          <w:b/>
          <w:bCs/>
          <w:color w:val="auto"/>
          <w:kern w:val="0"/>
          <w:szCs w:val="21"/>
          <w:highlight w:val="none"/>
          <w:lang w:val="en-US" w:eastAsia="zh-CN"/>
        </w:rPr>
        <w:t>4</w:t>
      </w:r>
      <w:r>
        <w:rPr>
          <w:rFonts w:hint="default" w:ascii="Times New Roman" w:hAnsi="Times New Roman" w:cs="Times New Roman"/>
          <w:b/>
          <w:bCs/>
          <w:color w:val="auto"/>
          <w:kern w:val="0"/>
          <w:szCs w:val="21"/>
          <w:highlight w:val="none"/>
        </w:rPr>
        <w:t xml:space="preserve">   与《农业农村部办公厅 生态环境部办公厅关于进一步明确畜禽粪污还田利用要求强化养殖污染监管的通知》符合性分析</w:t>
      </w:r>
    </w:p>
    <w:tbl>
      <w:tblPr>
        <w:tblStyle w:val="23"/>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7"/>
        <w:gridCol w:w="3305"/>
        <w:gridCol w:w="929"/>
      </w:tblGrid>
      <w:tr w14:paraId="2BA0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7" w:type="dxa"/>
            <w:vAlign w:val="center"/>
          </w:tcPr>
          <w:p w14:paraId="50ADE8E5">
            <w:pPr>
              <w:pStyle w:val="47"/>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通知要求</w:t>
            </w:r>
          </w:p>
        </w:tc>
        <w:tc>
          <w:tcPr>
            <w:tcW w:w="3305" w:type="dxa"/>
            <w:vAlign w:val="center"/>
          </w:tcPr>
          <w:p w14:paraId="7125F8EF">
            <w:pPr>
              <w:pStyle w:val="47"/>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项目情况</w:t>
            </w:r>
          </w:p>
        </w:tc>
        <w:tc>
          <w:tcPr>
            <w:tcW w:w="929" w:type="dxa"/>
            <w:vAlign w:val="center"/>
          </w:tcPr>
          <w:p w14:paraId="202B4E8F">
            <w:pPr>
              <w:pStyle w:val="47"/>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符合性</w:t>
            </w:r>
          </w:p>
        </w:tc>
      </w:tr>
      <w:tr w14:paraId="43DB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7" w:type="dxa"/>
          </w:tcPr>
          <w:p w14:paraId="7EE1E77A">
            <w:pPr>
              <w:pStyle w:val="47"/>
              <w:keepNext w:val="0"/>
              <w:keepLines w:val="0"/>
              <w:suppressLineNumbers w:val="0"/>
              <w:spacing w:before="0" w:beforeAutospacing="0" w:after="0" w:afterAutospacing="0"/>
              <w:ind w:left="0" w:right="0"/>
              <w:rPr>
                <w:rFonts w:hint="default" w:ascii="Times New Roman" w:hAnsi="Times New Roman" w:cs="Times New Roman"/>
                <w:b/>
                <w:color w:val="auto"/>
                <w:sz w:val="18"/>
                <w:szCs w:val="18"/>
                <w:highlight w:val="none"/>
              </w:rPr>
            </w:pPr>
            <w:r>
              <w:rPr>
                <w:rFonts w:hint="default" w:ascii="Times New Roman" w:hAnsi="Times New Roman" w:cs="Times New Roman"/>
                <w:color w:val="auto"/>
                <w:sz w:val="18"/>
                <w:szCs w:val="18"/>
                <w:highlight w:val="none"/>
              </w:rPr>
              <w:t>一、畅通还田利用渠道</w:t>
            </w:r>
          </w:p>
          <w:p w14:paraId="7C94CB5A">
            <w:pPr>
              <w:pStyle w:val="47"/>
              <w:keepNext w:val="0"/>
              <w:keepLines w:val="0"/>
              <w:suppressLineNumbers w:val="0"/>
              <w:spacing w:before="0" w:beforeAutospacing="0" w:after="0" w:afterAutospacing="0"/>
              <w:ind w:left="0" w:right="0"/>
              <w:rPr>
                <w:rFonts w:hint="default" w:ascii="Times New Roman" w:hAnsi="Times New Roman" w:cs="Times New Roman"/>
                <w:b/>
                <w:color w:val="auto"/>
                <w:sz w:val="18"/>
                <w:szCs w:val="18"/>
                <w:highlight w:val="none"/>
              </w:rPr>
            </w:pPr>
            <w:r>
              <w:rPr>
                <w:rFonts w:hint="default" w:ascii="Times New Roman" w:hAnsi="Times New Roman" w:cs="Times New Roman"/>
                <w:color w:val="auto"/>
                <w:sz w:val="18"/>
                <w:szCs w:val="18"/>
                <w:highlight w:val="none"/>
              </w:rPr>
              <w:t>（一）鼓励畜禽粪污还田利用。国家支持畜禽养殖场户建设畜禽粪污无害化处理和资源化利用设施，鼓励采取粪肥还田、制取沼气、生产有机肥等方式进行资源化利用。已获得环评批复的规模养殖场在建设和运营过程中，如需将粪污处理由达标排放（含按农田灌溉水标准排放）变更为资源化利用（不含商业化沼气工程和商品有机肥生产），在项目竣工环保验收前变更的，按照非重大变动纳入竣工环境保护验收管理；在竣工环保验收后变更的，按照改建项目依法开展环评。</w:t>
            </w:r>
          </w:p>
        </w:tc>
        <w:tc>
          <w:tcPr>
            <w:tcW w:w="3305" w:type="dxa"/>
            <w:vAlign w:val="center"/>
          </w:tcPr>
          <w:p w14:paraId="3ED2C23E">
            <w:pPr>
              <w:pStyle w:val="47"/>
              <w:keepNext w:val="0"/>
              <w:keepLines w:val="0"/>
              <w:suppressLineNumbers w:val="0"/>
              <w:spacing w:before="0" w:beforeAutospacing="0" w:after="0" w:afterAutospacing="0"/>
              <w:ind w:left="0" w:right="0"/>
              <w:rPr>
                <w:rFonts w:hint="default" w:ascii="Times New Roman" w:hAnsi="Times New Roman" w:cs="Times New Roman"/>
                <w:b/>
                <w:color w:val="auto"/>
                <w:sz w:val="18"/>
                <w:szCs w:val="18"/>
                <w:highlight w:val="none"/>
              </w:rPr>
            </w:pPr>
            <w:r>
              <w:rPr>
                <w:rFonts w:hint="default" w:ascii="Times New Roman" w:hAnsi="Times New Roman" w:cs="Times New Roman"/>
                <w:color w:val="auto"/>
                <w:sz w:val="18"/>
                <w:szCs w:val="18"/>
                <w:highlight w:val="none"/>
                <w:lang w:val="en-US" w:eastAsia="zh-CN"/>
              </w:rPr>
              <w:t>项目</w:t>
            </w:r>
            <w:r>
              <w:rPr>
                <w:rFonts w:hint="default" w:ascii="Times New Roman" w:hAnsi="Times New Roman" w:cs="Times New Roman"/>
                <w:color w:val="auto"/>
                <w:sz w:val="18"/>
                <w:szCs w:val="18"/>
                <w:highlight w:val="none"/>
              </w:rPr>
              <w:t>尿液和粪便经漏缝地板进入猪舍下方</w:t>
            </w:r>
            <w:r>
              <w:rPr>
                <w:rFonts w:hint="default" w:ascii="Times New Roman" w:hAnsi="Times New Roman" w:cs="Times New Roman"/>
                <w:color w:val="auto"/>
                <w:sz w:val="18"/>
                <w:szCs w:val="18"/>
                <w:highlight w:val="none"/>
                <w:lang w:eastAsia="zh-CN"/>
              </w:rPr>
              <w:t>粪尿收集池</w:t>
            </w:r>
            <w:r>
              <w:rPr>
                <w:rFonts w:hint="default" w:ascii="Times New Roman" w:hAnsi="Times New Roman" w:cs="Times New Roman"/>
                <w:color w:val="auto"/>
                <w:sz w:val="18"/>
                <w:szCs w:val="18"/>
                <w:highlight w:val="none"/>
              </w:rPr>
              <w:t>后进行固液分离</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粪便</w:t>
            </w:r>
            <w:r>
              <w:rPr>
                <w:rFonts w:hint="default" w:ascii="Times New Roman" w:hAnsi="Times New Roman" w:eastAsia="宋体" w:cs="Times New Roman"/>
                <w:color w:val="auto"/>
                <w:sz w:val="18"/>
                <w:szCs w:val="18"/>
                <w:highlight w:val="none"/>
              </w:rPr>
              <w:t>进行</w:t>
            </w:r>
            <w:r>
              <w:rPr>
                <w:rFonts w:hint="default" w:ascii="Times New Roman" w:hAnsi="Times New Roman" w:eastAsia="宋体" w:cs="Times New Roman"/>
                <w:color w:val="auto"/>
                <w:sz w:val="18"/>
                <w:szCs w:val="18"/>
                <w:highlight w:val="none"/>
                <w:lang w:val="en-US" w:eastAsia="zh-CN"/>
              </w:rPr>
              <w:t>高温</w:t>
            </w:r>
            <w:r>
              <w:rPr>
                <w:rFonts w:hint="default" w:ascii="Times New Roman" w:hAnsi="Times New Roman" w:eastAsia="宋体" w:cs="Times New Roman"/>
                <w:color w:val="auto"/>
                <w:sz w:val="18"/>
                <w:szCs w:val="18"/>
                <w:highlight w:val="none"/>
              </w:rPr>
              <w:t>堆肥发酵。</w:t>
            </w:r>
            <w:r>
              <w:rPr>
                <w:rFonts w:hint="default" w:ascii="Times New Roman" w:hAnsi="Times New Roman" w:eastAsia="宋体" w:cs="Times New Roman"/>
                <w:color w:val="auto"/>
                <w:sz w:val="18"/>
                <w:szCs w:val="18"/>
                <w:highlight w:val="none"/>
                <w:lang w:val="en-US" w:eastAsia="zh-CN"/>
              </w:rPr>
              <w:t>废水依托弥勒温氏畜牧有限公司新哨种猪场建设项目污水处理站处理达</w:t>
            </w:r>
            <w:r>
              <w:rPr>
                <w:rFonts w:hint="default" w:ascii="Times New Roman" w:hAnsi="Times New Roman" w:cs="Times New Roman"/>
                <w:color w:val="auto"/>
                <w:kern w:val="0"/>
                <w:sz w:val="18"/>
                <w:szCs w:val="18"/>
                <w:highlight w:val="none"/>
                <w:lang w:val="en-US" w:eastAsia="zh-CN"/>
              </w:rPr>
              <w:t>《城市污水再生利用、城市生活杂用水水质》（GB/T18920-2020）及《农田灌溉水质标准》（GB5084-2021）中的“旱地作物”</w:t>
            </w:r>
            <w:r>
              <w:rPr>
                <w:rFonts w:hint="default" w:ascii="Times New Roman" w:hAnsi="Times New Roman" w:eastAsia="宋体" w:cs="Times New Roman"/>
                <w:color w:val="auto"/>
                <w:sz w:val="18"/>
                <w:szCs w:val="18"/>
                <w:highlight w:val="none"/>
                <w:lang w:val="en-US" w:eastAsia="zh-CN"/>
              </w:rPr>
              <w:t>标准后用于绿化及农田灌溉。</w:t>
            </w:r>
            <w:r>
              <w:rPr>
                <w:rFonts w:hint="default" w:ascii="Times New Roman" w:hAnsi="Times New Roman" w:cs="Times New Roman"/>
                <w:color w:val="auto"/>
                <w:sz w:val="18"/>
                <w:szCs w:val="18"/>
                <w:highlight w:val="none"/>
                <w:lang w:val="en-US" w:eastAsia="zh-CN"/>
              </w:rPr>
              <w:t>粪污</w:t>
            </w:r>
            <w:r>
              <w:rPr>
                <w:rFonts w:hint="default" w:ascii="Times New Roman" w:hAnsi="Times New Roman" w:cs="Times New Roman"/>
                <w:color w:val="auto"/>
                <w:sz w:val="18"/>
                <w:szCs w:val="18"/>
                <w:highlight w:val="none"/>
              </w:rPr>
              <w:t>日产日处理，不在</w:t>
            </w:r>
            <w:r>
              <w:rPr>
                <w:rFonts w:hint="default" w:ascii="Times New Roman" w:hAnsi="Times New Roman" w:cs="Times New Roman"/>
                <w:color w:val="auto"/>
                <w:sz w:val="18"/>
                <w:szCs w:val="18"/>
                <w:highlight w:val="none"/>
                <w:lang w:eastAsia="zh-CN"/>
              </w:rPr>
              <w:t>粪尿收集池</w:t>
            </w:r>
            <w:r>
              <w:rPr>
                <w:rFonts w:hint="default" w:ascii="Times New Roman" w:hAnsi="Times New Roman" w:cs="Times New Roman"/>
                <w:color w:val="auto"/>
                <w:sz w:val="18"/>
                <w:szCs w:val="18"/>
                <w:highlight w:val="none"/>
              </w:rPr>
              <w:t>长期浸泡；</w:t>
            </w:r>
            <w:r>
              <w:rPr>
                <w:rFonts w:hint="default" w:ascii="Times New Roman" w:hAnsi="Times New Roman" w:cs="Times New Roman"/>
                <w:color w:val="auto"/>
                <w:sz w:val="18"/>
                <w:szCs w:val="18"/>
                <w:highlight w:val="none"/>
                <w:lang w:eastAsia="zh-CN"/>
              </w:rPr>
              <w:t>粪污</w:t>
            </w:r>
            <w:r>
              <w:rPr>
                <w:rFonts w:hint="default" w:ascii="Times New Roman" w:hAnsi="Times New Roman" w:cs="Times New Roman"/>
                <w:color w:val="auto"/>
                <w:sz w:val="18"/>
                <w:szCs w:val="18"/>
                <w:highlight w:val="none"/>
              </w:rPr>
              <w:t>处理后还田利用；</w:t>
            </w:r>
            <w:r>
              <w:rPr>
                <w:rFonts w:hint="default" w:ascii="Times New Roman" w:hAnsi="Times New Roman" w:cs="Times New Roman"/>
                <w:color w:val="auto"/>
                <w:sz w:val="18"/>
                <w:szCs w:val="18"/>
                <w:highlight w:val="none"/>
                <w:lang w:val="en-US" w:eastAsia="zh-CN"/>
              </w:rPr>
              <w:t>能</w:t>
            </w:r>
            <w:r>
              <w:rPr>
                <w:rFonts w:hint="default" w:ascii="Times New Roman" w:hAnsi="Times New Roman" w:cs="Times New Roman"/>
                <w:color w:val="auto"/>
                <w:sz w:val="18"/>
                <w:szCs w:val="18"/>
                <w:highlight w:val="none"/>
              </w:rPr>
              <w:t>实现资源化利用。</w:t>
            </w:r>
          </w:p>
        </w:tc>
        <w:tc>
          <w:tcPr>
            <w:tcW w:w="929" w:type="dxa"/>
            <w:vAlign w:val="center"/>
          </w:tcPr>
          <w:p w14:paraId="2AEC02AD">
            <w:pPr>
              <w:pStyle w:val="47"/>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color w:val="auto"/>
                <w:sz w:val="18"/>
                <w:szCs w:val="18"/>
                <w:highlight w:val="none"/>
              </w:rPr>
              <w:t>符合</w:t>
            </w:r>
          </w:p>
        </w:tc>
      </w:tr>
      <w:tr w14:paraId="7177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7" w:type="dxa"/>
          </w:tcPr>
          <w:p w14:paraId="475EBA08">
            <w:pPr>
              <w:pStyle w:val="47"/>
              <w:keepNext w:val="0"/>
              <w:keepLines w:val="0"/>
              <w:suppressLineNumbers w:val="0"/>
              <w:spacing w:before="0" w:beforeAutospacing="0" w:after="0" w:afterAutospacing="0"/>
              <w:ind w:left="0" w:right="0"/>
              <w:rPr>
                <w:rFonts w:hint="default" w:ascii="Times New Roman" w:hAnsi="Times New Roman" w:cs="Times New Roman"/>
                <w:b/>
                <w:color w:val="auto"/>
                <w:sz w:val="18"/>
                <w:szCs w:val="18"/>
                <w:highlight w:val="none"/>
              </w:rPr>
            </w:pPr>
            <w:r>
              <w:rPr>
                <w:rFonts w:hint="default" w:ascii="Times New Roman" w:hAnsi="Times New Roman" w:cs="Times New Roman"/>
                <w:color w:val="auto"/>
                <w:sz w:val="18"/>
                <w:szCs w:val="18"/>
                <w:highlight w:val="none"/>
              </w:rPr>
              <w:t>（二）明确还田利用标准规范。畜禽粪污的处理应根据排放去向或利用方式的不同执行相应的标准规范。对配套土地充足的养殖场户，粪污经无害化处理后还田利用具体要求及限量应符合《畜禽粪便无害化处理技术规范》（GB/T 36195）和《畜禽粪便还田技术规范》（GB/T 25246），配套土地面积应达到《畜禽粪污土地承载力测算技术指南》（以下简称《指南》）要求的最小面积。对配套土地不足的养殖场户，粪污经处理后向环境排放的，应符合《畜禽养殖业污染物排放标准》（GB 18596）和地方有关排放标准。用于农田灌溉的，应符合《农田灌溉水质标准》（GB5084）。</w:t>
            </w:r>
          </w:p>
        </w:tc>
        <w:tc>
          <w:tcPr>
            <w:tcW w:w="3305" w:type="dxa"/>
            <w:vAlign w:val="center"/>
          </w:tcPr>
          <w:p w14:paraId="52CD1BA4">
            <w:pPr>
              <w:pStyle w:val="47"/>
              <w:keepNext w:val="0"/>
              <w:keepLines w:val="0"/>
              <w:suppressLineNumbers w:val="0"/>
              <w:spacing w:before="0" w:beforeAutospacing="0" w:after="0" w:afterAutospacing="0"/>
              <w:ind w:left="0" w:right="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建设单位与</w:t>
            </w:r>
            <w:r>
              <w:rPr>
                <w:rFonts w:hint="default" w:ascii="Times New Roman" w:hAnsi="Times New Roman" w:cs="Times New Roman"/>
                <w:color w:val="auto"/>
                <w:sz w:val="18"/>
                <w:szCs w:val="18"/>
                <w:highlight w:val="none"/>
                <w:lang w:val="en-US" w:eastAsia="zh-CN"/>
              </w:rPr>
              <w:t>清河村委会</w:t>
            </w:r>
            <w:r>
              <w:rPr>
                <w:rFonts w:hint="eastAsia" w:cs="Times New Roman"/>
                <w:color w:val="auto"/>
                <w:sz w:val="18"/>
                <w:szCs w:val="18"/>
                <w:highlight w:val="none"/>
                <w:lang w:val="en-US" w:eastAsia="zh-CN"/>
              </w:rPr>
              <w:t>及种植专业户</w:t>
            </w:r>
            <w:r>
              <w:rPr>
                <w:rFonts w:hint="default" w:ascii="Times New Roman" w:hAnsi="Times New Roman" w:cs="Times New Roman"/>
                <w:color w:val="auto"/>
                <w:sz w:val="18"/>
                <w:szCs w:val="18"/>
                <w:highlight w:val="none"/>
              </w:rPr>
              <w:t>签订的</w:t>
            </w:r>
            <w:r>
              <w:rPr>
                <w:rFonts w:hint="default" w:ascii="Times New Roman" w:hAnsi="Times New Roman" w:cs="Times New Roman"/>
                <w:color w:val="auto"/>
                <w:sz w:val="18"/>
                <w:szCs w:val="18"/>
                <w:highlight w:val="none"/>
                <w:lang w:eastAsia="zh-CN"/>
              </w:rPr>
              <w:t>粪污</w:t>
            </w:r>
            <w:r>
              <w:rPr>
                <w:rFonts w:hint="default" w:ascii="Times New Roman" w:hAnsi="Times New Roman" w:cs="Times New Roman"/>
                <w:color w:val="auto"/>
                <w:sz w:val="18"/>
                <w:szCs w:val="18"/>
                <w:highlight w:val="none"/>
              </w:rPr>
              <w:t>消纳合作协议，根据计算，项目</w:t>
            </w:r>
            <w:r>
              <w:rPr>
                <w:rFonts w:hint="default" w:ascii="Times New Roman" w:hAnsi="Times New Roman" w:cs="Times New Roman"/>
                <w:color w:val="auto"/>
                <w:sz w:val="18"/>
                <w:szCs w:val="18"/>
                <w:highlight w:val="none"/>
                <w:lang w:eastAsia="zh-CN"/>
              </w:rPr>
              <w:t>粪污</w:t>
            </w:r>
            <w:r>
              <w:rPr>
                <w:rFonts w:hint="default" w:ascii="Times New Roman" w:hAnsi="Times New Roman" w:cs="Times New Roman"/>
                <w:color w:val="auto"/>
                <w:sz w:val="18"/>
                <w:szCs w:val="18"/>
                <w:highlight w:val="none"/>
              </w:rPr>
              <w:t>消纳区配套的土地面积能满足一倍以上的轮作面积要求。</w:t>
            </w:r>
          </w:p>
          <w:p w14:paraId="2128CEF1">
            <w:pPr>
              <w:pStyle w:val="47"/>
              <w:keepNext w:val="0"/>
              <w:keepLines w:val="0"/>
              <w:suppressLineNumbers w:val="0"/>
              <w:spacing w:before="0" w:beforeAutospacing="0" w:after="0" w:afterAutospacing="0"/>
              <w:ind w:left="0" w:right="0"/>
              <w:rPr>
                <w:rFonts w:hint="default" w:ascii="Times New Roman" w:hAnsi="Times New Roman" w:cs="Times New Roman"/>
                <w:b/>
                <w:color w:val="auto"/>
                <w:sz w:val="18"/>
                <w:szCs w:val="18"/>
                <w:highlight w:val="none"/>
              </w:rPr>
            </w:pPr>
            <w:r>
              <w:rPr>
                <w:rFonts w:hint="default" w:ascii="Times New Roman" w:hAnsi="Times New Roman" w:cs="Times New Roman"/>
                <w:color w:val="auto"/>
                <w:sz w:val="18"/>
                <w:szCs w:val="18"/>
                <w:highlight w:val="none"/>
              </w:rPr>
              <w:t>根据影响分析，项目</w:t>
            </w:r>
            <w:r>
              <w:rPr>
                <w:rFonts w:hint="default" w:ascii="Times New Roman" w:hAnsi="Times New Roman" w:cs="Times New Roman"/>
                <w:color w:val="auto"/>
                <w:sz w:val="18"/>
                <w:szCs w:val="18"/>
                <w:highlight w:val="none"/>
                <w:lang w:eastAsia="zh-CN"/>
              </w:rPr>
              <w:t>粪污</w:t>
            </w:r>
            <w:r>
              <w:rPr>
                <w:rFonts w:hint="default" w:ascii="Times New Roman" w:hAnsi="Times New Roman" w:cs="Times New Roman"/>
                <w:color w:val="auto"/>
                <w:sz w:val="18"/>
                <w:szCs w:val="18"/>
                <w:highlight w:val="none"/>
              </w:rPr>
              <w:t>经处理后可以满足《畜禽粪便无害化处理技术规范》（GB/T 36195）和《畜禽粪便还田技术规范》（GB/T 25246）提出的控制要求。</w:t>
            </w:r>
          </w:p>
        </w:tc>
        <w:tc>
          <w:tcPr>
            <w:tcW w:w="929" w:type="dxa"/>
            <w:vAlign w:val="center"/>
          </w:tcPr>
          <w:p w14:paraId="6310FC72">
            <w:pPr>
              <w:pStyle w:val="47"/>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color w:val="auto"/>
                <w:sz w:val="18"/>
                <w:szCs w:val="18"/>
                <w:highlight w:val="none"/>
              </w:rPr>
              <w:t>符合</w:t>
            </w:r>
          </w:p>
        </w:tc>
      </w:tr>
    </w:tbl>
    <w:p w14:paraId="3D2CF0C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据上表分析，项目符合《农业农村部办公厅 生态环境部办公厅关于进一步明确畜禽粪污还田利用要求强化养殖污染监管的通知》（农办牧〔2020〕23 号）的相关要求。</w:t>
      </w:r>
    </w:p>
    <w:p w14:paraId="72DD7047">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64" w:name="_Toc7927"/>
      <w:r>
        <w:rPr>
          <w:rStyle w:val="35"/>
          <w:rFonts w:hint="default" w:ascii="Times New Roman" w:hAnsi="Times New Roman" w:eastAsia="宋体" w:cs="Times New Roman"/>
          <w:color w:val="auto"/>
          <w:sz w:val="24"/>
          <w:szCs w:val="24"/>
          <w:highlight w:val="none"/>
        </w:rPr>
        <w:t>7.3.</w:t>
      </w:r>
      <w:r>
        <w:rPr>
          <w:rStyle w:val="35"/>
          <w:rFonts w:hint="default" w:ascii="Times New Roman" w:hAnsi="Times New Roman" w:eastAsia="宋体" w:cs="Times New Roman"/>
          <w:color w:val="auto"/>
          <w:sz w:val="24"/>
          <w:szCs w:val="24"/>
          <w:highlight w:val="none"/>
          <w:lang w:val="en-US" w:eastAsia="zh-CN"/>
        </w:rPr>
        <w:t>6</w:t>
      </w:r>
      <w:r>
        <w:rPr>
          <w:rStyle w:val="35"/>
          <w:rFonts w:hint="default" w:ascii="Times New Roman" w:hAnsi="Times New Roman" w:eastAsia="宋体" w:cs="Times New Roman"/>
          <w:color w:val="auto"/>
          <w:sz w:val="24"/>
          <w:szCs w:val="24"/>
          <w:highlight w:val="none"/>
        </w:rPr>
        <w:t>与</w:t>
      </w:r>
      <w:r>
        <w:rPr>
          <w:rFonts w:hint="default" w:ascii="Times New Roman" w:hAnsi="Times New Roman" w:eastAsia="宋体" w:cs="Times New Roman"/>
          <w:color w:val="auto"/>
          <w:sz w:val="24"/>
          <w:szCs w:val="24"/>
          <w:highlight w:val="none"/>
          <w:lang w:bidi="zh-CN"/>
        </w:rPr>
        <w:t>《关于做好畜禽规模养殖项目环境影响评价管理工作的通知》</w:t>
      </w:r>
      <w:r>
        <w:rPr>
          <w:rFonts w:hint="default" w:ascii="Times New Roman" w:hAnsi="Times New Roman" w:eastAsia="宋体" w:cs="Times New Roman"/>
          <w:color w:val="auto"/>
          <w:sz w:val="24"/>
          <w:szCs w:val="24"/>
          <w:highlight w:val="none"/>
        </w:rPr>
        <w:t>的符合性分析</w:t>
      </w:r>
      <w:bookmarkEnd w:id="364"/>
    </w:p>
    <w:p w14:paraId="22FB2833">
      <w:pPr>
        <w:snapToGrid w:val="0"/>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zh-CN"/>
        </w:rPr>
        <w:t>根据生态环境办公厅发布的《关于做好畜禽规模养殖项目环境影响评价管理工作的通知》（环办环评</w:t>
      </w:r>
      <w:r>
        <w:rPr>
          <w:rFonts w:hint="eastAsia" w:ascii="Times New Roman" w:hAnsi="Times New Roman" w:cs="Times New Roman"/>
          <w:color w:val="auto"/>
          <w:kern w:val="0"/>
          <w:sz w:val="24"/>
          <w:highlight w:val="none"/>
          <w:lang w:bidi="zh-CN"/>
        </w:rPr>
        <w:t>〔2018〕31号</w:t>
      </w:r>
      <w:r>
        <w:rPr>
          <w:rFonts w:hint="default" w:ascii="Times New Roman" w:hAnsi="Times New Roman" w:cs="Times New Roman"/>
          <w:color w:val="auto"/>
          <w:kern w:val="0"/>
          <w:sz w:val="24"/>
          <w:highlight w:val="none"/>
          <w:lang w:bidi="zh-CN"/>
        </w:rPr>
        <w:t>），</w:t>
      </w:r>
      <w:r>
        <w:rPr>
          <w:rFonts w:hint="default" w:ascii="Times New Roman" w:hAnsi="Times New Roman" w:cs="Times New Roman"/>
          <w:color w:val="auto"/>
          <w:kern w:val="0"/>
          <w:sz w:val="24"/>
          <w:highlight w:val="none"/>
          <w:lang w:bidi="ar"/>
        </w:rPr>
        <w:t>符合性分析见表7.3-</w:t>
      </w:r>
      <w:r>
        <w:rPr>
          <w:rFonts w:hint="default" w:ascii="Times New Roman" w:hAnsi="Times New Roman" w:cs="Times New Roman"/>
          <w:color w:val="auto"/>
          <w:kern w:val="0"/>
          <w:sz w:val="24"/>
          <w:highlight w:val="none"/>
          <w:lang w:val="en-US" w:eastAsia="zh-CN" w:bidi="ar"/>
        </w:rPr>
        <w:t>5</w:t>
      </w:r>
      <w:r>
        <w:rPr>
          <w:rFonts w:hint="default" w:ascii="Times New Roman" w:hAnsi="Times New Roman" w:cs="Times New Roman"/>
          <w:color w:val="auto"/>
          <w:kern w:val="0"/>
          <w:sz w:val="24"/>
          <w:highlight w:val="none"/>
          <w:lang w:bidi="ar"/>
        </w:rPr>
        <w:t>。</w:t>
      </w:r>
    </w:p>
    <w:p w14:paraId="0F11C00B">
      <w:pPr>
        <w:tabs>
          <w:tab w:val="left" w:pos="1147"/>
        </w:tabs>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表7.3-</w:t>
      </w:r>
      <w:r>
        <w:rPr>
          <w:rFonts w:hint="default" w:ascii="Times New Roman" w:hAnsi="Times New Roman" w:cs="Times New Roman"/>
          <w:b/>
          <w:bCs/>
          <w:color w:val="auto"/>
          <w:kern w:val="0"/>
          <w:szCs w:val="21"/>
          <w:highlight w:val="none"/>
          <w:lang w:val="en-US" w:eastAsia="zh-CN"/>
        </w:rPr>
        <w:t>5</w:t>
      </w:r>
      <w:r>
        <w:rPr>
          <w:rFonts w:hint="default" w:ascii="Times New Roman" w:hAnsi="Times New Roman" w:cs="Times New Roman"/>
          <w:b/>
          <w:bCs/>
          <w:color w:val="auto"/>
          <w:kern w:val="0"/>
          <w:szCs w:val="21"/>
          <w:highlight w:val="none"/>
        </w:rPr>
        <w:t xml:space="preserve">   与《关于做好畜禽规模养殖项目环境影响评价管理工作的通知》符合性分析</w:t>
      </w:r>
    </w:p>
    <w:tbl>
      <w:tblPr>
        <w:tblStyle w:val="23"/>
        <w:tblW w:w="9201"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0" w:type="dxa"/>
          <w:bottom w:w="0" w:type="dxa"/>
          <w:right w:w="0" w:type="dxa"/>
        </w:tblCellMar>
      </w:tblPr>
      <w:tblGrid>
        <w:gridCol w:w="961"/>
        <w:gridCol w:w="3868"/>
        <w:gridCol w:w="3572"/>
        <w:gridCol w:w="800"/>
      </w:tblGrid>
      <w:tr w14:paraId="63E8761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29" w:type="dxa"/>
            <w:gridSpan w:val="2"/>
            <w:vAlign w:val="center"/>
          </w:tcPr>
          <w:p w14:paraId="06A77A51">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通知内容</w:t>
            </w:r>
          </w:p>
        </w:tc>
        <w:tc>
          <w:tcPr>
            <w:tcW w:w="3572" w:type="dxa"/>
            <w:vAlign w:val="center"/>
          </w:tcPr>
          <w:p w14:paraId="1ADA856B">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bCs/>
                <w:color w:val="auto"/>
                <w:kern w:val="0"/>
                <w:sz w:val="18"/>
                <w:szCs w:val="18"/>
                <w:highlight w:val="none"/>
                <w:lang w:eastAsia="en-US"/>
              </w:rPr>
            </w:pPr>
            <w:r>
              <w:rPr>
                <w:rFonts w:hint="default" w:ascii="Times New Roman" w:hAnsi="Times New Roman" w:cs="Times New Roman"/>
                <w:b/>
                <w:bCs/>
                <w:color w:val="auto"/>
                <w:kern w:val="0"/>
                <w:sz w:val="18"/>
                <w:szCs w:val="18"/>
                <w:highlight w:val="none"/>
                <w:lang w:eastAsia="en-US"/>
              </w:rPr>
              <w:t>本项目情况</w:t>
            </w:r>
          </w:p>
        </w:tc>
        <w:tc>
          <w:tcPr>
            <w:tcW w:w="800" w:type="dxa"/>
            <w:vAlign w:val="center"/>
          </w:tcPr>
          <w:p w14:paraId="4A85DFD4">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bCs/>
                <w:color w:val="auto"/>
                <w:kern w:val="0"/>
                <w:sz w:val="18"/>
                <w:szCs w:val="18"/>
                <w:highlight w:val="none"/>
                <w:lang w:eastAsia="en-US"/>
              </w:rPr>
            </w:pPr>
            <w:r>
              <w:rPr>
                <w:rFonts w:hint="default" w:ascii="Times New Roman" w:hAnsi="Times New Roman" w:cs="Times New Roman"/>
                <w:b/>
                <w:bCs/>
                <w:color w:val="auto"/>
                <w:kern w:val="0"/>
                <w:sz w:val="18"/>
                <w:szCs w:val="18"/>
                <w:highlight w:val="none"/>
                <w:lang w:eastAsia="en-US"/>
              </w:rPr>
              <w:t>符合</w:t>
            </w:r>
          </w:p>
          <w:p w14:paraId="3B8FACF3">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bCs/>
                <w:color w:val="auto"/>
                <w:kern w:val="0"/>
                <w:sz w:val="18"/>
                <w:szCs w:val="18"/>
                <w:highlight w:val="none"/>
                <w:lang w:eastAsia="en-US"/>
              </w:rPr>
            </w:pPr>
            <w:r>
              <w:rPr>
                <w:rFonts w:hint="default" w:ascii="Times New Roman" w:hAnsi="Times New Roman" w:cs="Times New Roman"/>
                <w:b/>
                <w:bCs/>
                <w:color w:val="auto"/>
                <w:kern w:val="0"/>
                <w:sz w:val="18"/>
                <w:szCs w:val="18"/>
                <w:highlight w:val="none"/>
                <w:lang w:eastAsia="en-US"/>
              </w:rPr>
              <w:t>情况</w:t>
            </w:r>
          </w:p>
        </w:tc>
      </w:tr>
      <w:tr w14:paraId="184D981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1" w:type="dxa"/>
            <w:vAlign w:val="center"/>
          </w:tcPr>
          <w:p w14:paraId="515D9A9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一、优化项目选址，合理布置养殖场区</w:t>
            </w:r>
          </w:p>
        </w:tc>
        <w:tc>
          <w:tcPr>
            <w:tcW w:w="3868" w:type="dxa"/>
            <w:vAlign w:val="center"/>
          </w:tcPr>
          <w:p w14:paraId="50DF7F0C">
            <w:pPr>
              <w:keepNext w:val="0"/>
              <w:keepLines w:val="0"/>
              <w:suppressLineNumbers w:val="0"/>
              <w:pBdr>
                <w:top w:val="none" w:color="auto" w:sz="0" w:space="1"/>
                <w:left w:val="none" w:color="auto" w:sz="0" w:space="4"/>
                <w:bottom w:val="none" w:color="auto" w:sz="0" w:space="1"/>
                <w:right w:val="none" w:color="auto" w:sz="0" w:space="4"/>
              </w:pBdr>
              <w:autoSpaceDE w:val="0"/>
              <w:autoSpaceDN w:val="0"/>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 xml:space="preserve">  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法律、法规规定的禁止养殖区域。</w:t>
            </w:r>
          </w:p>
          <w:p w14:paraId="2CC3A022">
            <w:pPr>
              <w:keepNext w:val="0"/>
              <w:keepLines w:val="0"/>
              <w:suppressLineNumbers w:val="0"/>
              <w:pBdr>
                <w:top w:val="none" w:color="auto" w:sz="0" w:space="1"/>
                <w:left w:val="none" w:color="auto" w:sz="0" w:space="4"/>
                <w:bottom w:val="none" w:color="auto" w:sz="0" w:space="1"/>
                <w:right w:val="none" w:color="auto" w:sz="0" w:space="4"/>
              </w:pBdr>
              <w:autoSpaceDE w:val="0"/>
              <w:autoSpaceDN w:val="0"/>
              <w:spacing w:before="0" w:beforeAutospacing="0" w:after="0" w:afterAutospacing="0"/>
              <w:ind w:left="0" w:right="0" w:firstLine="180" w:firstLineChars="10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环评应结合环境保护要求优化养殖场区内部布置。畜禽养殖区及畜禽粪污贮存、处理和畜禽尸体无害化处理等产生恶臭影响的设施，应位于养殖场区主导风向的下风向位置，并尽量远离周边环境保护目标。参照《畜禽养殖业污染防治技术规范》，并根据恶臭污染物无组织排放源强，以及当地的环境及气象等因素，按照《环境影响评价技术导则 大气环境》要求计算大气环境防护距离，作为养殖场选址以及周边规划控制的依据，减轻对周围环境保护目标的不利影响。</w:t>
            </w:r>
          </w:p>
        </w:tc>
        <w:tc>
          <w:tcPr>
            <w:tcW w:w="3572" w:type="dxa"/>
            <w:vAlign w:val="center"/>
          </w:tcPr>
          <w:p w14:paraId="7C644CBB">
            <w:pPr>
              <w:keepNext w:val="0"/>
              <w:keepLines w:val="0"/>
              <w:suppressLineNumbers w:val="0"/>
              <w:autoSpaceDE w:val="0"/>
              <w:autoSpaceDN w:val="0"/>
              <w:spacing w:before="0" w:beforeAutospacing="0" w:after="0" w:afterAutospacing="0"/>
              <w:ind w:left="0" w:right="0" w:firstLine="360" w:firstLineChars="20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根据弥勒市农业农村局出具的情况说明（附件7）：项目不在畜禽养殖禁养区划定范围内。项目建设与</w:t>
            </w:r>
            <w:r>
              <w:rPr>
                <w:rFonts w:hint="default" w:ascii="Times New Roman" w:hAnsi="Times New Roman" w:cs="Times New Roman"/>
                <w:color w:val="auto"/>
                <w:sz w:val="18"/>
                <w:szCs w:val="18"/>
                <w:highlight w:val="none"/>
              </w:rPr>
              <w:t>区域主体功能区规划、环境功能区划、土地利用规划、城乡规划、畜牧业发展规划、畜禽养殖污染防治规划等规划相协调；项目</w:t>
            </w:r>
            <w:r>
              <w:rPr>
                <w:rFonts w:hint="default" w:ascii="Times New Roman" w:hAnsi="Times New Roman" w:cs="Times New Roman"/>
                <w:color w:val="auto"/>
                <w:kern w:val="0"/>
                <w:sz w:val="18"/>
                <w:szCs w:val="18"/>
                <w:highlight w:val="none"/>
              </w:rPr>
              <w:t>不涉及</w:t>
            </w:r>
            <w:r>
              <w:rPr>
                <w:rFonts w:hint="default" w:ascii="Times New Roman" w:hAnsi="Times New Roman" w:cs="Times New Roman"/>
                <w:color w:val="auto"/>
                <w:sz w:val="18"/>
                <w:szCs w:val="18"/>
                <w:highlight w:val="none"/>
              </w:rPr>
              <w:t>饮用水水源保护区、风景名胜区、自然保护区的核心区和缓冲区、村镇人口集中区域；不涉及生态红线。</w:t>
            </w:r>
          </w:p>
          <w:p w14:paraId="2DF060E2">
            <w:pPr>
              <w:keepNext w:val="0"/>
              <w:keepLines w:val="0"/>
              <w:suppressLineNumbers w:val="0"/>
              <w:autoSpaceDE w:val="0"/>
              <w:autoSpaceDN w:val="0"/>
              <w:spacing w:before="0" w:beforeAutospacing="0" w:after="0" w:afterAutospacing="0"/>
              <w:ind w:left="0" w:right="0" w:firstLine="360" w:firstLineChars="200"/>
              <w:jc w:val="left"/>
              <w:rPr>
                <w:rFonts w:hint="default" w:ascii="Times New Roman" w:hAnsi="Times New Roman" w:cs="Times New Roman"/>
                <w:color w:val="auto"/>
                <w:kern w:val="0"/>
                <w:sz w:val="18"/>
                <w:szCs w:val="18"/>
                <w:highlight w:val="none"/>
                <w:lang w:bidi="zh-CN"/>
              </w:rPr>
            </w:pPr>
            <w:r>
              <w:rPr>
                <w:rFonts w:hint="default" w:ascii="Times New Roman" w:hAnsi="Times New Roman" w:cs="Times New Roman"/>
                <w:color w:val="auto"/>
                <w:kern w:val="0"/>
                <w:sz w:val="18"/>
                <w:szCs w:val="18"/>
                <w:highlight w:val="none"/>
              </w:rPr>
              <w:t>项目充分优化平面布局，项目生产区与生活管理区隔离</w:t>
            </w:r>
            <w:r>
              <w:rPr>
                <w:rFonts w:hint="default" w:ascii="Times New Roman" w:hAnsi="Times New Roman" w:cs="Times New Roman"/>
                <w:color w:val="auto"/>
                <w:kern w:val="0"/>
                <w:sz w:val="18"/>
                <w:szCs w:val="18"/>
                <w:highlight w:val="none"/>
                <w:lang w:val="en-US" w:eastAsia="zh-CN"/>
              </w:rPr>
              <w:t>环保</w:t>
            </w:r>
            <w:r>
              <w:rPr>
                <w:rFonts w:hint="default" w:ascii="Times New Roman" w:hAnsi="Times New Roman" w:cs="Times New Roman"/>
                <w:color w:val="auto"/>
                <w:kern w:val="0"/>
                <w:sz w:val="18"/>
                <w:szCs w:val="18"/>
                <w:highlight w:val="none"/>
              </w:rPr>
              <w:t>区位于</w:t>
            </w:r>
            <w:r>
              <w:rPr>
                <w:rFonts w:hint="default" w:ascii="Times New Roman" w:hAnsi="Times New Roman" w:cs="Times New Roman"/>
                <w:color w:val="auto"/>
                <w:kern w:val="0"/>
                <w:sz w:val="18"/>
                <w:szCs w:val="18"/>
                <w:highlight w:val="none"/>
                <w:lang w:val="en-US" w:eastAsia="zh-CN"/>
              </w:rPr>
              <w:t>西</w:t>
            </w:r>
            <w:r>
              <w:rPr>
                <w:rFonts w:hint="default" w:ascii="Times New Roman" w:hAnsi="Times New Roman" w:cs="Times New Roman"/>
                <w:color w:val="auto"/>
                <w:kern w:val="0"/>
                <w:sz w:val="18"/>
                <w:szCs w:val="18"/>
                <w:highlight w:val="none"/>
              </w:rPr>
              <w:t>侧，位于生活管理区</w:t>
            </w:r>
            <w:r>
              <w:rPr>
                <w:rFonts w:hint="default" w:ascii="Times New Roman" w:hAnsi="Times New Roman" w:cs="Times New Roman"/>
                <w:color w:val="auto"/>
                <w:kern w:val="0"/>
                <w:sz w:val="18"/>
                <w:szCs w:val="18"/>
                <w:highlight w:val="none"/>
                <w:lang w:val="en-US" w:eastAsia="zh-CN"/>
              </w:rPr>
              <w:t>侧</w:t>
            </w:r>
            <w:r>
              <w:rPr>
                <w:rFonts w:hint="default" w:ascii="Times New Roman" w:hAnsi="Times New Roman" w:cs="Times New Roman"/>
                <w:color w:val="auto"/>
                <w:kern w:val="0"/>
                <w:sz w:val="18"/>
                <w:szCs w:val="18"/>
                <w:highlight w:val="none"/>
              </w:rPr>
              <w:t>风向。根据大气影响分析，项目不设置大气环境防护距离。</w:t>
            </w:r>
            <w:r>
              <w:rPr>
                <w:rFonts w:hint="default" w:ascii="Times New Roman" w:hAnsi="Times New Roman" w:cs="Times New Roman"/>
                <w:color w:val="auto"/>
                <w:kern w:val="0"/>
                <w:sz w:val="18"/>
                <w:szCs w:val="18"/>
                <w:highlight w:val="none"/>
                <w:lang w:bidi="zh-CN"/>
              </w:rPr>
              <w:t>且根据《大气有害物质无组织排放卫生防护距离推导技术导则》</w:t>
            </w:r>
          </w:p>
          <w:p w14:paraId="0004B295">
            <w:pPr>
              <w:keepNext w:val="0"/>
              <w:keepLines w:val="0"/>
              <w:suppressLineNumbers w:val="0"/>
              <w:autoSpaceDE w:val="0"/>
              <w:autoSpaceDN w:val="0"/>
              <w:spacing w:before="0" w:beforeAutospacing="0" w:after="0" w:afterAutospacing="0"/>
              <w:ind w:left="0" w:right="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bidi="zh-CN"/>
              </w:rPr>
              <w:t>（GB/T39499-2020）核算，确定本项目的卫生防护距离为50m，卫生防护距离内无敏感点。</w:t>
            </w:r>
          </w:p>
        </w:tc>
        <w:tc>
          <w:tcPr>
            <w:tcW w:w="800" w:type="dxa"/>
            <w:vAlign w:val="center"/>
          </w:tcPr>
          <w:p w14:paraId="3A867421">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18"/>
                <w:szCs w:val="18"/>
                <w:highlight w:val="none"/>
                <w:lang w:eastAsia="en-US"/>
              </w:rPr>
            </w:pPr>
            <w:r>
              <w:rPr>
                <w:rFonts w:hint="default" w:ascii="Times New Roman" w:hAnsi="Times New Roman" w:cs="Times New Roman"/>
                <w:color w:val="auto"/>
                <w:kern w:val="0"/>
                <w:sz w:val="18"/>
                <w:szCs w:val="18"/>
                <w:highlight w:val="none"/>
                <w:lang w:eastAsia="en-US"/>
              </w:rPr>
              <w:t>符合</w:t>
            </w:r>
          </w:p>
        </w:tc>
      </w:tr>
      <w:tr w14:paraId="5480C8D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1" w:type="dxa"/>
            <w:vMerge w:val="restart"/>
            <w:vAlign w:val="center"/>
          </w:tcPr>
          <w:p w14:paraId="180FF995">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二、加强粪污减量控制，促进畜禽养殖粪污资源化利用</w:t>
            </w:r>
          </w:p>
        </w:tc>
        <w:tc>
          <w:tcPr>
            <w:tcW w:w="3868" w:type="dxa"/>
            <w:tcBorders>
              <w:bottom w:val="single" w:color="auto" w:sz="4" w:space="0"/>
            </w:tcBorders>
            <w:vAlign w:val="center"/>
          </w:tcPr>
          <w:p w14:paraId="7EA4BA8E">
            <w:pPr>
              <w:keepNext w:val="0"/>
              <w:keepLines w:val="0"/>
              <w:suppressLineNumbers w:val="0"/>
              <w:pBdr>
                <w:top w:val="none" w:color="auto" w:sz="0" w:space="1"/>
                <w:left w:val="none" w:color="auto" w:sz="0" w:space="4"/>
                <w:bottom w:val="none" w:color="auto" w:sz="0" w:space="1"/>
                <w:right w:val="none" w:color="auto" w:sz="0" w:space="4"/>
              </w:pBdr>
              <w:autoSpaceDE w:val="0"/>
              <w:autoSpaceDN w:val="0"/>
              <w:spacing w:before="0" w:beforeAutospacing="0" w:after="0" w:afterAutospacing="0"/>
              <w:ind w:left="0" w:right="0" w:firstLine="180" w:firstLineChars="10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项目环评应以农业绿色发展为导向，优化工艺，通过采取优化饲料配方、提高饲养技术等措施，从源头减少粪污的产生量。鼓励采取</w:t>
            </w:r>
            <w:r>
              <w:rPr>
                <w:rFonts w:hint="default" w:ascii="Times New Roman" w:hAnsi="Times New Roman" w:cs="Times New Roman"/>
                <w:color w:val="auto"/>
                <w:sz w:val="18"/>
                <w:szCs w:val="18"/>
                <w:highlight w:val="none"/>
                <w:lang w:val="en-US" w:eastAsia="zh-CN"/>
              </w:rPr>
              <w:t>干清粪</w:t>
            </w:r>
            <w:r>
              <w:rPr>
                <w:rFonts w:hint="default" w:ascii="Times New Roman" w:hAnsi="Times New Roman" w:cs="Times New Roman"/>
                <w:color w:val="auto"/>
                <w:sz w:val="18"/>
                <w:szCs w:val="18"/>
                <w:highlight w:val="none"/>
              </w:rPr>
              <w:t>方式，采取水泡粪工艺的应最大限度降低用水量。场区应采取雨污分离措施，防止雨水进入粪污收集系统。</w:t>
            </w:r>
          </w:p>
        </w:tc>
        <w:tc>
          <w:tcPr>
            <w:tcW w:w="3572" w:type="dxa"/>
            <w:tcBorders>
              <w:bottom w:val="single" w:color="auto" w:sz="4" w:space="0"/>
            </w:tcBorders>
            <w:vAlign w:val="center"/>
          </w:tcPr>
          <w:p w14:paraId="3570090C">
            <w:pPr>
              <w:keepNext w:val="0"/>
              <w:keepLines w:val="0"/>
              <w:suppressLineNumbers w:val="0"/>
              <w:autoSpaceDE w:val="0"/>
              <w:autoSpaceDN w:val="0"/>
              <w:spacing w:before="0" w:beforeAutospacing="0" w:after="0" w:afterAutospacing="0"/>
              <w:ind w:left="0" w:right="0" w:firstLine="360" w:firstLineChars="20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项目采用合理设计日粮（添加益生菌和EM活菌剂），采用饲料塔进行混合日粮科学喂养。采用</w:t>
            </w:r>
            <w:r>
              <w:rPr>
                <w:rFonts w:hint="default" w:ascii="Times New Roman" w:hAnsi="Times New Roman" w:cs="Times New Roman"/>
                <w:color w:val="auto"/>
                <w:kern w:val="0"/>
                <w:sz w:val="18"/>
                <w:szCs w:val="18"/>
                <w:highlight w:val="none"/>
                <w:lang w:eastAsia="zh-CN"/>
              </w:rPr>
              <w:t>干清粪</w:t>
            </w:r>
            <w:r>
              <w:rPr>
                <w:rFonts w:hint="default" w:ascii="Times New Roman" w:hAnsi="Times New Roman" w:cs="Times New Roman"/>
                <w:color w:val="auto"/>
                <w:kern w:val="0"/>
                <w:sz w:val="18"/>
                <w:szCs w:val="18"/>
                <w:highlight w:val="none"/>
              </w:rPr>
              <w:t>工艺</w:t>
            </w:r>
            <w:r>
              <w:rPr>
                <w:rFonts w:hint="default" w:ascii="Times New Roman" w:hAnsi="Times New Roman" w:cs="Times New Roman"/>
                <w:color w:val="auto"/>
                <w:kern w:val="0"/>
                <w:sz w:val="18"/>
                <w:szCs w:val="18"/>
                <w:highlight w:val="none"/>
                <w:lang w:eastAsia="zh-CN"/>
              </w:rPr>
              <w:t>，</w:t>
            </w:r>
            <w:r>
              <w:rPr>
                <w:rFonts w:hint="default" w:ascii="Times New Roman" w:hAnsi="Times New Roman" w:cs="Times New Roman"/>
                <w:color w:val="auto"/>
                <w:kern w:val="0"/>
                <w:sz w:val="18"/>
                <w:szCs w:val="18"/>
                <w:highlight w:val="none"/>
                <w:lang w:val="en-US" w:eastAsia="zh-CN"/>
              </w:rPr>
              <w:t>日常不冲洗猪舍，仅空栏期冲洗一次</w:t>
            </w:r>
            <w:r>
              <w:rPr>
                <w:rFonts w:hint="default" w:ascii="Times New Roman" w:hAnsi="Times New Roman" w:cs="Times New Roman"/>
                <w:color w:val="auto"/>
                <w:kern w:val="0"/>
                <w:sz w:val="18"/>
                <w:szCs w:val="18"/>
                <w:highlight w:val="none"/>
              </w:rPr>
              <w:t>；项目区实行雨污分流</w:t>
            </w:r>
            <w:r>
              <w:rPr>
                <w:rFonts w:hint="default" w:ascii="Times New Roman" w:hAnsi="Times New Roman" w:cs="Times New Roman"/>
                <w:color w:val="auto"/>
                <w:kern w:val="0"/>
                <w:sz w:val="18"/>
                <w:szCs w:val="18"/>
                <w:highlight w:val="none"/>
                <w:lang w:eastAsia="zh-CN"/>
              </w:rPr>
              <w:t>，</w:t>
            </w:r>
            <w:r>
              <w:rPr>
                <w:rFonts w:hint="default" w:ascii="Times New Roman" w:hAnsi="Times New Roman" w:cs="Times New Roman"/>
                <w:color w:val="auto"/>
                <w:kern w:val="0"/>
                <w:sz w:val="18"/>
                <w:szCs w:val="18"/>
                <w:highlight w:val="none"/>
                <w:lang w:val="en-US" w:eastAsia="zh-CN"/>
              </w:rPr>
              <w:t>无雨水进入粪污收集系统</w:t>
            </w:r>
            <w:r>
              <w:rPr>
                <w:rFonts w:hint="default" w:ascii="Times New Roman" w:hAnsi="Times New Roman" w:cs="Times New Roman"/>
                <w:color w:val="auto"/>
                <w:kern w:val="0"/>
                <w:sz w:val="18"/>
                <w:szCs w:val="18"/>
                <w:highlight w:val="none"/>
              </w:rPr>
              <w:t>。</w:t>
            </w:r>
          </w:p>
        </w:tc>
        <w:tc>
          <w:tcPr>
            <w:tcW w:w="800" w:type="dxa"/>
            <w:vMerge w:val="restart"/>
            <w:vAlign w:val="center"/>
          </w:tcPr>
          <w:p w14:paraId="67E75144">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14:paraId="2A782D3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1" w:type="dxa"/>
            <w:vMerge w:val="continue"/>
            <w:vAlign w:val="center"/>
          </w:tcPr>
          <w:p w14:paraId="58F8F1AD">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18"/>
                <w:szCs w:val="18"/>
                <w:highlight w:val="none"/>
              </w:rPr>
            </w:pPr>
          </w:p>
        </w:tc>
        <w:tc>
          <w:tcPr>
            <w:tcW w:w="3868" w:type="dxa"/>
            <w:tcBorders>
              <w:top w:val="single" w:color="auto" w:sz="4" w:space="0"/>
              <w:bottom w:val="single" w:color="auto" w:sz="4" w:space="0"/>
            </w:tcBorders>
            <w:vAlign w:val="center"/>
          </w:tcPr>
          <w:p w14:paraId="61B48CF8">
            <w:pPr>
              <w:keepNext w:val="0"/>
              <w:keepLines w:val="0"/>
              <w:suppressLineNumbers w:val="0"/>
              <w:pBdr>
                <w:top w:val="none" w:color="auto" w:sz="0" w:space="1"/>
                <w:left w:val="none" w:color="auto" w:sz="0" w:space="4"/>
                <w:bottom w:val="none" w:color="auto" w:sz="0" w:space="1"/>
                <w:right w:val="none" w:color="auto" w:sz="0" w:space="4"/>
              </w:pBdr>
              <w:autoSpaceDE w:val="0"/>
              <w:autoSpaceDN w:val="0"/>
              <w:spacing w:before="0" w:beforeAutospacing="0" w:after="0" w:afterAutospacing="0"/>
              <w:ind w:left="0" w:right="0" w:firstLine="42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环评应结合地域、畜种、规模等特点以及地方相关部门制定的畜禽粪污综合利用目标等要求，加强畜禽养殖粪污资源化利用，因地制宜选择经济高效适用的处理利用模式，采取粪污全量收集还田利用、污水肥料化利用、粪便垫料回用、异位发酵床、粪污专业化能源利用等模式处理利用畜禽粪污，促进畜禽规模养殖项目“种养结合”绿色发展。</w:t>
            </w:r>
          </w:p>
        </w:tc>
        <w:tc>
          <w:tcPr>
            <w:tcW w:w="3572" w:type="dxa"/>
            <w:tcBorders>
              <w:top w:val="single" w:color="auto" w:sz="4" w:space="0"/>
              <w:bottom w:val="single" w:color="auto" w:sz="4" w:space="0"/>
            </w:tcBorders>
            <w:vAlign w:val="center"/>
          </w:tcPr>
          <w:p w14:paraId="40DB3C35">
            <w:pPr>
              <w:keepNext w:val="0"/>
              <w:keepLines w:val="0"/>
              <w:suppressLineNumbers w:val="0"/>
              <w:autoSpaceDE w:val="0"/>
              <w:autoSpaceDN w:val="0"/>
              <w:spacing w:before="0" w:beforeAutospacing="0" w:after="0" w:afterAutospacing="0"/>
              <w:ind w:left="0" w:right="0" w:firstLine="360" w:firstLineChars="20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项目采用</w:t>
            </w:r>
            <w:r>
              <w:rPr>
                <w:rFonts w:hint="default" w:ascii="Times New Roman" w:hAnsi="Times New Roman" w:cs="Times New Roman"/>
                <w:color w:val="auto"/>
                <w:kern w:val="0"/>
                <w:sz w:val="18"/>
                <w:szCs w:val="18"/>
                <w:highlight w:val="none"/>
                <w:lang w:eastAsia="zh-CN"/>
              </w:rPr>
              <w:t>干清粪</w:t>
            </w:r>
            <w:r>
              <w:rPr>
                <w:rFonts w:hint="default" w:ascii="Times New Roman" w:hAnsi="Times New Roman" w:cs="Times New Roman"/>
                <w:color w:val="auto"/>
                <w:kern w:val="0"/>
                <w:sz w:val="18"/>
                <w:szCs w:val="18"/>
                <w:highlight w:val="none"/>
              </w:rPr>
              <w:t>工艺，</w:t>
            </w:r>
            <w:r>
              <w:rPr>
                <w:rFonts w:hint="default" w:ascii="Times New Roman" w:hAnsi="Times New Roman" w:cs="Times New Roman"/>
                <w:color w:val="auto"/>
                <w:sz w:val="18"/>
                <w:szCs w:val="18"/>
                <w:highlight w:val="none"/>
                <w:lang w:val="en-US" w:eastAsia="zh-CN"/>
              </w:rPr>
              <w:t>项目</w:t>
            </w:r>
            <w:r>
              <w:rPr>
                <w:rFonts w:hint="default" w:ascii="Times New Roman" w:hAnsi="Times New Roman" w:cs="Times New Roman"/>
                <w:color w:val="auto"/>
                <w:sz w:val="18"/>
                <w:szCs w:val="18"/>
                <w:highlight w:val="none"/>
              </w:rPr>
              <w:t>尿液和粪便经漏缝地板进入猪舍下方</w:t>
            </w:r>
            <w:r>
              <w:rPr>
                <w:rFonts w:hint="default" w:ascii="Times New Roman" w:hAnsi="Times New Roman" w:cs="Times New Roman"/>
                <w:color w:val="auto"/>
                <w:sz w:val="18"/>
                <w:szCs w:val="18"/>
                <w:highlight w:val="none"/>
                <w:lang w:eastAsia="zh-CN"/>
              </w:rPr>
              <w:t>粪尿收集池</w:t>
            </w:r>
            <w:r>
              <w:rPr>
                <w:rFonts w:hint="default" w:ascii="Times New Roman" w:hAnsi="Times New Roman" w:cs="Times New Roman"/>
                <w:color w:val="auto"/>
                <w:sz w:val="18"/>
                <w:szCs w:val="18"/>
                <w:highlight w:val="none"/>
              </w:rPr>
              <w:t>后</w:t>
            </w:r>
            <w:r>
              <w:rPr>
                <w:rFonts w:hint="default" w:ascii="Times New Roman" w:hAnsi="Times New Roman" w:cs="Times New Roman"/>
                <w:color w:val="auto"/>
                <w:sz w:val="18"/>
                <w:szCs w:val="18"/>
                <w:highlight w:val="none"/>
                <w:lang w:eastAsia="zh-CN"/>
              </w:rPr>
              <w:t>先进行固液分离，固体粪便进行堆肥发酵，尿液</w:t>
            </w:r>
            <w:r>
              <w:rPr>
                <w:rFonts w:hint="default" w:ascii="Times New Roman" w:hAnsi="Times New Roman" w:cs="Times New Roman"/>
                <w:color w:val="auto"/>
                <w:sz w:val="18"/>
                <w:szCs w:val="18"/>
                <w:highlight w:val="none"/>
              </w:rPr>
              <w:t>进入</w:t>
            </w:r>
            <w:r>
              <w:rPr>
                <w:rFonts w:hint="default" w:ascii="Times New Roman" w:hAnsi="Times New Roman" w:cs="Times New Roman"/>
                <w:color w:val="auto"/>
                <w:sz w:val="18"/>
                <w:szCs w:val="18"/>
                <w:highlight w:val="none"/>
                <w:lang w:val="en-US" w:eastAsia="zh-CN"/>
              </w:rPr>
              <w:t>废水收集池</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依托弥勒温氏畜牧有限公司新哨种猪场建设项目污水处理站处理后用于绿化及农田灌溉</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粪污</w:t>
            </w:r>
            <w:r>
              <w:rPr>
                <w:rFonts w:hint="default" w:ascii="Times New Roman" w:hAnsi="Times New Roman" w:cs="Times New Roman"/>
                <w:color w:val="auto"/>
                <w:sz w:val="18"/>
                <w:szCs w:val="18"/>
                <w:highlight w:val="none"/>
                <w:lang w:eastAsia="zh-CN"/>
              </w:rPr>
              <w:t>及时排出进行固液分离</w:t>
            </w:r>
            <w:r>
              <w:rPr>
                <w:rFonts w:hint="default" w:ascii="Times New Roman" w:hAnsi="Times New Roman" w:cs="Times New Roman"/>
                <w:color w:val="auto"/>
                <w:sz w:val="18"/>
                <w:szCs w:val="18"/>
                <w:highlight w:val="none"/>
              </w:rPr>
              <w:t>，不在</w:t>
            </w:r>
            <w:r>
              <w:rPr>
                <w:rFonts w:hint="default" w:ascii="Times New Roman" w:hAnsi="Times New Roman" w:cs="Times New Roman"/>
                <w:color w:val="auto"/>
                <w:sz w:val="18"/>
                <w:szCs w:val="18"/>
                <w:highlight w:val="none"/>
                <w:lang w:eastAsia="zh-CN"/>
              </w:rPr>
              <w:t>粪尿收集池</w:t>
            </w:r>
            <w:r>
              <w:rPr>
                <w:rFonts w:hint="default" w:ascii="Times New Roman" w:hAnsi="Times New Roman" w:cs="Times New Roman"/>
                <w:color w:val="auto"/>
                <w:sz w:val="18"/>
                <w:szCs w:val="18"/>
                <w:highlight w:val="none"/>
              </w:rPr>
              <w:t>长期浸泡；</w:t>
            </w:r>
            <w:r>
              <w:rPr>
                <w:rFonts w:hint="default" w:ascii="Times New Roman" w:hAnsi="Times New Roman" w:cs="Times New Roman"/>
                <w:color w:val="auto"/>
                <w:kern w:val="0"/>
                <w:sz w:val="18"/>
                <w:szCs w:val="18"/>
                <w:highlight w:val="none"/>
              </w:rPr>
              <w:t>各类</w:t>
            </w:r>
            <w:r>
              <w:rPr>
                <w:rFonts w:hint="default" w:ascii="Times New Roman" w:hAnsi="Times New Roman" w:cs="Times New Roman"/>
                <w:color w:val="auto"/>
                <w:kern w:val="0"/>
                <w:sz w:val="18"/>
                <w:szCs w:val="18"/>
                <w:highlight w:val="none"/>
                <w:lang w:eastAsia="zh-CN"/>
              </w:rPr>
              <w:t>粪污</w:t>
            </w:r>
            <w:r>
              <w:rPr>
                <w:rFonts w:hint="default" w:ascii="Times New Roman" w:hAnsi="Times New Roman" w:cs="Times New Roman"/>
                <w:color w:val="auto"/>
                <w:kern w:val="0"/>
                <w:sz w:val="18"/>
                <w:szCs w:val="18"/>
                <w:highlight w:val="none"/>
              </w:rPr>
              <w:t>均得到合理收集、处理。经无害化处理后</w:t>
            </w:r>
            <w:r>
              <w:rPr>
                <w:rFonts w:hint="default" w:ascii="Times New Roman" w:hAnsi="Times New Roman" w:cs="Times New Roman"/>
                <w:color w:val="auto"/>
                <w:kern w:val="0"/>
                <w:sz w:val="18"/>
                <w:szCs w:val="18"/>
                <w:highlight w:val="none"/>
                <w:lang w:eastAsia="zh-CN"/>
              </w:rPr>
              <w:t>粪污</w:t>
            </w:r>
            <w:r>
              <w:rPr>
                <w:rFonts w:hint="default" w:ascii="Times New Roman" w:hAnsi="Times New Roman" w:cs="Times New Roman"/>
                <w:color w:val="auto"/>
                <w:kern w:val="0"/>
                <w:sz w:val="18"/>
                <w:szCs w:val="18"/>
                <w:highlight w:val="none"/>
              </w:rPr>
              <w:t>回用于周边农田施肥，实现资源化利用。</w:t>
            </w:r>
          </w:p>
        </w:tc>
        <w:tc>
          <w:tcPr>
            <w:tcW w:w="800" w:type="dxa"/>
            <w:vMerge w:val="continue"/>
            <w:vAlign w:val="center"/>
          </w:tcPr>
          <w:p w14:paraId="0CFF756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18"/>
                <w:szCs w:val="18"/>
                <w:highlight w:val="none"/>
              </w:rPr>
            </w:pPr>
          </w:p>
        </w:tc>
      </w:tr>
      <w:tr w14:paraId="7D113E5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1" w:type="dxa"/>
            <w:vMerge w:val="continue"/>
            <w:vAlign w:val="center"/>
          </w:tcPr>
          <w:p w14:paraId="42F42D94">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18"/>
                <w:szCs w:val="18"/>
                <w:highlight w:val="none"/>
              </w:rPr>
            </w:pPr>
          </w:p>
        </w:tc>
        <w:tc>
          <w:tcPr>
            <w:tcW w:w="3868" w:type="dxa"/>
            <w:tcBorders>
              <w:top w:val="single" w:color="auto" w:sz="4" w:space="0"/>
            </w:tcBorders>
            <w:vAlign w:val="center"/>
          </w:tcPr>
          <w:p w14:paraId="4A64BCC3">
            <w:pPr>
              <w:keepNext w:val="0"/>
              <w:keepLines w:val="0"/>
              <w:suppressLineNumbers w:val="0"/>
              <w:pBdr>
                <w:top w:val="none" w:color="auto" w:sz="0" w:space="1"/>
                <w:left w:val="none" w:color="auto" w:sz="0" w:space="4"/>
                <w:bottom w:val="none" w:color="auto" w:sz="0" w:space="1"/>
                <w:right w:val="none" w:color="auto" w:sz="0" w:space="4"/>
              </w:pBdr>
              <w:autoSpaceDE w:val="0"/>
              <w:autoSpaceDN w:val="0"/>
              <w:spacing w:before="0" w:beforeAutospacing="0" w:after="0" w:afterAutospacing="0"/>
              <w:ind w:left="0" w:right="0" w:firstLine="42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鼓励根据土地承载能力确定畜禽养殖场的适宜养殖规模，土地承载能力可采用农业农村主管部门发布的测算技术方法确定。耕地面积大、土地消纳能力相对较高的区域，畜禽养殖场产生的粪污应力争实现全部就地就近资源化利用或委托第三方处理;当土地消纳能力不足时，应进一步提高资源化利用能力或适当减少养殖规模。鼓励依托符合环保要求的专业化粪污处理利用企业，提高畜禽养殖粪污集中收集利用能力。环评应明确畜禽养殖粪污资源化利用的主体，严格落实利用渠道或途径，确保资源化利用有效实施。</w:t>
            </w:r>
          </w:p>
        </w:tc>
        <w:tc>
          <w:tcPr>
            <w:tcW w:w="3572" w:type="dxa"/>
            <w:tcBorders>
              <w:top w:val="single" w:color="auto" w:sz="4" w:space="0"/>
            </w:tcBorders>
            <w:vAlign w:val="center"/>
          </w:tcPr>
          <w:p w14:paraId="0D9D9ED8">
            <w:pPr>
              <w:keepNext w:val="0"/>
              <w:keepLines w:val="0"/>
              <w:suppressLineNumbers w:val="0"/>
              <w:autoSpaceDE w:val="0"/>
              <w:autoSpaceDN w:val="0"/>
              <w:spacing w:before="0" w:beforeAutospacing="0" w:after="0" w:afterAutospacing="0"/>
              <w:ind w:left="0" w:right="0" w:firstLine="360" w:firstLineChars="20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根据建设单位与</w:t>
            </w:r>
            <w:r>
              <w:rPr>
                <w:rFonts w:hint="default" w:ascii="Times New Roman" w:hAnsi="Times New Roman" w:cs="Times New Roman"/>
                <w:color w:val="auto"/>
                <w:kern w:val="0"/>
                <w:sz w:val="18"/>
                <w:szCs w:val="18"/>
                <w:highlight w:val="none"/>
                <w:lang w:val="en-US" w:eastAsia="zh-CN"/>
              </w:rPr>
              <w:t>清河村委会</w:t>
            </w:r>
            <w:r>
              <w:rPr>
                <w:rFonts w:hint="eastAsia" w:cs="Times New Roman"/>
                <w:color w:val="auto"/>
                <w:kern w:val="0"/>
                <w:sz w:val="18"/>
                <w:szCs w:val="18"/>
                <w:highlight w:val="none"/>
                <w:lang w:val="en-US" w:eastAsia="zh-CN"/>
              </w:rPr>
              <w:t>及种植专业户</w:t>
            </w:r>
            <w:r>
              <w:rPr>
                <w:rFonts w:hint="default" w:ascii="Times New Roman" w:hAnsi="Times New Roman" w:cs="Times New Roman"/>
                <w:color w:val="auto"/>
                <w:kern w:val="0"/>
                <w:sz w:val="18"/>
                <w:szCs w:val="18"/>
                <w:highlight w:val="none"/>
              </w:rPr>
              <w:t>签订的</w:t>
            </w:r>
            <w:r>
              <w:rPr>
                <w:rFonts w:hint="default" w:ascii="Times New Roman" w:hAnsi="Times New Roman" w:cs="Times New Roman"/>
                <w:color w:val="auto"/>
                <w:kern w:val="0"/>
                <w:sz w:val="18"/>
                <w:szCs w:val="18"/>
                <w:highlight w:val="none"/>
                <w:lang w:eastAsia="zh-CN"/>
              </w:rPr>
              <w:t>粪污</w:t>
            </w:r>
            <w:r>
              <w:rPr>
                <w:rFonts w:hint="default" w:ascii="Times New Roman" w:hAnsi="Times New Roman" w:cs="Times New Roman"/>
                <w:color w:val="auto"/>
                <w:kern w:val="0"/>
                <w:sz w:val="18"/>
                <w:szCs w:val="18"/>
                <w:highlight w:val="none"/>
              </w:rPr>
              <w:t>消纳合作协议，根据计算，项目</w:t>
            </w:r>
            <w:r>
              <w:rPr>
                <w:rFonts w:hint="default" w:ascii="Times New Roman" w:hAnsi="Times New Roman" w:cs="Times New Roman"/>
                <w:color w:val="auto"/>
                <w:kern w:val="0"/>
                <w:sz w:val="18"/>
                <w:szCs w:val="18"/>
                <w:highlight w:val="none"/>
                <w:lang w:eastAsia="zh-CN"/>
              </w:rPr>
              <w:t>粪污</w:t>
            </w:r>
            <w:r>
              <w:rPr>
                <w:rFonts w:hint="default" w:ascii="Times New Roman" w:hAnsi="Times New Roman" w:cs="Times New Roman"/>
                <w:color w:val="auto"/>
                <w:kern w:val="0"/>
                <w:sz w:val="18"/>
                <w:szCs w:val="18"/>
                <w:highlight w:val="none"/>
              </w:rPr>
              <w:t>消纳区配套的土地面积能满足一倍以上的轮作面积要求。</w:t>
            </w:r>
          </w:p>
          <w:p w14:paraId="52A822A8">
            <w:pPr>
              <w:keepNext w:val="0"/>
              <w:keepLines w:val="0"/>
              <w:suppressLineNumbers w:val="0"/>
              <w:autoSpaceDE w:val="0"/>
              <w:autoSpaceDN w:val="0"/>
              <w:spacing w:before="0" w:beforeAutospacing="0" w:after="0" w:afterAutospacing="0"/>
              <w:ind w:left="0" w:right="0"/>
              <w:jc w:val="left"/>
              <w:rPr>
                <w:rFonts w:hint="default" w:ascii="Times New Roman" w:hAnsi="Times New Roman" w:cs="Times New Roman"/>
                <w:color w:val="auto"/>
                <w:kern w:val="0"/>
                <w:sz w:val="18"/>
                <w:szCs w:val="18"/>
                <w:highlight w:val="none"/>
              </w:rPr>
            </w:pPr>
          </w:p>
        </w:tc>
        <w:tc>
          <w:tcPr>
            <w:tcW w:w="800" w:type="dxa"/>
            <w:vMerge w:val="continue"/>
            <w:vAlign w:val="center"/>
          </w:tcPr>
          <w:p w14:paraId="6F3F60E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18"/>
                <w:szCs w:val="18"/>
                <w:highlight w:val="none"/>
              </w:rPr>
            </w:pPr>
          </w:p>
        </w:tc>
      </w:tr>
      <w:tr w14:paraId="63FBC1D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1" w:type="dxa"/>
            <w:vMerge w:val="restart"/>
            <w:vAlign w:val="center"/>
          </w:tcPr>
          <w:p w14:paraId="5B0E8026">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三、强化粪污治理措施，做好污染防治</w:t>
            </w:r>
          </w:p>
        </w:tc>
        <w:tc>
          <w:tcPr>
            <w:tcW w:w="3868" w:type="dxa"/>
            <w:tcBorders>
              <w:bottom w:val="single" w:color="auto" w:sz="4" w:space="0"/>
            </w:tcBorders>
            <w:vAlign w:val="center"/>
          </w:tcPr>
          <w:p w14:paraId="6448293B">
            <w:pPr>
              <w:keepNext w:val="0"/>
              <w:keepLines w:val="0"/>
              <w:suppressLineNumbers w:val="0"/>
              <w:autoSpaceDE w:val="0"/>
              <w:autoSpaceDN w:val="0"/>
              <w:spacing w:before="0" w:beforeAutospacing="0" w:after="0" w:afterAutospacing="0"/>
              <w:ind w:left="0" w:right="0" w:firstLine="180" w:firstLineChars="10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环评应强化对粪污的治理措施，加强畜禽养殖粪污资源化利用过程中的污染控制，推进粪污资源的良性利用，应对无法资源化利用的粪污采取治理措施确保达标排放。畜禽规模养殖项目应配套建设与养殖规模相匹配的雨污分离设施，以及粪污贮存、处理和利用设施等，委托满足相关环保要求的第三方代为利用或者处理的，可不自行建设粪污处理或利用设施。</w:t>
            </w:r>
          </w:p>
        </w:tc>
        <w:tc>
          <w:tcPr>
            <w:tcW w:w="3572" w:type="dxa"/>
            <w:tcBorders>
              <w:bottom w:val="single" w:color="auto" w:sz="4" w:space="0"/>
            </w:tcBorders>
            <w:vAlign w:val="center"/>
          </w:tcPr>
          <w:p w14:paraId="2C3FD0DC">
            <w:pPr>
              <w:keepNext w:val="0"/>
              <w:keepLines w:val="0"/>
              <w:suppressLineNumbers w:val="0"/>
              <w:autoSpaceDE w:val="0"/>
              <w:autoSpaceDN w:val="0"/>
              <w:spacing w:before="0" w:beforeAutospacing="0" w:after="0" w:afterAutospacing="0"/>
              <w:ind w:left="0" w:right="0" w:firstLine="360" w:firstLineChars="20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项目按照要求建设雨污分流，设置</w:t>
            </w:r>
            <w:r>
              <w:rPr>
                <w:rFonts w:hint="default" w:ascii="Times New Roman" w:hAnsi="Times New Roman" w:cs="Times New Roman"/>
                <w:color w:val="auto"/>
                <w:kern w:val="0"/>
                <w:sz w:val="18"/>
                <w:szCs w:val="18"/>
                <w:highlight w:val="none"/>
                <w:lang w:val="en-US" w:eastAsia="zh-CN"/>
              </w:rPr>
              <w:t>废水收集池</w:t>
            </w:r>
            <w:r>
              <w:rPr>
                <w:rFonts w:hint="default" w:ascii="Times New Roman" w:hAnsi="Times New Roman" w:cs="Times New Roman"/>
                <w:color w:val="auto"/>
                <w:kern w:val="0"/>
                <w:sz w:val="18"/>
                <w:szCs w:val="18"/>
                <w:highlight w:val="none"/>
              </w:rPr>
              <w:t>、</w:t>
            </w:r>
            <w:r>
              <w:rPr>
                <w:rFonts w:hint="default" w:ascii="Times New Roman" w:hAnsi="Times New Roman" w:cs="Times New Roman"/>
                <w:color w:val="auto"/>
                <w:kern w:val="0"/>
                <w:sz w:val="18"/>
                <w:szCs w:val="18"/>
                <w:highlight w:val="none"/>
                <w:lang w:eastAsia="zh-CN"/>
              </w:rPr>
              <w:t>堆粪棚</w:t>
            </w:r>
            <w:r>
              <w:rPr>
                <w:rFonts w:hint="default" w:ascii="Times New Roman" w:hAnsi="Times New Roman" w:cs="Times New Roman"/>
                <w:color w:val="auto"/>
                <w:kern w:val="0"/>
                <w:sz w:val="18"/>
                <w:szCs w:val="18"/>
                <w:highlight w:val="none"/>
              </w:rPr>
              <w:t>等设施，满足无害化处理要求，规模满足施肥间隔期的暂存要求。</w:t>
            </w:r>
          </w:p>
        </w:tc>
        <w:tc>
          <w:tcPr>
            <w:tcW w:w="800" w:type="dxa"/>
            <w:vMerge w:val="restart"/>
            <w:vAlign w:val="center"/>
          </w:tcPr>
          <w:p w14:paraId="6E09920B">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18"/>
                <w:szCs w:val="18"/>
                <w:highlight w:val="none"/>
                <w:lang w:eastAsia="en-US"/>
              </w:rPr>
            </w:pPr>
            <w:r>
              <w:rPr>
                <w:rFonts w:hint="default" w:ascii="Times New Roman" w:hAnsi="Times New Roman" w:cs="Times New Roman"/>
                <w:color w:val="auto"/>
                <w:kern w:val="0"/>
                <w:sz w:val="18"/>
                <w:szCs w:val="18"/>
                <w:highlight w:val="none"/>
                <w:lang w:eastAsia="en-US"/>
              </w:rPr>
              <w:t>符合</w:t>
            </w:r>
          </w:p>
        </w:tc>
      </w:tr>
      <w:tr w14:paraId="4152CD2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1" w:type="dxa"/>
            <w:vMerge w:val="continue"/>
            <w:vAlign w:val="center"/>
          </w:tcPr>
          <w:p w14:paraId="6A156E58">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18"/>
                <w:szCs w:val="18"/>
                <w:highlight w:val="none"/>
              </w:rPr>
            </w:pPr>
          </w:p>
        </w:tc>
        <w:tc>
          <w:tcPr>
            <w:tcW w:w="3868" w:type="dxa"/>
            <w:tcBorders>
              <w:top w:val="single" w:color="auto" w:sz="4" w:space="0"/>
              <w:bottom w:val="single" w:color="auto" w:sz="4" w:space="0"/>
            </w:tcBorders>
            <w:vAlign w:val="center"/>
          </w:tcPr>
          <w:p w14:paraId="2D0FE850">
            <w:pPr>
              <w:keepNext w:val="0"/>
              <w:keepLines w:val="0"/>
              <w:suppressLineNumbers w:val="0"/>
              <w:autoSpaceDE w:val="0"/>
              <w:autoSpaceDN w:val="0"/>
              <w:spacing w:before="0" w:beforeAutospacing="0" w:after="0" w:afterAutospacing="0"/>
              <w:ind w:left="0" w:right="0" w:firstLine="180" w:firstLineChars="10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环评应明确畜禽粪污贮存、处理和利用措施。贮存池应采取有效的防雨、防渗和防溢流措施，防止畜禽粪污污染地下水。贮存池总有效容积应根据贮存期确定。进行资源化利用的畜禽粪污须处理并达到畜禽粪便还田、无害化处理等技术规范要求。畜禽规模养殖项目配套建设沼气工程的，应充分考虑沼气制备及贮存过程中的环境风险，制定环境风险防范措施及应急预案。</w:t>
            </w:r>
          </w:p>
        </w:tc>
        <w:tc>
          <w:tcPr>
            <w:tcW w:w="3572" w:type="dxa"/>
            <w:tcBorders>
              <w:top w:val="single" w:color="auto" w:sz="4" w:space="0"/>
              <w:bottom w:val="single" w:color="auto" w:sz="4" w:space="0"/>
            </w:tcBorders>
            <w:vAlign w:val="center"/>
          </w:tcPr>
          <w:p w14:paraId="3D5F5167">
            <w:pPr>
              <w:keepNext w:val="0"/>
              <w:keepLines w:val="0"/>
              <w:suppressLineNumbers w:val="0"/>
              <w:autoSpaceDE w:val="0"/>
              <w:autoSpaceDN w:val="0"/>
              <w:spacing w:before="0" w:beforeAutospacing="0" w:after="0" w:afterAutospacing="0"/>
              <w:ind w:left="0" w:right="0" w:firstLine="360" w:firstLineChars="20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根据影响分析，项目设置的</w:t>
            </w:r>
            <w:r>
              <w:rPr>
                <w:rFonts w:hint="default" w:ascii="Times New Roman" w:hAnsi="Times New Roman" w:cs="Times New Roman"/>
                <w:color w:val="auto"/>
                <w:kern w:val="0"/>
                <w:sz w:val="18"/>
                <w:szCs w:val="18"/>
                <w:highlight w:val="none"/>
                <w:lang w:eastAsia="zh-CN"/>
              </w:rPr>
              <w:t>粪污</w:t>
            </w:r>
            <w:r>
              <w:rPr>
                <w:rFonts w:hint="default" w:ascii="Times New Roman" w:hAnsi="Times New Roman" w:cs="Times New Roman"/>
                <w:color w:val="auto"/>
                <w:kern w:val="0"/>
                <w:sz w:val="18"/>
                <w:szCs w:val="18"/>
                <w:highlight w:val="none"/>
              </w:rPr>
              <w:t>处理区处理工艺、规模均满足相关规范要求，按照重点防渗区建设，并设有防雨措施，</w:t>
            </w:r>
            <w:r>
              <w:rPr>
                <w:rFonts w:hint="default" w:ascii="Times New Roman" w:hAnsi="Times New Roman" w:cs="Times New Roman"/>
                <w:color w:val="auto"/>
                <w:kern w:val="0"/>
                <w:sz w:val="18"/>
                <w:szCs w:val="18"/>
                <w:highlight w:val="none"/>
                <w:lang w:eastAsia="zh-CN"/>
              </w:rPr>
              <w:t>粪污</w:t>
            </w:r>
            <w:r>
              <w:rPr>
                <w:rFonts w:hint="default" w:ascii="Times New Roman" w:hAnsi="Times New Roman" w:cs="Times New Roman"/>
                <w:color w:val="auto"/>
                <w:kern w:val="0"/>
                <w:sz w:val="18"/>
                <w:szCs w:val="18"/>
                <w:highlight w:val="none"/>
              </w:rPr>
              <w:t>处理可以达到《畜禽粪便无害化处理技术规范》（GB/T 36195）和《畜禽粪便还田技术规范》（GB/T 25246）提出的控制要求。</w:t>
            </w:r>
          </w:p>
          <w:p w14:paraId="4AD81950">
            <w:pPr>
              <w:keepNext w:val="0"/>
              <w:keepLines w:val="0"/>
              <w:suppressLineNumbers w:val="0"/>
              <w:autoSpaceDE w:val="0"/>
              <w:autoSpaceDN w:val="0"/>
              <w:spacing w:before="0" w:beforeAutospacing="0" w:after="0" w:afterAutospacing="0"/>
              <w:ind w:left="0" w:right="0" w:firstLine="180" w:firstLineChars="10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项目不</w:t>
            </w:r>
            <w:r>
              <w:rPr>
                <w:rFonts w:hint="default" w:ascii="Times New Roman" w:hAnsi="Times New Roman" w:cs="Times New Roman"/>
                <w:color w:val="auto"/>
                <w:kern w:val="0"/>
                <w:sz w:val="18"/>
                <w:szCs w:val="18"/>
                <w:highlight w:val="none"/>
              </w:rPr>
              <w:t>配套建设沼气工程。</w:t>
            </w:r>
          </w:p>
        </w:tc>
        <w:tc>
          <w:tcPr>
            <w:tcW w:w="800" w:type="dxa"/>
            <w:vMerge w:val="continue"/>
            <w:vAlign w:val="center"/>
          </w:tcPr>
          <w:p w14:paraId="2B8E1C56">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18"/>
                <w:szCs w:val="18"/>
                <w:highlight w:val="none"/>
              </w:rPr>
            </w:pPr>
          </w:p>
        </w:tc>
      </w:tr>
      <w:tr w14:paraId="73B82DD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1" w:type="dxa"/>
            <w:vMerge w:val="continue"/>
            <w:vAlign w:val="center"/>
          </w:tcPr>
          <w:p w14:paraId="3905766C">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18"/>
                <w:szCs w:val="18"/>
                <w:highlight w:val="none"/>
              </w:rPr>
            </w:pPr>
          </w:p>
        </w:tc>
        <w:tc>
          <w:tcPr>
            <w:tcW w:w="3868" w:type="dxa"/>
            <w:tcBorders>
              <w:top w:val="single" w:color="auto" w:sz="4" w:space="0"/>
            </w:tcBorders>
            <w:vAlign w:val="center"/>
          </w:tcPr>
          <w:p w14:paraId="5C49552A">
            <w:pPr>
              <w:keepNext w:val="0"/>
              <w:keepLines w:val="0"/>
              <w:suppressLineNumbers w:val="0"/>
              <w:autoSpaceDE w:val="0"/>
              <w:autoSpaceDN w:val="0"/>
              <w:spacing w:before="0" w:beforeAutospacing="0" w:after="0" w:afterAutospacing="0"/>
              <w:ind w:right="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畜禽养殖粪污作为肥料还田利用的，应明确畜禽养殖场与还田利用的林地、农田之间的输送系统及环境管理措施，严格控制肥水输送沿途的弃、撒和跑冒滴漏，防止进入外部水体。对无法采取资源化利用的畜禽养殖废水应明确处理措施及工艺，确保达标排放或消毒回用，排放去向应符合国家和地方的有关规定，不得排入敏感水域和有特殊功能的水域。</w:t>
            </w:r>
          </w:p>
          <w:p w14:paraId="04190236">
            <w:pPr>
              <w:keepNext w:val="0"/>
              <w:keepLines w:val="0"/>
              <w:suppressLineNumbers w:val="0"/>
              <w:autoSpaceDE w:val="0"/>
              <w:autoSpaceDN w:val="0"/>
              <w:spacing w:before="0" w:beforeAutospacing="0" w:after="0" w:afterAutospacing="0"/>
              <w:ind w:left="0" w:right="0" w:firstLine="180" w:firstLineChars="10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依据相关法律法规和技术规范，制定明确的病死畜禽处理、处置方案，及时处理病死畜禽。针对畜禽规模养殖项目的恶臭影响，可采取控制饲养密度、改善舍内通风、及时清粪、采用除臭剂、集中收集处理等措施，确保项目恶臭污染物达标排放。</w:t>
            </w:r>
          </w:p>
        </w:tc>
        <w:tc>
          <w:tcPr>
            <w:tcW w:w="3572" w:type="dxa"/>
            <w:tcBorders>
              <w:top w:val="single" w:color="auto" w:sz="4" w:space="0"/>
            </w:tcBorders>
            <w:vAlign w:val="center"/>
          </w:tcPr>
          <w:p w14:paraId="4A0ED0BB">
            <w:pPr>
              <w:keepNext w:val="0"/>
              <w:keepLines w:val="0"/>
              <w:suppressLineNumbers w:val="0"/>
              <w:autoSpaceDE w:val="0"/>
              <w:autoSpaceDN w:val="0"/>
              <w:spacing w:before="0" w:beforeAutospacing="0" w:after="0" w:afterAutospacing="0"/>
              <w:ind w:right="0" w:firstLine="360" w:firstLineChars="20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项目还田利用区域与项目之间已有乡村道路通达，可采用罐车清运。今后按照要求加强管理，进行台账记录，对</w:t>
            </w:r>
            <w:r>
              <w:rPr>
                <w:rFonts w:hint="default" w:ascii="Times New Roman" w:hAnsi="Times New Roman" w:cs="Times New Roman"/>
                <w:color w:val="auto"/>
                <w:kern w:val="0"/>
                <w:sz w:val="18"/>
                <w:szCs w:val="18"/>
                <w:highlight w:val="none"/>
                <w:lang w:val="en-US" w:eastAsia="zh-CN"/>
              </w:rPr>
              <w:t>还田</w:t>
            </w:r>
            <w:r>
              <w:rPr>
                <w:rFonts w:hint="default" w:ascii="Times New Roman" w:hAnsi="Times New Roman" w:cs="Times New Roman"/>
                <w:color w:val="auto"/>
                <w:kern w:val="0"/>
                <w:sz w:val="18"/>
                <w:szCs w:val="18"/>
                <w:highlight w:val="none"/>
              </w:rPr>
              <w:t>过程进行全程监督管控，严格控制污水输送沿途的弃、撒和跑、冒、滴、漏。</w:t>
            </w:r>
          </w:p>
          <w:p w14:paraId="49710D17">
            <w:pPr>
              <w:keepNext w:val="0"/>
              <w:keepLines w:val="0"/>
              <w:suppressLineNumbers w:val="0"/>
              <w:autoSpaceDE w:val="0"/>
              <w:autoSpaceDN w:val="0"/>
              <w:spacing w:before="0" w:beforeAutospacing="0" w:after="0" w:afterAutospacing="0"/>
              <w:ind w:left="0" w:right="0" w:firstLine="360" w:firstLineChars="20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w:t>
            </w:r>
            <w:r>
              <w:rPr>
                <w:rFonts w:hint="default" w:ascii="Times New Roman" w:hAnsi="Times New Roman" w:cs="Times New Roman"/>
                <w:bCs/>
                <w:color w:val="auto"/>
                <w:kern w:val="0"/>
                <w:sz w:val="18"/>
                <w:szCs w:val="18"/>
                <w:highlight w:val="none"/>
              </w:rPr>
              <w:t>病死猪采用冷库暂存，并委托弥勒市北斗星生物科技有限公司进场清运处置，满足《畜禽养殖业污染防治技术规范》（HJ/T 81-2001）要求。针对畜禽规模养殖项目的恶臭，采用合理喂养、及时清粪、喷洒生物除臭剂、污水处理设施密闭等措施，根据大气环境影响估算，项目恶臭污染物的排放浓度均达到GB18596-2001的规定。</w:t>
            </w:r>
          </w:p>
        </w:tc>
        <w:tc>
          <w:tcPr>
            <w:tcW w:w="800" w:type="dxa"/>
            <w:vMerge w:val="continue"/>
            <w:vAlign w:val="center"/>
          </w:tcPr>
          <w:p w14:paraId="3836DD6B">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18"/>
                <w:szCs w:val="18"/>
                <w:highlight w:val="none"/>
              </w:rPr>
            </w:pPr>
          </w:p>
        </w:tc>
      </w:tr>
      <w:tr w14:paraId="396297A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1" w:type="dxa"/>
            <w:vAlign w:val="center"/>
          </w:tcPr>
          <w:p w14:paraId="47465494">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四、落实环评信息公开要求，发挥公众参与的监督作用</w:t>
            </w:r>
          </w:p>
        </w:tc>
        <w:tc>
          <w:tcPr>
            <w:tcW w:w="3868" w:type="dxa"/>
            <w:vAlign w:val="center"/>
          </w:tcPr>
          <w:p w14:paraId="751A2AFA">
            <w:pPr>
              <w:keepNext w:val="0"/>
              <w:keepLines w:val="0"/>
              <w:suppressLineNumbers w:val="0"/>
              <w:autoSpaceDE w:val="0"/>
              <w:autoSpaceDN w:val="0"/>
              <w:spacing w:before="0" w:beforeAutospacing="0" w:after="0" w:afterAutospacing="0"/>
              <w:ind w:left="0" w:right="0" w:firstLine="180" w:firstLineChars="10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建设单位在项目环评报告书报送审批前，应采取适当形式，遵循依法、有序、公开、便利的原则，公开征求意见并对真实性和结果负责。</w:t>
            </w:r>
          </w:p>
        </w:tc>
        <w:tc>
          <w:tcPr>
            <w:tcW w:w="3572" w:type="dxa"/>
            <w:vAlign w:val="center"/>
          </w:tcPr>
          <w:p w14:paraId="337E6600">
            <w:pPr>
              <w:keepNext w:val="0"/>
              <w:keepLines w:val="0"/>
              <w:suppressLineNumbers w:val="0"/>
              <w:autoSpaceDE w:val="0"/>
              <w:autoSpaceDN w:val="0"/>
              <w:spacing w:before="0" w:beforeAutospacing="0" w:after="0" w:afterAutospacing="0"/>
              <w:ind w:left="0" w:right="0" w:firstLine="180" w:firstLineChars="10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项目已按照《环境影响评价公众参与办法》要求进行了公示，充分公开征求公众意见。</w:t>
            </w:r>
          </w:p>
        </w:tc>
        <w:tc>
          <w:tcPr>
            <w:tcW w:w="800" w:type="dxa"/>
            <w:vAlign w:val="center"/>
          </w:tcPr>
          <w:p w14:paraId="75B42982">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bl>
    <w:p w14:paraId="59357957">
      <w:pPr>
        <w:snapToGrid w:val="0"/>
        <w:spacing w:before="156" w:beforeLines="50"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综上，项目建设符合《关于做好畜禽规模养殖项目环境影响评价管理工作的通知》（环办环评</w:t>
      </w:r>
      <w:r>
        <w:rPr>
          <w:rFonts w:hint="eastAsia" w:ascii="Times New Roman" w:hAnsi="Times New Roman" w:cs="Times New Roman"/>
          <w:color w:val="auto"/>
          <w:kern w:val="0"/>
          <w:sz w:val="24"/>
          <w:highlight w:val="none"/>
          <w:lang w:eastAsia="zh-CN" w:bidi="ar"/>
        </w:rPr>
        <w:t>〔2018〕31号</w:t>
      </w:r>
      <w:r>
        <w:rPr>
          <w:rFonts w:hint="default" w:ascii="Times New Roman" w:hAnsi="Times New Roman" w:cs="Times New Roman"/>
          <w:color w:val="auto"/>
          <w:kern w:val="0"/>
          <w:sz w:val="24"/>
          <w:highlight w:val="none"/>
          <w:lang w:bidi="ar"/>
        </w:rPr>
        <w:t>）要求。</w:t>
      </w:r>
    </w:p>
    <w:p w14:paraId="7D98A484">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65" w:name="_Toc29599"/>
      <w:r>
        <w:rPr>
          <w:rStyle w:val="35"/>
          <w:rFonts w:hint="default" w:ascii="Times New Roman" w:hAnsi="Times New Roman" w:eastAsia="宋体" w:cs="Times New Roman"/>
          <w:color w:val="auto"/>
          <w:sz w:val="24"/>
          <w:szCs w:val="24"/>
          <w:highlight w:val="none"/>
        </w:rPr>
        <w:t>7.3.</w:t>
      </w:r>
      <w:r>
        <w:rPr>
          <w:rStyle w:val="35"/>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与《畜禽养殖污染防治管理办法》符合性分析</w:t>
      </w:r>
      <w:bookmarkEnd w:id="365"/>
    </w:p>
    <w:p w14:paraId="2749B3B4">
      <w:pPr>
        <w:snapToGrid w:val="0"/>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根据《畜禽养殖污染防治管理办法》中禁止在以下区域内建设畜禽养殖场：</w:t>
      </w:r>
    </w:p>
    <w:p w14:paraId="7B3F4A9F">
      <w:pPr>
        <w:snapToGrid w:val="0"/>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①生活饮用水水源保护区、风景名胜区、自然保护区的核心区和缓冲区。</w:t>
      </w:r>
    </w:p>
    <w:p w14:paraId="55C8B07E">
      <w:pPr>
        <w:snapToGrid w:val="0"/>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②城市和城镇居民区、文教科研区、医疗区等人口集中地区；</w:t>
      </w:r>
    </w:p>
    <w:p w14:paraId="511F4016">
      <w:pPr>
        <w:snapToGrid w:val="0"/>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③县级人民政府依法规定的禁养区域；</w:t>
      </w:r>
    </w:p>
    <w:p w14:paraId="7FEFCE32">
      <w:pPr>
        <w:snapToGrid w:val="0"/>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④国家或地方法律、法规规定需特殊保护的其他区域。</w:t>
      </w:r>
    </w:p>
    <w:p w14:paraId="041C3F1A">
      <w:pPr>
        <w:snapToGrid w:val="0"/>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根据弥勒市农业农村局出具的情况说明（附件7）：项目不在畜禽养殖禁养区划定范围内。项目建设与区域主体功能区规划、环境功能区划、土地利用规划、城乡规划、畜牧业发展规划、畜禽养殖污染防治规划等规划相协调；项目不涉及饮用水水源保护区、风景名胜区、自然保护区的核心区和缓冲区、村镇人口集中区域等需特殊保护的其他区域。因此，项目符合《畜禽养殖污染防治管理办法》要求。</w:t>
      </w:r>
    </w:p>
    <w:p w14:paraId="73252D3D">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66" w:name="_Toc17790"/>
      <w:r>
        <w:rPr>
          <w:rStyle w:val="35"/>
          <w:rFonts w:hint="default" w:ascii="Times New Roman" w:hAnsi="Times New Roman" w:eastAsia="宋体" w:cs="Times New Roman"/>
          <w:color w:val="auto"/>
          <w:sz w:val="24"/>
          <w:szCs w:val="24"/>
          <w:highlight w:val="none"/>
        </w:rPr>
        <w:t>7.3.</w:t>
      </w:r>
      <w:r>
        <w:rPr>
          <w:rStyle w:val="35"/>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与《畜禽粪便无害化处理技术规范》符合性分析</w:t>
      </w:r>
      <w:bookmarkEnd w:id="366"/>
    </w:p>
    <w:p w14:paraId="61E54BE1">
      <w:pPr>
        <w:pStyle w:val="15"/>
        <w:rPr>
          <w:rFonts w:hint="default" w:ascii="Times New Roman" w:hAnsi="Times New Roman" w:cs="Times New Roman"/>
          <w:color w:val="auto"/>
          <w:szCs w:val="20"/>
          <w:highlight w:val="none"/>
          <w:lang w:bidi="ar"/>
        </w:rPr>
      </w:pPr>
      <w:r>
        <w:rPr>
          <w:rFonts w:hint="default" w:ascii="Times New Roman" w:hAnsi="Times New Roman" w:cs="Times New Roman"/>
          <w:color w:val="auto"/>
          <w:szCs w:val="20"/>
          <w:highlight w:val="none"/>
          <w:lang w:bidi="ar"/>
        </w:rPr>
        <w:t>本项目与《畜禽粪便无害化处理技术规范》（GB/T36195-2018）的符合性分析详见下表。</w:t>
      </w:r>
    </w:p>
    <w:p w14:paraId="2A62FF52">
      <w:pPr>
        <w:tabs>
          <w:tab w:val="left" w:pos="611"/>
        </w:tabs>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表7.3-</w:t>
      </w:r>
      <w:r>
        <w:rPr>
          <w:rFonts w:hint="default" w:ascii="Times New Roman" w:hAnsi="Times New Roman" w:cs="Times New Roman"/>
          <w:b/>
          <w:color w:val="auto"/>
          <w:szCs w:val="21"/>
          <w:highlight w:val="none"/>
          <w:lang w:val="en-US" w:eastAsia="zh-CN"/>
        </w:rPr>
        <w:t>7</w:t>
      </w:r>
      <w:r>
        <w:rPr>
          <w:rFonts w:hint="default" w:ascii="Times New Roman" w:hAnsi="Times New Roman" w:cs="Times New Roman"/>
          <w:b/>
          <w:color w:val="auto"/>
          <w:szCs w:val="21"/>
          <w:highlight w:val="none"/>
        </w:rPr>
        <w:t xml:space="preserve">   项目与《畜禽粪便无害化处理技术规范》的符合性</w:t>
      </w:r>
    </w:p>
    <w:tbl>
      <w:tblPr>
        <w:tblStyle w:val="23"/>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3"/>
        <w:gridCol w:w="4110"/>
        <w:gridCol w:w="788"/>
      </w:tblGrid>
      <w:tr w14:paraId="459B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3" w:type="dxa"/>
            <w:vAlign w:val="center"/>
          </w:tcPr>
          <w:p w14:paraId="2D1B96C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规范要求</w:t>
            </w:r>
          </w:p>
        </w:tc>
        <w:tc>
          <w:tcPr>
            <w:tcW w:w="4110" w:type="dxa"/>
            <w:vAlign w:val="center"/>
          </w:tcPr>
          <w:p w14:paraId="49B3C44A">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项目情况</w:t>
            </w:r>
          </w:p>
        </w:tc>
        <w:tc>
          <w:tcPr>
            <w:tcW w:w="788" w:type="dxa"/>
            <w:vAlign w:val="center"/>
          </w:tcPr>
          <w:p w14:paraId="625A93C0">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符合性</w:t>
            </w:r>
          </w:p>
        </w:tc>
      </w:tr>
      <w:tr w14:paraId="2C67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3" w:type="dxa"/>
            <w:vAlign w:val="center"/>
          </w:tcPr>
          <w:p w14:paraId="36E7ACEC">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4、基本要求</w:t>
            </w:r>
          </w:p>
          <w:p w14:paraId="72A106E8">
            <w:pPr>
              <w:keepNext w:val="0"/>
              <w:keepLines w:val="0"/>
              <w:suppressLineNumbers w:val="0"/>
              <w:tabs>
                <w:tab w:val="left" w:pos="611"/>
              </w:tabs>
              <w:spacing w:before="0" w:beforeAutospacing="0" w:after="0" w:afterAutospacing="0"/>
              <w:ind w:left="0" w:right="0" w:firstLine="90" w:firstLineChars="5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4.1新建、扩建和改建畜禽养殖场和养殖小区应设置粪污处理区，建设畜禽粪便处理设施；没有粪污处理设施的应补建。</w:t>
            </w:r>
          </w:p>
          <w:p w14:paraId="42EBFAA7">
            <w:pPr>
              <w:keepNext w:val="0"/>
              <w:keepLines w:val="0"/>
              <w:suppressLineNumbers w:val="0"/>
              <w:tabs>
                <w:tab w:val="left" w:pos="611"/>
              </w:tabs>
              <w:spacing w:before="0" w:beforeAutospacing="0" w:after="0" w:afterAutospacing="0"/>
              <w:ind w:left="0" w:right="0" w:firstLine="90" w:firstLineChars="5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4.2畜禽养殖场、养殖小区的粪污处理区布局应按照NY/T 628的规定执行。</w:t>
            </w:r>
          </w:p>
          <w:p w14:paraId="16E47AAD">
            <w:pPr>
              <w:keepNext w:val="0"/>
              <w:keepLines w:val="0"/>
              <w:suppressLineNumbers w:val="0"/>
              <w:tabs>
                <w:tab w:val="left" w:pos="611"/>
              </w:tabs>
              <w:spacing w:before="0" w:beforeAutospacing="0" w:after="0" w:afterAutospacing="0"/>
              <w:ind w:left="0" w:right="0" w:firstLine="90" w:firstLineChars="5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4.3畜禽粪便处理应坚持减量化、资源化和无害化的原则。</w:t>
            </w:r>
          </w:p>
          <w:p w14:paraId="4B895750">
            <w:pPr>
              <w:keepNext w:val="0"/>
              <w:keepLines w:val="0"/>
              <w:suppressLineNumbers w:val="0"/>
              <w:tabs>
                <w:tab w:val="left" w:pos="611"/>
              </w:tabs>
              <w:spacing w:before="0" w:beforeAutospacing="0" w:after="0" w:afterAutospacing="0"/>
              <w:ind w:left="0" w:right="0" w:firstLine="90" w:firstLineChars="5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4.4畜禽粪便处理过程应满足安全和卫生要求，避免二次污染发生。</w:t>
            </w:r>
          </w:p>
          <w:p w14:paraId="1B81CF2B">
            <w:pPr>
              <w:keepNext w:val="0"/>
              <w:keepLines w:val="0"/>
              <w:suppressLineNumbers w:val="0"/>
              <w:tabs>
                <w:tab w:val="left" w:pos="611"/>
              </w:tabs>
              <w:spacing w:before="0" w:beforeAutospacing="0" w:after="0" w:afterAutospacing="0"/>
              <w:ind w:left="0" w:right="0" w:firstLine="90" w:firstLineChars="5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4.5发生重大疫情时应按照国家兽医防疫有关规定处置。</w:t>
            </w:r>
          </w:p>
        </w:tc>
        <w:tc>
          <w:tcPr>
            <w:tcW w:w="4110" w:type="dxa"/>
            <w:vAlign w:val="center"/>
          </w:tcPr>
          <w:p w14:paraId="7AFCD84B">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1、项目设置</w:t>
            </w:r>
            <w:r>
              <w:rPr>
                <w:rFonts w:hint="default" w:ascii="Times New Roman" w:hAnsi="Times New Roman" w:cs="Times New Roman"/>
                <w:color w:val="auto"/>
                <w:sz w:val="18"/>
                <w:szCs w:val="18"/>
                <w:highlight w:val="none"/>
                <w:lang w:eastAsia="zh-CN"/>
              </w:rPr>
              <w:t>堆粪棚</w:t>
            </w:r>
            <w:r>
              <w:rPr>
                <w:rFonts w:hint="default" w:ascii="Times New Roman" w:hAnsi="Times New Roman" w:cs="Times New Roman"/>
                <w:color w:val="auto"/>
                <w:sz w:val="18"/>
                <w:szCs w:val="18"/>
                <w:highlight w:val="none"/>
              </w:rPr>
              <w:t>进行固态粪便堆肥发酵处理。</w:t>
            </w:r>
          </w:p>
          <w:p w14:paraId="2757D5ED">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2、粪污处理区布局符合NY/T 628的规定。</w:t>
            </w:r>
          </w:p>
          <w:p w14:paraId="101DA277">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3、项目采用</w:t>
            </w:r>
            <w:r>
              <w:rPr>
                <w:rFonts w:hint="default" w:ascii="Times New Roman" w:hAnsi="Times New Roman" w:cs="Times New Roman"/>
                <w:color w:val="auto"/>
                <w:sz w:val="18"/>
                <w:szCs w:val="18"/>
                <w:highlight w:val="none"/>
                <w:lang w:eastAsia="zh-CN"/>
              </w:rPr>
              <w:t>干清粪</w:t>
            </w:r>
            <w:r>
              <w:rPr>
                <w:rFonts w:hint="default" w:ascii="Times New Roman" w:hAnsi="Times New Roman" w:cs="Times New Roman"/>
                <w:color w:val="auto"/>
                <w:sz w:val="18"/>
                <w:szCs w:val="18"/>
                <w:highlight w:val="none"/>
              </w:rPr>
              <w:t>工艺，</w:t>
            </w:r>
            <w:r>
              <w:rPr>
                <w:rFonts w:hint="default" w:ascii="Times New Roman" w:hAnsi="Times New Roman" w:cs="Times New Roman"/>
                <w:color w:val="auto"/>
                <w:sz w:val="18"/>
                <w:szCs w:val="18"/>
                <w:highlight w:val="none"/>
                <w:lang w:val="en-US" w:eastAsia="zh-CN"/>
              </w:rPr>
              <w:t>猪舍日常不冲洗，仅空栏期冲洗一次，</w:t>
            </w:r>
            <w:r>
              <w:rPr>
                <w:rFonts w:hint="default" w:ascii="Times New Roman" w:hAnsi="Times New Roman" w:cs="Times New Roman"/>
                <w:color w:val="auto"/>
                <w:sz w:val="18"/>
                <w:szCs w:val="18"/>
                <w:highlight w:val="none"/>
              </w:rPr>
              <w:t>从源头减少畜禽粪便产生；畜禽粪便经过无害化处理后回用周边农田施肥</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实现资源化利用。</w:t>
            </w:r>
          </w:p>
          <w:p w14:paraId="0EB316A4">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4、畜禽粪便无害化处理满足安全和卫生要求。</w:t>
            </w:r>
          </w:p>
          <w:p w14:paraId="588BCD0D">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5、发生重大疫情时严格按照国家兽医防疫有关规定处置。</w:t>
            </w:r>
          </w:p>
        </w:tc>
        <w:tc>
          <w:tcPr>
            <w:tcW w:w="788" w:type="dxa"/>
            <w:vAlign w:val="center"/>
          </w:tcPr>
          <w:p w14:paraId="4785C687">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1B35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3" w:type="dxa"/>
            <w:vAlign w:val="center"/>
          </w:tcPr>
          <w:p w14:paraId="77AACF04">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5、粪便处理场选址及布局</w:t>
            </w:r>
          </w:p>
          <w:p w14:paraId="14098779">
            <w:pPr>
              <w:keepNext w:val="0"/>
              <w:keepLines w:val="0"/>
              <w:suppressLineNumbers w:val="0"/>
              <w:tabs>
                <w:tab w:val="left" w:pos="611"/>
              </w:tabs>
              <w:spacing w:before="0" w:beforeAutospacing="0" w:after="0" w:afterAutospacing="0"/>
              <w:ind w:left="0" w:right="0" w:firstLine="90" w:firstLineChars="5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5.1不应在下列区域内建设畜禽粪便处理场</w:t>
            </w:r>
          </w:p>
          <w:p w14:paraId="7D61A962">
            <w:pPr>
              <w:keepNext w:val="0"/>
              <w:keepLines w:val="0"/>
              <w:suppressLineNumbers w:val="0"/>
              <w:tabs>
                <w:tab w:val="left" w:pos="611"/>
              </w:tabs>
              <w:spacing w:before="0" w:beforeAutospacing="0" w:after="0" w:afterAutospacing="0"/>
              <w:ind w:left="0" w:right="0" w:firstLine="180" w:firstLineChars="10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a)生活饮用水水源保护区、风景名胜区、自然保护区的核心区及缓冲区；</w:t>
            </w:r>
          </w:p>
          <w:p w14:paraId="7ADFC2F3">
            <w:pPr>
              <w:keepNext w:val="0"/>
              <w:keepLines w:val="0"/>
              <w:suppressLineNumbers w:val="0"/>
              <w:tabs>
                <w:tab w:val="left" w:pos="611"/>
              </w:tabs>
              <w:spacing w:before="0" w:beforeAutospacing="0" w:after="0" w:afterAutospacing="0"/>
              <w:ind w:left="0" w:right="0" w:firstLine="180" w:firstLineChars="10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b)城市和城镇居民区，包括文教科研、医疗、商业和工业等人口集中地区；</w:t>
            </w:r>
          </w:p>
          <w:p w14:paraId="4AD90E97">
            <w:pPr>
              <w:keepNext w:val="0"/>
              <w:keepLines w:val="0"/>
              <w:suppressLineNumbers w:val="0"/>
              <w:tabs>
                <w:tab w:val="left" w:pos="611"/>
              </w:tabs>
              <w:spacing w:before="0" w:beforeAutospacing="0" w:after="0" w:afterAutospacing="0"/>
              <w:ind w:left="0" w:right="0" w:firstLine="180" w:firstLineChars="10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c)县级及县级以上人民政府依法划定的禁养区域；</w:t>
            </w:r>
          </w:p>
          <w:p w14:paraId="019BED3E">
            <w:pPr>
              <w:keepNext w:val="0"/>
              <w:keepLines w:val="0"/>
              <w:suppressLineNumbers w:val="0"/>
              <w:tabs>
                <w:tab w:val="left" w:pos="611"/>
              </w:tabs>
              <w:spacing w:before="0" w:beforeAutospacing="0" w:after="0" w:afterAutospacing="0"/>
              <w:ind w:left="0" w:right="0" w:firstLine="180" w:firstLineChars="10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d)国家或地方法律、法规规定需特殊保护的其他区域。</w:t>
            </w:r>
          </w:p>
          <w:p w14:paraId="6365F894">
            <w:pPr>
              <w:keepNext w:val="0"/>
              <w:keepLines w:val="0"/>
              <w:suppressLineNumbers w:val="0"/>
              <w:tabs>
                <w:tab w:val="left" w:pos="611"/>
              </w:tabs>
              <w:spacing w:before="0" w:beforeAutospacing="0" w:after="0" w:afterAutospacing="0"/>
              <w:ind w:left="0" w:right="0" w:firstLine="90" w:firstLineChars="5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5.2在禁建区域附近建设畜禽粪便处理场，应设在，5.1规定的禁建区域常年主导风向的下风向或侧下风向处，场界与禁建区域边界的最小距离不应小于3km。</w:t>
            </w:r>
          </w:p>
          <w:p w14:paraId="3675F97A">
            <w:pPr>
              <w:keepNext w:val="0"/>
              <w:keepLines w:val="0"/>
              <w:suppressLineNumbers w:val="0"/>
              <w:tabs>
                <w:tab w:val="left" w:pos="611"/>
              </w:tabs>
              <w:spacing w:before="0" w:beforeAutospacing="0" w:after="0" w:afterAutospacing="0"/>
              <w:ind w:left="0" w:right="0" w:firstLine="90" w:firstLineChars="5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5.3集中建立的畜禽粪便处理场与畜禽养殖区域的最小距离应大于2km。</w:t>
            </w:r>
          </w:p>
          <w:p w14:paraId="0FB149A0">
            <w:pPr>
              <w:keepNext w:val="0"/>
              <w:keepLines w:val="0"/>
              <w:suppressLineNumbers w:val="0"/>
              <w:tabs>
                <w:tab w:val="left" w:pos="611"/>
              </w:tabs>
              <w:spacing w:before="0" w:beforeAutospacing="0" w:after="0" w:afterAutospacing="0"/>
              <w:ind w:left="0" w:right="0" w:firstLine="90" w:firstLineChars="5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5.4畜禽粪便处理场地应距离功能地表水体 400m以上。</w:t>
            </w:r>
          </w:p>
          <w:p w14:paraId="1BCF4322">
            <w:pPr>
              <w:keepNext w:val="0"/>
              <w:keepLines w:val="0"/>
              <w:suppressLineNumbers w:val="0"/>
              <w:tabs>
                <w:tab w:val="left" w:pos="611"/>
              </w:tabs>
              <w:spacing w:before="0" w:beforeAutospacing="0" w:after="0" w:afterAutospacing="0"/>
              <w:ind w:left="0" w:right="0" w:firstLine="90" w:firstLineChars="5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rPr>
              <w:t>5.5畜禽粪便处理场区应采取地面硬化、防渗漏、防径流和雨污分流等措施。</w:t>
            </w:r>
          </w:p>
        </w:tc>
        <w:tc>
          <w:tcPr>
            <w:tcW w:w="4110" w:type="dxa"/>
            <w:vAlign w:val="center"/>
          </w:tcPr>
          <w:p w14:paraId="5701A476">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1、项目距离甸溪河约</w:t>
            </w:r>
            <w:r>
              <w:rPr>
                <w:rFonts w:hint="default" w:ascii="Times New Roman" w:hAnsi="Times New Roman" w:cs="Times New Roman"/>
                <w:color w:val="auto"/>
                <w:sz w:val="18"/>
                <w:szCs w:val="18"/>
                <w:highlight w:val="none"/>
                <w:lang w:val="en-US" w:eastAsia="zh-CN"/>
              </w:rPr>
              <w:t>3800</w:t>
            </w:r>
            <w:r>
              <w:rPr>
                <w:rFonts w:hint="default" w:ascii="Times New Roman" w:hAnsi="Times New Roman" w:cs="Times New Roman"/>
                <w:color w:val="auto"/>
                <w:sz w:val="18"/>
                <w:szCs w:val="18"/>
                <w:highlight w:val="none"/>
              </w:rPr>
              <w:t>m，项目不涉及饮用水水源保护区、风景名胜区、自然保护区的核心区及缓冲区。</w:t>
            </w:r>
          </w:p>
          <w:p w14:paraId="69CB13DD">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2、项目位于弥勒市新哨镇猴街居委会猴街二组，不在城市及城镇居民区等人口集中地区。</w:t>
            </w:r>
          </w:p>
          <w:p w14:paraId="24F67A14">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3、项目建设均不在以上规定的禁建区域内，周边也不涉及禁建区域；不属于禁建区域附近建设畜禽粪便处理场。</w:t>
            </w:r>
          </w:p>
          <w:p w14:paraId="5CBB65C4">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4、项目畜禽粪便处理场为项目自身配建，不属于集中建立的畜禽粪便处理场。</w:t>
            </w:r>
          </w:p>
          <w:p w14:paraId="6225869D">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5、项目厂址距离甸溪河约</w:t>
            </w:r>
            <w:r>
              <w:rPr>
                <w:rFonts w:hint="default" w:ascii="Times New Roman" w:hAnsi="Times New Roman" w:cs="Times New Roman"/>
                <w:color w:val="auto"/>
                <w:sz w:val="18"/>
                <w:szCs w:val="18"/>
                <w:highlight w:val="none"/>
                <w:lang w:val="en-US" w:eastAsia="zh-CN"/>
              </w:rPr>
              <w:t>380</w:t>
            </w:r>
            <w:r>
              <w:rPr>
                <w:rFonts w:hint="default" w:ascii="Times New Roman" w:hAnsi="Times New Roman" w:cs="Times New Roman"/>
                <w:color w:val="auto"/>
                <w:sz w:val="18"/>
                <w:szCs w:val="18"/>
                <w:highlight w:val="none"/>
              </w:rPr>
              <w:t>0m，项目</w:t>
            </w:r>
            <w:r>
              <w:rPr>
                <w:rFonts w:hint="default" w:ascii="Times New Roman" w:hAnsi="Times New Roman" w:cs="Times New Roman"/>
                <w:color w:val="auto"/>
                <w:sz w:val="18"/>
                <w:szCs w:val="18"/>
                <w:highlight w:val="none"/>
                <w:lang w:eastAsia="zh-CN"/>
              </w:rPr>
              <w:t>粪污</w:t>
            </w:r>
            <w:r>
              <w:rPr>
                <w:rFonts w:hint="default" w:ascii="Times New Roman" w:hAnsi="Times New Roman" w:cs="Times New Roman"/>
                <w:color w:val="auto"/>
                <w:sz w:val="18"/>
                <w:szCs w:val="18"/>
                <w:highlight w:val="none"/>
              </w:rPr>
              <w:t>处理设施位于厂内，与地表水体均大于400m。</w:t>
            </w:r>
          </w:p>
          <w:p w14:paraId="0BC55658">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6、项目按照雨污分流设计，污水采用密闭管道收集，</w:t>
            </w:r>
            <w:r>
              <w:rPr>
                <w:rFonts w:hint="default" w:ascii="Times New Roman" w:hAnsi="Times New Roman" w:cs="Times New Roman"/>
                <w:color w:val="auto"/>
                <w:sz w:val="18"/>
                <w:szCs w:val="18"/>
                <w:highlight w:val="none"/>
                <w:lang w:eastAsia="zh-CN"/>
              </w:rPr>
              <w:t>粪污</w:t>
            </w:r>
            <w:r>
              <w:rPr>
                <w:rFonts w:hint="default" w:ascii="Times New Roman" w:hAnsi="Times New Roman" w:cs="Times New Roman"/>
                <w:color w:val="auto"/>
                <w:sz w:val="18"/>
                <w:szCs w:val="18"/>
                <w:highlight w:val="none"/>
              </w:rPr>
              <w:t>处理设施设为密闭式，满足防雨要求；</w:t>
            </w:r>
            <w:r>
              <w:rPr>
                <w:rFonts w:hint="default" w:ascii="Times New Roman" w:hAnsi="Times New Roman" w:cs="Times New Roman"/>
                <w:color w:val="auto"/>
                <w:sz w:val="18"/>
                <w:szCs w:val="18"/>
                <w:highlight w:val="none"/>
                <w:lang w:eastAsia="zh-CN"/>
              </w:rPr>
              <w:t>粪污</w:t>
            </w:r>
            <w:r>
              <w:rPr>
                <w:rFonts w:hint="default" w:ascii="Times New Roman" w:hAnsi="Times New Roman" w:cs="Times New Roman"/>
                <w:color w:val="auto"/>
                <w:sz w:val="18"/>
                <w:szCs w:val="18"/>
                <w:highlight w:val="none"/>
              </w:rPr>
              <w:t>处理区按照重点防渗要求建设，满足防渗要求。</w:t>
            </w:r>
          </w:p>
        </w:tc>
        <w:tc>
          <w:tcPr>
            <w:tcW w:w="788" w:type="dxa"/>
            <w:vAlign w:val="center"/>
          </w:tcPr>
          <w:p w14:paraId="011ACF5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79B6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3" w:type="dxa"/>
            <w:vAlign w:val="center"/>
          </w:tcPr>
          <w:p w14:paraId="0FD414D3">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6、粪便收集、贮存和运输</w:t>
            </w:r>
          </w:p>
          <w:p w14:paraId="01817E2F">
            <w:pPr>
              <w:keepNext w:val="0"/>
              <w:keepLines w:val="0"/>
              <w:suppressLineNumbers w:val="0"/>
              <w:tabs>
                <w:tab w:val="left" w:pos="611"/>
              </w:tabs>
              <w:spacing w:before="0" w:beforeAutospacing="0" w:after="0" w:afterAutospacing="0"/>
              <w:ind w:left="0" w:right="0" w:firstLine="90" w:firstLineChars="5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6.1畜禽生产过程宜采用</w:t>
            </w:r>
            <w:r>
              <w:rPr>
                <w:rFonts w:hint="default" w:ascii="Times New Roman" w:hAnsi="Times New Roman" w:cs="Times New Roman"/>
                <w:color w:val="auto"/>
                <w:sz w:val="18"/>
                <w:szCs w:val="18"/>
                <w:highlight w:val="none"/>
                <w:lang w:val="en-US" w:eastAsia="zh-CN"/>
              </w:rPr>
              <w:t>干清粪</w:t>
            </w:r>
            <w:r>
              <w:rPr>
                <w:rFonts w:hint="default" w:ascii="Times New Roman" w:hAnsi="Times New Roman" w:cs="Times New Roman"/>
                <w:color w:val="auto"/>
                <w:sz w:val="18"/>
                <w:szCs w:val="18"/>
                <w:highlight w:val="none"/>
              </w:rPr>
              <w:t>工艺，实施雨污分流，减少污染物排放量。</w:t>
            </w:r>
          </w:p>
          <w:p w14:paraId="32376BEB">
            <w:pPr>
              <w:keepNext w:val="0"/>
              <w:keepLines w:val="0"/>
              <w:suppressLineNumbers w:val="0"/>
              <w:tabs>
                <w:tab w:val="left" w:pos="611"/>
              </w:tabs>
              <w:spacing w:before="0" w:beforeAutospacing="0" w:after="0" w:afterAutospacing="0"/>
              <w:ind w:left="0" w:right="0" w:firstLine="90" w:firstLineChars="5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6.2畜禽粪便贮存设施应符合GB/T27622的规定。</w:t>
            </w:r>
          </w:p>
          <w:p w14:paraId="519C1E93">
            <w:pPr>
              <w:keepNext w:val="0"/>
              <w:keepLines w:val="0"/>
              <w:suppressLineNumbers w:val="0"/>
              <w:tabs>
                <w:tab w:val="left" w:pos="611"/>
              </w:tabs>
              <w:spacing w:before="0" w:beforeAutospacing="0" w:after="0" w:afterAutospacing="0"/>
              <w:ind w:left="0" w:right="0" w:firstLine="90" w:firstLineChars="5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6.3畜禽养殖污水贮存设施应符合GB/T26624的规定。</w:t>
            </w:r>
          </w:p>
          <w:p w14:paraId="3C69C920">
            <w:pPr>
              <w:keepNext w:val="0"/>
              <w:keepLines w:val="0"/>
              <w:suppressLineNumbers w:val="0"/>
              <w:tabs>
                <w:tab w:val="left" w:pos="611"/>
              </w:tabs>
              <w:spacing w:before="0" w:beforeAutospacing="0" w:after="0" w:afterAutospacing="0"/>
              <w:ind w:left="0" w:right="0" w:firstLine="90" w:firstLineChars="5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rPr>
              <w:t>6.4畜禽粪便收集、运输过程中，应采取防遗洒、防渗漏等措施。</w:t>
            </w:r>
          </w:p>
        </w:tc>
        <w:tc>
          <w:tcPr>
            <w:tcW w:w="4110" w:type="dxa"/>
            <w:vAlign w:val="center"/>
          </w:tcPr>
          <w:p w14:paraId="698E7EF5">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1、项目采用</w:t>
            </w:r>
            <w:r>
              <w:rPr>
                <w:rFonts w:hint="default" w:ascii="Times New Roman" w:hAnsi="Times New Roman" w:cs="Times New Roman"/>
                <w:color w:val="auto"/>
                <w:sz w:val="18"/>
                <w:szCs w:val="18"/>
                <w:highlight w:val="none"/>
                <w:lang w:eastAsia="zh-CN"/>
              </w:rPr>
              <w:t>干清粪</w:t>
            </w:r>
            <w:r>
              <w:rPr>
                <w:rFonts w:hint="default" w:ascii="Times New Roman" w:hAnsi="Times New Roman" w:cs="Times New Roman"/>
                <w:color w:val="auto"/>
                <w:sz w:val="18"/>
                <w:szCs w:val="18"/>
                <w:highlight w:val="none"/>
              </w:rPr>
              <w:t>工艺</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猪舍日常不冲洗，仅空栏期冲洗一次，</w:t>
            </w:r>
            <w:r>
              <w:rPr>
                <w:rFonts w:hint="default" w:ascii="Times New Roman" w:hAnsi="Times New Roman" w:cs="Times New Roman"/>
                <w:color w:val="auto"/>
                <w:sz w:val="18"/>
                <w:szCs w:val="18"/>
                <w:highlight w:val="none"/>
              </w:rPr>
              <w:t>从源头减少畜禽粪便产生</w:t>
            </w:r>
            <w:r>
              <w:rPr>
                <w:rFonts w:hint="default" w:ascii="Times New Roman" w:hAnsi="Times New Roman" w:cs="Times New Roman"/>
                <w:color w:val="auto"/>
                <w:sz w:val="18"/>
                <w:szCs w:val="18"/>
                <w:highlight w:val="none"/>
                <w:lang w:eastAsia="zh-CN"/>
              </w:rPr>
              <w:t>。</w:t>
            </w:r>
          </w:p>
          <w:p w14:paraId="5E9F7B74">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2、项目</w:t>
            </w:r>
            <w:r>
              <w:rPr>
                <w:rFonts w:hint="default" w:ascii="Times New Roman" w:hAnsi="Times New Roman" w:cs="Times New Roman"/>
                <w:color w:val="auto"/>
                <w:sz w:val="18"/>
                <w:szCs w:val="18"/>
                <w:highlight w:val="none"/>
                <w:lang w:eastAsia="zh-CN"/>
              </w:rPr>
              <w:t>粪污</w:t>
            </w:r>
            <w:r>
              <w:rPr>
                <w:rFonts w:hint="default" w:ascii="Times New Roman" w:hAnsi="Times New Roman" w:cs="Times New Roman"/>
                <w:color w:val="auto"/>
                <w:sz w:val="18"/>
                <w:szCs w:val="18"/>
                <w:highlight w:val="none"/>
              </w:rPr>
              <w:t>处理设施按照GB/T27622的规定设计，污水贮存设施按照GB/T26624的规定设计。规模满足要求，同时满足防渗、防雨、防溢流等要求。</w:t>
            </w:r>
          </w:p>
          <w:p w14:paraId="0EDB66AE">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3、尿液及粪便采用PVC管道输送，收集、转运中防止遗洒、渗漏。</w:t>
            </w:r>
          </w:p>
        </w:tc>
        <w:tc>
          <w:tcPr>
            <w:tcW w:w="788" w:type="dxa"/>
            <w:vAlign w:val="center"/>
          </w:tcPr>
          <w:p w14:paraId="6533EE0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594E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3" w:type="dxa"/>
            <w:vAlign w:val="center"/>
          </w:tcPr>
          <w:p w14:paraId="51484081">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7、粪便处理</w:t>
            </w:r>
          </w:p>
          <w:p w14:paraId="368A84D0">
            <w:pPr>
              <w:keepNext w:val="0"/>
              <w:keepLines w:val="0"/>
              <w:suppressLineNumbers w:val="0"/>
              <w:tabs>
                <w:tab w:val="left" w:pos="611"/>
              </w:tabs>
              <w:spacing w:before="0" w:beforeAutospacing="0" w:after="0" w:afterAutospacing="0"/>
              <w:ind w:left="0" w:right="0" w:firstLine="90" w:firstLineChars="5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7.1固态</w:t>
            </w:r>
          </w:p>
          <w:p w14:paraId="388981E0">
            <w:pPr>
              <w:keepNext w:val="0"/>
              <w:keepLines w:val="0"/>
              <w:suppressLineNumbers w:val="0"/>
              <w:tabs>
                <w:tab w:val="left" w:pos="611"/>
              </w:tabs>
              <w:spacing w:before="0" w:beforeAutospacing="0" w:after="0" w:afterAutospacing="0"/>
              <w:ind w:left="0" w:right="0" w:firstLine="180" w:firstLineChars="10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7.1.1宜采用反应器、静态垛式等好氧堆肥技术进行无害化处理，其堆体温度维持50℃以上的时间不少于7d，或45℃以上不少于14d。</w:t>
            </w:r>
          </w:p>
          <w:p w14:paraId="6BF0BAAC">
            <w:pPr>
              <w:keepNext w:val="0"/>
              <w:keepLines w:val="0"/>
              <w:suppressLineNumbers w:val="0"/>
              <w:tabs>
                <w:tab w:val="left" w:pos="611"/>
              </w:tabs>
              <w:spacing w:before="0" w:beforeAutospacing="0" w:after="0" w:afterAutospacing="0"/>
              <w:ind w:left="0" w:right="0" w:firstLine="180" w:firstLineChars="10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7.1.2固体畜禽粪便经过堆肥处理后应符合表1 的卫生学要求。</w:t>
            </w:r>
          </w:p>
          <w:p w14:paraId="22EEE5D4">
            <w:pPr>
              <w:keepNext w:val="0"/>
              <w:keepLines w:val="0"/>
              <w:suppressLineNumbers w:val="0"/>
              <w:tabs>
                <w:tab w:val="left" w:pos="611"/>
              </w:tabs>
              <w:spacing w:before="0" w:beforeAutospacing="0" w:after="0" w:afterAutospacing="0"/>
              <w:ind w:left="0" w:right="0" w:firstLine="90" w:firstLineChars="5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7.2液态</w:t>
            </w:r>
          </w:p>
          <w:p w14:paraId="652CB3E2">
            <w:pPr>
              <w:keepNext w:val="0"/>
              <w:keepLines w:val="0"/>
              <w:suppressLineNumbers w:val="0"/>
              <w:tabs>
                <w:tab w:val="left" w:pos="611"/>
              </w:tabs>
              <w:spacing w:before="0" w:beforeAutospacing="0" w:after="0" w:afterAutospacing="0"/>
              <w:ind w:left="0" w:right="0" w:firstLine="180" w:firstLineChars="10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7.2.1液态畜禽粪便宜采用氧化塘贮存后进行农田利用，或采用固液分离、厌氧发酵、好氧或其他生物处理等单一或组合技术进行无害化处理。</w:t>
            </w:r>
          </w:p>
          <w:p w14:paraId="0D238A67">
            <w:pPr>
              <w:keepNext w:val="0"/>
              <w:keepLines w:val="0"/>
              <w:suppressLineNumbers w:val="0"/>
              <w:tabs>
                <w:tab w:val="left" w:pos="611"/>
              </w:tabs>
              <w:spacing w:before="0" w:beforeAutospacing="0" w:after="0" w:afterAutospacing="0"/>
              <w:ind w:left="0" w:right="0" w:firstLine="180" w:firstLineChars="10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7.2.2厌氧发酵可采用常温、中温或高温处理工艺，常温厌氧发酵处理水力停留时间不应少于30d，中温厌氧发酵不应少于7d，高温厌氧发酵温度维持(53±2) ℃时间应不少于2d。厌氧发酵工艺设计应符NY/T 1220.1的规定，工程设计应符合NY/T 1222的规定。</w:t>
            </w:r>
          </w:p>
          <w:p w14:paraId="6AB7C4F8">
            <w:pPr>
              <w:keepNext w:val="0"/>
              <w:keepLines w:val="0"/>
              <w:suppressLineNumbers w:val="0"/>
              <w:tabs>
                <w:tab w:val="left" w:pos="611"/>
              </w:tabs>
              <w:spacing w:before="0" w:beforeAutospacing="0" w:after="0" w:afterAutospacing="0"/>
              <w:ind w:left="0" w:right="0" w:firstLine="180" w:firstLineChars="10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7.2.3经过处理后需要排放的液态部分应符合GB18596的规定。</w:t>
            </w:r>
          </w:p>
          <w:p w14:paraId="51048161">
            <w:pPr>
              <w:keepNext w:val="0"/>
              <w:keepLines w:val="0"/>
              <w:suppressLineNumbers w:val="0"/>
              <w:tabs>
                <w:tab w:val="left" w:pos="611"/>
              </w:tabs>
              <w:spacing w:before="0" w:beforeAutospacing="0" w:after="0" w:afterAutospacing="0"/>
              <w:ind w:left="0" w:right="0" w:firstLine="180" w:firstLineChars="100"/>
              <w:jc w:val="left"/>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rPr>
              <w:t>7.2.4处理后的液体畜禽粪便，其卫生学指标应符合表2的卫生学要求。</w:t>
            </w:r>
          </w:p>
        </w:tc>
        <w:tc>
          <w:tcPr>
            <w:tcW w:w="4110" w:type="dxa"/>
            <w:vAlign w:val="center"/>
          </w:tcPr>
          <w:p w14:paraId="1E017290">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1、项目采用槽式高温好氧堆肥技术，设置鼓风设备。一次发酵堆肥周期约为7-12d，堆肥温度可以上升至55℃以上；二次发酵（陈化）周期约为10-15d，堆肥的温度在40°C左右。经过高温堆肥后控制指标满足表1 的卫生学要求。</w:t>
            </w:r>
          </w:p>
          <w:p w14:paraId="5C772B88">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2、项目</w:t>
            </w:r>
            <w:r>
              <w:rPr>
                <w:rFonts w:hint="default" w:ascii="Times New Roman" w:hAnsi="Times New Roman" w:cs="Times New Roman"/>
                <w:color w:val="auto"/>
                <w:sz w:val="18"/>
                <w:szCs w:val="18"/>
                <w:highlight w:val="none"/>
                <w:lang w:val="en-US" w:eastAsia="zh-CN"/>
              </w:rPr>
              <w:t>废水依托弥勒温氏畜牧有限公司新哨种猪场建设项目污水处理站处理后用于绿化及农田灌溉</w:t>
            </w:r>
            <w:r>
              <w:rPr>
                <w:rFonts w:hint="default" w:ascii="Times New Roman" w:hAnsi="Times New Roman" w:cs="Times New Roman"/>
                <w:color w:val="auto"/>
                <w:sz w:val="18"/>
                <w:szCs w:val="18"/>
                <w:highlight w:val="none"/>
              </w:rPr>
              <w:t>。</w:t>
            </w:r>
          </w:p>
        </w:tc>
        <w:tc>
          <w:tcPr>
            <w:tcW w:w="788" w:type="dxa"/>
            <w:vAlign w:val="center"/>
          </w:tcPr>
          <w:p w14:paraId="3499FD1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14:paraId="033A65B2">
      <w:pPr>
        <w:tabs>
          <w:tab w:val="left" w:pos="611"/>
        </w:tabs>
        <w:snapToGrid w:val="0"/>
        <w:spacing w:before="156" w:beforeLines="50"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综上分析，项目符合《畜禽粪便无害化处理技术规范》（GB/T36195-2018）的相关要求。</w:t>
      </w:r>
    </w:p>
    <w:p w14:paraId="6D8D3445">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4"/>
          <w:szCs w:val="24"/>
        </w:rPr>
      </w:pPr>
      <w:bookmarkStart w:id="367" w:name="_Toc32522"/>
      <w:r>
        <w:rPr>
          <w:rStyle w:val="35"/>
          <w:rFonts w:hint="default" w:ascii="Times New Roman" w:hAnsi="Times New Roman" w:eastAsia="宋体" w:cs="Times New Roman"/>
          <w:color w:val="auto"/>
          <w:sz w:val="24"/>
          <w:szCs w:val="24"/>
          <w:highlight w:val="none"/>
        </w:rPr>
        <w:t>7.3.</w:t>
      </w:r>
      <w:r>
        <w:rPr>
          <w:rStyle w:val="35"/>
          <w:rFonts w:hint="default" w:ascii="Times New Roman" w:hAnsi="Times New Roman" w:eastAsia="宋体" w:cs="Times New Roman"/>
          <w:color w:val="auto"/>
          <w:sz w:val="24"/>
          <w:szCs w:val="24"/>
          <w:highlight w:val="none"/>
          <w:lang w:val="en-US" w:eastAsia="zh-CN"/>
        </w:rPr>
        <w:t>9</w:t>
      </w:r>
      <w:bookmarkEnd w:id="367"/>
      <w:r>
        <w:rPr>
          <w:rFonts w:hint="default" w:ascii="Times New Roman" w:hAnsi="Times New Roman" w:eastAsia="宋体" w:cs="Times New Roman"/>
          <w:b/>
          <w:bCs/>
          <w:color w:val="auto"/>
          <w:sz w:val="24"/>
          <w:szCs w:val="24"/>
        </w:rPr>
        <w:t>项目与</w:t>
      </w:r>
      <w:r>
        <w:rPr>
          <w:rFonts w:hint="default" w:ascii="Times New Roman" w:hAnsi="Times New Roman" w:eastAsia="宋体" w:cs="Times New Roman"/>
          <w:b/>
          <w:bCs/>
          <w:color w:val="auto"/>
          <w:sz w:val="24"/>
          <w:szCs w:val="24"/>
          <w:lang w:val="en-US" w:eastAsia="zh-CN"/>
        </w:rPr>
        <w:t>《红河州生态环境分区管控动态更新调整方案（2023年）》</w:t>
      </w:r>
      <w:r>
        <w:rPr>
          <w:rFonts w:hint="default" w:ascii="Times New Roman" w:hAnsi="Times New Roman" w:eastAsia="宋体" w:cs="Times New Roman"/>
          <w:b/>
          <w:bCs/>
          <w:color w:val="auto"/>
          <w:sz w:val="24"/>
          <w:szCs w:val="24"/>
        </w:rPr>
        <w:t>相符性分析</w:t>
      </w:r>
    </w:p>
    <w:p w14:paraId="5526C05C">
      <w:pPr>
        <w:numPr>
          <w:ilvl w:val="0"/>
          <w:numId w:val="0"/>
        </w:numPr>
        <w:snapToGri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2024年7月8日，红河州生态环境局关于印发《红河州生态环境分区管控动态更新调整方案（2023年）》的通知。本项目</w:t>
      </w:r>
      <w:r>
        <w:rPr>
          <w:rFonts w:hint="eastAsia" w:ascii="Times New Roman" w:hAnsi="Times New Roman" w:cs="Times New Roman"/>
          <w:color w:val="auto"/>
          <w:sz w:val="24"/>
          <w:szCs w:val="24"/>
          <w:lang w:val="en-US" w:eastAsia="zh-CN"/>
        </w:rPr>
        <w:t>位于</w:t>
      </w:r>
      <w:r>
        <w:rPr>
          <w:rFonts w:hint="default" w:ascii="Times New Roman" w:hAnsi="Times New Roman" w:cs="Times New Roman"/>
          <w:bCs/>
          <w:color w:val="auto"/>
          <w:kern w:val="0"/>
          <w:sz w:val="24"/>
          <w:highlight w:val="none"/>
          <w:lang w:eastAsia="zh-CN" w:bidi="ar"/>
        </w:rPr>
        <w:t>弥勒市新哨镇猴街居委会猴街二组东北方向横山脚</w:t>
      </w:r>
      <w:r>
        <w:rPr>
          <w:rFonts w:hint="default" w:ascii="Times New Roman" w:hAnsi="Times New Roman" w:eastAsia="宋体" w:cs="Times New Roman"/>
          <w:color w:val="auto"/>
          <w:sz w:val="24"/>
          <w:szCs w:val="24"/>
          <w:lang w:val="en-US" w:eastAsia="zh-CN"/>
        </w:rPr>
        <w:t>，根据项目分区管控核查结果，本项目位于</w:t>
      </w:r>
      <w:r>
        <w:rPr>
          <w:rFonts w:hint="default" w:ascii="Times New Roman" w:hAnsi="Times New Roman" w:cs="Times New Roman"/>
          <w:bCs/>
          <w:color w:val="auto"/>
          <w:kern w:val="0"/>
          <w:sz w:val="24"/>
          <w:highlight w:val="none"/>
          <w:lang w:eastAsia="zh-CN" w:bidi="ar"/>
        </w:rPr>
        <w:t>弥勒市</w:t>
      </w:r>
      <w:r>
        <w:rPr>
          <w:rFonts w:hint="default" w:ascii="Times New Roman" w:hAnsi="Times New Roman" w:eastAsia="宋体" w:cs="Times New Roman"/>
          <w:color w:val="auto"/>
          <w:sz w:val="24"/>
          <w:szCs w:val="24"/>
          <w:lang w:val="en-US" w:eastAsia="zh-CN"/>
        </w:rPr>
        <w:t>一般管控单元。项目与</w:t>
      </w:r>
      <w:r>
        <w:rPr>
          <w:rFonts w:hint="default" w:ascii="Times New Roman" w:hAnsi="Times New Roman" w:eastAsia="宋体" w:cs="Times New Roman"/>
          <w:i w:val="0"/>
          <w:iCs w:val="0"/>
          <w:caps w:val="0"/>
          <w:color w:val="auto"/>
          <w:spacing w:val="0"/>
          <w:sz w:val="24"/>
          <w:szCs w:val="24"/>
          <w:shd w:val="clear" w:fill="FFFFFF"/>
          <w:lang w:eastAsia="zh-CN"/>
        </w:rPr>
        <w:t>红河州生态环境分区管控</w:t>
      </w:r>
      <w:r>
        <w:rPr>
          <w:rFonts w:hint="default" w:ascii="Times New Roman" w:hAnsi="Times New Roman" w:eastAsia="宋体" w:cs="Times New Roman"/>
          <w:color w:val="auto"/>
          <w:sz w:val="24"/>
          <w:szCs w:val="24"/>
          <w:lang w:val="en-US" w:eastAsia="zh-CN"/>
        </w:rPr>
        <w:t>总体要求的符合性见下表1-1。</w:t>
      </w:r>
    </w:p>
    <w:p w14:paraId="4D0D7507">
      <w:pPr>
        <w:spacing w:line="360" w:lineRule="auto"/>
        <w:ind w:firstLine="422" w:firstLineChars="200"/>
        <w:jc w:val="center"/>
        <w:rPr>
          <w:rFonts w:hint="default" w:ascii="Times New Roman" w:hAnsi="Times New Roman" w:eastAsia="黑体" w:cs="Times New Roman"/>
          <w:b w:val="0"/>
          <w:bCs/>
          <w:color w:val="auto"/>
          <w:kern w:val="24"/>
          <w:sz w:val="21"/>
          <w:szCs w:val="21"/>
          <w:lang w:val="en-US" w:eastAsia="zh-CN"/>
        </w:rPr>
      </w:pPr>
      <w:r>
        <w:rPr>
          <w:rFonts w:hint="default" w:ascii="Times New Roman" w:hAnsi="Times New Roman" w:cs="Times New Roman"/>
          <w:b/>
          <w:color w:val="auto"/>
          <w:szCs w:val="21"/>
          <w:highlight w:val="none"/>
        </w:rPr>
        <w:t>表7.3-</w:t>
      </w:r>
      <w:r>
        <w:rPr>
          <w:rFonts w:hint="default" w:ascii="Times New Roman" w:hAnsi="Times New Roman" w:cs="Times New Roman"/>
          <w:b/>
          <w:color w:val="auto"/>
          <w:szCs w:val="21"/>
          <w:highlight w:val="none"/>
          <w:lang w:val="en-US" w:eastAsia="zh-CN"/>
        </w:rPr>
        <w:t>8</w:t>
      </w:r>
      <w:r>
        <w:rPr>
          <w:rFonts w:hint="default" w:ascii="Times New Roman" w:hAnsi="Times New Roman" w:eastAsia="黑体" w:cs="Times New Roman"/>
          <w:b w:val="0"/>
          <w:bCs/>
          <w:color w:val="auto"/>
          <w:kern w:val="24"/>
          <w:sz w:val="21"/>
          <w:szCs w:val="21"/>
          <w:lang w:val="en-US" w:eastAsia="zh-CN"/>
        </w:rPr>
        <w:t>项目与涉及红河州生态环境分区管控要求分析表</w:t>
      </w:r>
    </w:p>
    <w:tbl>
      <w:tblPr>
        <w:tblStyle w:val="23"/>
        <w:tblW w:w="9393"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4"/>
        <w:gridCol w:w="598"/>
        <w:gridCol w:w="3980"/>
        <w:gridCol w:w="3027"/>
        <w:gridCol w:w="874"/>
      </w:tblGrid>
      <w:tr w14:paraId="24EC8D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2" w:type="dxa"/>
            <w:gridSpan w:val="2"/>
            <w:vAlign w:val="center"/>
          </w:tcPr>
          <w:p w14:paraId="08F90626">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类别</w:t>
            </w:r>
          </w:p>
        </w:tc>
        <w:tc>
          <w:tcPr>
            <w:tcW w:w="3980" w:type="dxa"/>
            <w:vAlign w:val="center"/>
          </w:tcPr>
          <w:p w14:paraId="1936F6B3">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文件内容</w:t>
            </w:r>
          </w:p>
        </w:tc>
        <w:tc>
          <w:tcPr>
            <w:tcW w:w="3027" w:type="dxa"/>
            <w:vAlign w:val="center"/>
          </w:tcPr>
          <w:p w14:paraId="09EFB56F">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本项目情况</w:t>
            </w:r>
          </w:p>
        </w:tc>
        <w:tc>
          <w:tcPr>
            <w:tcW w:w="874" w:type="dxa"/>
            <w:vAlign w:val="center"/>
          </w:tcPr>
          <w:p w14:paraId="185446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符合性</w:t>
            </w:r>
          </w:p>
        </w:tc>
      </w:tr>
      <w:tr w14:paraId="7E3CE3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dxa"/>
            <w:vMerge w:val="restart"/>
            <w:vAlign w:val="center"/>
          </w:tcPr>
          <w:p w14:paraId="5478750C">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红河州生态环境分区管控要求</w:t>
            </w:r>
          </w:p>
        </w:tc>
        <w:tc>
          <w:tcPr>
            <w:tcW w:w="598" w:type="dxa"/>
            <w:vAlign w:val="center"/>
          </w:tcPr>
          <w:p w14:paraId="36EC1C4B">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空间布局约束</w:t>
            </w:r>
          </w:p>
        </w:tc>
        <w:tc>
          <w:tcPr>
            <w:tcW w:w="3980" w:type="dxa"/>
            <w:vAlign w:val="center"/>
          </w:tcPr>
          <w:p w14:paraId="74756152">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1.严格落实国家产业政策，将资源承载能力、生态环境容量作为承接产业转移的基础和前提，合理确定承接产业转移重点，禁止引进环境污染大、资源消耗高、技术落后的生产能力。</w:t>
            </w:r>
            <w:r>
              <w:rPr>
                <w:rFonts w:hint="default" w:ascii="Times New Roman" w:hAnsi="Times New Roman" w:eastAsia="宋体" w:cs="Times New Roman"/>
                <w:color w:val="auto"/>
                <w:sz w:val="18"/>
                <w:szCs w:val="18"/>
                <w:highlight w:val="none"/>
              </w:rPr>
              <w:br w:type="textWrapping"/>
            </w:r>
            <w:r>
              <w:rPr>
                <w:rFonts w:hint="default" w:ascii="Times New Roman" w:hAnsi="Times New Roman" w:eastAsia="宋体" w:cs="Times New Roman"/>
                <w:color w:val="auto"/>
                <w:sz w:val="18"/>
                <w:szCs w:val="18"/>
                <w:highlight w:val="none"/>
              </w:rPr>
              <w:t>2.禁止在合规园区外新建、扩建钢铁、石化、化工、焦化、建材、有色等高污染项目。</w:t>
            </w:r>
            <w:r>
              <w:rPr>
                <w:rFonts w:hint="default" w:ascii="Times New Roman" w:hAnsi="Times New Roman" w:eastAsia="宋体" w:cs="Times New Roman"/>
                <w:color w:val="auto"/>
                <w:sz w:val="18"/>
                <w:szCs w:val="18"/>
                <w:highlight w:val="none"/>
              </w:rPr>
              <w:br w:type="textWrapping"/>
            </w:r>
            <w:r>
              <w:rPr>
                <w:rFonts w:hint="default" w:ascii="Times New Roman" w:hAnsi="Times New Roman" w:eastAsia="宋体" w:cs="Times New Roman"/>
                <w:color w:val="auto"/>
                <w:sz w:val="18"/>
                <w:szCs w:val="18"/>
                <w:highlight w:val="none"/>
              </w:rPr>
              <w:t>3.禁止在居民区和学校、医院、疗养院、养老院等单位周边新建、改建、扩建可能造成土壤污染的建设项目。在永久基本农田集中区域，不得新建可能造成土壤污染的建设项目；已经建成的，应当限期关闭拆除。</w:t>
            </w:r>
            <w:r>
              <w:rPr>
                <w:rFonts w:hint="default" w:ascii="Times New Roman" w:hAnsi="Times New Roman" w:eastAsia="宋体" w:cs="Times New Roman"/>
                <w:color w:val="auto"/>
                <w:sz w:val="18"/>
                <w:szCs w:val="18"/>
                <w:highlight w:val="none"/>
              </w:rPr>
              <w:br w:type="textWrapping"/>
            </w:r>
            <w:r>
              <w:rPr>
                <w:rFonts w:hint="default" w:ascii="Times New Roman" w:hAnsi="Times New Roman" w:eastAsia="宋体" w:cs="Times New Roman"/>
                <w:color w:val="auto"/>
                <w:sz w:val="18"/>
                <w:szCs w:val="18"/>
                <w:highlight w:val="none"/>
              </w:rPr>
              <w:t>4.若生态保护红线、自然保护地、饮用水水源保护区、各类园区、天然林、公益林、园区等空间范围以及相关要求等发生调整，管控要求按照最新成果执行。</w:t>
            </w:r>
          </w:p>
        </w:tc>
        <w:tc>
          <w:tcPr>
            <w:tcW w:w="3027" w:type="dxa"/>
            <w:vAlign w:val="center"/>
          </w:tcPr>
          <w:p w14:paraId="3FE919BD">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1、本项目为生猪规模化养殖项目，不属于环境污染大、资源消耗高、技术落后的生产能力。</w:t>
            </w:r>
          </w:p>
          <w:p w14:paraId="0C3D521F">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2、本项目不属于钢铁、石化、化工、焦化、建材、有色等高污染项目；</w:t>
            </w:r>
          </w:p>
          <w:p w14:paraId="0E390215">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3、项目采取分区防控措施，不会造成土壤污染；</w:t>
            </w:r>
          </w:p>
          <w:p w14:paraId="5F3CA36C">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4、根据</w:t>
            </w:r>
            <w:r>
              <w:rPr>
                <w:rFonts w:hint="eastAsia" w:ascii="Times New Roman" w:hAnsi="Times New Roman" w:cs="Times New Roman"/>
                <w:color w:val="auto"/>
                <w:sz w:val="18"/>
                <w:szCs w:val="18"/>
                <w:highlight w:val="none"/>
                <w:lang w:val="en-US" w:eastAsia="zh-CN"/>
              </w:rPr>
              <w:t>“三区三线”</w:t>
            </w:r>
            <w:r>
              <w:rPr>
                <w:rFonts w:hint="default" w:ascii="Times New Roman" w:hAnsi="Times New Roman" w:eastAsia="宋体" w:cs="Times New Roman"/>
                <w:color w:val="auto"/>
                <w:sz w:val="18"/>
                <w:szCs w:val="18"/>
                <w:highlight w:val="none"/>
                <w:lang w:val="en-US" w:eastAsia="zh-CN"/>
              </w:rPr>
              <w:t>查询文件，本项目不涉及生态保护红线、自然保护地、饮用水水源保护区、各类园区、天然林、公益林等。</w:t>
            </w:r>
          </w:p>
        </w:tc>
        <w:tc>
          <w:tcPr>
            <w:tcW w:w="874" w:type="dxa"/>
            <w:vAlign w:val="center"/>
          </w:tcPr>
          <w:p w14:paraId="2B88B8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00C07C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dxa"/>
            <w:vMerge w:val="continue"/>
            <w:vAlign w:val="center"/>
          </w:tcPr>
          <w:p w14:paraId="0749EC8F">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rPr>
            </w:pPr>
          </w:p>
        </w:tc>
        <w:tc>
          <w:tcPr>
            <w:tcW w:w="598" w:type="dxa"/>
            <w:vAlign w:val="center"/>
          </w:tcPr>
          <w:p w14:paraId="6CE47CE9">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污染物排放管控</w:t>
            </w:r>
          </w:p>
        </w:tc>
        <w:tc>
          <w:tcPr>
            <w:tcW w:w="3980" w:type="dxa"/>
            <w:vAlign w:val="center"/>
          </w:tcPr>
          <w:p w14:paraId="64252A35">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1.开展城市（县城）排水管网排查整治，提升污水处理厂出水水质，因地制宜推进乡镇镇区生活污水治理。</w:t>
            </w:r>
            <w:r>
              <w:rPr>
                <w:rFonts w:hint="default" w:ascii="Times New Roman" w:hAnsi="Times New Roman" w:eastAsia="宋体" w:cs="Times New Roman"/>
                <w:color w:val="auto"/>
                <w:sz w:val="18"/>
                <w:szCs w:val="18"/>
                <w:highlight w:val="none"/>
                <w:lang w:val="en-US" w:eastAsia="zh-CN"/>
              </w:rPr>
              <w:br w:type="textWrapping"/>
            </w:r>
            <w:r>
              <w:rPr>
                <w:rFonts w:hint="default" w:ascii="Times New Roman" w:hAnsi="Times New Roman" w:eastAsia="宋体" w:cs="Times New Roman"/>
                <w:color w:val="auto"/>
                <w:sz w:val="18"/>
                <w:szCs w:val="18"/>
                <w:highlight w:val="none"/>
                <w:lang w:val="en-US" w:eastAsia="zh-CN"/>
              </w:rPr>
              <w:t>2.以异龙湖流域、饮用水源地周边、政府重点建设村为重点，分区分类加快推进农村生活污水治理，着力健全运维管理机制。</w:t>
            </w:r>
            <w:r>
              <w:rPr>
                <w:rFonts w:hint="default" w:ascii="Times New Roman" w:hAnsi="Times New Roman" w:eastAsia="宋体" w:cs="Times New Roman"/>
                <w:color w:val="auto"/>
                <w:sz w:val="18"/>
                <w:szCs w:val="18"/>
                <w:highlight w:val="none"/>
                <w:lang w:val="en-US" w:eastAsia="zh-CN"/>
              </w:rPr>
              <w:br w:type="textWrapping"/>
            </w:r>
            <w:r>
              <w:rPr>
                <w:rFonts w:hint="default" w:ascii="Times New Roman" w:hAnsi="Times New Roman" w:eastAsia="宋体" w:cs="Times New Roman"/>
                <w:color w:val="auto"/>
                <w:sz w:val="18"/>
                <w:szCs w:val="18"/>
                <w:highlight w:val="none"/>
                <w:lang w:val="en-US" w:eastAsia="zh-CN"/>
              </w:rPr>
              <w:t>3.坚持城市生活垃圾、建筑垃圾减量化、资源化、无害化处理原则，按照可回收、有害垃圾、厨余垃圾（湿垃圾）、其他垃圾（干垃圾）垃圾分类法，加快建立分类收集、分类投放、分类运输、分类处置的垃圾处理系统。</w:t>
            </w:r>
            <w:r>
              <w:rPr>
                <w:rFonts w:hint="default" w:ascii="Times New Roman" w:hAnsi="Times New Roman" w:eastAsia="宋体" w:cs="Times New Roman"/>
                <w:color w:val="auto"/>
                <w:sz w:val="18"/>
                <w:szCs w:val="18"/>
                <w:highlight w:val="none"/>
                <w:lang w:val="en-US" w:eastAsia="zh-CN"/>
              </w:rPr>
              <w:br w:type="textWrapping"/>
            </w:r>
            <w:r>
              <w:rPr>
                <w:rFonts w:hint="default" w:ascii="Times New Roman" w:hAnsi="Times New Roman" w:eastAsia="宋体" w:cs="Times New Roman"/>
                <w:color w:val="auto"/>
                <w:sz w:val="18"/>
                <w:szCs w:val="18"/>
                <w:highlight w:val="none"/>
                <w:lang w:val="en-US" w:eastAsia="zh-CN"/>
              </w:rPr>
              <w:t>4.到2025年，蒙自市污水收集率达到50%、其他城市力争达到70%以上，污水处理率均达到95%以上，城市生活垃圾资源化利用率达42%以上，无害化处理率达100%，城市焚烧处理能力占无害化处理能力比重达到65%左右，城市污泥无害化处置率达到90%以上。</w:t>
            </w:r>
            <w:r>
              <w:rPr>
                <w:rFonts w:hint="default" w:ascii="Times New Roman" w:hAnsi="Times New Roman" w:eastAsia="宋体" w:cs="Times New Roman"/>
                <w:color w:val="auto"/>
                <w:sz w:val="18"/>
                <w:szCs w:val="18"/>
                <w:highlight w:val="none"/>
                <w:lang w:val="en-US" w:eastAsia="zh-CN"/>
              </w:rPr>
              <w:br w:type="textWrapping"/>
            </w:r>
            <w:r>
              <w:rPr>
                <w:rFonts w:hint="default" w:ascii="Times New Roman" w:hAnsi="Times New Roman" w:eastAsia="宋体" w:cs="Times New Roman"/>
                <w:color w:val="auto"/>
                <w:sz w:val="18"/>
                <w:szCs w:val="18"/>
                <w:highlight w:val="none"/>
                <w:lang w:val="en-US" w:eastAsia="zh-CN"/>
              </w:rPr>
              <w:t>5.强化异龙湖流域、红河及南盘江红河段重要干支流流域农业面源污染防治，推广有机肥替代化肥、测土配方施肥、病虫害绿色防控等农业技术，推进化肥农药减量增效、废弃农膜回收利用、秸秆综合利用。</w:t>
            </w:r>
            <w:r>
              <w:rPr>
                <w:rFonts w:hint="default" w:ascii="Times New Roman" w:hAnsi="Times New Roman" w:eastAsia="宋体" w:cs="Times New Roman"/>
                <w:color w:val="auto"/>
                <w:sz w:val="18"/>
                <w:szCs w:val="18"/>
                <w:highlight w:val="none"/>
                <w:lang w:val="en-US" w:eastAsia="zh-CN"/>
              </w:rPr>
              <w:br w:type="textWrapping"/>
            </w:r>
            <w:r>
              <w:rPr>
                <w:rFonts w:hint="default" w:ascii="Times New Roman" w:hAnsi="Times New Roman" w:eastAsia="宋体" w:cs="Times New Roman"/>
                <w:color w:val="auto"/>
                <w:sz w:val="18"/>
                <w:szCs w:val="18"/>
                <w:highlight w:val="none"/>
                <w:lang w:val="en-US" w:eastAsia="zh-CN"/>
              </w:rPr>
              <w:t>6.到2025年，化学需氧量、氨氮、氮氧化物、挥发性有机物排放总量等主要污染物重点工程减排量比2020年分别减少0.6119万吨、0.028万吨、0.0913万吨、0.089万吨。</w:t>
            </w:r>
            <w:r>
              <w:rPr>
                <w:rFonts w:hint="default" w:ascii="Times New Roman" w:hAnsi="Times New Roman" w:eastAsia="宋体" w:cs="Times New Roman"/>
                <w:color w:val="auto"/>
                <w:sz w:val="18"/>
                <w:szCs w:val="18"/>
                <w:highlight w:val="none"/>
                <w:lang w:val="en-US" w:eastAsia="zh-CN"/>
              </w:rPr>
              <w:br w:type="textWrapping"/>
            </w:r>
            <w:r>
              <w:rPr>
                <w:rFonts w:hint="default" w:ascii="Times New Roman" w:hAnsi="Times New Roman" w:eastAsia="宋体" w:cs="Times New Roman"/>
                <w:color w:val="auto"/>
                <w:sz w:val="18"/>
                <w:szCs w:val="18"/>
                <w:highlight w:val="none"/>
                <w:lang w:val="en-US" w:eastAsia="zh-CN"/>
              </w:rPr>
              <w:t>7.到2025年，化肥农药使用量持续负增长，畜禽粪污综合利用率达到90%以上，农膜回收率达85%以上，秸秆综合利用率稳定在87%以上。</w:t>
            </w:r>
            <w:r>
              <w:rPr>
                <w:rFonts w:hint="default" w:ascii="Times New Roman" w:hAnsi="Times New Roman" w:eastAsia="宋体" w:cs="Times New Roman"/>
                <w:color w:val="auto"/>
                <w:sz w:val="18"/>
                <w:szCs w:val="18"/>
                <w:highlight w:val="none"/>
                <w:lang w:val="en-US" w:eastAsia="zh-CN"/>
              </w:rPr>
              <w:br w:type="textWrapping"/>
            </w:r>
            <w:r>
              <w:rPr>
                <w:rFonts w:hint="default" w:ascii="Times New Roman" w:hAnsi="Times New Roman" w:eastAsia="宋体" w:cs="Times New Roman"/>
                <w:color w:val="auto"/>
                <w:sz w:val="18"/>
                <w:szCs w:val="18"/>
                <w:highlight w:val="none"/>
                <w:lang w:val="en-US" w:eastAsia="zh-CN"/>
              </w:rPr>
              <w:t>8.深入打好滇南中心城市大气污染联防联治攻坚战，加大工业涂装、包装印刷、油品储运销、化工等重点行业污染治理力度，加强细颗粒物和臭氧协同控制、挥发性有机物和氮氧化物协同减排，加强建筑工地、城区道路扬尘防治和餐饮油烟排放治理。</w:t>
            </w:r>
            <w:r>
              <w:rPr>
                <w:rFonts w:hint="default" w:ascii="Times New Roman" w:hAnsi="Times New Roman" w:eastAsia="宋体" w:cs="Times New Roman"/>
                <w:color w:val="auto"/>
                <w:sz w:val="18"/>
                <w:szCs w:val="18"/>
                <w:highlight w:val="none"/>
                <w:lang w:val="en-US" w:eastAsia="zh-CN"/>
              </w:rPr>
              <w:br w:type="textWrapping"/>
            </w:r>
            <w:r>
              <w:rPr>
                <w:rFonts w:hint="default" w:ascii="Times New Roman" w:hAnsi="Times New Roman" w:eastAsia="宋体" w:cs="Times New Roman"/>
                <w:color w:val="auto"/>
                <w:sz w:val="18"/>
                <w:szCs w:val="18"/>
                <w:highlight w:val="none"/>
                <w:lang w:val="en-US" w:eastAsia="zh-CN"/>
              </w:rPr>
              <w:t>9.落实农用地分类管理制度，强化受污染耕地安全利用和风险管控，严格建设用地土壤污染风险管控和修复名录内地块的准入管理，从严管控农药、化工等行业的重度污染地块规划用途。</w:t>
            </w:r>
            <w:r>
              <w:rPr>
                <w:rFonts w:hint="default" w:ascii="Times New Roman" w:hAnsi="Times New Roman" w:eastAsia="宋体" w:cs="Times New Roman"/>
                <w:color w:val="auto"/>
                <w:sz w:val="18"/>
                <w:szCs w:val="18"/>
                <w:highlight w:val="none"/>
                <w:lang w:val="en-US" w:eastAsia="zh-CN"/>
              </w:rPr>
              <w:br w:type="textWrapping"/>
            </w:r>
            <w:r>
              <w:rPr>
                <w:rFonts w:hint="default" w:ascii="Times New Roman" w:hAnsi="Times New Roman" w:eastAsia="宋体" w:cs="Times New Roman"/>
                <w:color w:val="auto"/>
                <w:sz w:val="18"/>
                <w:szCs w:val="18"/>
                <w:highlight w:val="none"/>
                <w:lang w:val="en-US" w:eastAsia="zh-CN"/>
              </w:rPr>
              <w:t>10.个旧市、蒙自市、建水县铅锌冶炼和铜冶炼行业企业，执行颗粒物和重点重金属污染物特别排放限值。</w:t>
            </w:r>
            <w:r>
              <w:rPr>
                <w:rFonts w:hint="default" w:ascii="Times New Roman" w:hAnsi="Times New Roman" w:eastAsia="宋体" w:cs="Times New Roman"/>
                <w:color w:val="auto"/>
                <w:sz w:val="18"/>
                <w:szCs w:val="18"/>
                <w:highlight w:val="none"/>
                <w:lang w:val="en-US" w:eastAsia="zh-CN"/>
              </w:rPr>
              <w:br w:type="textWrapping"/>
            </w:r>
            <w:r>
              <w:rPr>
                <w:rFonts w:hint="default" w:ascii="Times New Roman" w:hAnsi="Times New Roman" w:eastAsia="宋体" w:cs="Times New Roman"/>
                <w:color w:val="auto"/>
                <w:sz w:val="18"/>
                <w:szCs w:val="18"/>
                <w:highlight w:val="none"/>
                <w:lang w:val="en-US" w:eastAsia="zh-CN"/>
              </w:rPr>
              <w:t>11.落实云南省碳达峰碳中和相关要求，处理好发展和减排、整体和局部、长远目标和短期目标、政府和市场的关系，坚定不移走生态优先、绿色低碳的高质量发展道路。</w:t>
            </w:r>
          </w:p>
        </w:tc>
        <w:tc>
          <w:tcPr>
            <w:tcW w:w="3027" w:type="dxa"/>
            <w:vAlign w:val="center"/>
          </w:tcPr>
          <w:p w14:paraId="4B8E4496">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1、4、项目运营期间产生的综合废水依托弥勒温氏畜牧有限公司新哨种猪场建设项目污水处理站处理后用于绿化及农田灌溉，对周边地表水可接受。</w:t>
            </w:r>
          </w:p>
          <w:p w14:paraId="4DD3ED75">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2、本项目不涉及异龙湖流域、饮用水源地；</w:t>
            </w:r>
          </w:p>
          <w:p w14:paraId="001128F1">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3、生活垃圾设置生活垃圾收集桶收集后运至猴街村垃圾收集点，由环卫部门统一清运处理。</w:t>
            </w:r>
          </w:p>
          <w:p w14:paraId="064F0FDE">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5、本项目运营期间产生的粪肥发酵后用于农田施肥，</w:t>
            </w:r>
            <w:r>
              <w:rPr>
                <w:rFonts w:hint="default" w:ascii="Times New Roman" w:hAnsi="Times New Roman" w:eastAsia="宋体" w:cs="Times New Roman"/>
                <w:color w:val="auto"/>
                <w:sz w:val="18"/>
                <w:szCs w:val="18"/>
                <w:highlight w:val="none"/>
              </w:rPr>
              <w:t>根据计算，项目</w:t>
            </w:r>
            <w:r>
              <w:rPr>
                <w:rFonts w:hint="default" w:ascii="Times New Roman" w:hAnsi="Times New Roman" w:eastAsia="宋体" w:cs="Times New Roman"/>
                <w:color w:val="auto"/>
                <w:sz w:val="18"/>
                <w:szCs w:val="18"/>
                <w:highlight w:val="none"/>
                <w:lang w:eastAsia="zh-CN"/>
              </w:rPr>
              <w:t>粪污</w:t>
            </w:r>
            <w:r>
              <w:rPr>
                <w:rFonts w:hint="default" w:ascii="Times New Roman" w:hAnsi="Times New Roman" w:eastAsia="宋体" w:cs="Times New Roman"/>
                <w:color w:val="auto"/>
                <w:sz w:val="18"/>
                <w:szCs w:val="18"/>
                <w:highlight w:val="none"/>
              </w:rPr>
              <w:t>消纳区配套的土地面积能满足一倍以上的轮作面积要求。</w:t>
            </w:r>
          </w:p>
          <w:p w14:paraId="57422490">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6、本项目废气主要为NH</w:t>
            </w:r>
            <w:r>
              <w:rPr>
                <w:rFonts w:hint="default" w:ascii="Times New Roman" w:hAnsi="Times New Roman" w:eastAsia="宋体" w:cs="Times New Roman"/>
                <w:color w:val="auto"/>
                <w:sz w:val="18"/>
                <w:szCs w:val="18"/>
                <w:highlight w:val="none"/>
                <w:vertAlign w:val="subscript"/>
                <w:lang w:val="en-US" w:eastAsia="zh-CN"/>
              </w:rPr>
              <w:t>3</w:t>
            </w:r>
            <w:r>
              <w:rPr>
                <w:rFonts w:hint="default" w:ascii="Times New Roman" w:hAnsi="Times New Roman" w:eastAsia="宋体" w:cs="Times New Roman"/>
                <w:color w:val="auto"/>
                <w:sz w:val="18"/>
                <w:szCs w:val="18"/>
                <w:highlight w:val="none"/>
                <w:lang w:val="en-US" w:eastAsia="zh-CN"/>
              </w:rPr>
              <w:t>、H</w:t>
            </w:r>
            <w:r>
              <w:rPr>
                <w:rFonts w:hint="default" w:ascii="Times New Roman" w:hAnsi="Times New Roman" w:eastAsia="宋体" w:cs="Times New Roman"/>
                <w:color w:val="auto"/>
                <w:sz w:val="18"/>
                <w:szCs w:val="18"/>
                <w:highlight w:val="none"/>
                <w:vertAlign w:val="subscript"/>
                <w:lang w:val="en-US" w:eastAsia="zh-CN"/>
              </w:rPr>
              <w:t>2</w:t>
            </w:r>
            <w:r>
              <w:rPr>
                <w:rFonts w:hint="default" w:ascii="Times New Roman" w:hAnsi="Times New Roman" w:eastAsia="宋体" w:cs="Times New Roman"/>
                <w:color w:val="auto"/>
                <w:sz w:val="18"/>
                <w:szCs w:val="18"/>
                <w:highlight w:val="none"/>
                <w:lang w:val="en-US" w:eastAsia="zh-CN"/>
              </w:rPr>
              <w:t>S、TSP、SO</w:t>
            </w:r>
            <w:r>
              <w:rPr>
                <w:rFonts w:hint="default" w:ascii="Times New Roman" w:hAnsi="Times New Roman" w:eastAsia="宋体" w:cs="Times New Roman"/>
                <w:color w:val="auto"/>
                <w:sz w:val="18"/>
                <w:szCs w:val="18"/>
                <w:highlight w:val="none"/>
                <w:vertAlign w:val="subscript"/>
                <w:lang w:val="en-US" w:eastAsia="zh-CN"/>
              </w:rPr>
              <w:t>2</w:t>
            </w:r>
            <w:r>
              <w:rPr>
                <w:rFonts w:hint="default" w:ascii="Times New Roman" w:hAnsi="Times New Roman" w:eastAsia="宋体" w:cs="Times New Roman"/>
                <w:color w:val="auto"/>
                <w:sz w:val="18"/>
                <w:szCs w:val="18"/>
                <w:highlight w:val="none"/>
                <w:lang w:val="en-US" w:eastAsia="zh-CN"/>
              </w:rPr>
              <w:t>、NO</w:t>
            </w:r>
            <w:r>
              <w:rPr>
                <w:rFonts w:hint="default" w:ascii="Times New Roman" w:hAnsi="Times New Roman" w:eastAsia="宋体" w:cs="Times New Roman"/>
                <w:color w:val="auto"/>
                <w:sz w:val="18"/>
                <w:szCs w:val="18"/>
                <w:highlight w:val="none"/>
                <w:vertAlign w:val="subscript"/>
                <w:lang w:val="en-US" w:eastAsia="zh-CN"/>
              </w:rPr>
              <w:t>X</w:t>
            </w:r>
            <w:r>
              <w:rPr>
                <w:rFonts w:hint="default" w:ascii="Times New Roman" w:hAnsi="Times New Roman" w:eastAsia="宋体" w:cs="Times New Roman"/>
                <w:color w:val="auto"/>
                <w:sz w:val="18"/>
                <w:szCs w:val="18"/>
                <w:highlight w:val="none"/>
                <w:lang w:val="en-US" w:eastAsia="zh-CN"/>
              </w:rPr>
              <w:t>，产生量较小，均为无组织排放，经采取措施后均能达标排放；废水依托弥勒温氏畜牧有限公司新哨种猪场建设项目污水处理站处理后用于绿化及农田灌溉。</w:t>
            </w:r>
          </w:p>
          <w:p w14:paraId="73F50054">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7、本项目不涉及农业生产；</w:t>
            </w:r>
          </w:p>
          <w:p w14:paraId="789DAEB4">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8、本项目废气污染物主要为NH</w:t>
            </w:r>
            <w:r>
              <w:rPr>
                <w:rFonts w:hint="default" w:ascii="Times New Roman" w:hAnsi="Times New Roman" w:eastAsia="宋体" w:cs="Times New Roman"/>
                <w:color w:val="auto"/>
                <w:sz w:val="18"/>
                <w:szCs w:val="18"/>
                <w:highlight w:val="none"/>
                <w:vertAlign w:val="subscript"/>
                <w:lang w:val="en-US" w:eastAsia="zh-CN"/>
              </w:rPr>
              <w:t>3</w:t>
            </w:r>
            <w:r>
              <w:rPr>
                <w:rFonts w:hint="default" w:ascii="Times New Roman" w:hAnsi="Times New Roman" w:eastAsia="宋体" w:cs="Times New Roman"/>
                <w:color w:val="auto"/>
                <w:sz w:val="18"/>
                <w:szCs w:val="18"/>
                <w:highlight w:val="none"/>
                <w:lang w:val="en-US" w:eastAsia="zh-CN"/>
              </w:rPr>
              <w:t>、H</w:t>
            </w:r>
            <w:r>
              <w:rPr>
                <w:rFonts w:hint="default" w:ascii="Times New Roman" w:hAnsi="Times New Roman" w:eastAsia="宋体" w:cs="Times New Roman"/>
                <w:color w:val="auto"/>
                <w:sz w:val="18"/>
                <w:szCs w:val="18"/>
                <w:highlight w:val="none"/>
                <w:vertAlign w:val="subscript"/>
                <w:lang w:val="en-US" w:eastAsia="zh-CN"/>
              </w:rPr>
              <w:t>2</w:t>
            </w:r>
            <w:r>
              <w:rPr>
                <w:rFonts w:hint="default" w:ascii="Times New Roman" w:hAnsi="Times New Roman" w:eastAsia="宋体" w:cs="Times New Roman"/>
                <w:color w:val="auto"/>
                <w:sz w:val="18"/>
                <w:szCs w:val="18"/>
                <w:highlight w:val="none"/>
                <w:lang w:val="en-US" w:eastAsia="zh-CN"/>
              </w:rPr>
              <w:t>S、TSP、SO</w:t>
            </w:r>
            <w:r>
              <w:rPr>
                <w:rFonts w:hint="default" w:ascii="Times New Roman" w:hAnsi="Times New Roman" w:eastAsia="宋体" w:cs="Times New Roman"/>
                <w:color w:val="auto"/>
                <w:sz w:val="18"/>
                <w:szCs w:val="18"/>
                <w:highlight w:val="none"/>
                <w:vertAlign w:val="subscript"/>
                <w:lang w:val="en-US" w:eastAsia="zh-CN"/>
              </w:rPr>
              <w:t>2</w:t>
            </w:r>
            <w:r>
              <w:rPr>
                <w:rFonts w:hint="default" w:ascii="Times New Roman" w:hAnsi="Times New Roman" w:eastAsia="宋体" w:cs="Times New Roman"/>
                <w:color w:val="auto"/>
                <w:sz w:val="18"/>
                <w:szCs w:val="18"/>
                <w:highlight w:val="none"/>
                <w:lang w:val="en-US" w:eastAsia="zh-CN"/>
              </w:rPr>
              <w:t>、NO</w:t>
            </w:r>
            <w:r>
              <w:rPr>
                <w:rFonts w:hint="default" w:ascii="Times New Roman" w:hAnsi="Times New Roman" w:eastAsia="宋体" w:cs="Times New Roman"/>
                <w:color w:val="auto"/>
                <w:sz w:val="18"/>
                <w:szCs w:val="18"/>
                <w:highlight w:val="none"/>
                <w:vertAlign w:val="subscript"/>
                <w:lang w:val="en-US" w:eastAsia="zh-CN"/>
              </w:rPr>
              <w:t>X</w:t>
            </w:r>
            <w:r>
              <w:rPr>
                <w:rFonts w:hint="default" w:ascii="Times New Roman" w:hAnsi="Times New Roman" w:eastAsia="宋体" w:cs="Times New Roman"/>
                <w:color w:val="auto"/>
                <w:sz w:val="18"/>
                <w:szCs w:val="18"/>
                <w:highlight w:val="none"/>
                <w:lang w:val="en-US" w:eastAsia="zh-CN"/>
              </w:rPr>
              <w:t>，经采取措施后均能达标排放。食堂内产生的油烟经油烟净化效率不低于30%的油烟净化器处理后引至屋顶排放，能够达到《饮食业油烟排放标准（试行）》（GB18483-2001）中“小型”规模标准允许排放的浓度。采用施工期采取洒水降尘篷布覆盖等措施减少扬尘产生。</w:t>
            </w:r>
          </w:p>
          <w:p w14:paraId="78971805">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9、根据土壤环境现状监测结果，项目区内土壤各指标均小于《土壤环境质量 农用地土壤污染风险管控标准（试行）》（GB/T15618-2018）中的风险筛选值。</w:t>
            </w:r>
          </w:p>
          <w:p w14:paraId="2E53AA19">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10、本项目不属于铅锌冶炼和铜冶炼行业企业；</w:t>
            </w:r>
          </w:p>
          <w:p w14:paraId="4B9E4AE1">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11、本项目坚定不移走生态优先、绿色低碳的高质量发展道路。</w:t>
            </w:r>
          </w:p>
          <w:p w14:paraId="30932A02">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p>
        </w:tc>
        <w:tc>
          <w:tcPr>
            <w:tcW w:w="874" w:type="dxa"/>
            <w:vAlign w:val="center"/>
          </w:tcPr>
          <w:p w14:paraId="17B57A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702C13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dxa"/>
            <w:vMerge w:val="continue"/>
            <w:vAlign w:val="center"/>
          </w:tcPr>
          <w:p w14:paraId="14CDA317">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rPr>
            </w:pPr>
          </w:p>
        </w:tc>
        <w:tc>
          <w:tcPr>
            <w:tcW w:w="598" w:type="dxa"/>
            <w:vAlign w:val="center"/>
          </w:tcPr>
          <w:p w14:paraId="706128FD">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环境风险</w:t>
            </w:r>
            <w:r>
              <w:rPr>
                <w:rFonts w:hint="default" w:ascii="Times New Roman" w:hAnsi="Times New Roman" w:eastAsia="宋体" w:cs="Times New Roman"/>
                <w:color w:val="auto"/>
                <w:sz w:val="18"/>
                <w:szCs w:val="18"/>
                <w:highlight w:val="none"/>
                <w:lang w:val="en-US" w:eastAsia="zh-CN"/>
              </w:rPr>
              <w:t>防</w:t>
            </w:r>
            <w:r>
              <w:rPr>
                <w:rFonts w:hint="default" w:ascii="Times New Roman" w:hAnsi="Times New Roman" w:eastAsia="宋体" w:cs="Times New Roman"/>
                <w:color w:val="auto"/>
                <w:sz w:val="18"/>
                <w:szCs w:val="18"/>
                <w:highlight w:val="none"/>
              </w:rPr>
              <w:t>控</w:t>
            </w:r>
          </w:p>
        </w:tc>
        <w:tc>
          <w:tcPr>
            <w:tcW w:w="3980" w:type="dxa"/>
            <w:vAlign w:val="center"/>
          </w:tcPr>
          <w:p w14:paraId="64EDA344">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1.落实滇南中心城市大气联防联控工作机制和工作措施，改善环境空气质量。</w:t>
            </w:r>
            <w:r>
              <w:rPr>
                <w:rFonts w:hint="default" w:ascii="Times New Roman" w:hAnsi="Times New Roman" w:eastAsia="宋体" w:cs="Times New Roman"/>
                <w:color w:val="auto"/>
                <w:sz w:val="18"/>
                <w:szCs w:val="18"/>
                <w:highlight w:val="none"/>
              </w:rPr>
              <w:br w:type="textWrapping"/>
            </w:r>
            <w:r>
              <w:rPr>
                <w:rFonts w:hint="default" w:ascii="Times New Roman" w:hAnsi="Times New Roman" w:eastAsia="宋体" w:cs="Times New Roman"/>
                <w:color w:val="auto"/>
                <w:sz w:val="18"/>
                <w:szCs w:val="18"/>
                <w:highlight w:val="none"/>
              </w:rPr>
              <w:t>2.实施土壤和地下水环境风险协同防控，开展地下水污染防治重点区划定及污染风险管控。</w:t>
            </w:r>
            <w:r>
              <w:rPr>
                <w:rFonts w:hint="default" w:ascii="Times New Roman" w:hAnsi="Times New Roman" w:eastAsia="宋体" w:cs="Times New Roman"/>
                <w:color w:val="auto"/>
                <w:sz w:val="18"/>
                <w:szCs w:val="18"/>
                <w:highlight w:val="none"/>
              </w:rPr>
              <w:br w:type="textWrapping"/>
            </w:r>
            <w:r>
              <w:rPr>
                <w:rFonts w:hint="default" w:ascii="Times New Roman" w:hAnsi="Times New Roman" w:eastAsia="宋体" w:cs="Times New Roman"/>
                <w:color w:val="auto"/>
                <w:sz w:val="18"/>
                <w:szCs w:val="18"/>
                <w:highlight w:val="none"/>
              </w:rPr>
              <w:t>3.企事业单位应当按照有关规定开展突发环境事件风险评估，确定环境风险防范和环境安全隐患排查治理措施，编制突发环境事件应急预案，并定期组织应急演练。</w:t>
            </w:r>
            <w:r>
              <w:rPr>
                <w:rFonts w:hint="default" w:ascii="Times New Roman" w:hAnsi="Times New Roman" w:eastAsia="宋体" w:cs="Times New Roman"/>
                <w:color w:val="auto"/>
                <w:sz w:val="18"/>
                <w:szCs w:val="18"/>
                <w:highlight w:val="none"/>
              </w:rPr>
              <w:br w:type="textWrapping"/>
            </w:r>
            <w:r>
              <w:rPr>
                <w:rFonts w:hint="default" w:ascii="Times New Roman" w:hAnsi="Times New Roman" w:eastAsia="宋体" w:cs="Times New Roman"/>
                <w:color w:val="auto"/>
                <w:sz w:val="18"/>
                <w:szCs w:val="18"/>
                <w:highlight w:val="none"/>
              </w:rPr>
              <w:t>4.加强日常环境监测分析，加强对可能导致突发环境事件的风险信息收集、分析和研判，建立相应应急物资储备库，做好应急保障。</w:t>
            </w:r>
            <w:r>
              <w:rPr>
                <w:rFonts w:hint="default" w:ascii="Times New Roman" w:hAnsi="Times New Roman" w:eastAsia="宋体" w:cs="Times New Roman"/>
                <w:color w:val="auto"/>
                <w:sz w:val="18"/>
                <w:szCs w:val="18"/>
                <w:highlight w:val="none"/>
              </w:rPr>
              <w:br w:type="textWrapping"/>
            </w:r>
            <w:r>
              <w:rPr>
                <w:rFonts w:hint="default" w:ascii="Times New Roman" w:hAnsi="Times New Roman" w:eastAsia="宋体" w:cs="Times New Roman"/>
                <w:color w:val="auto"/>
                <w:sz w:val="18"/>
                <w:szCs w:val="18"/>
                <w:highlight w:val="none"/>
              </w:rPr>
              <w:t>5.产生、贮存、运输、综合利用尾矿的单位，以及尾矿库运营、管理单位，应当采取措施，防止或者减少尾矿对环境的污染。</w:t>
            </w:r>
          </w:p>
        </w:tc>
        <w:tc>
          <w:tcPr>
            <w:tcW w:w="3027" w:type="dxa"/>
            <w:vAlign w:val="center"/>
          </w:tcPr>
          <w:p w14:paraId="17FDE30B">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1、本项目废气主要为NH</w:t>
            </w:r>
            <w:r>
              <w:rPr>
                <w:rFonts w:hint="default" w:ascii="Times New Roman" w:hAnsi="Times New Roman" w:eastAsia="宋体" w:cs="Times New Roman"/>
                <w:color w:val="auto"/>
                <w:sz w:val="18"/>
                <w:szCs w:val="18"/>
                <w:highlight w:val="none"/>
                <w:vertAlign w:val="subscript"/>
                <w:lang w:val="en-US" w:eastAsia="zh-CN"/>
              </w:rPr>
              <w:t>3</w:t>
            </w:r>
            <w:r>
              <w:rPr>
                <w:rFonts w:hint="default" w:ascii="Times New Roman" w:hAnsi="Times New Roman" w:eastAsia="宋体" w:cs="Times New Roman"/>
                <w:color w:val="auto"/>
                <w:sz w:val="18"/>
                <w:szCs w:val="18"/>
                <w:highlight w:val="none"/>
                <w:lang w:val="en-US" w:eastAsia="zh-CN"/>
              </w:rPr>
              <w:t>、H</w:t>
            </w:r>
            <w:r>
              <w:rPr>
                <w:rFonts w:hint="default" w:ascii="Times New Roman" w:hAnsi="Times New Roman" w:eastAsia="宋体" w:cs="Times New Roman"/>
                <w:color w:val="auto"/>
                <w:sz w:val="18"/>
                <w:szCs w:val="18"/>
                <w:highlight w:val="none"/>
                <w:vertAlign w:val="subscript"/>
                <w:lang w:val="en-US" w:eastAsia="zh-CN"/>
              </w:rPr>
              <w:t>2</w:t>
            </w:r>
            <w:r>
              <w:rPr>
                <w:rFonts w:hint="default" w:ascii="Times New Roman" w:hAnsi="Times New Roman" w:eastAsia="宋体" w:cs="Times New Roman"/>
                <w:color w:val="auto"/>
                <w:sz w:val="18"/>
                <w:szCs w:val="18"/>
                <w:highlight w:val="none"/>
                <w:lang w:val="en-US" w:eastAsia="zh-CN"/>
              </w:rPr>
              <w:t>S、TSP、SO</w:t>
            </w:r>
            <w:r>
              <w:rPr>
                <w:rFonts w:hint="default" w:ascii="Times New Roman" w:hAnsi="Times New Roman" w:eastAsia="宋体" w:cs="Times New Roman"/>
                <w:color w:val="auto"/>
                <w:sz w:val="18"/>
                <w:szCs w:val="18"/>
                <w:highlight w:val="none"/>
                <w:vertAlign w:val="subscript"/>
                <w:lang w:val="en-US" w:eastAsia="zh-CN"/>
              </w:rPr>
              <w:t>2</w:t>
            </w:r>
            <w:r>
              <w:rPr>
                <w:rFonts w:hint="default" w:ascii="Times New Roman" w:hAnsi="Times New Roman" w:eastAsia="宋体" w:cs="Times New Roman"/>
                <w:color w:val="auto"/>
                <w:sz w:val="18"/>
                <w:szCs w:val="18"/>
                <w:highlight w:val="none"/>
                <w:lang w:val="en-US" w:eastAsia="zh-CN"/>
              </w:rPr>
              <w:t>、NO</w:t>
            </w:r>
            <w:r>
              <w:rPr>
                <w:rFonts w:hint="default" w:ascii="Times New Roman" w:hAnsi="Times New Roman" w:eastAsia="宋体" w:cs="Times New Roman"/>
                <w:color w:val="auto"/>
                <w:sz w:val="18"/>
                <w:szCs w:val="18"/>
                <w:highlight w:val="none"/>
                <w:vertAlign w:val="subscript"/>
                <w:lang w:val="en-US" w:eastAsia="zh-CN"/>
              </w:rPr>
              <w:t>X</w:t>
            </w:r>
            <w:r>
              <w:rPr>
                <w:rFonts w:hint="default" w:ascii="Times New Roman" w:hAnsi="Times New Roman" w:eastAsia="宋体" w:cs="Times New Roman"/>
                <w:color w:val="auto"/>
                <w:sz w:val="18"/>
                <w:szCs w:val="18"/>
                <w:highlight w:val="none"/>
                <w:lang w:val="en-US" w:eastAsia="zh-CN"/>
              </w:rPr>
              <w:t>，产生量较小，均为无组织排放;</w:t>
            </w:r>
          </w:p>
          <w:p w14:paraId="2BC90685">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2、本项目采取分区防渗措施，降低对土壤、地下水的影响；</w:t>
            </w:r>
          </w:p>
          <w:p w14:paraId="2A26F048">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3、本项目建成后将及时组织突发环境事件的编制及演练工作；</w:t>
            </w:r>
          </w:p>
          <w:p w14:paraId="4A701019">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4、本项目运营期将按照《排污单位自行监测技术指南 畜禽养殖业》（HJ1252-2020）要求开展自行监测；</w:t>
            </w:r>
          </w:p>
          <w:p w14:paraId="7A5EE959">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5、本项目不涉及尾矿。</w:t>
            </w:r>
          </w:p>
        </w:tc>
        <w:tc>
          <w:tcPr>
            <w:tcW w:w="874" w:type="dxa"/>
            <w:vAlign w:val="center"/>
          </w:tcPr>
          <w:p w14:paraId="619EFF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392386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dxa"/>
            <w:vMerge w:val="continue"/>
            <w:vAlign w:val="center"/>
          </w:tcPr>
          <w:p w14:paraId="05604594">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rPr>
            </w:pPr>
          </w:p>
        </w:tc>
        <w:tc>
          <w:tcPr>
            <w:tcW w:w="598" w:type="dxa"/>
            <w:vAlign w:val="center"/>
          </w:tcPr>
          <w:p w14:paraId="142590AB">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资源</w:t>
            </w:r>
            <w:r>
              <w:rPr>
                <w:rFonts w:hint="default" w:ascii="Times New Roman" w:hAnsi="Times New Roman" w:eastAsia="宋体" w:cs="Times New Roman"/>
                <w:color w:val="auto"/>
                <w:sz w:val="18"/>
                <w:szCs w:val="18"/>
                <w:highlight w:val="none"/>
                <w:lang w:val="en-US" w:eastAsia="zh-CN"/>
              </w:rPr>
              <w:t>开发</w:t>
            </w:r>
            <w:r>
              <w:rPr>
                <w:rFonts w:hint="default" w:ascii="Times New Roman" w:hAnsi="Times New Roman" w:eastAsia="宋体" w:cs="Times New Roman"/>
                <w:color w:val="auto"/>
                <w:sz w:val="18"/>
                <w:szCs w:val="18"/>
                <w:highlight w:val="none"/>
              </w:rPr>
              <w:t>利用效率</w:t>
            </w:r>
          </w:p>
        </w:tc>
        <w:tc>
          <w:tcPr>
            <w:tcW w:w="3980" w:type="dxa"/>
            <w:vAlign w:val="center"/>
          </w:tcPr>
          <w:p w14:paraId="5AC24F40">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1.实行最严格的水资源管理制度，严格用水总量、强度指标管理，万元工业增加值用水量下降18%。</w:t>
            </w:r>
            <w:r>
              <w:rPr>
                <w:rFonts w:hint="default" w:ascii="Times New Roman" w:hAnsi="Times New Roman" w:eastAsia="宋体" w:cs="Times New Roman"/>
                <w:color w:val="auto"/>
                <w:sz w:val="18"/>
                <w:szCs w:val="18"/>
                <w:highlight w:val="none"/>
              </w:rPr>
              <w:br w:type="textWrapping"/>
            </w:r>
            <w:r>
              <w:rPr>
                <w:rFonts w:hint="default" w:ascii="Times New Roman" w:hAnsi="Times New Roman" w:eastAsia="宋体" w:cs="Times New Roman"/>
                <w:color w:val="auto"/>
                <w:sz w:val="18"/>
                <w:szCs w:val="18"/>
                <w:highlight w:val="none"/>
              </w:rPr>
              <w:t>2.2025年，全州单位地区生产总值能源消耗比2020年下降14%以上，能源消费总量得到合理控制，规模以上工业单位增加值能耗下降15%。</w:t>
            </w:r>
            <w:r>
              <w:rPr>
                <w:rFonts w:hint="default" w:ascii="Times New Roman" w:hAnsi="Times New Roman" w:eastAsia="宋体" w:cs="Times New Roman"/>
                <w:color w:val="auto"/>
                <w:sz w:val="18"/>
                <w:szCs w:val="18"/>
                <w:highlight w:val="none"/>
              </w:rPr>
              <w:br w:type="textWrapping"/>
            </w:r>
            <w:r>
              <w:rPr>
                <w:rFonts w:hint="default" w:ascii="Times New Roman" w:hAnsi="Times New Roman" w:eastAsia="宋体" w:cs="Times New Roman"/>
                <w:color w:val="auto"/>
                <w:sz w:val="18"/>
                <w:szCs w:val="18"/>
                <w:highlight w:val="none"/>
              </w:rPr>
              <w:t>3.坚持最严格的耕地保护制度，守住耕地保护红线。坚持节约用地，严格执行耕地占补平衡等制度，提高土地投资强度和单位面积产出水平。</w:t>
            </w:r>
            <w:r>
              <w:rPr>
                <w:rFonts w:hint="default" w:ascii="Times New Roman" w:hAnsi="Times New Roman" w:eastAsia="宋体" w:cs="Times New Roman"/>
                <w:color w:val="auto"/>
                <w:sz w:val="18"/>
                <w:szCs w:val="18"/>
                <w:highlight w:val="none"/>
              </w:rPr>
              <w:br w:type="textWrapping"/>
            </w:r>
            <w:r>
              <w:rPr>
                <w:rFonts w:hint="default" w:ascii="Times New Roman" w:hAnsi="Times New Roman" w:eastAsia="宋体" w:cs="Times New Roman"/>
                <w:color w:val="auto"/>
                <w:sz w:val="18"/>
                <w:szCs w:val="18"/>
                <w:highlight w:val="none"/>
              </w:rPr>
              <w:t>4.严格执行国家矿产资源合理开发利用的矿山开采回收率、采矿贫化率以及选矿回收率相关要求。</w:t>
            </w:r>
          </w:p>
        </w:tc>
        <w:tc>
          <w:tcPr>
            <w:tcW w:w="3027" w:type="dxa"/>
            <w:vAlign w:val="center"/>
          </w:tcPr>
          <w:p w14:paraId="6BD96714">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1、项目运营期间用水量为10300.788m³/a，废水通过处理后综合利用于农田浇灌；</w:t>
            </w:r>
          </w:p>
          <w:p w14:paraId="778AF4F0">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2、本项目采用电能、天然气，能耗较低；</w:t>
            </w:r>
          </w:p>
          <w:p w14:paraId="20FB6B0B">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3、根据本项目为设施农用地，不涉及占用耕地。</w:t>
            </w:r>
          </w:p>
          <w:p w14:paraId="3419CDA9">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4、本项目不涉及。</w:t>
            </w:r>
          </w:p>
        </w:tc>
        <w:tc>
          <w:tcPr>
            <w:tcW w:w="874" w:type="dxa"/>
            <w:vAlign w:val="center"/>
          </w:tcPr>
          <w:p w14:paraId="009C7E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r w14:paraId="313DD3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dxa"/>
            <w:vAlign w:val="center"/>
          </w:tcPr>
          <w:p w14:paraId="39F35BFF">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弥勒市一般管控单元</w:t>
            </w:r>
          </w:p>
        </w:tc>
        <w:tc>
          <w:tcPr>
            <w:tcW w:w="598" w:type="dxa"/>
            <w:vAlign w:val="center"/>
          </w:tcPr>
          <w:p w14:paraId="0D7AFA2F">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空间布局约束</w:t>
            </w:r>
          </w:p>
        </w:tc>
        <w:tc>
          <w:tcPr>
            <w:tcW w:w="3980" w:type="dxa"/>
            <w:vAlign w:val="center"/>
          </w:tcPr>
          <w:p w14:paraId="3D590108">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落实生态环境保护基本要求，项目建设和运行应满足产业准入、污染物削减、污染物排放标准等管理规定和国家法律法规要求。</w:t>
            </w:r>
          </w:p>
        </w:tc>
        <w:tc>
          <w:tcPr>
            <w:tcW w:w="3027" w:type="dxa"/>
            <w:vAlign w:val="center"/>
          </w:tcPr>
          <w:p w14:paraId="72E9A49C">
            <w:pPr>
              <w:keepNext w:val="0"/>
              <w:keepLines w:val="0"/>
              <w:suppressLineNumbers w:val="0"/>
              <w:tabs>
                <w:tab w:val="left" w:pos="611"/>
              </w:tabs>
              <w:spacing w:before="0" w:beforeAutospacing="0" w:after="0" w:afterAutospacing="0"/>
              <w:ind w:left="0" w:right="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根据《产业结构调整指导目录（</w:t>
            </w:r>
            <w:r>
              <w:rPr>
                <w:rFonts w:hint="default" w:ascii="Times New Roman" w:hAnsi="Times New Roman" w:eastAsia="宋体" w:cs="Times New Roman"/>
                <w:color w:val="auto"/>
                <w:sz w:val="18"/>
                <w:szCs w:val="18"/>
                <w:highlight w:val="none"/>
                <w:lang w:val="en-US" w:eastAsia="zh-CN"/>
              </w:rPr>
              <w:t>2024</w:t>
            </w:r>
            <w:r>
              <w:rPr>
                <w:rFonts w:hint="default" w:ascii="Times New Roman" w:hAnsi="Times New Roman" w:eastAsia="宋体" w:cs="Times New Roman"/>
                <w:color w:val="auto"/>
                <w:sz w:val="18"/>
                <w:szCs w:val="18"/>
                <w:highlight w:val="none"/>
              </w:rPr>
              <w:t>年本）》，本项目属于“鼓励类”，项目建设符合当前国家产业政策。同时运营期项目污染物排放满足总量控制、排放标准等管理规定。</w:t>
            </w:r>
          </w:p>
        </w:tc>
        <w:tc>
          <w:tcPr>
            <w:tcW w:w="874" w:type="dxa"/>
            <w:vAlign w:val="center"/>
          </w:tcPr>
          <w:p w14:paraId="6E591B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符合</w:t>
            </w:r>
          </w:p>
        </w:tc>
      </w:tr>
    </w:tbl>
    <w:p w14:paraId="3C3AB078">
      <w:pPr>
        <w:snapToGrid w:val="0"/>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eastAsia="宋体" w:cs="Times New Roman"/>
          <w:color w:val="auto"/>
          <w:sz w:val="24"/>
          <w:szCs w:val="24"/>
          <w:lang w:val="en-US" w:eastAsia="zh-CN"/>
        </w:rPr>
        <w:t>综上，本项目的建设符合《红河州生态环境分区管控动态更新调整方案（2023年）》的要求。</w:t>
      </w:r>
    </w:p>
    <w:p w14:paraId="3D114B4A">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68" w:name="_Toc10462"/>
      <w:r>
        <w:rPr>
          <w:rStyle w:val="35"/>
          <w:rFonts w:hint="default" w:ascii="Times New Roman" w:hAnsi="Times New Roman" w:eastAsia="宋体" w:cs="Times New Roman"/>
          <w:color w:val="auto"/>
          <w:sz w:val="24"/>
          <w:szCs w:val="24"/>
          <w:highlight w:val="none"/>
        </w:rPr>
        <w:t>7.3.1</w:t>
      </w:r>
      <w:r>
        <w:rPr>
          <w:rStyle w:val="35"/>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与《地下水管理条例》符合性分析</w:t>
      </w:r>
      <w:bookmarkEnd w:id="368"/>
    </w:p>
    <w:p w14:paraId="55F5F4C8">
      <w:pPr>
        <w:keepNext w:val="0"/>
        <w:keepLines w:val="0"/>
        <w:suppressLineNumbers w:val="0"/>
        <w:tabs>
          <w:tab w:val="left" w:pos="611"/>
        </w:tabs>
        <w:spacing w:before="0" w:beforeAutospacing="0" w:after="0" w:afterAutospacing="0"/>
        <w:ind w:left="0" w:right="0"/>
        <w:jc w:val="left"/>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项目与《地下水管理条例》符合性分析见表7.3-</w:t>
      </w:r>
      <w:r>
        <w:rPr>
          <w:rFonts w:hint="default" w:ascii="Times New Roman" w:hAnsi="Times New Roman" w:cs="Times New Roman"/>
          <w:color w:val="auto"/>
          <w:kern w:val="0"/>
          <w:sz w:val="24"/>
          <w:highlight w:val="none"/>
          <w:lang w:val="en-US" w:eastAsia="zh-CN" w:bidi="ar"/>
        </w:rPr>
        <w:t>9</w:t>
      </w:r>
      <w:r>
        <w:rPr>
          <w:rFonts w:hint="default" w:ascii="Times New Roman" w:hAnsi="Times New Roman" w:cs="Times New Roman"/>
          <w:color w:val="auto"/>
          <w:kern w:val="0"/>
          <w:sz w:val="24"/>
          <w:highlight w:val="none"/>
          <w:lang w:bidi="ar"/>
        </w:rPr>
        <w:t>。</w:t>
      </w:r>
    </w:p>
    <w:p w14:paraId="45FDD79A">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表7.3-</w:t>
      </w:r>
      <w:r>
        <w:rPr>
          <w:rFonts w:hint="default" w:ascii="Times New Roman" w:hAnsi="Times New Roman" w:cs="Times New Roman"/>
          <w:b/>
          <w:color w:val="auto"/>
          <w:highlight w:val="none"/>
          <w:lang w:val="en-US" w:eastAsia="zh-CN"/>
        </w:rPr>
        <w:t>9</w:t>
      </w:r>
      <w:r>
        <w:rPr>
          <w:rFonts w:hint="default" w:ascii="Times New Roman" w:hAnsi="Times New Roman" w:cs="Times New Roman"/>
          <w:b/>
          <w:color w:val="auto"/>
          <w:highlight w:val="none"/>
        </w:rPr>
        <w:t xml:space="preserve">   与《地下水管理条例》符合性分析</w:t>
      </w:r>
    </w:p>
    <w:tbl>
      <w:tblPr>
        <w:tblStyle w:val="23"/>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922"/>
        <w:gridCol w:w="3471"/>
        <w:gridCol w:w="1145"/>
      </w:tblGrid>
      <w:tr w14:paraId="7760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14:paraId="1F9CD911">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序号</w:t>
            </w:r>
          </w:p>
        </w:tc>
        <w:tc>
          <w:tcPr>
            <w:tcW w:w="3922" w:type="dxa"/>
            <w:tcBorders>
              <w:top w:val="single" w:color="auto" w:sz="4" w:space="0"/>
              <w:left w:val="single" w:color="auto" w:sz="4" w:space="0"/>
              <w:bottom w:val="single" w:color="auto" w:sz="4" w:space="0"/>
              <w:right w:val="single" w:color="auto" w:sz="4" w:space="0"/>
            </w:tcBorders>
            <w:vAlign w:val="center"/>
          </w:tcPr>
          <w:p w14:paraId="259B63D4">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地下水管理条例内容</w:t>
            </w:r>
          </w:p>
        </w:tc>
        <w:tc>
          <w:tcPr>
            <w:tcW w:w="3471" w:type="dxa"/>
            <w:tcBorders>
              <w:top w:val="single" w:color="auto" w:sz="4" w:space="0"/>
              <w:left w:val="single" w:color="auto" w:sz="4" w:space="0"/>
              <w:bottom w:val="single" w:color="auto" w:sz="4" w:space="0"/>
              <w:right w:val="single" w:color="auto" w:sz="4" w:space="0"/>
            </w:tcBorders>
            <w:vAlign w:val="center"/>
          </w:tcPr>
          <w:p w14:paraId="6CD2F942">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项目情况</w:t>
            </w:r>
          </w:p>
        </w:tc>
        <w:tc>
          <w:tcPr>
            <w:tcW w:w="1145" w:type="dxa"/>
            <w:tcBorders>
              <w:top w:val="single" w:color="auto" w:sz="4" w:space="0"/>
              <w:left w:val="single" w:color="auto" w:sz="4" w:space="0"/>
              <w:bottom w:val="single" w:color="auto" w:sz="4" w:space="0"/>
              <w:right w:val="single" w:color="auto" w:sz="4" w:space="0"/>
            </w:tcBorders>
            <w:vAlign w:val="center"/>
          </w:tcPr>
          <w:p w14:paraId="032FDB18">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符合性</w:t>
            </w:r>
          </w:p>
        </w:tc>
      </w:tr>
      <w:tr w14:paraId="2725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14:paraId="1FB7CF8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3922" w:type="dxa"/>
            <w:tcBorders>
              <w:top w:val="single" w:color="auto" w:sz="4" w:space="0"/>
              <w:left w:val="single" w:color="auto" w:sz="4" w:space="0"/>
              <w:bottom w:val="single" w:color="auto" w:sz="4" w:space="0"/>
              <w:right w:val="single" w:color="auto" w:sz="4" w:space="0"/>
            </w:tcBorders>
            <w:vAlign w:val="center"/>
          </w:tcPr>
          <w:p w14:paraId="34D265E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第四十条</w:t>
            </w:r>
            <w:r>
              <w:rPr>
                <w:rFonts w:hint="default" w:ascii="Times New Roman" w:hAnsi="Times New Roman" w:cs="Times New Roman"/>
                <w:color w:val="auto"/>
                <w:sz w:val="18"/>
                <w:szCs w:val="18"/>
                <w:highlight w:val="none"/>
                <w:lang w:val="en-US" w:eastAsia="zh-CN"/>
              </w:rPr>
              <w:t xml:space="preserve">  </w:t>
            </w:r>
            <w:r>
              <w:rPr>
                <w:rFonts w:hint="default" w:ascii="Times New Roman" w:hAnsi="Times New Roman" w:cs="Times New Roman"/>
                <w:color w:val="auto"/>
                <w:sz w:val="18"/>
                <w:szCs w:val="18"/>
                <w:highlight w:val="none"/>
              </w:rPr>
              <w:t>禁止下列污染或者可能污染地下水的行为：（一）利用渗井、渗坑、裂隙、溶洞以及私设暗管等逃避监管的方式排放水污染物；（二）利用岩层孔隙、裂隙、溶洞、废弃矿坑等贮存石化原料及产品、农药、危险废物、城镇污水处理设施产生的污泥和处理后的污泥或者其他有毒有害物质；</w:t>
            </w:r>
          </w:p>
          <w:p w14:paraId="4143FCE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（三）利用无防渗漏措施的沟渠、坑塘等输送或者贮存含有毒污染物的废水、含病原体的污水和其他废弃物；</w:t>
            </w:r>
          </w:p>
          <w:p w14:paraId="1B63342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（四）法律、法规禁止的其他污染或者可能污染地下水的行为。</w:t>
            </w:r>
          </w:p>
        </w:tc>
        <w:tc>
          <w:tcPr>
            <w:tcW w:w="3471" w:type="dxa"/>
            <w:tcBorders>
              <w:top w:val="single" w:color="auto" w:sz="4" w:space="0"/>
              <w:left w:val="single" w:color="auto" w:sz="4" w:space="0"/>
              <w:bottom w:val="single" w:color="auto" w:sz="4" w:space="0"/>
              <w:right w:val="single" w:color="auto" w:sz="4" w:space="0"/>
            </w:tcBorders>
            <w:vAlign w:val="center"/>
          </w:tcPr>
          <w:p w14:paraId="689E13A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项目设置雨污分流，</w:t>
            </w:r>
            <w:r>
              <w:rPr>
                <w:rFonts w:hint="default" w:ascii="Times New Roman" w:hAnsi="Times New Roman" w:cs="Times New Roman"/>
                <w:color w:val="auto"/>
                <w:sz w:val="18"/>
                <w:szCs w:val="18"/>
                <w:highlight w:val="none"/>
                <w:lang w:val="en-US" w:eastAsia="zh-CN"/>
              </w:rPr>
              <w:t>尿液和粪便经</w:t>
            </w:r>
            <w:r>
              <w:rPr>
                <w:rFonts w:hint="default" w:ascii="Times New Roman" w:hAnsi="Times New Roman" w:cs="Times New Roman"/>
                <w:color w:val="auto"/>
                <w:sz w:val="18"/>
                <w:szCs w:val="18"/>
                <w:highlight w:val="none"/>
              </w:rPr>
              <w:t>漏缝地板</w:t>
            </w:r>
            <w:r>
              <w:rPr>
                <w:rFonts w:hint="default" w:ascii="Times New Roman" w:hAnsi="Times New Roman" w:cs="Times New Roman"/>
                <w:color w:val="auto"/>
                <w:sz w:val="18"/>
                <w:szCs w:val="18"/>
                <w:highlight w:val="none"/>
                <w:lang w:val="en-US" w:eastAsia="zh-CN"/>
              </w:rPr>
              <w:t>进入猪舍下方粪尿收集池后先进行固液分离，粪便进行堆肥发酵，尿液进入废水收集池，依托弥勒温氏畜牧有限公司新哨种猪场建设项目污水处理站处理后用于绿化及农田灌溉。</w:t>
            </w:r>
            <w:r>
              <w:rPr>
                <w:rFonts w:hint="default" w:ascii="Times New Roman" w:hAnsi="Times New Roman" w:cs="Times New Roman"/>
                <w:color w:val="auto"/>
                <w:sz w:val="18"/>
                <w:szCs w:val="18"/>
                <w:highlight w:val="none"/>
              </w:rPr>
              <w:t>经过无害化处理后的粪便用于周边农田施肥，实现资源化利用，此外，</w:t>
            </w:r>
            <w:r>
              <w:rPr>
                <w:rFonts w:hint="default" w:ascii="Times New Roman" w:hAnsi="Times New Roman" w:cs="Times New Roman"/>
                <w:color w:val="auto"/>
                <w:sz w:val="18"/>
                <w:szCs w:val="18"/>
                <w:highlight w:val="none"/>
                <w:lang w:eastAsia="zh-CN"/>
              </w:rPr>
              <w:t>粪污</w:t>
            </w:r>
            <w:r>
              <w:rPr>
                <w:rFonts w:hint="default" w:ascii="Times New Roman" w:hAnsi="Times New Roman" w:cs="Times New Roman"/>
                <w:color w:val="auto"/>
                <w:sz w:val="18"/>
                <w:szCs w:val="18"/>
                <w:highlight w:val="none"/>
              </w:rPr>
              <w:t>处理区按照重点防渗要求建设，可以满足防渗要求。</w:t>
            </w:r>
          </w:p>
        </w:tc>
        <w:tc>
          <w:tcPr>
            <w:tcW w:w="1145" w:type="dxa"/>
            <w:tcBorders>
              <w:top w:val="single" w:color="auto" w:sz="4" w:space="0"/>
              <w:left w:val="single" w:color="auto" w:sz="4" w:space="0"/>
              <w:bottom w:val="single" w:color="auto" w:sz="4" w:space="0"/>
              <w:right w:val="single" w:color="auto" w:sz="4" w:space="0"/>
            </w:tcBorders>
            <w:vAlign w:val="center"/>
          </w:tcPr>
          <w:p w14:paraId="4221555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1F27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14:paraId="5F3082D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c>
          <w:tcPr>
            <w:tcW w:w="3922" w:type="dxa"/>
            <w:tcBorders>
              <w:top w:val="single" w:color="auto" w:sz="4" w:space="0"/>
              <w:left w:val="single" w:color="auto" w:sz="4" w:space="0"/>
              <w:bottom w:val="single" w:color="auto" w:sz="4" w:space="0"/>
              <w:right w:val="single" w:color="auto" w:sz="4" w:space="0"/>
            </w:tcBorders>
            <w:vAlign w:val="center"/>
          </w:tcPr>
          <w:p w14:paraId="3C23081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第四十二条</w:t>
            </w:r>
            <w:r>
              <w:rPr>
                <w:rFonts w:hint="default" w:ascii="Times New Roman" w:hAnsi="Times New Roman" w:cs="Times New Roman"/>
                <w:color w:val="auto"/>
                <w:sz w:val="18"/>
                <w:szCs w:val="18"/>
                <w:highlight w:val="none"/>
                <w:lang w:val="en-US" w:eastAsia="zh-CN"/>
              </w:rPr>
              <w:t xml:space="preserve">  </w:t>
            </w:r>
            <w:r>
              <w:rPr>
                <w:rFonts w:hint="default" w:ascii="Times New Roman" w:hAnsi="Times New Roman" w:cs="Times New Roman"/>
                <w:color w:val="auto"/>
                <w:sz w:val="18"/>
                <w:szCs w:val="18"/>
                <w:highlight w:val="none"/>
              </w:rPr>
              <w:t>在泉域保护范围以及岩溶强发育、存在较多落水洞和岩溶漏斗的区域内，不得新建、改建、扩建可能造成地下水污染的建设项目。</w:t>
            </w:r>
          </w:p>
        </w:tc>
        <w:tc>
          <w:tcPr>
            <w:tcW w:w="3471" w:type="dxa"/>
            <w:tcBorders>
              <w:top w:val="single" w:color="auto" w:sz="4" w:space="0"/>
              <w:left w:val="single" w:color="auto" w:sz="4" w:space="0"/>
              <w:bottom w:val="single" w:color="auto" w:sz="4" w:space="0"/>
              <w:right w:val="single" w:color="auto" w:sz="4" w:space="0"/>
            </w:tcBorders>
            <w:vAlign w:val="center"/>
          </w:tcPr>
          <w:p w14:paraId="1A45F42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根据水文地质资料，项目区地层为T</w:t>
            </w:r>
            <w:r>
              <w:rPr>
                <w:rFonts w:hint="default" w:ascii="Times New Roman" w:hAnsi="Times New Roman" w:cs="Times New Roman"/>
                <w:color w:val="auto"/>
                <w:sz w:val="18"/>
                <w:szCs w:val="18"/>
                <w:highlight w:val="none"/>
                <w:vertAlign w:val="subscript"/>
              </w:rPr>
              <w:t>2</w:t>
            </w:r>
            <w:r>
              <w:rPr>
                <w:rFonts w:hint="default" w:ascii="Times New Roman" w:hAnsi="Times New Roman" w:cs="Times New Roman"/>
                <w:color w:val="auto"/>
                <w:sz w:val="18"/>
                <w:szCs w:val="18"/>
                <w:highlight w:val="none"/>
              </w:rPr>
              <w:t>g</w:t>
            </w:r>
            <w:r>
              <w:rPr>
                <w:rFonts w:hint="default" w:ascii="Times New Roman" w:hAnsi="Times New Roman" w:cs="Times New Roman"/>
                <w:color w:val="auto"/>
                <w:sz w:val="18"/>
                <w:szCs w:val="18"/>
                <w:highlight w:val="none"/>
                <w:vertAlign w:val="superscript"/>
              </w:rPr>
              <w:t>d</w:t>
            </w:r>
            <w:r>
              <w:rPr>
                <w:rFonts w:hint="default" w:ascii="Times New Roman" w:hAnsi="Times New Roman" w:cs="Times New Roman"/>
                <w:color w:val="auto"/>
                <w:sz w:val="18"/>
                <w:szCs w:val="18"/>
                <w:highlight w:val="none"/>
              </w:rPr>
              <w:t>，</w:t>
            </w:r>
            <w:r>
              <w:rPr>
                <w:rFonts w:hint="default" w:ascii="Times New Roman" w:hAnsi="Times New Roman" w:cs="Times New Roman"/>
                <w:bCs/>
                <w:color w:val="auto"/>
                <w:sz w:val="18"/>
                <w:szCs w:val="18"/>
                <w:highlight w:val="none"/>
              </w:rPr>
              <w:t>场地下伏基岩岩性较单一，为中等风化灰岩，岩石强度较好，岩溶形态以溶蚀裂隙为主，主要沿垂向发育延伸，根据调查地表见溶蚀裂隙宽5～10cm，延深0.5～1m，未见岩溶塌陷及漏斗，溶沟、溶槽较发育，溶隙中多为粘土充填，根据钻孔揭露基岩面起伏较小，未见溶洞、溶隙发育，总体岩溶发育，场地岩溶发育程度总体为</w:t>
            </w:r>
            <w:r>
              <w:rPr>
                <w:rFonts w:hint="default" w:ascii="Times New Roman" w:hAnsi="Times New Roman" w:cs="Times New Roman"/>
                <w:bCs/>
                <w:color w:val="auto"/>
                <w:sz w:val="18"/>
                <w:szCs w:val="18"/>
                <w:highlight w:val="none"/>
                <w:lang w:eastAsia="zh-CN"/>
              </w:rPr>
              <w:t>中等</w:t>
            </w:r>
            <w:r>
              <w:rPr>
                <w:rFonts w:hint="default" w:ascii="Times New Roman" w:hAnsi="Times New Roman" w:cs="Times New Roman"/>
                <w:bCs/>
                <w:color w:val="auto"/>
                <w:sz w:val="18"/>
                <w:szCs w:val="18"/>
                <w:highlight w:val="none"/>
              </w:rPr>
              <w:t>发育。</w:t>
            </w:r>
          </w:p>
        </w:tc>
        <w:tc>
          <w:tcPr>
            <w:tcW w:w="1145" w:type="dxa"/>
            <w:tcBorders>
              <w:top w:val="single" w:color="auto" w:sz="4" w:space="0"/>
              <w:left w:val="single" w:color="auto" w:sz="4" w:space="0"/>
              <w:bottom w:val="single" w:color="auto" w:sz="4" w:space="0"/>
              <w:right w:val="single" w:color="auto" w:sz="4" w:space="0"/>
            </w:tcBorders>
            <w:vAlign w:val="center"/>
          </w:tcPr>
          <w:p w14:paraId="07DF1E4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14:paraId="357DE425">
      <w:pPr>
        <w:snapToGrid w:val="0"/>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综上，项目建设符合《地下水管理条例》要求。</w:t>
      </w:r>
    </w:p>
    <w:p w14:paraId="41D4591C">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69" w:name="_Toc15404"/>
      <w:r>
        <w:rPr>
          <w:rStyle w:val="35"/>
          <w:rFonts w:hint="default" w:ascii="Times New Roman" w:hAnsi="Times New Roman" w:eastAsia="宋体" w:cs="Times New Roman"/>
          <w:color w:val="auto"/>
          <w:sz w:val="24"/>
          <w:szCs w:val="24"/>
          <w:highlight w:val="none"/>
        </w:rPr>
        <w:t>7.3.1</w:t>
      </w:r>
      <w:r>
        <w:rPr>
          <w:rStyle w:val="35"/>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与《云南省生物多样性保护条例》符合性分析</w:t>
      </w:r>
      <w:bookmarkEnd w:id="369"/>
    </w:p>
    <w:p w14:paraId="6B8CFFA7">
      <w:pPr>
        <w:pStyle w:val="15"/>
        <w:rPr>
          <w:rFonts w:hint="default" w:ascii="Times New Roman" w:hAnsi="Times New Roman" w:cs="Times New Roman"/>
          <w:color w:val="auto"/>
          <w:szCs w:val="20"/>
          <w:highlight w:val="none"/>
          <w:lang w:bidi="ar"/>
        </w:rPr>
      </w:pPr>
      <w:r>
        <w:rPr>
          <w:rFonts w:hint="default" w:ascii="Times New Roman" w:hAnsi="Times New Roman" w:cs="Times New Roman"/>
          <w:color w:val="auto"/>
          <w:szCs w:val="20"/>
          <w:highlight w:val="none"/>
          <w:lang w:bidi="ar"/>
        </w:rPr>
        <w:t>2019年1月1日，云南省发布实施《云南省生物多样性保护条例》，根据《云南省生物多样性保护战略与行动计划（2021-2030年）》及叠图分析（见附图12），本项目不涉及云南省生物多样性优先保护区域。</w:t>
      </w:r>
    </w:p>
    <w:p w14:paraId="473C6532">
      <w:pPr>
        <w:pStyle w:val="15"/>
        <w:rPr>
          <w:rFonts w:hint="default" w:ascii="Times New Roman" w:hAnsi="Times New Roman" w:cs="Times New Roman"/>
          <w:color w:val="auto"/>
          <w:szCs w:val="20"/>
          <w:highlight w:val="none"/>
          <w:lang w:bidi="ar"/>
        </w:rPr>
      </w:pPr>
      <w:r>
        <w:rPr>
          <w:rFonts w:hint="default" w:ascii="Times New Roman" w:hAnsi="Times New Roman" w:cs="Times New Roman"/>
          <w:color w:val="auto"/>
          <w:szCs w:val="20"/>
          <w:highlight w:val="none"/>
          <w:lang w:bidi="ar"/>
        </w:rPr>
        <w:t>《云南省生物多样性保护条例》相关要求：</w:t>
      </w:r>
    </w:p>
    <w:p w14:paraId="1F258ED6">
      <w:pPr>
        <w:pStyle w:val="15"/>
        <w:rPr>
          <w:rFonts w:hint="default" w:ascii="Times New Roman" w:hAnsi="Times New Roman" w:cs="Times New Roman"/>
          <w:color w:val="auto"/>
          <w:szCs w:val="20"/>
          <w:highlight w:val="none"/>
          <w:lang w:bidi="ar"/>
        </w:rPr>
      </w:pPr>
      <w:r>
        <w:rPr>
          <w:rFonts w:hint="default" w:ascii="Times New Roman" w:hAnsi="Times New Roman" w:cs="Times New Roman"/>
          <w:b/>
          <w:bCs/>
          <w:color w:val="auto"/>
          <w:szCs w:val="20"/>
          <w:highlight w:val="none"/>
          <w:lang w:bidi="ar"/>
        </w:rPr>
        <w:t>第二十四条</w:t>
      </w:r>
      <w:r>
        <w:rPr>
          <w:rFonts w:hint="default" w:ascii="Times New Roman" w:hAnsi="Times New Roman" w:cs="Times New Roman"/>
          <w:color w:val="auto"/>
          <w:szCs w:val="20"/>
          <w:highlight w:val="none"/>
          <w:lang w:bidi="ar"/>
        </w:rPr>
        <w:t>任何单位和个人不得擅自向自然保护区引进外来物种。确需引进的，应当依法办理审批手续，并按照有关技术规范进行试验。</w:t>
      </w:r>
    </w:p>
    <w:p w14:paraId="20B57E36">
      <w:pPr>
        <w:pStyle w:val="15"/>
        <w:rPr>
          <w:rFonts w:hint="default" w:ascii="Times New Roman" w:hAnsi="Times New Roman" w:cs="Times New Roman"/>
          <w:color w:val="auto"/>
          <w:szCs w:val="20"/>
          <w:highlight w:val="none"/>
          <w:lang w:bidi="ar"/>
        </w:rPr>
      </w:pPr>
      <w:r>
        <w:rPr>
          <w:rFonts w:hint="default" w:ascii="Times New Roman" w:hAnsi="Times New Roman" w:cs="Times New Roman"/>
          <w:b/>
          <w:bCs/>
          <w:color w:val="auto"/>
          <w:szCs w:val="20"/>
          <w:highlight w:val="none"/>
          <w:lang w:bidi="ar"/>
        </w:rPr>
        <w:t>第二十五条</w:t>
      </w:r>
      <w:r>
        <w:rPr>
          <w:rFonts w:hint="default" w:ascii="Times New Roman" w:hAnsi="Times New Roman" w:cs="Times New Roman"/>
          <w:color w:val="auto"/>
          <w:szCs w:val="20"/>
          <w:highlight w:val="none"/>
          <w:lang w:bidi="ar"/>
        </w:rPr>
        <w:t>禁止扩散、放生或者丢弃外来入侵物种。</w:t>
      </w:r>
    </w:p>
    <w:p w14:paraId="19699643">
      <w:pPr>
        <w:pStyle w:val="15"/>
        <w:rPr>
          <w:rFonts w:hint="default" w:ascii="Times New Roman" w:hAnsi="Times New Roman" w:cs="Times New Roman"/>
          <w:color w:val="auto"/>
          <w:szCs w:val="20"/>
          <w:highlight w:val="none"/>
          <w:lang w:bidi="ar"/>
        </w:rPr>
      </w:pPr>
      <w:r>
        <w:rPr>
          <w:rFonts w:hint="default" w:ascii="Times New Roman" w:hAnsi="Times New Roman" w:cs="Times New Roman"/>
          <w:b/>
          <w:bCs/>
          <w:color w:val="auto"/>
          <w:szCs w:val="20"/>
          <w:highlight w:val="none"/>
          <w:lang w:bidi="ar"/>
        </w:rPr>
        <w:t>第二十九条</w:t>
      </w:r>
      <w:r>
        <w:rPr>
          <w:rFonts w:hint="default" w:ascii="Times New Roman" w:hAnsi="Times New Roman" w:cs="Times New Roman"/>
          <w:color w:val="auto"/>
          <w:szCs w:val="20"/>
          <w:highlight w:val="none"/>
          <w:lang w:bidi="ar"/>
        </w:rPr>
        <w:t>新建、改建、扩建建设项目以及开发自然资源，应当依法开展环境影响评价。对可能造成重要生态系统破坏、损害重要物种及其栖息地和生境的，应当制定专项保护、恢复和补偿方案，纳入环境影响评价。</w:t>
      </w:r>
    </w:p>
    <w:p w14:paraId="4D1F193F">
      <w:pPr>
        <w:pStyle w:val="15"/>
        <w:rPr>
          <w:rFonts w:hint="default" w:ascii="Times New Roman" w:hAnsi="Times New Roman" w:cs="Times New Roman"/>
          <w:b/>
          <w:bCs/>
          <w:color w:val="auto"/>
          <w:szCs w:val="20"/>
          <w:highlight w:val="none"/>
          <w:lang w:bidi="ar"/>
        </w:rPr>
      </w:pPr>
      <w:r>
        <w:rPr>
          <w:rFonts w:hint="default" w:ascii="Times New Roman" w:hAnsi="Times New Roman" w:cs="Times New Roman"/>
          <w:b/>
          <w:bCs/>
          <w:color w:val="auto"/>
          <w:szCs w:val="20"/>
          <w:highlight w:val="none"/>
          <w:lang w:bidi="ar"/>
        </w:rPr>
        <w:t>符合性分析：</w:t>
      </w:r>
    </w:p>
    <w:p w14:paraId="683F2266">
      <w:pPr>
        <w:pStyle w:val="15"/>
        <w:rPr>
          <w:rFonts w:hint="default" w:ascii="Times New Roman" w:hAnsi="Times New Roman" w:cs="Times New Roman"/>
          <w:color w:val="auto"/>
          <w:szCs w:val="20"/>
          <w:highlight w:val="none"/>
          <w:lang w:bidi="ar"/>
        </w:rPr>
      </w:pPr>
      <w:r>
        <w:rPr>
          <w:rFonts w:hint="default" w:ascii="Times New Roman" w:hAnsi="Times New Roman" w:cs="Times New Roman"/>
          <w:color w:val="auto"/>
          <w:szCs w:val="20"/>
          <w:highlight w:val="none"/>
          <w:lang w:bidi="ar"/>
        </w:rPr>
        <w:t>本项目所在区域不涉及自然保护区，养殖物种（生猪）为当地现有物种，不属于外来物种。本项目已按要求正在开展环境影响评价，并将生态环境影响纳入评价，项目对周边生态环境影响很小。综上，项目的建设符合《云南省生物多样性保护条例》的相关要求。</w:t>
      </w:r>
    </w:p>
    <w:p w14:paraId="3C557CDD">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70" w:name="_Toc21332"/>
      <w:r>
        <w:rPr>
          <w:rStyle w:val="35"/>
          <w:rFonts w:hint="default" w:ascii="Times New Roman" w:hAnsi="Times New Roman" w:eastAsia="宋体" w:cs="Times New Roman"/>
          <w:color w:val="auto"/>
          <w:sz w:val="24"/>
          <w:szCs w:val="24"/>
          <w:highlight w:val="none"/>
        </w:rPr>
        <w:t>7.3.1</w:t>
      </w:r>
      <w:r>
        <w:rPr>
          <w:rStyle w:val="35"/>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与《长江经济带发展负面清单指南（试行，2022年版）》的符合性分析</w:t>
      </w:r>
      <w:bookmarkEnd w:id="370"/>
    </w:p>
    <w:p w14:paraId="78883052">
      <w:pPr>
        <w:pStyle w:val="15"/>
        <w:ind w:firstLine="482"/>
        <w:rPr>
          <w:rFonts w:hint="default" w:ascii="Times New Roman" w:hAnsi="Times New Roman" w:cs="Times New Roman"/>
          <w:color w:val="auto"/>
          <w:szCs w:val="20"/>
          <w:highlight w:val="none"/>
          <w:lang w:bidi="ar"/>
        </w:rPr>
      </w:pPr>
      <w:r>
        <w:rPr>
          <w:rFonts w:hint="default" w:ascii="Times New Roman" w:hAnsi="Times New Roman" w:cs="Times New Roman"/>
          <w:color w:val="auto"/>
          <w:szCs w:val="20"/>
          <w:highlight w:val="none"/>
          <w:lang w:bidi="ar"/>
        </w:rPr>
        <w:t>项目与《长江经济带发展负面清单指南（试行，2022年版）》的符合性分析见表7.3-1</w:t>
      </w:r>
      <w:r>
        <w:rPr>
          <w:rFonts w:hint="default" w:ascii="Times New Roman" w:hAnsi="Times New Roman" w:cs="Times New Roman"/>
          <w:color w:val="auto"/>
          <w:szCs w:val="20"/>
          <w:highlight w:val="none"/>
          <w:lang w:val="en-US" w:eastAsia="zh-CN" w:bidi="ar"/>
        </w:rPr>
        <w:t>0</w:t>
      </w:r>
      <w:r>
        <w:rPr>
          <w:rFonts w:hint="default" w:ascii="Times New Roman" w:hAnsi="Times New Roman" w:cs="Times New Roman"/>
          <w:color w:val="auto"/>
          <w:szCs w:val="20"/>
          <w:highlight w:val="none"/>
          <w:lang w:bidi="ar"/>
        </w:rPr>
        <w:t>。</w:t>
      </w:r>
    </w:p>
    <w:p w14:paraId="25602D54">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表7.3-1</w:t>
      </w:r>
      <w:r>
        <w:rPr>
          <w:rFonts w:hint="default" w:ascii="Times New Roman" w:hAnsi="Times New Roman" w:cs="Times New Roman"/>
          <w:b/>
          <w:color w:val="auto"/>
          <w:highlight w:val="none"/>
          <w:lang w:val="en-US" w:eastAsia="zh-CN"/>
        </w:rPr>
        <w:t>0</w:t>
      </w:r>
      <w:r>
        <w:rPr>
          <w:rFonts w:hint="default" w:ascii="Times New Roman" w:hAnsi="Times New Roman" w:cs="Times New Roman"/>
          <w:b/>
          <w:color w:val="auto"/>
          <w:highlight w:val="none"/>
        </w:rPr>
        <w:t xml:space="preserve">  与</w:t>
      </w:r>
      <w:r>
        <w:rPr>
          <w:rFonts w:hint="default" w:ascii="Times New Roman" w:hAnsi="Times New Roman" w:cs="Times New Roman"/>
          <w:b/>
          <w:bCs/>
          <w:color w:val="auto"/>
          <w:highlight w:val="none"/>
        </w:rPr>
        <w:t>《长江经济带发展负面清单指南（试行，2022年版）》</w:t>
      </w:r>
      <w:r>
        <w:rPr>
          <w:rFonts w:hint="default" w:ascii="Times New Roman" w:hAnsi="Times New Roman" w:cs="Times New Roman"/>
          <w:b/>
          <w:color w:val="auto"/>
          <w:highlight w:val="none"/>
        </w:rPr>
        <w:t>符合性分析</w:t>
      </w:r>
    </w:p>
    <w:tbl>
      <w:tblPr>
        <w:tblStyle w:val="23"/>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4559"/>
        <w:gridCol w:w="2832"/>
        <w:gridCol w:w="1145"/>
      </w:tblGrid>
      <w:tr w14:paraId="6524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4" w:type="dxa"/>
            <w:vAlign w:val="center"/>
          </w:tcPr>
          <w:p w14:paraId="0DD94592">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序号</w:t>
            </w:r>
          </w:p>
        </w:tc>
        <w:tc>
          <w:tcPr>
            <w:tcW w:w="4559" w:type="dxa"/>
            <w:vAlign w:val="center"/>
          </w:tcPr>
          <w:p w14:paraId="4BB49873">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负面清单内容</w:t>
            </w:r>
          </w:p>
        </w:tc>
        <w:tc>
          <w:tcPr>
            <w:tcW w:w="2832" w:type="dxa"/>
            <w:vAlign w:val="center"/>
          </w:tcPr>
          <w:p w14:paraId="781A4E0A">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项目情况</w:t>
            </w:r>
          </w:p>
        </w:tc>
        <w:tc>
          <w:tcPr>
            <w:tcW w:w="1145" w:type="dxa"/>
            <w:vAlign w:val="center"/>
          </w:tcPr>
          <w:p w14:paraId="6CAE8B31">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符合性</w:t>
            </w:r>
          </w:p>
        </w:tc>
      </w:tr>
      <w:tr w14:paraId="1D7A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4" w:type="dxa"/>
            <w:vAlign w:val="center"/>
          </w:tcPr>
          <w:p w14:paraId="371794F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4559" w:type="dxa"/>
            <w:vAlign w:val="center"/>
          </w:tcPr>
          <w:p w14:paraId="1B53265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禁止建设不符合全国和省级港口布局规划以及港口总体规划的码头项目，禁止建设不符合《长江干线过江通道布局规划》的过长江通道项目。</w:t>
            </w:r>
          </w:p>
        </w:tc>
        <w:tc>
          <w:tcPr>
            <w:tcW w:w="2832" w:type="dxa"/>
            <w:vAlign w:val="center"/>
          </w:tcPr>
          <w:p w14:paraId="55E7535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项目为生猪养殖，不属于禁止的码头、过长江通道项目。</w:t>
            </w:r>
          </w:p>
        </w:tc>
        <w:tc>
          <w:tcPr>
            <w:tcW w:w="1145" w:type="dxa"/>
            <w:vAlign w:val="center"/>
          </w:tcPr>
          <w:p w14:paraId="2DBDA2E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7D3A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4" w:type="dxa"/>
            <w:vAlign w:val="center"/>
          </w:tcPr>
          <w:p w14:paraId="6F66EC5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c>
          <w:tcPr>
            <w:tcW w:w="4559" w:type="dxa"/>
            <w:vAlign w:val="center"/>
          </w:tcPr>
          <w:p w14:paraId="34A18B1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2832" w:type="dxa"/>
            <w:vAlign w:val="center"/>
          </w:tcPr>
          <w:p w14:paraId="626E2AC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项目位于</w:t>
            </w:r>
            <w:r>
              <w:rPr>
                <w:rFonts w:hint="default" w:ascii="Times New Roman" w:hAnsi="Times New Roman" w:cs="Times New Roman"/>
                <w:bCs/>
                <w:color w:val="auto"/>
                <w:sz w:val="18"/>
                <w:szCs w:val="18"/>
                <w:highlight w:val="none"/>
                <w:lang w:eastAsia="zh-CN"/>
              </w:rPr>
              <w:t>弥勒市新哨镇猴街居委会猴街二组东北方向横山脚</w:t>
            </w:r>
            <w:r>
              <w:rPr>
                <w:rFonts w:hint="default" w:ascii="Times New Roman" w:hAnsi="Times New Roman" w:cs="Times New Roman"/>
                <w:bCs/>
                <w:color w:val="auto"/>
                <w:sz w:val="18"/>
                <w:szCs w:val="18"/>
                <w:highlight w:val="none"/>
              </w:rPr>
              <w:t>，</w:t>
            </w:r>
            <w:r>
              <w:rPr>
                <w:rFonts w:hint="default" w:ascii="Times New Roman" w:hAnsi="Times New Roman" w:cs="Times New Roman"/>
                <w:color w:val="auto"/>
                <w:sz w:val="18"/>
                <w:szCs w:val="18"/>
                <w:highlight w:val="none"/>
              </w:rPr>
              <w:t>不涉及自然保护区，风景名胜区，不属于旅游和生产经营项目。</w:t>
            </w:r>
          </w:p>
        </w:tc>
        <w:tc>
          <w:tcPr>
            <w:tcW w:w="1145" w:type="dxa"/>
            <w:vAlign w:val="center"/>
          </w:tcPr>
          <w:p w14:paraId="0967EFB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3EAE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4" w:type="dxa"/>
            <w:vAlign w:val="center"/>
          </w:tcPr>
          <w:p w14:paraId="0BB3F1F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w:t>
            </w:r>
          </w:p>
        </w:tc>
        <w:tc>
          <w:tcPr>
            <w:tcW w:w="4559" w:type="dxa"/>
            <w:vAlign w:val="center"/>
          </w:tcPr>
          <w:p w14:paraId="7319ED1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832" w:type="dxa"/>
            <w:vAlign w:val="center"/>
          </w:tcPr>
          <w:p w14:paraId="5554425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项目饮用水水源保护区</w:t>
            </w:r>
          </w:p>
        </w:tc>
        <w:tc>
          <w:tcPr>
            <w:tcW w:w="1145" w:type="dxa"/>
            <w:vAlign w:val="center"/>
          </w:tcPr>
          <w:p w14:paraId="1B1959B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32DF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4" w:type="dxa"/>
            <w:vAlign w:val="center"/>
          </w:tcPr>
          <w:p w14:paraId="2AE328E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w:t>
            </w:r>
          </w:p>
        </w:tc>
        <w:tc>
          <w:tcPr>
            <w:tcW w:w="4559" w:type="dxa"/>
            <w:vAlign w:val="center"/>
          </w:tcPr>
          <w:p w14:paraId="207F26A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832" w:type="dxa"/>
            <w:vAlign w:val="center"/>
          </w:tcPr>
          <w:p w14:paraId="34FCBD0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项目不涉及水产种质资源保护区、不涉及国家湿地公园。</w:t>
            </w:r>
          </w:p>
        </w:tc>
        <w:tc>
          <w:tcPr>
            <w:tcW w:w="1145" w:type="dxa"/>
            <w:vAlign w:val="center"/>
          </w:tcPr>
          <w:p w14:paraId="70E579F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589F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4" w:type="dxa"/>
            <w:vAlign w:val="center"/>
          </w:tcPr>
          <w:p w14:paraId="1B24CF5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w:t>
            </w:r>
          </w:p>
        </w:tc>
        <w:tc>
          <w:tcPr>
            <w:tcW w:w="4559" w:type="dxa"/>
            <w:vAlign w:val="center"/>
          </w:tcPr>
          <w:p w14:paraId="030129B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832" w:type="dxa"/>
            <w:vAlign w:val="center"/>
          </w:tcPr>
          <w:p w14:paraId="64B4F51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项目距离甸溪河约</w:t>
            </w:r>
            <w:r>
              <w:rPr>
                <w:rFonts w:hint="default" w:ascii="Times New Roman" w:hAnsi="Times New Roman" w:cs="Times New Roman"/>
                <w:color w:val="auto"/>
                <w:sz w:val="18"/>
                <w:szCs w:val="18"/>
                <w:highlight w:val="none"/>
                <w:lang w:val="en-US" w:eastAsia="zh-CN"/>
              </w:rPr>
              <w:t>3800</w:t>
            </w:r>
            <w:r>
              <w:rPr>
                <w:rFonts w:hint="default" w:ascii="Times New Roman" w:hAnsi="Times New Roman" w:cs="Times New Roman"/>
                <w:color w:val="auto"/>
                <w:sz w:val="18"/>
                <w:szCs w:val="18"/>
                <w:highlight w:val="none"/>
              </w:rPr>
              <w:t>m，不占用长江流域河湖岸线。不涉及划定的河段及湖泊保护区、保留区。</w:t>
            </w:r>
          </w:p>
        </w:tc>
        <w:tc>
          <w:tcPr>
            <w:tcW w:w="1145" w:type="dxa"/>
            <w:vAlign w:val="center"/>
          </w:tcPr>
          <w:p w14:paraId="37645EA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7D14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4" w:type="dxa"/>
            <w:vAlign w:val="center"/>
          </w:tcPr>
          <w:p w14:paraId="2052524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w:t>
            </w:r>
          </w:p>
        </w:tc>
        <w:tc>
          <w:tcPr>
            <w:tcW w:w="4559" w:type="dxa"/>
            <w:vAlign w:val="center"/>
          </w:tcPr>
          <w:p w14:paraId="53B2F2D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禁止未经许可在长江干支流及湖泊新设、改设或扩大排污口。</w:t>
            </w:r>
          </w:p>
        </w:tc>
        <w:tc>
          <w:tcPr>
            <w:tcW w:w="2832" w:type="dxa"/>
            <w:vAlign w:val="center"/>
          </w:tcPr>
          <w:p w14:paraId="593AEA9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项目不设置入河排污口。</w:t>
            </w:r>
          </w:p>
        </w:tc>
        <w:tc>
          <w:tcPr>
            <w:tcW w:w="1145" w:type="dxa"/>
            <w:vAlign w:val="center"/>
          </w:tcPr>
          <w:p w14:paraId="2EF4478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2DA0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4" w:type="dxa"/>
            <w:vAlign w:val="center"/>
          </w:tcPr>
          <w:p w14:paraId="13DBF02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w:t>
            </w:r>
          </w:p>
        </w:tc>
        <w:tc>
          <w:tcPr>
            <w:tcW w:w="4559" w:type="dxa"/>
            <w:vAlign w:val="center"/>
          </w:tcPr>
          <w:p w14:paraId="3A63AFB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禁止在“一江一口两湖七河”和332个水生生物保护区开展生产性捕捞。</w:t>
            </w:r>
          </w:p>
        </w:tc>
        <w:tc>
          <w:tcPr>
            <w:tcW w:w="2832" w:type="dxa"/>
            <w:vAlign w:val="center"/>
          </w:tcPr>
          <w:p w14:paraId="38B9F5B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项目为生猪养殖，不涉及生产性捕捞。</w:t>
            </w:r>
          </w:p>
        </w:tc>
        <w:tc>
          <w:tcPr>
            <w:tcW w:w="1145" w:type="dxa"/>
            <w:vAlign w:val="center"/>
          </w:tcPr>
          <w:p w14:paraId="77ED6CD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2411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4" w:type="dxa"/>
            <w:vAlign w:val="center"/>
          </w:tcPr>
          <w:p w14:paraId="7A7F756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w:t>
            </w:r>
          </w:p>
        </w:tc>
        <w:tc>
          <w:tcPr>
            <w:tcW w:w="4559" w:type="dxa"/>
            <w:vAlign w:val="center"/>
          </w:tcPr>
          <w:p w14:paraId="02D33E3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832" w:type="dxa"/>
            <w:vAlign w:val="center"/>
          </w:tcPr>
          <w:p w14:paraId="36C5194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项目属于生猪养殖，不涉及新建化工项目、尾矿库、冶炼渣库和磷石膏库。</w:t>
            </w:r>
          </w:p>
        </w:tc>
        <w:tc>
          <w:tcPr>
            <w:tcW w:w="1145" w:type="dxa"/>
            <w:vAlign w:val="center"/>
          </w:tcPr>
          <w:p w14:paraId="151AF8D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2BD0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4" w:type="dxa"/>
            <w:vAlign w:val="center"/>
          </w:tcPr>
          <w:p w14:paraId="5990FF5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w:t>
            </w:r>
          </w:p>
        </w:tc>
        <w:tc>
          <w:tcPr>
            <w:tcW w:w="4559" w:type="dxa"/>
            <w:vAlign w:val="center"/>
          </w:tcPr>
          <w:p w14:paraId="15F0C9E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禁止在合规园区外新建、扩建钢铁、石化、化工、焦化、建材、有色、制浆造纸等高污染项目。</w:t>
            </w:r>
          </w:p>
        </w:tc>
        <w:tc>
          <w:tcPr>
            <w:tcW w:w="2832" w:type="dxa"/>
            <w:vAlign w:val="center"/>
          </w:tcPr>
          <w:p w14:paraId="04A384A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项目属于生猪养殖，不涉及高污染项目。</w:t>
            </w:r>
          </w:p>
        </w:tc>
        <w:tc>
          <w:tcPr>
            <w:tcW w:w="1145" w:type="dxa"/>
            <w:vAlign w:val="center"/>
          </w:tcPr>
          <w:p w14:paraId="65668FD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202F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4" w:type="dxa"/>
            <w:vAlign w:val="center"/>
          </w:tcPr>
          <w:p w14:paraId="5E02152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4559" w:type="dxa"/>
            <w:vAlign w:val="center"/>
          </w:tcPr>
          <w:p w14:paraId="5ED93C0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禁止新建、扩建不符合国家石化、现代煤化工等产业布局规划的项目。</w:t>
            </w:r>
          </w:p>
        </w:tc>
        <w:tc>
          <w:tcPr>
            <w:tcW w:w="2832" w:type="dxa"/>
            <w:vAlign w:val="center"/>
          </w:tcPr>
          <w:p w14:paraId="48E83ED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项目属于生猪养殖，属于产业政策鼓励类。</w:t>
            </w:r>
          </w:p>
        </w:tc>
        <w:tc>
          <w:tcPr>
            <w:tcW w:w="1145" w:type="dxa"/>
            <w:vAlign w:val="center"/>
          </w:tcPr>
          <w:p w14:paraId="6063DB4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1CB6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4" w:type="dxa"/>
            <w:vAlign w:val="center"/>
          </w:tcPr>
          <w:p w14:paraId="10C93A4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w:t>
            </w:r>
          </w:p>
        </w:tc>
        <w:tc>
          <w:tcPr>
            <w:tcW w:w="4559" w:type="dxa"/>
            <w:vAlign w:val="center"/>
          </w:tcPr>
          <w:p w14:paraId="1A78B8A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2832" w:type="dxa"/>
            <w:vAlign w:val="center"/>
          </w:tcPr>
          <w:p w14:paraId="610EB41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项目属于生猪养殖，属于产业政策鼓励类。</w:t>
            </w:r>
          </w:p>
        </w:tc>
        <w:tc>
          <w:tcPr>
            <w:tcW w:w="1145" w:type="dxa"/>
            <w:vAlign w:val="center"/>
          </w:tcPr>
          <w:p w14:paraId="63813F2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14:paraId="6ED91A61">
      <w:pPr>
        <w:pStyle w:val="15"/>
        <w:rPr>
          <w:rFonts w:hint="default" w:ascii="Times New Roman" w:hAnsi="Times New Roman" w:cs="Times New Roman"/>
          <w:color w:val="auto"/>
          <w:szCs w:val="20"/>
          <w:highlight w:val="none"/>
          <w:lang w:bidi="ar"/>
        </w:rPr>
      </w:pPr>
      <w:r>
        <w:rPr>
          <w:rFonts w:hint="default" w:ascii="Times New Roman" w:hAnsi="Times New Roman" w:cs="Times New Roman"/>
          <w:bCs/>
          <w:color w:val="auto"/>
          <w:szCs w:val="20"/>
          <w:highlight w:val="none"/>
          <w:lang w:bidi="ar"/>
        </w:rPr>
        <w:t>根据上表分析，本项目建设与《长江经济带发展负</w:t>
      </w:r>
      <w:r>
        <w:rPr>
          <w:rFonts w:hint="eastAsia" w:ascii="Times New Roman" w:hAnsi="Times New Roman" w:cs="Times New Roman"/>
          <w:bCs/>
          <w:color w:val="auto"/>
          <w:szCs w:val="20"/>
          <w:highlight w:val="none"/>
          <w:lang w:val="en-US" w:eastAsia="zh-CN" w:bidi="ar"/>
        </w:rPr>
        <w:t>面</w:t>
      </w:r>
      <w:r>
        <w:rPr>
          <w:rFonts w:hint="default" w:ascii="Times New Roman" w:hAnsi="Times New Roman" w:cs="Times New Roman"/>
          <w:bCs/>
          <w:color w:val="auto"/>
          <w:szCs w:val="20"/>
          <w:highlight w:val="none"/>
          <w:lang w:bidi="ar"/>
        </w:rPr>
        <w:t>清单指南（试行，2022年版）》长江办〔2022〕7号相符。</w:t>
      </w:r>
    </w:p>
    <w:p w14:paraId="410F6FC4">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71" w:name="_Toc20567"/>
      <w:r>
        <w:rPr>
          <w:rStyle w:val="35"/>
          <w:rFonts w:hint="default" w:ascii="Times New Roman" w:hAnsi="Times New Roman" w:eastAsia="宋体" w:cs="Times New Roman"/>
          <w:color w:val="auto"/>
          <w:sz w:val="24"/>
          <w:szCs w:val="24"/>
          <w:highlight w:val="none"/>
        </w:rPr>
        <w:t>7.3.1</w:t>
      </w:r>
      <w:r>
        <w:rPr>
          <w:rStyle w:val="35"/>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与《云南省长江经济带发展负面清单指南实施细则（试行，2022年版）》的符合性分析</w:t>
      </w:r>
      <w:bookmarkEnd w:id="371"/>
    </w:p>
    <w:p w14:paraId="1B28D499">
      <w:pPr>
        <w:pStyle w:val="15"/>
        <w:rPr>
          <w:rFonts w:hint="default" w:ascii="Times New Roman" w:hAnsi="Times New Roman" w:cs="Times New Roman"/>
          <w:color w:val="auto"/>
          <w:szCs w:val="20"/>
          <w:highlight w:val="none"/>
          <w:lang w:bidi="ar"/>
        </w:rPr>
      </w:pPr>
      <w:r>
        <w:rPr>
          <w:rFonts w:hint="default" w:ascii="Times New Roman" w:hAnsi="Times New Roman" w:cs="Times New Roman"/>
          <w:color w:val="auto"/>
          <w:szCs w:val="20"/>
          <w:highlight w:val="none"/>
          <w:lang w:bidi="ar"/>
        </w:rPr>
        <w:t>云南省推动长江经济带发展领导小组办公室发布了《云南省长江经济带发展负面清单指南实施细则（试行，2022年版）》，项目与其符合性分析见表7.3-1</w:t>
      </w:r>
      <w:r>
        <w:rPr>
          <w:rFonts w:hint="default" w:ascii="Times New Roman" w:hAnsi="Times New Roman" w:cs="Times New Roman"/>
          <w:color w:val="auto"/>
          <w:szCs w:val="20"/>
          <w:highlight w:val="none"/>
          <w:lang w:val="en-US" w:eastAsia="zh-CN" w:bidi="ar"/>
        </w:rPr>
        <w:t>1</w:t>
      </w:r>
      <w:r>
        <w:rPr>
          <w:rFonts w:hint="default" w:ascii="Times New Roman" w:hAnsi="Times New Roman" w:cs="Times New Roman"/>
          <w:color w:val="auto"/>
          <w:szCs w:val="20"/>
          <w:highlight w:val="none"/>
          <w:lang w:bidi="ar"/>
        </w:rPr>
        <w:t>。</w:t>
      </w:r>
    </w:p>
    <w:p w14:paraId="3B4E3E3A">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表7.3-1</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 xml:space="preserve"> 与《云南省长江经济带发展负面清单指南实施细则（试行，2022年版）》符合性分析</w:t>
      </w:r>
    </w:p>
    <w:tbl>
      <w:tblPr>
        <w:tblStyle w:val="2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8"/>
        <w:gridCol w:w="2860"/>
        <w:gridCol w:w="988"/>
      </w:tblGrid>
      <w:tr w14:paraId="485A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438" w:type="dxa"/>
            <w:tcBorders>
              <w:top w:val="single" w:color="auto" w:sz="4" w:space="0"/>
              <w:left w:val="single" w:color="auto" w:sz="4" w:space="0"/>
              <w:bottom w:val="single" w:color="auto" w:sz="4" w:space="0"/>
              <w:right w:val="single" w:color="auto" w:sz="4" w:space="0"/>
            </w:tcBorders>
            <w:vAlign w:val="center"/>
          </w:tcPr>
          <w:p w14:paraId="0705650F">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相关要求</w:t>
            </w:r>
          </w:p>
        </w:tc>
        <w:tc>
          <w:tcPr>
            <w:tcW w:w="2860" w:type="dxa"/>
            <w:tcBorders>
              <w:top w:val="single" w:color="auto" w:sz="4" w:space="0"/>
              <w:left w:val="single" w:color="auto" w:sz="4" w:space="0"/>
              <w:bottom w:val="single" w:color="auto" w:sz="4" w:space="0"/>
              <w:right w:val="single" w:color="auto" w:sz="4" w:space="0"/>
            </w:tcBorders>
            <w:vAlign w:val="center"/>
          </w:tcPr>
          <w:p w14:paraId="6D71B0E4">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项目情况</w:t>
            </w:r>
          </w:p>
        </w:tc>
        <w:tc>
          <w:tcPr>
            <w:tcW w:w="988" w:type="dxa"/>
            <w:tcBorders>
              <w:top w:val="single" w:color="auto" w:sz="4" w:space="0"/>
              <w:left w:val="single" w:color="auto" w:sz="4" w:space="0"/>
              <w:bottom w:val="single" w:color="auto" w:sz="4" w:space="0"/>
              <w:right w:val="single" w:color="auto" w:sz="4" w:space="0"/>
            </w:tcBorders>
            <w:vAlign w:val="center"/>
          </w:tcPr>
          <w:p w14:paraId="12BAF466">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符合性</w:t>
            </w:r>
          </w:p>
        </w:tc>
      </w:tr>
      <w:tr w14:paraId="10AD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438" w:type="dxa"/>
            <w:tcBorders>
              <w:top w:val="single" w:color="auto" w:sz="4" w:space="0"/>
              <w:left w:val="single" w:color="auto" w:sz="4" w:space="0"/>
              <w:bottom w:val="single" w:color="auto" w:sz="4" w:space="0"/>
              <w:right w:val="single" w:color="auto" w:sz="4" w:space="0"/>
            </w:tcBorders>
            <w:vAlign w:val="center"/>
          </w:tcPr>
          <w:p w14:paraId="4D568AE2">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禁止新建、改建和扩建不符合《全国内河航道与港口布局规划》等全国港口规划和《昭通市港口码头岸线规划(金沙江段2019年-2035年)》、《景洪港总体规划(2019-2035年 )》等州(市)级以上港口布局规划以及港口总体规划的码头项目</w:t>
            </w:r>
          </w:p>
        </w:tc>
        <w:tc>
          <w:tcPr>
            <w:tcW w:w="2860" w:type="dxa"/>
            <w:tcBorders>
              <w:top w:val="single" w:color="auto" w:sz="4" w:space="0"/>
              <w:left w:val="single" w:color="auto" w:sz="4" w:space="0"/>
              <w:bottom w:val="single" w:color="auto" w:sz="4" w:space="0"/>
              <w:right w:val="single" w:color="auto" w:sz="4" w:space="0"/>
            </w:tcBorders>
            <w:vAlign w:val="center"/>
          </w:tcPr>
          <w:p w14:paraId="2F513B5E">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本项目为生猪养殖，</w:t>
            </w:r>
            <w:r>
              <w:rPr>
                <w:rFonts w:hint="default" w:ascii="Times New Roman" w:hAnsi="Times New Roman" w:cs="Times New Roman"/>
                <w:bCs/>
                <w:color w:val="auto"/>
                <w:sz w:val="18"/>
                <w:szCs w:val="18"/>
                <w:highlight w:val="none"/>
              </w:rPr>
              <w:t>位于</w:t>
            </w:r>
            <w:r>
              <w:rPr>
                <w:rFonts w:hint="default" w:ascii="Times New Roman" w:hAnsi="Times New Roman" w:cs="Times New Roman"/>
                <w:bCs/>
                <w:color w:val="auto"/>
                <w:sz w:val="18"/>
                <w:szCs w:val="18"/>
                <w:highlight w:val="none"/>
                <w:lang w:eastAsia="zh-CN"/>
              </w:rPr>
              <w:t>弥勒市新哨镇猴街居委会猴街二组东北方向横山脚</w:t>
            </w:r>
            <w:r>
              <w:rPr>
                <w:rFonts w:hint="default" w:ascii="Times New Roman" w:hAnsi="Times New Roman" w:cs="Times New Roman"/>
                <w:color w:val="auto"/>
                <w:sz w:val="18"/>
                <w:szCs w:val="18"/>
                <w:highlight w:val="none"/>
              </w:rPr>
              <w:t>，不属于上述区域列出的省内港口布局规划禁止建设的码头项目</w:t>
            </w:r>
          </w:p>
        </w:tc>
        <w:tc>
          <w:tcPr>
            <w:tcW w:w="988" w:type="dxa"/>
            <w:tcBorders>
              <w:top w:val="single" w:color="auto" w:sz="4" w:space="0"/>
              <w:left w:val="single" w:color="auto" w:sz="4" w:space="0"/>
              <w:bottom w:val="single" w:color="auto" w:sz="4" w:space="0"/>
              <w:right w:val="single" w:color="auto" w:sz="4" w:space="0"/>
            </w:tcBorders>
            <w:vAlign w:val="center"/>
          </w:tcPr>
          <w:p w14:paraId="3A46FE51">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1FBA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438" w:type="dxa"/>
            <w:tcBorders>
              <w:top w:val="single" w:color="auto" w:sz="4" w:space="0"/>
              <w:left w:val="single" w:color="auto" w:sz="4" w:space="0"/>
              <w:bottom w:val="single" w:color="auto" w:sz="4" w:space="0"/>
              <w:right w:val="single" w:color="auto" w:sz="4" w:space="0"/>
            </w:tcBorders>
            <w:vAlign w:val="center"/>
          </w:tcPr>
          <w:p w14:paraId="7FBCB978">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 者景观的生产设施</w:t>
            </w:r>
          </w:p>
        </w:tc>
        <w:tc>
          <w:tcPr>
            <w:tcW w:w="2860" w:type="dxa"/>
            <w:tcBorders>
              <w:top w:val="single" w:color="auto" w:sz="4" w:space="0"/>
              <w:left w:val="single" w:color="auto" w:sz="4" w:space="0"/>
              <w:bottom w:val="single" w:color="auto" w:sz="4" w:space="0"/>
              <w:right w:val="single" w:color="auto" w:sz="4" w:space="0"/>
            </w:tcBorders>
            <w:vAlign w:val="center"/>
          </w:tcPr>
          <w:p w14:paraId="3AFFF10A">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本项目不涉及自然保护区</w:t>
            </w:r>
          </w:p>
        </w:tc>
        <w:tc>
          <w:tcPr>
            <w:tcW w:w="988" w:type="dxa"/>
            <w:tcBorders>
              <w:top w:val="single" w:color="auto" w:sz="4" w:space="0"/>
              <w:left w:val="single" w:color="auto" w:sz="4" w:space="0"/>
              <w:bottom w:val="single" w:color="auto" w:sz="4" w:space="0"/>
              <w:right w:val="single" w:color="auto" w:sz="4" w:space="0"/>
            </w:tcBorders>
            <w:vAlign w:val="center"/>
          </w:tcPr>
          <w:p w14:paraId="77E7BAF6">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1727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438" w:type="dxa"/>
            <w:tcBorders>
              <w:top w:val="single" w:color="auto" w:sz="4" w:space="0"/>
              <w:left w:val="single" w:color="auto" w:sz="4" w:space="0"/>
              <w:bottom w:val="single" w:color="auto" w:sz="4" w:space="0"/>
              <w:right w:val="single" w:color="auto" w:sz="4" w:space="0"/>
            </w:tcBorders>
            <w:vAlign w:val="center"/>
          </w:tcPr>
          <w:p w14:paraId="242FE38A">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禁止在风景名胜区核心景区的岸线和河段范围内投资建设与风景名胜资源保护无关的项目。禁止在风景名胜区内进行开山、采石、开矿、开荒、修坟立碑等破坏景观、植被和地形地貌的活动以及修建储存 爆炸性、易燃性、放射性、毒害性、腐蚀性物品的设施；禁止在风景名胜区内设立开发区和在核心景区内 建设宾馆、会议、培训中心、疗养院以及与风景名胜资源保护无关的投资建设项目</w:t>
            </w:r>
          </w:p>
        </w:tc>
        <w:tc>
          <w:tcPr>
            <w:tcW w:w="2860" w:type="dxa"/>
            <w:tcBorders>
              <w:top w:val="single" w:color="auto" w:sz="4" w:space="0"/>
              <w:left w:val="single" w:color="auto" w:sz="4" w:space="0"/>
              <w:bottom w:val="single" w:color="auto" w:sz="4" w:space="0"/>
              <w:right w:val="single" w:color="auto" w:sz="4" w:space="0"/>
            </w:tcBorders>
            <w:vAlign w:val="center"/>
          </w:tcPr>
          <w:p w14:paraId="215FE03D">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本项目不涉及风景名胜区</w:t>
            </w:r>
          </w:p>
        </w:tc>
        <w:tc>
          <w:tcPr>
            <w:tcW w:w="988" w:type="dxa"/>
            <w:tcBorders>
              <w:top w:val="single" w:color="auto" w:sz="4" w:space="0"/>
              <w:left w:val="single" w:color="auto" w:sz="4" w:space="0"/>
              <w:bottom w:val="single" w:color="auto" w:sz="4" w:space="0"/>
              <w:right w:val="single" w:color="auto" w:sz="4" w:space="0"/>
            </w:tcBorders>
            <w:vAlign w:val="center"/>
          </w:tcPr>
          <w:p w14:paraId="4D43ADFC">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02FD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438" w:type="dxa"/>
            <w:tcBorders>
              <w:top w:val="single" w:color="auto" w:sz="4" w:space="0"/>
              <w:left w:val="single" w:color="auto" w:sz="4" w:space="0"/>
              <w:bottom w:val="single" w:color="auto" w:sz="4" w:space="0"/>
              <w:right w:val="single" w:color="auto" w:sz="4" w:space="0"/>
            </w:tcBorders>
            <w:vAlign w:val="center"/>
          </w:tcPr>
          <w:p w14:paraId="219609B2">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禁止在饮用水水源一级保护区的岸线和河段范围内新建、改建、扩建与供水设施和保护水源无关与自然保护区保护方向不一致的旅游项目。禁止在自然 保护区内进行开矿、采石、挖沙等活动。禁止在自然保护区的核心区和缓冲区内建设任何生产设施，禁止在自然保护区的实验区内建设污染环境、破坏资源或者景观的生产设施</w:t>
            </w:r>
          </w:p>
        </w:tc>
        <w:tc>
          <w:tcPr>
            <w:tcW w:w="2860" w:type="dxa"/>
            <w:tcBorders>
              <w:top w:val="single" w:color="auto" w:sz="4" w:space="0"/>
              <w:left w:val="single" w:color="auto" w:sz="4" w:space="0"/>
              <w:bottom w:val="single" w:color="auto" w:sz="4" w:space="0"/>
              <w:right w:val="single" w:color="auto" w:sz="4" w:space="0"/>
            </w:tcBorders>
            <w:vAlign w:val="center"/>
          </w:tcPr>
          <w:p w14:paraId="515142D9">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w:t>
            </w:r>
            <w:r>
              <w:rPr>
                <w:rFonts w:hint="default" w:ascii="Times New Roman" w:hAnsi="Times New Roman" w:cs="Times New Roman"/>
                <w:color w:val="auto"/>
                <w:sz w:val="18"/>
                <w:szCs w:val="18"/>
                <w:highlight w:val="none"/>
                <w:lang w:val="en-US" w:eastAsia="zh-CN"/>
              </w:rPr>
              <w:t>不涉及</w:t>
            </w:r>
            <w:r>
              <w:rPr>
                <w:rFonts w:hint="default" w:ascii="Times New Roman" w:hAnsi="Times New Roman" w:cs="Times New Roman"/>
                <w:color w:val="auto"/>
                <w:sz w:val="18"/>
                <w:szCs w:val="18"/>
                <w:highlight w:val="none"/>
              </w:rPr>
              <w:t>饮用水水源保护区</w:t>
            </w:r>
          </w:p>
        </w:tc>
        <w:tc>
          <w:tcPr>
            <w:tcW w:w="988" w:type="dxa"/>
            <w:tcBorders>
              <w:top w:val="single" w:color="auto" w:sz="4" w:space="0"/>
              <w:left w:val="single" w:color="auto" w:sz="4" w:space="0"/>
              <w:bottom w:val="single" w:color="auto" w:sz="4" w:space="0"/>
              <w:right w:val="single" w:color="auto" w:sz="4" w:space="0"/>
            </w:tcBorders>
            <w:vAlign w:val="center"/>
          </w:tcPr>
          <w:p w14:paraId="06F9AE68">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462C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438" w:type="dxa"/>
            <w:tcBorders>
              <w:top w:val="single" w:color="auto" w:sz="4" w:space="0"/>
              <w:left w:val="single" w:color="auto" w:sz="4" w:space="0"/>
              <w:bottom w:val="single" w:color="auto" w:sz="4" w:space="0"/>
              <w:right w:val="single" w:color="auto" w:sz="4" w:space="0"/>
            </w:tcBorders>
            <w:vAlign w:val="center"/>
          </w:tcPr>
          <w:p w14:paraId="2B384D19">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在水产种质资源保护区的岸线和河段范围内新建围湖造田、围湖造田或围填海等投资建设项目。禁止擅自征收、占用国家湿地公园的土地；禁止在国家湿地公园内挖沙、采矿，以及建设度假村、高尔夫球场等任何不符合主体功能定位的投资建设项目</w:t>
            </w:r>
          </w:p>
        </w:tc>
        <w:tc>
          <w:tcPr>
            <w:tcW w:w="2860" w:type="dxa"/>
            <w:tcBorders>
              <w:top w:val="single" w:color="auto" w:sz="4" w:space="0"/>
              <w:left w:val="single" w:color="auto" w:sz="4" w:space="0"/>
              <w:bottom w:val="single" w:color="auto" w:sz="4" w:space="0"/>
              <w:right w:val="single" w:color="auto" w:sz="4" w:space="0"/>
            </w:tcBorders>
            <w:vAlign w:val="center"/>
          </w:tcPr>
          <w:p w14:paraId="1B300B80">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本项目不涉及水产种质资源保护区</w:t>
            </w:r>
          </w:p>
        </w:tc>
        <w:tc>
          <w:tcPr>
            <w:tcW w:w="988" w:type="dxa"/>
            <w:tcBorders>
              <w:top w:val="single" w:color="auto" w:sz="4" w:space="0"/>
              <w:left w:val="single" w:color="auto" w:sz="4" w:space="0"/>
              <w:bottom w:val="single" w:color="auto" w:sz="4" w:space="0"/>
              <w:right w:val="single" w:color="auto" w:sz="4" w:space="0"/>
            </w:tcBorders>
            <w:vAlign w:val="center"/>
          </w:tcPr>
          <w:p w14:paraId="4D9D9132">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55C6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438" w:type="dxa"/>
            <w:tcBorders>
              <w:top w:val="single" w:color="auto" w:sz="4" w:space="0"/>
              <w:left w:val="single" w:color="auto" w:sz="4" w:space="0"/>
              <w:bottom w:val="single" w:color="auto" w:sz="4" w:space="0"/>
              <w:right w:val="single" w:color="auto" w:sz="4" w:space="0"/>
            </w:tcBorders>
            <w:vAlign w:val="center"/>
          </w:tcPr>
          <w:p w14:paraId="526BE250">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w:t>
            </w:r>
            <w:r>
              <w:rPr>
                <w:rFonts w:hint="eastAsia" w:cs="Times New Roman"/>
                <w:color w:val="auto"/>
                <w:sz w:val="18"/>
                <w:szCs w:val="18"/>
                <w:highlight w:val="none"/>
                <w:lang w:eastAsia="zh-CN"/>
              </w:rPr>
              <w:t>内</w:t>
            </w:r>
            <w:r>
              <w:rPr>
                <w:rFonts w:hint="default" w:ascii="Times New Roman" w:hAnsi="Times New Roman" w:cs="Times New Roman"/>
                <w:color w:val="auto"/>
                <w:sz w:val="18"/>
                <w:szCs w:val="18"/>
                <w:highlight w:val="none"/>
              </w:rPr>
              <w:t>建设不利于水资源及自然生态保护的项目</w:t>
            </w:r>
          </w:p>
        </w:tc>
        <w:tc>
          <w:tcPr>
            <w:tcW w:w="2860" w:type="dxa"/>
            <w:tcBorders>
              <w:top w:val="single" w:color="auto" w:sz="4" w:space="0"/>
              <w:left w:val="single" w:color="auto" w:sz="4" w:space="0"/>
              <w:bottom w:val="single" w:color="auto" w:sz="4" w:space="0"/>
              <w:right w:val="single" w:color="auto" w:sz="4" w:space="0"/>
            </w:tcBorders>
            <w:vAlign w:val="center"/>
          </w:tcPr>
          <w:p w14:paraId="49C50DE0">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w:t>
            </w:r>
            <w:r>
              <w:rPr>
                <w:rFonts w:hint="eastAsia" w:cs="Times New Roman"/>
                <w:color w:val="auto"/>
                <w:sz w:val="18"/>
                <w:szCs w:val="18"/>
                <w:highlight w:val="none"/>
                <w:lang w:eastAsia="zh-CN"/>
              </w:rPr>
              <w:t>距离</w:t>
            </w:r>
            <w:r>
              <w:rPr>
                <w:rFonts w:hint="default" w:ascii="Times New Roman" w:hAnsi="Times New Roman" w:cs="Times New Roman"/>
                <w:color w:val="auto"/>
                <w:sz w:val="18"/>
                <w:szCs w:val="18"/>
                <w:highlight w:val="none"/>
              </w:rPr>
              <w:t>甸溪河约</w:t>
            </w:r>
            <w:r>
              <w:rPr>
                <w:rFonts w:hint="default" w:ascii="Times New Roman" w:hAnsi="Times New Roman" w:cs="Times New Roman"/>
                <w:color w:val="auto"/>
                <w:sz w:val="18"/>
                <w:szCs w:val="18"/>
                <w:highlight w:val="none"/>
                <w:lang w:val="en-US" w:eastAsia="zh-CN"/>
              </w:rPr>
              <w:t>3800</w:t>
            </w:r>
            <w:r>
              <w:rPr>
                <w:rFonts w:hint="default" w:ascii="Times New Roman" w:hAnsi="Times New Roman" w:cs="Times New Roman"/>
                <w:color w:val="auto"/>
                <w:sz w:val="18"/>
                <w:szCs w:val="18"/>
                <w:highlight w:val="none"/>
              </w:rPr>
              <w:t>m，不占用长江流域河湖岸线。不涉及利用、占用长江流域河湖岸线的情况</w:t>
            </w:r>
          </w:p>
        </w:tc>
        <w:tc>
          <w:tcPr>
            <w:tcW w:w="988" w:type="dxa"/>
            <w:tcBorders>
              <w:top w:val="single" w:color="auto" w:sz="4" w:space="0"/>
              <w:left w:val="single" w:color="auto" w:sz="4" w:space="0"/>
              <w:bottom w:val="single" w:color="auto" w:sz="4" w:space="0"/>
              <w:right w:val="single" w:color="auto" w:sz="4" w:space="0"/>
            </w:tcBorders>
            <w:vAlign w:val="center"/>
          </w:tcPr>
          <w:p w14:paraId="2EE1FFCE">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5355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438" w:type="dxa"/>
            <w:tcBorders>
              <w:top w:val="single" w:color="auto" w:sz="4" w:space="0"/>
              <w:left w:val="single" w:color="auto" w:sz="4" w:space="0"/>
              <w:bottom w:val="single" w:color="auto" w:sz="4" w:space="0"/>
              <w:right w:val="single" w:color="auto" w:sz="4" w:space="0"/>
            </w:tcBorders>
            <w:vAlign w:val="center"/>
          </w:tcPr>
          <w:p w14:paraId="12407B41">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860" w:type="dxa"/>
            <w:tcBorders>
              <w:top w:val="single" w:color="auto" w:sz="4" w:space="0"/>
              <w:left w:val="single" w:color="auto" w:sz="4" w:space="0"/>
              <w:bottom w:val="single" w:color="auto" w:sz="4" w:space="0"/>
              <w:right w:val="single" w:color="auto" w:sz="4" w:space="0"/>
            </w:tcBorders>
            <w:vAlign w:val="center"/>
          </w:tcPr>
          <w:p w14:paraId="73EAC17E">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rPr>
              <w:t>项目不设置入河排污口。</w:t>
            </w:r>
          </w:p>
        </w:tc>
        <w:tc>
          <w:tcPr>
            <w:tcW w:w="988" w:type="dxa"/>
            <w:tcBorders>
              <w:top w:val="single" w:color="auto" w:sz="4" w:space="0"/>
              <w:left w:val="single" w:color="auto" w:sz="4" w:space="0"/>
              <w:bottom w:val="single" w:color="auto" w:sz="4" w:space="0"/>
              <w:right w:val="single" w:color="auto" w:sz="4" w:space="0"/>
            </w:tcBorders>
            <w:vAlign w:val="center"/>
          </w:tcPr>
          <w:p w14:paraId="407BCFEC">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35A0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438" w:type="dxa"/>
            <w:tcBorders>
              <w:top w:val="single" w:color="auto" w:sz="4" w:space="0"/>
              <w:left w:val="single" w:color="auto" w:sz="4" w:space="0"/>
              <w:bottom w:val="single" w:color="auto" w:sz="4" w:space="0"/>
              <w:right w:val="single" w:color="auto" w:sz="4" w:space="0"/>
            </w:tcBorders>
            <w:vAlign w:val="center"/>
          </w:tcPr>
          <w:p w14:paraId="6F15B435">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禁止在金沙江干流、长江一级支流、水生生物保护区和长江流域禁捕水域开展天然渔业资源生产性捕捞</w:t>
            </w:r>
          </w:p>
        </w:tc>
        <w:tc>
          <w:tcPr>
            <w:tcW w:w="2860" w:type="dxa"/>
            <w:tcBorders>
              <w:top w:val="single" w:color="auto" w:sz="4" w:space="0"/>
              <w:left w:val="single" w:color="auto" w:sz="4" w:space="0"/>
              <w:bottom w:val="single" w:color="auto" w:sz="4" w:space="0"/>
              <w:right w:val="single" w:color="auto" w:sz="4" w:space="0"/>
            </w:tcBorders>
            <w:vAlign w:val="center"/>
          </w:tcPr>
          <w:p w14:paraId="2638FAC8">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w:t>
            </w:r>
            <w:r>
              <w:rPr>
                <w:rFonts w:hint="eastAsia" w:cs="Times New Roman"/>
                <w:color w:val="auto"/>
                <w:sz w:val="18"/>
                <w:szCs w:val="18"/>
                <w:highlight w:val="none"/>
                <w:lang w:eastAsia="zh-CN"/>
              </w:rPr>
              <w:t>距离</w:t>
            </w:r>
            <w:r>
              <w:rPr>
                <w:rFonts w:hint="default" w:ascii="Times New Roman" w:hAnsi="Times New Roman" w:cs="Times New Roman"/>
                <w:color w:val="auto"/>
                <w:sz w:val="18"/>
                <w:szCs w:val="18"/>
                <w:highlight w:val="none"/>
              </w:rPr>
              <w:t>甸溪河约</w:t>
            </w:r>
            <w:r>
              <w:rPr>
                <w:rFonts w:hint="default" w:ascii="Times New Roman" w:hAnsi="Times New Roman" w:cs="Times New Roman"/>
                <w:color w:val="auto"/>
                <w:sz w:val="18"/>
                <w:szCs w:val="18"/>
                <w:highlight w:val="none"/>
                <w:lang w:val="en-US" w:eastAsia="zh-CN"/>
              </w:rPr>
              <w:t>3800</w:t>
            </w:r>
            <w:r>
              <w:rPr>
                <w:rFonts w:hint="default" w:ascii="Times New Roman" w:hAnsi="Times New Roman" w:cs="Times New Roman"/>
                <w:color w:val="auto"/>
                <w:sz w:val="18"/>
                <w:szCs w:val="18"/>
                <w:highlight w:val="none"/>
              </w:rPr>
              <w:t>m，不占用长江流域河湖岸线。不涉及金沙江干流、长江一级支流、水生生物保护区，项目不属于生产性捕捞</w:t>
            </w:r>
          </w:p>
        </w:tc>
        <w:tc>
          <w:tcPr>
            <w:tcW w:w="988" w:type="dxa"/>
            <w:tcBorders>
              <w:top w:val="single" w:color="auto" w:sz="4" w:space="0"/>
              <w:left w:val="single" w:color="auto" w:sz="4" w:space="0"/>
              <w:bottom w:val="single" w:color="auto" w:sz="4" w:space="0"/>
              <w:right w:val="single" w:color="auto" w:sz="4" w:space="0"/>
            </w:tcBorders>
            <w:vAlign w:val="center"/>
          </w:tcPr>
          <w:p w14:paraId="22F30FCB">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1FD7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438" w:type="dxa"/>
            <w:tcBorders>
              <w:top w:val="single" w:color="auto" w:sz="4" w:space="0"/>
              <w:left w:val="single" w:color="auto" w:sz="4" w:space="0"/>
              <w:bottom w:val="single" w:color="auto" w:sz="4" w:space="0"/>
              <w:right w:val="single" w:color="auto" w:sz="4" w:space="0"/>
            </w:tcBorders>
            <w:vAlign w:val="center"/>
          </w:tcPr>
          <w:p w14:paraId="05ADC76D">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860" w:type="dxa"/>
            <w:tcBorders>
              <w:top w:val="single" w:color="auto" w:sz="4" w:space="0"/>
              <w:left w:val="single" w:color="auto" w:sz="4" w:space="0"/>
              <w:bottom w:val="single" w:color="auto" w:sz="4" w:space="0"/>
              <w:right w:val="single" w:color="auto" w:sz="4" w:space="0"/>
            </w:tcBorders>
            <w:vAlign w:val="center"/>
          </w:tcPr>
          <w:p w14:paraId="3C50F831">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项目为生猪养殖，不属于化工、尾矿库等禁止的项目</w:t>
            </w:r>
          </w:p>
        </w:tc>
        <w:tc>
          <w:tcPr>
            <w:tcW w:w="988" w:type="dxa"/>
            <w:tcBorders>
              <w:top w:val="single" w:color="auto" w:sz="4" w:space="0"/>
              <w:left w:val="single" w:color="auto" w:sz="4" w:space="0"/>
              <w:bottom w:val="single" w:color="auto" w:sz="4" w:space="0"/>
              <w:right w:val="single" w:color="auto" w:sz="4" w:space="0"/>
            </w:tcBorders>
            <w:vAlign w:val="center"/>
          </w:tcPr>
          <w:p w14:paraId="05FA51DA">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3038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438" w:type="dxa"/>
            <w:tcBorders>
              <w:top w:val="single" w:color="auto" w:sz="4" w:space="0"/>
              <w:left w:val="single" w:color="auto" w:sz="4" w:space="0"/>
              <w:bottom w:val="single" w:color="auto" w:sz="4" w:space="0"/>
              <w:right w:val="single" w:color="auto" w:sz="4" w:space="0"/>
            </w:tcBorders>
            <w:vAlign w:val="center"/>
          </w:tcPr>
          <w:p w14:paraId="29667F11">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禁止在合规园区外新建、扩建钢铁、石化、化工、焦化、建材、有色、制浆造纸行业中的高污染项目</w:t>
            </w:r>
          </w:p>
        </w:tc>
        <w:tc>
          <w:tcPr>
            <w:tcW w:w="2860" w:type="dxa"/>
            <w:tcBorders>
              <w:top w:val="single" w:color="auto" w:sz="4" w:space="0"/>
              <w:left w:val="single" w:color="auto" w:sz="4" w:space="0"/>
              <w:bottom w:val="single" w:color="auto" w:sz="4" w:space="0"/>
              <w:right w:val="single" w:color="auto" w:sz="4" w:space="0"/>
            </w:tcBorders>
            <w:vAlign w:val="center"/>
          </w:tcPr>
          <w:p w14:paraId="0D229AEC">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本项目为生猪养殖，不属于上述列出的高污染项目</w:t>
            </w:r>
          </w:p>
        </w:tc>
        <w:tc>
          <w:tcPr>
            <w:tcW w:w="988" w:type="dxa"/>
            <w:tcBorders>
              <w:top w:val="single" w:color="auto" w:sz="4" w:space="0"/>
              <w:left w:val="single" w:color="auto" w:sz="4" w:space="0"/>
              <w:bottom w:val="single" w:color="auto" w:sz="4" w:space="0"/>
              <w:right w:val="single" w:color="auto" w:sz="4" w:space="0"/>
            </w:tcBorders>
            <w:vAlign w:val="center"/>
          </w:tcPr>
          <w:p w14:paraId="36D2FA42">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30A6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438" w:type="dxa"/>
            <w:tcBorders>
              <w:top w:val="single" w:color="auto" w:sz="4" w:space="0"/>
              <w:left w:val="single" w:color="auto" w:sz="4" w:space="0"/>
              <w:bottom w:val="single" w:color="auto" w:sz="4" w:space="0"/>
              <w:right w:val="single" w:color="auto" w:sz="4" w:space="0"/>
            </w:tcBorders>
            <w:vAlign w:val="center"/>
          </w:tcPr>
          <w:p w14:paraId="14C987CF">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禁止新建、扩建不符合国家石化、现代煤化工等产业布局规划的项目。禁止列入《云南省城镇人口密集区危险化学品生产企业搬迁改造名单》的搬迁改造企业在原址新建、扩建危险化学品生产项目</w:t>
            </w:r>
          </w:p>
        </w:tc>
        <w:tc>
          <w:tcPr>
            <w:tcW w:w="2860" w:type="dxa"/>
            <w:tcBorders>
              <w:top w:val="single" w:color="auto" w:sz="4" w:space="0"/>
              <w:left w:val="single" w:color="auto" w:sz="4" w:space="0"/>
              <w:bottom w:val="single" w:color="auto" w:sz="4" w:space="0"/>
              <w:right w:val="single" w:color="auto" w:sz="4" w:space="0"/>
            </w:tcBorders>
            <w:vAlign w:val="center"/>
          </w:tcPr>
          <w:p w14:paraId="53444AFC">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本项目为生猪养殖，不属于石化、现代煤化工企业</w:t>
            </w:r>
          </w:p>
        </w:tc>
        <w:tc>
          <w:tcPr>
            <w:tcW w:w="988" w:type="dxa"/>
            <w:tcBorders>
              <w:top w:val="single" w:color="auto" w:sz="4" w:space="0"/>
              <w:left w:val="single" w:color="auto" w:sz="4" w:space="0"/>
              <w:bottom w:val="single" w:color="auto" w:sz="4" w:space="0"/>
              <w:right w:val="single" w:color="auto" w:sz="4" w:space="0"/>
            </w:tcBorders>
            <w:vAlign w:val="center"/>
          </w:tcPr>
          <w:p w14:paraId="0FF169AA">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479B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438" w:type="dxa"/>
            <w:tcBorders>
              <w:top w:val="single" w:color="auto" w:sz="4" w:space="0"/>
              <w:left w:val="single" w:color="auto" w:sz="4" w:space="0"/>
              <w:bottom w:val="single" w:color="auto" w:sz="4" w:space="0"/>
              <w:right w:val="single" w:color="auto" w:sz="4" w:space="0"/>
            </w:tcBorders>
            <w:vAlign w:val="center"/>
          </w:tcPr>
          <w:p w14:paraId="0CD465BA">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2860" w:type="dxa"/>
            <w:tcBorders>
              <w:top w:val="single" w:color="auto" w:sz="4" w:space="0"/>
              <w:left w:val="single" w:color="auto" w:sz="4" w:space="0"/>
              <w:bottom w:val="single" w:color="auto" w:sz="4" w:space="0"/>
              <w:right w:val="single" w:color="auto" w:sz="4" w:space="0"/>
            </w:tcBorders>
            <w:vAlign w:val="center"/>
          </w:tcPr>
          <w:p w14:paraId="4AC026AE">
            <w:pPr>
              <w:keepNext w:val="0"/>
              <w:keepLines w:val="0"/>
              <w:suppressLineNumbers w:val="0"/>
              <w:autoSpaceDE w:val="0"/>
              <w:autoSpaceDN w:val="0"/>
              <w:spacing w:before="0" w:beforeAutospacing="0" w:after="0" w:afterAutospacing="0"/>
              <w:ind w:left="0" w:right="0"/>
              <w:contextualSpacing/>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rPr>
              <w:t>本项目为生猪养殖，</w:t>
            </w:r>
            <w:r>
              <w:rPr>
                <w:rFonts w:hint="default" w:ascii="Times New Roman" w:hAnsi="Times New Roman" w:cs="Times New Roman"/>
                <w:color w:val="auto"/>
                <w:kern w:val="0"/>
                <w:sz w:val="18"/>
                <w:szCs w:val="18"/>
                <w:highlight w:val="none"/>
              </w:rPr>
              <w:t>属于鼓励类项目。</w:t>
            </w:r>
          </w:p>
        </w:tc>
        <w:tc>
          <w:tcPr>
            <w:tcW w:w="988" w:type="dxa"/>
            <w:tcBorders>
              <w:top w:val="single" w:color="auto" w:sz="4" w:space="0"/>
              <w:left w:val="single" w:color="auto" w:sz="4" w:space="0"/>
              <w:bottom w:val="single" w:color="auto" w:sz="4" w:space="0"/>
              <w:right w:val="single" w:color="auto" w:sz="4" w:space="0"/>
            </w:tcBorders>
            <w:vAlign w:val="center"/>
          </w:tcPr>
          <w:p w14:paraId="4684F6B6">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14:paraId="31495794">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由上表可知，本项目的建设符合《云南省长江经济带发展负面清单指南实施细则（试行，2022年版）》的相关要求。</w:t>
      </w:r>
    </w:p>
    <w:p w14:paraId="1F9A10F3">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b/>
          <w:bCs/>
          <w:color w:val="auto"/>
          <w:sz w:val="24"/>
          <w:szCs w:val="24"/>
          <w:highlight w:val="none"/>
          <w:lang w:val="en-US" w:eastAsia="zh-CN"/>
        </w:rPr>
      </w:pPr>
      <w:bookmarkStart w:id="372" w:name="_Toc12493"/>
      <w:r>
        <w:rPr>
          <w:rStyle w:val="35"/>
          <w:rFonts w:hint="default" w:ascii="Times New Roman" w:hAnsi="Times New Roman" w:eastAsia="宋体" w:cs="Times New Roman"/>
          <w:b/>
          <w:bCs/>
          <w:color w:val="auto"/>
          <w:sz w:val="24"/>
          <w:szCs w:val="24"/>
          <w:highlight w:val="none"/>
          <w:lang w:val="en-US" w:eastAsia="zh-CN"/>
        </w:rPr>
        <w:t>7.3.14与《红河州建立病死畜禽无害化处理机制实施方案》（红政办发〔2019〕32号）的符合性分析</w:t>
      </w:r>
      <w:bookmarkEnd w:id="372"/>
    </w:p>
    <w:p w14:paraId="31741B25">
      <w:pPr>
        <w:pStyle w:val="1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项目与《红河州建立病死畜禽无害化处理机制实施方案》符合性分析如下。</w:t>
      </w:r>
    </w:p>
    <w:p w14:paraId="1A49B8AC">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表7.3-1</w:t>
      </w:r>
      <w:r>
        <w:rPr>
          <w:rFonts w:hint="default" w:ascii="Times New Roman" w:hAnsi="Times New Roman" w:cs="Times New Roman"/>
          <w:b/>
          <w:color w:val="auto"/>
          <w:highlight w:val="none"/>
          <w:lang w:val="en-US" w:eastAsia="zh-CN"/>
        </w:rPr>
        <w:t>2</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eastAsia="zh-CN"/>
        </w:rPr>
        <w:t>项目</w:t>
      </w:r>
      <w:r>
        <w:rPr>
          <w:rFonts w:hint="default" w:ascii="Times New Roman" w:hAnsi="Times New Roman" w:cs="Times New Roman"/>
          <w:b/>
          <w:color w:val="auto"/>
          <w:highlight w:val="none"/>
        </w:rPr>
        <w:t>与《红河州建立病死畜禽无害化处理机制实施方案》符合性分析</w:t>
      </w:r>
    </w:p>
    <w:tbl>
      <w:tblPr>
        <w:tblStyle w:val="23"/>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2"/>
        <w:gridCol w:w="3205"/>
        <w:gridCol w:w="986"/>
      </w:tblGrid>
      <w:tr w14:paraId="5A60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092" w:type="dxa"/>
            <w:tcBorders>
              <w:top w:val="single" w:color="auto" w:sz="4" w:space="0"/>
              <w:left w:val="single" w:color="auto" w:sz="4" w:space="0"/>
              <w:bottom w:val="single" w:color="auto" w:sz="4" w:space="0"/>
              <w:right w:val="single" w:color="auto" w:sz="4" w:space="0"/>
            </w:tcBorders>
            <w:vAlign w:val="center"/>
          </w:tcPr>
          <w:p w14:paraId="0A32FFC1">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相关要求</w:t>
            </w:r>
          </w:p>
        </w:tc>
        <w:tc>
          <w:tcPr>
            <w:tcW w:w="3205" w:type="dxa"/>
            <w:tcBorders>
              <w:top w:val="single" w:color="auto" w:sz="4" w:space="0"/>
              <w:left w:val="single" w:color="auto" w:sz="4" w:space="0"/>
              <w:bottom w:val="single" w:color="auto" w:sz="4" w:space="0"/>
              <w:right w:val="single" w:color="auto" w:sz="4" w:space="0"/>
            </w:tcBorders>
            <w:vAlign w:val="center"/>
          </w:tcPr>
          <w:p w14:paraId="1EEA9FC5">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项目情况</w:t>
            </w:r>
          </w:p>
        </w:tc>
        <w:tc>
          <w:tcPr>
            <w:tcW w:w="986" w:type="dxa"/>
            <w:tcBorders>
              <w:top w:val="single" w:color="auto" w:sz="4" w:space="0"/>
              <w:left w:val="single" w:color="auto" w:sz="4" w:space="0"/>
              <w:bottom w:val="single" w:color="auto" w:sz="4" w:space="0"/>
              <w:right w:val="single" w:color="auto" w:sz="4" w:space="0"/>
            </w:tcBorders>
            <w:vAlign w:val="center"/>
          </w:tcPr>
          <w:p w14:paraId="241D51B5">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符合性</w:t>
            </w:r>
          </w:p>
        </w:tc>
      </w:tr>
      <w:tr w14:paraId="1433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092" w:type="dxa"/>
            <w:tcBorders>
              <w:top w:val="single" w:color="auto" w:sz="4" w:space="0"/>
              <w:left w:val="single" w:color="auto" w:sz="4" w:space="0"/>
              <w:bottom w:val="single" w:color="auto" w:sz="4" w:space="0"/>
              <w:right w:val="single" w:color="auto" w:sz="4" w:space="0"/>
            </w:tcBorders>
            <w:vAlign w:val="center"/>
          </w:tcPr>
          <w:p w14:paraId="29C9356C">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全州所有登记备案的畜禽养殖场、畜禽屠宰厂（场）及肉制品加工厂都要与病死畜禽无害化处理厂签订委托处理协议，未经农业农村部门同意，其他单位和个人不得随意对病死畜禽采取焚烧、深埋及其它具有污染环境、地下水源的处理方式处理病死畜禽。</w:t>
            </w:r>
          </w:p>
        </w:tc>
        <w:tc>
          <w:tcPr>
            <w:tcW w:w="3205" w:type="dxa"/>
            <w:tcBorders>
              <w:top w:val="single" w:color="auto" w:sz="4" w:space="0"/>
              <w:left w:val="single" w:color="auto" w:sz="4" w:space="0"/>
              <w:bottom w:val="single" w:color="auto" w:sz="4" w:space="0"/>
              <w:right w:val="single" w:color="auto" w:sz="4" w:space="0"/>
            </w:tcBorders>
            <w:vAlign w:val="center"/>
          </w:tcPr>
          <w:p w14:paraId="7FB72CF6">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项目产生的</w:t>
            </w:r>
            <w:r>
              <w:rPr>
                <w:rFonts w:hint="default" w:ascii="Times New Roman" w:hAnsi="Times New Roman" w:cs="Times New Roman"/>
                <w:color w:val="auto"/>
                <w:sz w:val="18"/>
                <w:szCs w:val="18"/>
                <w:highlight w:val="none"/>
              </w:rPr>
              <w:t>病死猪</w:t>
            </w:r>
            <w:r>
              <w:rPr>
                <w:rFonts w:hint="default" w:ascii="Times New Roman" w:hAnsi="Times New Roman" w:cs="Times New Roman"/>
                <w:bCs/>
                <w:color w:val="auto"/>
                <w:sz w:val="18"/>
                <w:szCs w:val="18"/>
                <w:highlight w:val="none"/>
                <w:lang w:eastAsia="zh-CN"/>
              </w:rPr>
              <w:t>交由弥勒市北斗星生物科技有限公司无害化</w:t>
            </w:r>
            <w:r>
              <w:rPr>
                <w:rFonts w:hint="default" w:ascii="Times New Roman" w:hAnsi="Times New Roman" w:cs="Times New Roman"/>
                <w:bCs/>
                <w:color w:val="auto"/>
                <w:sz w:val="18"/>
                <w:szCs w:val="18"/>
                <w:highlight w:val="none"/>
              </w:rPr>
              <w:t>处置</w:t>
            </w:r>
            <w:r>
              <w:rPr>
                <w:rFonts w:hint="default" w:ascii="Times New Roman" w:hAnsi="Times New Roman" w:cs="Times New Roman"/>
                <w:bCs/>
                <w:color w:val="auto"/>
                <w:sz w:val="18"/>
                <w:szCs w:val="18"/>
                <w:highlight w:val="none"/>
                <w:lang w:eastAsia="zh-CN"/>
              </w:rPr>
              <w:t>，</w:t>
            </w:r>
            <w:r>
              <w:rPr>
                <w:rFonts w:hint="default" w:ascii="Times New Roman" w:hAnsi="Times New Roman" w:cs="Times New Roman"/>
                <w:bCs/>
                <w:color w:val="auto"/>
                <w:sz w:val="18"/>
                <w:szCs w:val="18"/>
                <w:highlight w:val="none"/>
                <w:lang w:val="en-US" w:eastAsia="zh-CN"/>
              </w:rPr>
              <w:t>已与其签订处置协议（附件1</w:t>
            </w:r>
            <w:r>
              <w:rPr>
                <w:rFonts w:hint="eastAsia" w:cs="Times New Roman"/>
                <w:bCs/>
                <w:color w:val="auto"/>
                <w:sz w:val="18"/>
                <w:szCs w:val="18"/>
                <w:highlight w:val="none"/>
                <w:lang w:val="en-US" w:eastAsia="zh-CN"/>
              </w:rPr>
              <w:t>2</w:t>
            </w:r>
            <w:r>
              <w:rPr>
                <w:rFonts w:hint="default" w:ascii="Times New Roman" w:hAnsi="Times New Roman" w:cs="Times New Roman"/>
                <w:bCs/>
                <w:color w:val="auto"/>
                <w:sz w:val="18"/>
                <w:szCs w:val="18"/>
                <w:highlight w:val="none"/>
                <w:lang w:val="en-US" w:eastAsia="zh-CN"/>
              </w:rPr>
              <w:t>）</w:t>
            </w:r>
          </w:p>
        </w:tc>
        <w:tc>
          <w:tcPr>
            <w:tcW w:w="986" w:type="dxa"/>
            <w:tcBorders>
              <w:top w:val="single" w:color="auto" w:sz="4" w:space="0"/>
              <w:left w:val="single" w:color="auto" w:sz="4" w:space="0"/>
              <w:bottom w:val="single" w:color="auto" w:sz="4" w:space="0"/>
              <w:right w:val="single" w:color="auto" w:sz="4" w:space="0"/>
            </w:tcBorders>
            <w:vAlign w:val="center"/>
          </w:tcPr>
          <w:p w14:paraId="1AD4297B">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14:paraId="748D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092" w:type="dxa"/>
            <w:tcBorders>
              <w:top w:val="single" w:color="auto" w:sz="4" w:space="0"/>
              <w:left w:val="single" w:color="auto" w:sz="4" w:space="0"/>
              <w:bottom w:val="single" w:color="auto" w:sz="4" w:space="0"/>
              <w:right w:val="single" w:color="auto" w:sz="4" w:space="0"/>
            </w:tcBorders>
            <w:vAlign w:val="center"/>
          </w:tcPr>
          <w:p w14:paraId="49EF8D8C">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规模养殖场自备冷库或冷柜。全州行政区域内备案登记的大型规模养殖场（能繁母猪生猪存栏200头以上，育肥生猪存栏5000头以上、牛存栏1000头以上、羊存栏5000只以上、家禽存栏5万只以上）配套建设不低于10m³的冷库，暂存病死畜禽。</w:t>
            </w:r>
          </w:p>
        </w:tc>
        <w:tc>
          <w:tcPr>
            <w:tcW w:w="3205" w:type="dxa"/>
            <w:tcBorders>
              <w:top w:val="single" w:color="auto" w:sz="4" w:space="0"/>
              <w:left w:val="single" w:color="auto" w:sz="4" w:space="0"/>
              <w:bottom w:val="single" w:color="auto" w:sz="4" w:space="0"/>
              <w:right w:val="single" w:color="auto" w:sz="4" w:space="0"/>
            </w:tcBorders>
            <w:vAlign w:val="center"/>
          </w:tcPr>
          <w:p w14:paraId="65BBD0A7">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场</w:t>
            </w:r>
            <w:r>
              <w:rPr>
                <w:rFonts w:hint="default" w:ascii="Times New Roman" w:hAnsi="Times New Roman" w:cs="Times New Roman"/>
                <w:color w:val="auto"/>
                <w:sz w:val="18"/>
                <w:szCs w:val="18"/>
                <w:highlight w:val="none"/>
                <w:lang w:val="en-US" w:eastAsia="zh-CN"/>
              </w:rPr>
              <w:t>区</w:t>
            </w:r>
            <w:r>
              <w:rPr>
                <w:rFonts w:hint="default" w:ascii="Times New Roman" w:hAnsi="Times New Roman" w:cs="Times New Roman"/>
                <w:color w:val="auto"/>
                <w:sz w:val="18"/>
                <w:szCs w:val="18"/>
                <w:highlight w:val="none"/>
              </w:rPr>
              <w:t>内设置一个建1个建筑面积为</w:t>
            </w:r>
            <w:r>
              <w:rPr>
                <w:rFonts w:hint="default" w:ascii="Times New Roman" w:hAnsi="Times New Roman" w:cs="Times New Roman"/>
                <w:color w:val="auto"/>
                <w:sz w:val="18"/>
                <w:szCs w:val="18"/>
                <w:highlight w:val="none"/>
                <w:lang w:val="en-US" w:eastAsia="zh-CN"/>
              </w:rPr>
              <w:t>30</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2</w:t>
            </w:r>
            <w:r>
              <w:rPr>
                <w:rFonts w:hint="default" w:ascii="Times New Roman" w:hAnsi="Times New Roman" w:cs="Times New Roman"/>
                <w:color w:val="auto"/>
                <w:sz w:val="18"/>
                <w:szCs w:val="18"/>
                <w:highlight w:val="none"/>
              </w:rPr>
              <w:t>的冷库，用于暂存养殖过程中产生的病死猪</w:t>
            </w:r>
            <w:r>
              <w:rPr>
                <w:rFonts w:hint="default" w:ascii="Times New Roman" w:hAnsi="Times New Roman" w:cs="Times New Roman"/>
                <w:color w:val="auto"/>
                <w:sz w:val="18"/>
                <w:szCs w:val="18"/>
                <w:highlight w:val="none"/>
                <w:lang w:eastAsia="zh-CN"/>
              </w:rPr>
              <w:t>。</w:t>
            </w:r>
          </w:p>
        </w:tc>
        <w:tc>
          <w:tcPr>
            <w:tcW w:w="986" w:type="dxa"/>
            <w:tcBorders>
              <w:top w:val="single" w:color="auto" w:sz="4" w:space="0"/>
              <w:left w:val="single" w:color="auto" w:sz="4" w:space="0"/>
              <w:bottom w:val="single" w:color="auto" w:sz="4" w:space="0"/>
              <w:right w:val="single" w:color="auto" w:sz="4" w:space="0"/>
            </w:tcBorders>
            <w:vAlign w:val="center"/>
          </w:tcPr>
          <w:p w14:paraId="5DACDA32">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14:paraId="36A0C6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由上表可知，本项目的建设符合《红河州建立病死畜禽无害化处理机制实施方案》的相关要求。</w:t>
      </w:r>
    </w:p>
    <w:p w14:paraId="03405F3A">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73" w:name="_Toc27677"/>
      <w:bookmarkStart w:id="374" w:name="_Toc30263"/>
      <w:r>
        <w:rPr>
          <w:rStyle w:val="35"/>
          <w:rFonts w:hint="default" w:ascii="Times New Roman" w:hAnsi="Times New Roman" w:eastAsia="宋体" w:cs="Times New Roman"/>
          <w:color w:val="auto"/>
          <w:sz w:val="24"/>
          <w:szCs w:val="24"/>
          <w:highlight w:val="none"/>
        </w:rPr>
        <w:t>7.</w:t>
      </w:r>
      <w:r>
        <w:rPr>
          <w:rStyle w:val="35"/>
          <w:rFonts w:hint="default" w:ascii="Times New Roman" w:hAnsi="Times New Roman" w:eastAsia="宋体" w:cs="Times New Roman"/>
          <w:color w:val="auto"/>
          <w:sz w:val="24"/>
          <w:szCs w:val="24"/>
          <w:highlight w:val="none"/>
          <w:lang w:val="en-US" w:eastAsia="zh-CN"/>
        </w:rPr>
        <w:t>3</w:t>
      </w:r>
      <w:r>
        <w:rPr>
          <w:rStyle w:val="35"/>
          <w:rFonts w:hint="default" w:ascii="Times New Roman" w:hAnsi="Times New Roman" w:eastAsia="宋体" w:cs="Times New Roman"/>
          <w:color w:val="auto"/>
          <w:sz w:val="24"/>
          <w:szCs w:val="24"/>
          <w:highlight w:val="none"/>
        </w:rPr>
        <w:t>.</w:t>
      </w:r>
      <w:r>
        <w:rPr>
          <w:rStyle w:val="35"/>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与《空气质量持续改善行动计划》符合性分析</w:t>
      </w:r>
      <w:bookmarkEnd w:id="373"/>
    </w:p>
    <w:p w14:paraId="32B6004C">
      <w:pPr>
        <w:tabs>
          <w:tab w:val="left" w:pos="611"/>
        </w:tabs>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eastAsia="zh-CN"/>
        </w:rPr>
        <w:t>经查询国务院关于印发《空气质量持续改善行动计划》的通知国发〔2023〕24号，项目与相关内容的符合性分析见表</w:t>
      </w:r>
      <w:r>
        <w:rPr>
          <w:rFonts w:hint="default" w:ascii="Times New Roman" w:hAnsi="Times New Roman" w:cs="Times New Roman"/>
          <w:color w:val="auto"/>
          <w:kern w:val="0"/>
          <w:sz w:val="24"/>
          <w:highlight w:val="none"/>
          <w:lang w:val="en-US" w:eastAsia="zh-CN"/>
        </w:rPr>
        <w:t>7.3-13所示。</w:t>
      </w:r>
    </w:p>
    <w:p w14:paraId="4BB67AC2">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default" w:ascii="Times New Roman" w:hAnsi="Times New Roman" w:cs="Times New Roman"/>
          <w:b/>
          <w:color w:val="auto"/>
          <w:highlight w:val="none"/>
          <w:lang w:val="en-US" w:eastAsia="zh-CN"/>
        </w:rPr>
        <w:t xml:space="preserve">7.3-13 </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eastAsia="zh-CN"/>
        </w:rPr>
        <w:t>项目</w:t>
      </w:r>
      <w:r>
        <w:rPr>
          <w:rFonts w:hint="default" w:ascii="Times New Roman" w:hAnsi="Times New Roman" w:cs="Times New Roman"/>
          <w:b/>
          <w:color w:val="auto"/>
          <w:highlight w:val="none"/>
        </w:rPr>
        <w:t>与《空气质量持续改善行动计划》符合性分析</w:t>
      </w:r>
    </w:p>
    <w:tbl>
      <w:tblPr>
        <w:tblStyle w:val="23"/>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5252"/>
        <w:gridCol w:w="2708"/>
        <w:gridCol w:w="801"/>
      </w:tblGrid>
      <w:tr w14:paraId="288F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1" w:type="dxa"/>
            <w:tcBorders>
              <w:top w:val="single" w:color="auto" w:sz="4" w:space="0"/>
              <w:left w:val="single" w:color="auto" w:sz="4" w:space="0"/>
              <w:bottom w:val="single" w:color="auto" w:sz="4" w:space="0"/>
              <w:right w:val="single" w:color="auto" w:sz="4" w:space="0"/>
            </w:tcBorders>
            <w:vAlign w:val="center"/>
          </w:tcPr>
          <w:p w14:paraId="03A6A267">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cs="Times New Roman"/>
                <w:b/>
                <w:color w:val="auto"/>
                <w:sz w:val="18"/>
                <w:szCs w:val="18"/>
                <w:highlight w:val="none"/>
                <w:lang w:eastAsia="zh-CN"/>
              </w:rPr>
              <w:t>序号</w:t>
            </w:r>
          </w:p>
        </w:tc>
        <w:tc>
          <w:tcPr>
            <w:tcW w:w="5252" w:type="dxa"/>
            <w:tcBorders>
              <w:top w:val="single" w:color="auto" w:sz="4" w:space="0"/>
              <w:left w:val="single" w:color="auto" w:sz="4" w:space="0"/>
              <w:bottom w:val="single" w:color="auto" w:sz="4" w:space="0"/>
              <w:right w:val="single" w:color="auto" w:sz="4" w:space="0"/>
            </w:tcBorders>
            <w:vAlign w:val="center"/>
          </w:tcPr>
          <w:p w14:paraId="7B326456">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相关要求</w:t>
            </w:r>
          </w:p>
        </w:tc>
        <w:tc>
          <w:tcPr>
            <w:tcW w:w="2708" w:type="dxa"/>
            <w:tcBorders>
              <w:top w:val="single" w:color="auto" w:sz="4" w:space="0"/>
              <w:left w:val="single" w:color="auto" w:sz="4" w:space="0"/>
              <w:bottom w:val="single" w:color="auto" w:sz="4" w:space="0"/>
              <w:right w:val="single" w:color="auto" w:sz="4" w:space="0"/>
            </w:tcBorders>
            <w:vAlign w:val="center"/>
          </w:tcPr>
          <w:p w14:paraId="663C8551">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项目情况</w:t>
            </w:r>
          </w:p>
        </w:tc>
        <w:tc>
          <w:tcPr>
            <w:tcW w:w="801" w:type="dxa"/>
            <w:tcBorders>
              <w:top w:val="single" w:color="auto" w:sz="4" w:space="0"/>
              <w:left w:val="single" w:color="auto" w:sz="4" w:space="0"/>
              <w:bottom w:val="single" w:color="auto" w:sz="4" w:space="0"/>
              <w:right w:val="single" w:color="auto" w:sz="4" w:space="0"/>
            </w:tcBorders>
            <w:vAlign w:val="center"/>
          </w:tcPr>
          <w:p w14:paraId="52BDE2A0">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符合性</w:t>
            </w:r>
          </w:p>
        </w:tc>
      </w:tr>
      <w:tr w14:paraId="6951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1" w:type="dxa"/>
            <w:tcBorders>
              <w:top w:val="single" w:color="auto" w:sz="4" w:space="0"/>
              <w:left w:val="single" w:color="auto" w:sz="4" w:space="0"/>
              <w:bottom w:val="single" w:color="auto" w:sz="4" w:space="0"/>
              <w:right w:val="single" w:color="auto" w:sz="4" w:space="0"/>
            </w:tcBorders>
            <w:vAlign w:val="center"/>
          </w:tcPr>
          <w:p w14:paraId="1FC84B3B">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w:t>
            </w:r>
          </w:p>
        </w:tc>
        <w:tc>
          <w:tcPr>
            <w:tcW w:w="5252" w:type="dxa"/>
            <w:tcBorders>
              <w:top w:val="single" w:color="auto" w:sz="4" w:space="0"/>
              <w:left w:val="single" w:color="auto" w:sz="4" w:space="0"/>
              <w:bottom w:val="single" w:color="auto" w:sz="4" w:space="0"/>
              <w:right w:val="single" w:color="auto" w:sz="4" w:space="0"/>
            </w:tcBorders>
            <w:vAlign w:val="center"/>
          </w:tcPr>
          <w:p w14:paraId="785AC7B2">
            <w:pPr>
              <w:keepNext w:val="0"/>
              <w:keepLines w:val="0"/>
              <w:suppressLineNumbers w:val="0"/>
              <w:spacing w:before="0" w:beforeAutospacing="0" w:after="0" w:afterAutospacing="0"/>
              <w:ind w:left="0" w:right="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二、优化产业结构，促进产业产品绿色升级</w:t>
            </w:r>
          </w:p>
          <w:p w14:paraId="0EB56785">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20A0348C">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施“以钢定焦”，炼焦产能与长流程炼钢产能比控制在0.4左右。</w:t>
            </w:r>
          </w:p>
        </w:tc>
        <w:tc>
          <w:tcPr>
            <w:tcW w:w="2708" w:type="dxa"/>
            <w:tcBorders>
              <w:top w:val="single" w:color="auto" w:sz="4" w:space="0"/>
              <w:left w:val="single" w:color="auto" w:sz="4" w:space="0"/>
              <w:bottom w:val="single" w:color="auto" w:sz="4" w:space="0"/>
              <w:right w:val="single" w:color="auto" w:sz="4" w:space="0"/>
            </w:tcBorders>
            <w:vAlign w:val="center"/>
          </w:tcPr>
          <w:p w14:paraId="32CBD3C0">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项目属于畜禽养殖，能源采用电能、</w:t>
            </w:r>
            <w:r>
              <w:rPr>
                <w:rFonts w:hint="default" w:ascii="Times New Roman" w:hAnsi="Times New Roman" w:cs="Times New Roman"/>
                <w:b w:val="0"/>
                <w:bCs/>
                <w:color w:val="auto"/>
                <w:sz w:val="18"/>
                <w:szCs w:val="18"/>
                <w:highlight w:val="none"/>
                <w:lang w:val="en-US" w:eastAsia="zh-CN"/>
              </w:rPr>
              <w:t>天然气</w:t>
            </w:r>
            <w:r>
              <w:rPr>
                <w:rFonts w:hint="default" w:ascii="Times New Roman" w:hAnsi="Times New Roman" w:cs="Times New Roman"/>
                <w:b w:val="0"/>
                <w:bCs/>
                <w:color w:val="auto"/>
                <w:sz w:val="18"/>
                <w:szCs w:val="18"/>
                <w:highlight w:val="none"/>
                <w:lang w:eastAsia="zh-CN"/>
              </w:rPr>
              <w:t>，能耗相对较低，项目畜禽粪污经过处理后还田利用，不属于</w:t>
            </w:r>
            <w:r>
              <w:rPr>
                <w:rFonts w:hint="default" w:ascii="Times New Roman" w:hAnsi="Times New Roman" w:cs="Times New Roman"/>
                <w:b w:val="0"/>
                <w:bCs/>
                <w:color w:val="auto"/>
                <w:sz w:val="18"/>
                <w:szCs w:val="18"/>
                <w:highlight w:val="none"/>
              </w:rPr>
              <w:t>高耗能、高排放、低水平项目</w:t>
            </w:r>
            <w:r>
              <w:rPr>
                <w:rFonts w:hint="default" w:ascii="Times New Roman" w:hAnsi="Times New Roman" w:cs="Times New Roman"/>
                <w:b w:val="0"/>
                <w:bCs/>
                <w:color w:val="auto"/>
                <w:sz w:val="18"/>
                <w:szCs w:val="18"/>
                <w:highlight w:val="none"/>
                <w:lang w:eastAsia="zh-CN"/>
              </w:rPr>
              <w:t>；经查询《产业结构调整指导目录（2024年本）》属于产业政策中鼓励类，满足</w:t>
            </w:r>
            <w:r>
              <w:rPr>
                <w:rFonts w:hint="default" w:ascii="Times New Roman" w:hAnsi="Times New Roman" w:cs="Times New Roman"/>
                <w:b w:val="0"/>
                <w:bCs/>
                <w:color w:val="auto"/>
                <w:sz w:val="18"/>
                <w:szCs w:val="18"/>
                <w:highlight w:val="none"/>
              </w:rPr>
              <w:t>生态环境分区管控方案</w:t>
            </w:r>
            <w:r>
              <w:rPr>
                <w:rFonts w:hint="default" w:ascii="Times New Roman" w:hAnsi="Times New Roman" w:cs="Times New Roman"/>
                <w:b w:val="0"/>
                <w:bCs/>
                <w:color w:val="auto"/>
                <w:sz w:val="18"/>
                <w:szCs w:val="18"/>
                <w:highlight w:val="none"/>
                <w:lang w:eastAsia="zh-CN"/>
              </w:rPr>
              <w:t>要求。</w:t>
            </w:r>
          </w:p>
          <w:p w14:paraId="70A4A3A6">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项目不属于新增钢铁产能项目。</w:t>
            </w:r>
          </w:p>
        </w:tc>
        <w:tc>
          <w:tcPr>
            <w:tcW w:w="801" w:type="dxa"/>
            <w:tcBorders>
              <w:top w:val="single" w:color="auto" w:sz="4" w:space="0"/>
              <w:left w:val="single" w:color="auto" w:sz="4" w:space="0"/>
              <w:bottom w:val="single" w:color="auto" w:sz="4" w:space="0"/>
              <w:right w:val="single" w:color="auto" w:sz="4" w:space="0"/>
            </w:tcBorders>
            <w:vAlign w:val="center"/>
          </w:tcPr>
          <w:p w14:paraId="29DEE7F6">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14:paraId="6FC2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1" w:type="dxa"/>
            <w:tcBorders>
              <w:top w:val="single" w:color="auto" w:sz="4" w:space="0"/>
              <w:left w:val="single" w:color="auto" w:sz="4" w:space="0"/>
              <w:bottom w:val="single" w:color="auto" w:sz="4" w:space="0"/>
              <w:right w:val="single" w:color="auto" w:sz="4" w:space="0"/>
            </w:tcBorders>
            <w:vAlign w:val="center"/>
          </w:tcPr>
          <w:p w14:paraId="5187B168">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2</w:t>
            </w:r>
          </w:p>
        </w:tc>
        <w:tc>
          <w:tcPr>
            <w:tcW w:w="5252" w:type="dxa"/>
            <w:tcBorders>
              <w:top w:val="single" w:color="auto" w:sz="4" w:space="0"/>
              <w:left w:val="single" w:color="auto" w:sz="4" w:space="0"/>
              <w:bottom w:val="single" w:color="auto" w:sz="4" w:space="0"/>
              <w:right w:val="single" w:color="auto" w:sz="4" w:space="0"/>
            </w:tcBorders>
            <w:vAlign w:val="center"/>
          </w:tcPr>
          <w:p w14:paraId="2977EE33">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五）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2708" w:type="dxa"/>
            <w:tcBorders>
              <w:top w:val="single" w:color="auto" w:sz="4" w:space="0"/>
              <w:left w:val="single" w:color="auto" w:sz="4" w:space="0"/>
              <w:bottom w:val="single" w:color="auto" w:sz="4" w:space="0"/>
              <w:right w:val="single" w:color="auto" w:sz="4" w:space="0"/>
            </w:tcBorders>
            <w:vAlign w:val="center"/>
          </w:tcPr>
          <w:p w14:paraId="1E85DA73">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lang w:eastAsia="zh-CN"/>
              </w:rPr>
              <w:t>项目属于畜禽养殖，经查询《产业结构调整指导目录（2024年本）》属于产业政策中鼓励类。</w:t>
            </w:r>
          </w:p>
        </w:tc>
        <w:tc>
          <w:tcPr>
            <w:tcW w:w="801" w:type="dxa"/>
            <w:tcBorders>
              <w:top w:val="single" w:color="auto" w:sz="4" w:space="0"/>
              <w:left w:val="single" w:color="auto" w:sz="4" w:space="0"/>
              <w:bottom w:val="single" w:color="auto" w:sz="4" w:space="0"/>
              <w:right w:val="single" w:color="auto" w:sz="4" w:space="0"/>
            </w:tcBorders>
            <w:vAlign w:val="center"/>
          </w:tcPr>
          <w:p w14:paraId="05DDAF8C">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14:paraId="751C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1" w:type="dxa"/>
            <w:tcBorders>
              <w:top w:val="single" w:color="auto" w:sz="4" w:space="0"/>
              <w:left w:val="single" w:color="auto" w:sz="4" w:space="0"/>
              <w:bottom w:val="single" w:color="auto" w:sz="4" w:space="0"/>
              <w:right w:val="single" w:color="auto" w:sz="4" w:space="0"/>
            </w:tcBorders>
            <w:vAlign w:val="center"/>
          </w:tcPr>
          <w:p w14:paraId="1E0D78FD">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3</w:t>
            </w:r>
          </w:p>
        </w:tc>
        <w:tc>
          <w:tcPr>
            <w:tcW w:w="5252" w:type="dxa"/>
            <w:tcBorders>
              <w:top w:val="single" w:color="auto" w:sz="4" w:space="0"/>
              <w:left w:val="single" w:color="auto" w:sz="4" w:space="0"/>
              <w:bottom w:val="single" w:color="auto" w:sz="4" w:space="0"/>
              <w:right w:val="single" w:color="auto" w:sz="4" w:space="0"/>
            </w:tcBorders>
            <w:vAlign w:val="center"/>
          </w:tcPr>
          <w:p w14:paraId="4CE52E97">
            <w:pPr>
              <w:keepNext w:val="0"/>
              <w:keepLines w:val="0"/>
              <w:suppressLineNumbers w:val="0"/>
              <w:spacing w:before="0" w:beforeAutospacing="0" w:after="0" w:afterAutospacing="0"/>
              <w:ind w:left="0" w:right="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五、强化面源污染治理，提升精细化管理水平</w:t>
            </w:r>
          </w:p>
          <w:p w14:paraId="03B1B812">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十八）深化扬尘污染综合治理。鼓励经济发达地区5000平方米及以上建筑工地安装视频监控并接入当地监管平台；重点区域道路、水务等长距离线性工程实行分段施工。将防治扬尘污染费用纳入工程造价。到2025年，装配式建筑占新建建筑面积比例达30%；地级及以上城市建成区道路机械化清扫率达80%左右，县城达70%左右。对城市公共裸地进行排查建档并采取防尘措施。城市大型煤炭、矿石等干散货码头物料堆场基本完成抑尘设施建设和物料输送系统封闭改造。</w:t>
            </w:r>
          </w:p>
        </w:tc>
        <w:tc>
          <w:tcPr>
            <w:tcW w:w="2708" w:type="dxa"/>
            <w:tcBorders>
              <w:top w:val="single" w:color="auto" w:sz="4" w:space="0"/>
              <w:left w:val="single" w:color="auto" w:sz="4" w:space="0"/>
              <w:bottom w:val="single" w:color="auto" w:sz="4" w:space="0"/>
              <w:right w:val="single" w:color="auto" w:sz="4" w:space="0"/>
            </w:tcBorders>
            <w:vAlign w:val="center"/>
          </w:tcPr>
          <w:p w14:paraId="627B5FFE">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项目施工期主要为环保相关工程施工，工程内容简单，采取洒水降尘、覆盖等措施后对环境影响较小，且施工期扬尘的影响是暂时的，并随施工结束而自然消失。</w:t>
            </w:r>
          </w:p>
        </w:tc>
        <w:tc>
          <w:tcPr>
            <w:tcW w:w="801" w:type="dxa"/>
            <w:tcBorders>
              <w:top w:val="single" w:color="auto" w:sz="4" w:space="0"/>
              <w:left w:val="single" w:color="auto" w:sz="4" w:space="0"/>
              <w:bottom w:val="single" w:color="auto" w:sz="4" w:space="0"/>
              <w:right w:val="single" w:color="auto" w:sz="4" w:space="0"/>
            </w:tcBorders>
            <w:vAlign w:val="center"/>
          </w:tcPr>
          <w:p w14:paraId="57F1530E">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14:paraId="0822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1" w:type="dxa"/>
            <w:tcBorders>
              <w:top w:val="single" w:color="auto" w:sz="4" w:space="0"/>
              <w:left w:val="single" w:color="auto" w:sz="4" w:space="0"/>
              <w:bottom w:val="single" w:color="auto" w:sz="4" w:space="0"/>
              <w:right w:val="single" w:color="auto" w:sz="4" w:space="0"/>
            </w:tcBorders>
            <w:vAlign w:val="center"/>
          </w:tcPr>
          <w:p w14:paraId="7DE8C338">
            <w:pPr>
              <w:keepNext w:val="0"/>
              <w:keepLines w:val="0"/>
              <w:suppressLineNumbers w:val="0"/>
              <w:spacing w:before="0" w:beforeAutospacing="0" w:after="0" w:afterAutospacing="0"/>
              <w:ind w:left="0" w:right="0"/>
              <w:contextualSpacing/>
              <w:jc w:val="center"/>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4</w:t>
            </w:r>
          </w:p>
        </w:tc>
        <w:tc>
          <w:tcPr>
            <w:tcW w:w="5252" w:type="dxa"/>
            <w:tcBorders>
              <w:top w:val="single" w:color="auto" w:sz="4" w:space="0"/>
              <w:left w:val="single" w:color="auto" w:sz="4" w:space="0"/>
              <w:bottom w:val="single" w:color="auto" w:sz="4" w:space="0"/>
              <w:right w:val="single" w:color="auto" w:sz="4" w:space="0"/>
            </w:tcBorders>
            <w:vAlign w:val="center"/>
          </w:tcPr>
          <w:p w14:paraId="30942E80">
            <w:pPr>
              <w:keepNext w:val="0"/>
              <w:keepLines w:val="0"/>
              <w:numPr>
                <w:ilvl w:val="0"/>
                <w:numId w:val="8"/>
              </w:numPr>
              <w:suppressLineNumbers w:val="0"/>
              <w:spacing w:before="0" w:beforeAutospacing="0" w:after="0" w:afterAutospacing="0"/>
              <w:ind w:left="0" w:right="0" w:firstLine="180" w:firstLineChars="100"/>
              <w:contextualSpacing/>
              <w:jc w:val="both"/>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rPr>
              <w:t>强化多污染物减排，切实降低排放强度</w:t>
            </w:r>
          </w:p>
          <w:p w14:paraId="09371BB7">
            <w:pPr>
              <w:keepNext w:val="0"/>
              <w:keepLines w:val="0"/>
              <w:numPr>
                <w:ilvl w:val="0"/>
                <w:numId w:val="0"/>
              </w:numPr>
              <w:suppressLineNumbers w:val="0"/>
              <w:spacing w:before="0" w:beforeAutospacing="0" w:after="0" w:afterAutospacing="0"/>
              <w:ind w:left="0" w:leftChars="0" w:right="0" w:rightChars="0" w:firstLine="180" w:firstLineChars="100"/>
              <w:contextualSpacing/>
              <w:jc w:val="both"/>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二十四）稳步推进大气氨污染防控。开展京津冀及周边地区大气氨排放控制试点。推广氮肥机械深施和低蛋白日粮技术。研究畜禽养殖场氨气等臭气治理措施，鼓励生猪、鸡等圈舍封闭管理，支持粪污输送、存储及处理设施封闭，加强废气收集和处理。到2025年，京津冀及周边地区大型规模化畜禽养殖场大气氨排放总量比2020年下降5%。加强氮肥、纯碱等行业大气氨排放治理；强化工业源烟气脱硫脱硝氨逃逸防控。</w:t>
            </w:r>
          </w:p>
        </w:tc>
        <w:tc>
          <w:tcPr>
            <w:tcW w:w="2708" w:type="dxa"/>
            <w:tcBorders>
              <w:top w:val="single" w:color="auto" w:sz="4" w:space="0"/>
              <w:left w:val="single" w:color="auto" w:sz="4" w:space="0"/>
              <w:bottom w:val="single" w:color="auto" w:sz="4" w:space="0"/>
              <w:right w:val="single" w:color="auto" w:sz="4" w:space="0"/>
            </w:tcBorders>
            <w:vAlign w:val="center"/>
          </w:tcPr>
          <w:p w14:paraId="03ACE2D1">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项目猪舍为密闭式管理；猪只采用合理设计日粮（添加益生菌和EM活菌剂）等措施降低氨产生量；</w:t>
            </w:r>
            <w:r>
              <w:rPr>
                <w:rFonts w:hint="default" w:ascii="Times New Roman" w:hAnsi="Times New Roman" w:cs="Times New Roman"/>
                <w:color w:val="auto"/>
                <w:sz w:val="18"/>
                <w:szCs w:val="18"/>
                <w:highlight w:val="none"/>
                <w:lang w:val="en-US" w:eastAsia="zh-CN"/>
              </w:rPr>
              <w:t>废水收集</w:t>
            </w:r>
            <w:r>
              <w:rPr>
                <w:rFonts w:hint="default" w:ascii="Times New Roman" w:hAnsi="Times New Roman" w:cs="Times New Roman"/>
                <w:color w:val="auto"/>
                <w:sz w:val="18"/>
                <w:szCs w:val="18"/>
                <w:highlight w:val="none"/>
              </w:rPr>
              <w:t>池采取密闭措施</w:t>
            </w:r>
            <w:r>
              <w:rPr>
                <w:rFonts w:hint="default" w:ascii="Times New Roman" w:hAnsi="Times New Roman" w:cs="Times New Roman"/>
                <w:bCs/>
                <w:color w:val="auto"/>
                <w:sz w:val="18"/>
                <w:szCs w:val="18"/>
                <w:highlight w:val="none"/>
                <w:lang w:eastAsia="zh-CN"/>
              </w:rPr>
              <w:t>；堆粪棚</w:t>
            </w:r>
            <w:r>
              <w:rPr>
                <w:rFonts w:hint="default" w:ascii="Times New Roman" w:hAnsi="Times New Roman" w:cs="Times New Roman"/>
                <w:bCs/>
                <w:color w:val="auto"/>
                <w:sz w:val="18"/>
                <w:szCs w:val="18"/>
                <w:highlight w:val="none"/>
              </w:rPr>
              <w:t>为密闭车间</w:t>
            </w:r>
            <w:r>
              <w:rPr>
                <w:rFonts w:hint="default" w:ascii="Times New Roman" w:hAnsi="Times New Roman" w:cs="Times New Roman"/>
                <w:bCs/>
                <w:color w:val="auto"/>
                <w:sz w:val="18"/>
                <w:szCs w:val="18"/>
                <w:highlight w:val="none"/>
                <w:lang w:eastAsia="zh-CN"/>
              </w:rPr>
              <w:t>；</w:t>
            </w:r>
            <w:r>
              <w:rPr>
                <w:rFonts w:hint="default" w:ascii="Times New Roman" w:hAnsi="Times New Roman" w:cs="Times New Roman"/>
                <w:bCs/>
                <w:color w:val="auto"/>
                <w:sz w:val="18"/>
                <w:szCs w:val="18"/>
                <w:highlight w:val="none"/>
              </w:rPr>
              <w:t>每天沿猪舍、</w:t>
            </w:r>
            <w:r>
              <w:rPr>
                <w:rFonts w:hint="default" w:ascii="Times New Roman" w:hAnsi="Times New Roman" w:cs="Times New Roman"/>
                <w:bCs/>
                <w:color w:val="auto"/>
                <w:sz w:val="18"/>
                <w:szCs w:val="18"/>
                <w:highlight w:val="none"/>
                <w:lang w:val="en-US" w:eastAsia="zh-CN"/>
              </w:rPr>
              <w:t>废水收集池</w:t>
            </w:r>
            <w:r>
              <w:rPr>
                <w:rFonts w:hint="default" w:ascii="Times New Roman" w:hAnsi="Times New Roman" w:cs="Times New Roman"/>
                <w:bCs/>
                <w:color w:val="auto"/>
                <w:sz w:val="18"/>
                <w:szCs w:val="18"/>
                <w:highlight w:val="none"/>
              </w:rPr>
              <w:t>、</w:t>
            </w:r>
            <w:r>
              <w:rPr>
                <w:rFonts w:hint="default" w:ascii="Times New Roman" w:hAnsi="Times New Roman" w:cs="Times New Roman"/>
                <w:bCs/>
                <w:color w:val="auto"/>
                <w:sz w:val="18"/>
                <w:szCs w:val="18"/>
                <w:highlight w:val="none"/>
                <w:lang w:eastAsia="zh-CN"/>
              </w:rPr>
              <w:t>堆粪棚</w:t>
            </w:r>
            <w:r>
              <w:rPr>
                <w:rFonts w:hint="default" w:ascii="Times New Roman" w:hAnsi="Times New Roman" w:cs="Times New Roman"/>
                <w:bCs/>
                <w:color w:val="auto"/>
                <w:sz w:val="18"/>
                <w:szCs w:val="18"/>
                <w:highlight w:val="none"/>
              </w:rPr>
              <w:t>等厂区内恶臭产生点，沿路喷洒生物除臭剂，</w:t>
            </w:r>
            <w:r>
              <w:rPr>
                <w:rFonts w:hint="default" w:ascii="Times New Roman" w:hAnsi="Times New Roman" w:cs="Times New Roman"/>
                <w:bCs/>
                <w:color w:val="auto"/>
                <w:sz w:val="18"/>
                <w:szCs w:val="18"/>
                <w:highlight w:val="none"/>
                <w:lang w:eastAsia="zh-CN"/>
              </w:rPr>
              <w:t>并通过加强绿化等措施进一步减少氨等恶臭影响。</w:t>
            </w:r>
          </w:p>
        </w:tc>
        <w:tc>
          <w:tcPr>
            <w:tcW w:w="801" w:type="dxa"/>
            <w:tcBorders>
              <w:top w:val="single" w:color="auto" w:sz="4" w:space="0"/>
              <w:left w:val="single" w:color="auto" w:sz="4" w:space="0"/>
              <w:bottom w:val="single" w:color="auto" w:sz="4" w:space="0"/>
              <w:right w:val="single" w:color="auto" w:sz="4" w:space="0"/>
            </w:tcBorders>
            <w:vAlign w:val="center"/>
          </w:tcPr>
          <w:p w14:paraId="35F645AD">
            <w:pPr>
              <w:keepNext w:val="0"/>
              <w:keepLines w:val="0"/>
              <w:suppressLineNumbers w:val="0"/>
              <w:spacing w:before="0" w:beforeAutospacing="0" w:after="0" w:afterAutospacing="0"/>
              <w:ind w:left="0" w:right="0"/>
              <w:contextualSpacing/>
              <w:jc w:val="center"/>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bl>
    <w:p w14:paraId="3958D0C0">
      <w:pPr>
        <w:tabs>
          <w:tab w:val="left" w:pos="611"/>
        </w:tabs>
        <w:snapToGrid w:val="0"/>
        <w:spacing w:line="360" w:lineRule="auto"/>
        <w:ind w:firstLine="480" w:firstLineChars="2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综上分析，项目建设符合《空气质量持续改善行动计划》国发〔2023〕24号相关要求。</w:t>
      </w:r>
    </w:p>
    <w:p w14:paraId="7CA6172F">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75" w:name="_Toc14982"/>
      <w:r>
        <w:rPr>
          <w:rStyle w:val="35"/>
          <w:rFonts w:hint="default" w:ascii="Times New Roman" w:hAnsi="Times New Roman" w:eastAsia="宋体" w:cs="Times New Roman"/>
          <w:color w:val="auto"/>
          <w:sz w:val="24"/>
          <w:szCs w:val="24"/>
          <w:highlight w:val="none"/>
        </w:rPr>
        <w:t>7.</w:t>
      </w:r>
      <w:r>
        <w:rPr>
          <w:rStyle w:val="35"/>
          <w:rFonts w:hint="default" w:ascii="Times New Roman" w:hAnsi="Times New Roman" w:eastAsia="宋体" w:cs="Times New Roman"/>
          <w:color w:val="auto"/>
          <w:sz w:val="24"/>
          <w:szCs w:val="24"/>
          <w:highlight w:val="none"/>
          <w:lang w:val="en-US" w:eastAsia="zh-CN"/>
        </w:rPr>
        <w:t>3</w:t>
      </w:r>
      <w:r>
        <w:rPr>
          <w:rStyle w:val="35"/>
          <w:rFonts w:hint="default" w:ascii="Times New Roman" w:hAnsi="Times New Roman" w:eastAsia="宋体" w:cs="Times New Roman"/>
          <w:color w:val="auto"/>
          <w:sz w:val="24"/>
          <w:szCs w:val="24"/>
          <w:highlight w:val="none"/>
        </w:rPr>
        <w:t>.</w:t>
      </w:r>
      <w:r>
        <w:rPr>
          <w:rStyle w:val="35"/>
          <w:rFonts w:hint="default"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与《甲烷排放控制行动方案》符合性分析</w:t>
      </w:r>
      <w:bookmarkEnd w:id="375"/>
    </w:p>
    <w:p w14:paraId="389FAFDD">
      <w:pPr>
        <w:tabs>
          <w:tab w:val="left" w:pos="611"/>
        </w:tabs>
        <w:snapToGrid w:val="0"/>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eastAsia="zh-CN"/>
        </w:rPr>
        <w:t>根据《甲烷排放控制行动方案》环气候</w:t>
      </w:r>
      <w:r>
        <w:rPr>
          <w:rFonts w:hint="eastAsia" w:ascii="Times New Roman" w:hAnsi="Times New Roman" w:cs="Times New Roman"/>
          <w:color w:val="auto"/>
          <w:kern w:val="0"/>
          <w:sz w:val="24"/>
          <w:highlight w:val="none"/>
          <w:lang w:eastAsia="zh-CN"/>
        </w:rPr>
        <w:t>〔2023〕67号</w:t>
      </w:r>
      <w:r>
        <w:rPr>
          <w:rFonts w:hint="default" w:ascii="Times New Roman" w:hAnsi="Times New Roman" w:cs="Times New Roman"/>
          <w:color w:val="auto"/>
          <w:kern w:val="0"/>
          <w:sz w:val="24"/>
          <w:highlight w:val="none"/>
          <w:lang w:val="en-US" w:eastAsia="zh-CN"/>
        </w:rPr>
        <w:t>，项目相关内容符合性分析见表7.3-14。</w:t>
      </w:r>
    </w:p>
    <w:p w14:paraId="288D6A43">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default" w:ascii="Times New Roman" w:hAnsi="Times New Roman" w:cs="Times New Roman"/>
          <w:b/>
          <w:color w:val="auto"/>
          <w:highlight w:val="none"/>
          <w:lang w:val="en-US" w:eastAsia="zh-CN"/>
        </w:rPr>
        <w:t xml:space="preserve">7.3-14 </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eastAsia="zh-CN"/>
        </w:rPr>
        <w:t>项目</w:t>
      </w:r>
      <w:r>
        <w:rPr>
          <w:rFonts w:hint="default" w:ascii="Times New Roman" w:hAnsi="Times New Roman" w:cs="Times New Roman"/>
          <w:b/>
          <w:color w:val="auto"/>
          <w:highlight w:val="none"/>
        </w:rPr>
        <w:t>与《甲烷排放控制行动方案》符合性分析</w:t>
      </w:r>
    </w:p>
    <w:tbl>
      <w:tblPr>
        <w:tblStyle w:val="23"/>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5168"/>
        <w:gridCol w:w="2794"/>
        <w:gridCol w:w="801"/>
      </w:tblGrid>
      <w:tr w14:paraId="551D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611FFF92">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cs="Times New Roman"/>
                <w:b/>
                <w:color w:val="auto"/>
                <w:sz w:val="18"/>
                <w:szCs w:val="18"/>
                <w:highlight w:val="none"/>
                <w:lang w:eastAsia="zh-CN"/>
              </w:rPr>
              <w:t>序号</w:t>
            </w:r>
          </w:p>
        </w:tc>
        <w:tc>
          <w:tcPr>
            <w:tcW w:w="5168" w:type="dxa"/>
            <w:tcBorders>
              <w:top w:val="single" w:color="auto" w:sz="4" w:space="0"/>
              <w:left w:val="single" w:color="auto" w:sz="4" w:space="0"/>
              <w:bottom w:val="single" w:color="auto" w:sz="4" w:space="0"/>
              <w:right w:val="single" w:color="auto" w:sz="4" w:space="0"/>
            </w:tcBorders>
            <w:vAlign w:val="center"/>
          </w:tcPr>
          <w:p w14:paraId="6D59D60A">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相关要求</w:t>
            </w:r>
          </w:p>
        </w:tc>
        <w:tc>
          <w:tcPr>
            <w:tcW w:w="2794" w:type="dxa"/>
            <w:tcBorders>
              <w:top w:val="single" w:color="auto" w:sz="4" w:space="0"/>
              <w:left w:val="single" w:color="auto" w:sz="4" w:space="0"/>
              <w:bottom w:val="single" w:color="auto" w:sz="4" w:space="0"/>
              <w:right w:val="single" w:color="auto" w:sz="4" w:space="0"/>
            </w:tcBorders>
            <w:vAlign w:val="center"/>
          </w:tcPr>
          <w:p w14:paraId="23840BC9">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项目情况</w:t>
            </w:r>
          </w:p>
        </w:tc>
        <w:tc>
          <w:tcPr>
            <w:tcW w:w="801" w:type="dxa"/>
            <w:tcBorders>
              <w:top w:val="single" w:color="auto" w:sz="4" w:space="0"/>
              <w:left w:val="single" w:color="auto" w:sz="4" w:space="0"/>
              <w:bottom w:val="single" w:color="auto" w:sz="4" w:space="0"/>
              <w:right w:val="single" w:color="auto" w:sz="4" w:space="0"/>
            </w:tcBorders>
            <w:vAlign w:val="center"/>
          </w:tcPr>
          <w:p w14:paraId="5862B4DF">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符合性</w:t>
            </w:r>
          </w:p>
        </w:tc>
      </w:tr>
      <w:tr w14:paraId="4C7C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34DABF2B">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w:t>
            </w:r>
          </w:p>
        </w:tc>
        <w:tc>
          <w:tcPr>
            <w:tcW w:w="5168" w:type="dxa"/>
            <w:tcBorders>
              <w:top w:val="single" w:color="auto" w:sz="4" w:space="0"/>
              <w:left w:val="single" w:color="auto" w:sz="4" w:space="0"/>
              <w:bottom w:val="single" w:color="auto" w:sz="4" w:space="0"/>
              <w:right w:val="single" w:color="auto" w:sz="4" w:space="0"/>
            </w:tcBorders>
            <w:vAlign w:val="center"/>
          </w:tcPr>
          <w:p w14:paraId="7AFB32D0">
            <w:pPr>
              <w:keepNext w:val="0"/>
              <w:keepLines w:val="0"/>
              <w:suppressLineNumbers w:val="0"/>
              <w:spacing w:before="0" w:beforeAutospacing="0" w:after="0" w:afterAutospacing="0"/>
              <w:ind w:left="0" w:right="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（三）推进农业领域甲烷排放控制。</w:t>
            </w:r>
          </w:p>
          <w:p w14:paraId="0FE3A3E8">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7.推进畜禽粪污资源化利用。以畜禽规模养殖场为重点，改进畜禽粪污存储及处理设施装备，推广粪污密闭处理</w:t>
            </w:r>
            <w:r>
              <w:rPr>
                <w:rFonts w:hint="default" w:ascii="Times New Roman" w:hAnsi="Times New Roman" w:cs="Times New Roman"/>
                <w:b w:val="0"/>
                <w:bCs/>
                <w:color w:val="auto"/>
                <w:sz w:val="18"/>
                <w:szCs w:val="18"/>
                <w:highlight w:val="none"/>
                <w:lang w:eastAsia="zh-CN"/>
              </w:rPr>
              <w:t>、</w:t>
            </w:r>
            <w:r>
              <w:rPr>
                <w:rFonts w:hint="default" w:ascii="Times New Roman" w:hAnsi="Times New Roman" w:cs="Times New Roman"/>
                <w:b w:val="0"/>
                <w:bCs/>
                <w:color w:val="auto"/>
                <w:sz w:val="18"/>
                <w:szCs w:val="18"/>
                <w:highlight w:val="none"/>
              </w:rPr>
              <w:t>气体收集利用或处理等技术，建立粪污资源化利用台账，探索实施畜禽粪污养分平衡管理，提高畜禽粪污处理及资源化利用水平。因地制宜发展农村沼气，鼓励有条件地区建设规模化沼气/生物天然气工程，探索沼气/生物天然气终端利用激励约束机制，推进沼气集中供气供热、发电上网以及生物天然气车用或并入燃气管网等应用。到2025年，畜禽粪污综合利用率达到80%以上，2030年达到85%以上。</w:t>
            </w:r>
          </w:p>
        </w:tc>
        <w:tc>
          <w:tcPr>
            <w:tcW w:w="2794" w:type="dxa"/>
            <w:tcBorders>
              <w:top w:val="single" w:color="auto" w:sz="4" w:space="0"/>
              <w:left w:val="single" w:color="auto" w:sz="4" w:space="0"/>
              <w:bottom w:val="single" w:color="auto" w:sz="4" w:space="0"/>
              <w:right w:val="single" w:color="auto" w:sz="4" w:space="0"/>
            </w:tcBorders>
            <w:vAlign w:val="center"/>
          </w:tcPr>
          <w:p w14:paraId="642E314A">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color w:val="auto"/>
                <w:sz w:val="18"/>
                <w:szCs w:val="18"/>
                <w:highlight w:val="none"/>
                <w:lang w:eastAsia="zh-CN"/>
              </w:rPr>
              <w:t>项目粪污经过无害化处理后回用于农田施肥，建立粪污产生、处理、回用过程台账，畜禽粪污均得到</w:t>
            </w:r>
            <w:r>
              <w:rPr>
                <w:rFonts w:hint="default" w:ascii="Times New Roman" w:hAnsi="Times New Roman" w:cs="Times New Roman"/>
                <w:color w:val="auto"/>
                <w:sz w:val="18"/>
                <w:szCs w:val="18"/>
                <w:highlight w:val="none"/>
                <w:lang w:val="en-US" w:eastAsia="zh-CN"/>
              </w:rPr>
              <w:t>100%</w:t>
            </w:r>
            <w:r>
              <w:rPr>
                <w:rFonts w:hint="default" w:ascii="Times New Roman" w:hAnsi="Times New Roman" w:cs="Times New Roman"/>
                <w:color w:val="auto"/>
                <w:sz w:val="18"/>
                <w:szCs w:val="18"/>
                <w:highlight w:val="none"/>
                <w:lang w:eastAsia="zh-CN"/>
              </w:rPr>
              <w:t>还田利用</w:t>
            </w:r>
            <w:r>
              <w:rPr>
                <w:rFonts w:hint="default" w:ascii="Times New Roman" w:hAnsi="Times New Roman" w:cs="Times New Roman"/>
                <w:b w:val="0"/>
                <w:bCs/>
                <w:color w:val="auto"/>
                <w:sz w:val="18"/>
                <w:szCs w:val="18"/>
                <w:highlight w:val="none"/>
                <w:lang w:eastAsia="zh-CN"/>
              </w:rPr>
              <w:t>。</w:t>
            </w:r>
          </w:p>
        </w:tc>
        <w:tc>
          <w:tcPr>
            <w:tcW w:w="801" w:type="dxa"/>
            <w:tcBorders>
              <w:top w:val="single" w:color="auto" w:sz="4" w:space="0"/>
              <w:left w:val="single" w:color="auto" w:sz="4" w:space="0"/>
              <w:bottom w:val="single" w:color="auto" w:sz="4" w:space="0"/>
              <w:right w:val="single" w:color="auto" w:sz="4" w:space="0"/>
            </w:tcBorders>
            <w:vAlign w:val="center"/>
          </w:tcPr>
          <w:p w14:paraId="53887020">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14:paraId="295B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7A6A6E6C">
            <w:pPr>
              <w:keepNext w:val="0"/>
              <w:keepLines w:val="0"/>
              <w:suppressLineNumbers w:val="0"/>
              <w:spacing w:before="0" w:beforeAutospacing="0" w:after="0" w:afterAutospacing="0"/>
              <w:ind w:left="0" w:right="0"/>
              <w:contextualSpacing/>
              <w:jc w:val="center"/>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2</w:t>
            </w:r>
          </w:p>
        </w:tc>
        <w:tc>
          <w:tcPr>
            <w:tcW w:w="5168" w:type="dxa"/>
            <w:tcBorders>
              <w:top w:val="single" w:color="auto" w:sz="4" w:space="0"/>
              <w:left w:val="single" w:color="auto" w:sz="4" w:space="0"/>
              <w:bottom w:val="single" w:color="auto" w:sz="4" w:space="0"/>
              <w:right w:val="single" w:color="auto" w:sz="4" w:space="0"/>
            </w:tcBorders>
            <w:vAlign w:val="center"/>
          </w:tcPr>
          <w:p w14:paraId="0EC6B793">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8.科学控制肠道发酵甲烷排放。以畜禽规模养殖场为重点，选育推广高产低排放畜禽品种，推广低蛋白日粮、全株青贮等技术，合理使用基于植物提取物、益生菌等饲料添加剂和多功能营养舔砖，改进畜禽饲养管理，实施精准饲喂，探索高产低排放技术模式，引导降低单位畜产品的肠道甲烷排放。</w:t>
            </w:r>
          </w:p>
        </w:tc>
        <w:tc>
          <w:tcPr>
            <w:tcW w:w="2794" w:type="dxa"/>
            <w:tcBorders>
              <w:top w:val="single" w:color="auto" w:sz="4" w:space="0"/>
              <w:left w:val="single" w:color="auto" w:sz="4" w:space="0"/>
              <w:bottom w:val="single" w:color="auto" w:sz="4" w:space="0"/>
              <w:right w:val="single" w:color="auto" w:sz="4" w:space="0"/>
            </w:tcBorders>
            <w:vAlign w:val="center"/>
          </w:tcPr>
          <w:p w14:paraId="753AE585">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项目猪只采用合理设计日粮（添加益生菌和EM活菌剂）等喂养技术，从源头减少甲烷排放量。</w:t>
            </w:r>
          </w:p>
        </w:tc>
        <w:tc>
          <w:tcPr>
            <w:tcW w:w="801" w:type="dxa"/>
            <w:tcBorders>
              <w:top w:val="single" w:color="auto" w:sz="4" w:space="0"/>
              <w:left w:val="single" w:color="auto" w:sz="4" w:space="0"/>
              <w:bottom w:val="single" w:color="auto" w:sz="4" w:space="0"/>
              <w:right w:val="single" w:color="auto" w:sz="4" w:space="0"/>
            </w:tcBorders>
            <w:vAlign w:val="center"/>
          </w:tcPr>
          <w:p w14:paraId="4528A449">
            <w:pPr>
              <w:keepNext w:val="0"/>
              <w:keepLines w:val="0"/>
              <w:suppressLineNumbers w:val="0"/>
              <w:spacing w:before="0" w:beforeAutospacing="0" w:after="0" w:afterAutospacing="0"/>
              <w:ind w:left="0" w:right="0"/>
              <w:contextualSpacing/>
              <w:jc w:val="center"/>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14:paraId="500A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371D3997">
            <w:pPr>
              <w:keepNext w:val="0"/>
              <w:keepLines w:val="0"/>
              <w:suppressLineNumbers w:val="0"/>
              <w:spacing w:before="0" w:beforeAutospacing="0" w:after="0" w:afterAutospacing="0"/>
              <w:ind w:left="0" w:right="0"/>
              <w:contextualSpacing/>
              <w:jc w:val="center"/>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3</w:t>
            </w:r>
          </w:p>
        </w:tc>
        <w:tc>
          <w:tcPr>
            <w:tcW w:w="5168" w:type="dxa"/>
            <w:tcBorders>
              <w:top w:val="single" w:color="auto" w:sz="4" w:space="0"/>
              <w:left w:val="single" w:color="auto" w:sz="4" w:space="0"/>
              <w:bottom w:val="single" w:color="auto" w:sz="4" w:space="0"/>
              <w:right w:val="single" w:color="auto" w:sz="4" w:space="0"/>
            </w:tcBorders>
            <w:vAlign w:val="center"/>
          </w:tcPr>
          <w:p w14:paraId="7D88D05F">
            <w:pPr>
              <w:keepNext w:val="0"/>
              <w:keepLines w:val="0"/>
              <w:numPr>
                <w:ilvl w:val="0"/>
                <w:numId w:val="0"/>
              </w:numPr>
              <w:suppressLineNumbers w:val="0"/>
              <w:spacing w:before="0" w:beforeAutospacing="0" w:after="0" w:afterAutospacing="0"/>
              <w:ind w:left="0" w:leftChars="0" w:right="0" w:rightChars="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eastAsia="宋体" w:cs="Times New Roman"/>
                <w:b w:val="0"/>
                <w:bCs/>
                <w:color w:val="auto"/>
                <w:kern w:val="2"/>
                <w:sz w:val="18"/>
                <w:szCs w:val="18"/>
                <w:lang w:val="en-US" w:eastAsia="zh-CN" w:bidi="ar-SA"/>
              </w:rPr>
              <w:t>（四）</w:t>
            </w:r>
            <w:r>
              <w:rPr>
                <w:rFonts w:hint="default" w:ascii="Times New Roman" w:hAnsi="Times New Roman" w:cs="Times New Roman"/>
                <w:b w:val="0"/>
                <w:bCs/>
                <w:color w:val="auto"/>
                <w:sz w:val="18"/>
                <w:szCs w:val="18"/>
                <w:highlight w:val="none"/>
              </w:rPr>
              <w:t>加强垃圾和污水处理甲烷排放控制。</w:t>
            </w:r>
          </w:p>
          <w:p w14:paraId="7CB0B470">
            <w:pPr>
              <w:keepNext w:val="0"/>
              <w:keepLines w:val="0"/>
              <w:numPr>
                <w:ilvl w:val="0"/>
                <w:numId w:val="0"/>
              </w:numPr>
              <w:suppressLineNumbers w:val="0"/>
              <w:spacing w:before="0" w:beforeAutospacing="0" w:after="0" w:afterAutospacing="0"/>
              <w:ind w:left="0" w:leftChars="0" w:right="0" w:rightChars="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11.加强污水处理领域甲烷收集利用。全面提升城镇生活污水收集处理效能，稳步提高污泥无害化、资源化利用水平。鼓励有条件的污水处理项目，采用污泥厌氧消化等方式产生沼气并加强回收利用。到2025年，城市污泥无害化处置率达到90%以上。</w:t>
            </w:r>
          </w:p>
        </w:tc>
        <w:tc>
          <w:tcPr>
            <w:tcW w:w="2794" w:type="dxa"/>
            <w:tcBorders>
              <w:top w:val="single" w:color="auto" w:sz="4" w:space="0"/>
              <w:left w:val="single" w:color="auto" w:sz="4" w:space="0"/>
              <w:bottom w:val="single" w:color="auto" w:sz="4" w:space="0"/>
              <w:right w:val="single" w:color="auto" w:sz="4" w:space="0"/>
            </w:tcBorders>
            <w:vAlign w:val="center"/>
          </w:tcPr>
          <w:p w14:paraId="54A37E73">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w:t>
            </w:r>
            <w:r>
              <w:rPr>
                <w:rFonts w:hint="default" w:ascii="Times New Roman" w:hAnsi="Times New Roman" w:cs="Times New Roman"/>
                <w:b w:val="0"/>
                <w:bCs/>
                <w:color w:val="auto"/>
                <w:sz w:val="18"/>
                <w:szCs w:val="18"/>
                <w:highlight w:val="none"/>
                <w:lang w:val="en-US" w:eastAsia="zh-CN"/>
              </w:rPr>
              <w:t>废水依托</w:t>
            </w:r>
            <w:r>
              <w:rPr>
                <w:rFonts w:hint="default" w:ascii="Times New Roman" w:hAnsi="Times New Roman" w:cs="Times New Roman"/>
                <w:color w:val="auto"/>
                <w:sz w:val="18"/>
                <w:szCs w:val="18"/>
                <w:highlight w:val="none"/>
                <w:lang w:val="en-US" w:eastAsia="zh-CN"/>
              </w:rPr>
              <w:t>弥勒温氏畜牧有限公司新哨种猪场建设项目污水处理站处理后用于绿化及农田灌溉</w:t>
            </w:r>
            <w:r>
              <w:rPr>
                <w:rFonts w:hint="default" w:ascii="Times New Roman" w:hAnsi="Times New Roman" w:cs="Times New Roman"/>
                <w:color w:val="auto"/>
                <w:sz w:val="18"/>
                <w:szCs w:val="18"/>
                <w:highlight w:val="none"/>
              </w:rPr>
              <w:t>。</w:t>
            </w:r>
          </w:p>
        </w:tc>
        <w:tc>
          <w:tcPr>
            <w:tcW w:w="801" w:type="dxa"/>
            <w:tcBorders>
              <w:top w:val="single" w:color="auto" w:sz="4" w:space="0"/>
              <w:left w:val="single" w:color="auto" w:sz="4" w:space="0"/>
              <w:bottom w:val="single" w:color="auto" w:sz="4" w:space="0"/>
              <w:right w:val="single" w:color="auto" w:sz="4" w:space="0"/>
            </w:tcBorders>
            <w:vAlign w:val="center"/>
          </w:tcPr>
          <w:p w14:paraId="2FC7B39D">
            <w:pPr>
              <w:keepNext w:val="0"/>
              <w:keepLines w:val="0"/>
              <w:suppressLineNumbers w:val="0"/>
              <w:spacing w:before="0" w:beforeAutospacing="0" w:after="0" w:afterAutospacing="0"/>
              <w:ind w:left="0" w:right="0"/>
              <w:contextualSpacing/>
              <w:jc w:val="center"/>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14:paraId="380E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414E8856">
            <w:pPr>
              <w:keepNext w:val="0"/>
              <w:keepLines w:val="0"/>
              <w:suppressLineNumbers w:val="0"/>
              <w:spacing w:before="0" w:beforeAutospacing="0" w:after="0" w:afterAutospacing="0"/>
              <w:ind w:left="0" w:right="0"/>
              <w:contextualSpacing/>
              <w:jc w:val="center"/>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4</w:t>
            </w:r>
          </w:p>
        </w:tc>
        <w:tc>
          <w:tcPr>
            <w:tcW w:w="5168" w:type="dxa"/>
            <w:tcBorders>
              <w:top w:val="single" w:color="auto" w:sz="4" w:space="0"/>
              <w:left w:val="single" w:color="auto" w:sz="4" w:space="0"/>
              <w:bottom w:val="single" w:color="auto" w:sz="4" w:space="0"/>
              <w:right w:val="single" w:color="auto" w:sz="4" w:space="0"/>
            </w:tcBorders>
            <w:vAlign w:val="center"/>
          </w:tcPr>
          <w:p w14:paraId="2A572DB7">
            <w:pPr>
              <w:keepNext w:val="0"/>
              <w:keepLines w:val="0"/>
              <w:numPr>
                <w:ilvl w:val="0"/>
                <w:numId w:val="0"/>
              </w:numPr>
              <w:suppressLineNumbers w:val="0"/>
              <w:spacing w:before="0" w:beforeAutospacing="0" w:after="0" w:afterAutospacing="0"/>
              <w:ind w:left="0" w:leftChars="0" w:right="0" w:rightChars="0" w:firstLine="180" w:firstLineChars="100"/>
              <w:contextualSpacing/>
              <w:jc w:val="both"/>
              <w:rPr>
                <w:rFonts w:hint="default" w:ascii="Times New Roman" w:hAnsi="Times New Roman" w:cs="Times New Roman"/>
                <w:b w:val="0"/>
                <w:bCs/>
                <w:color w:val="auto"/>
                <w:sz w:val="18"/>
                <w:szCs w:val="18"/>
                <w:highlight w:val="none"/>
                <w:lang w:val="en-US" w:eastAsia="zh-CN"/>
              </w:rPr>
            </w:pPr>
            <w:r>
              <w:rPr>
                <w:rFonts w:hint="default" w:ascii="Times New Roman" w:hAnsi="Times New Roman" w:eastAsia="宋体" w:cs="Times New Roman"/>
                <w:b w:val="0"/>
                <w:bCs/>
                <w:color w:val="auto"/>
                <w:kern w:val="2"/>
                <w:sz w:val="18"/>
                <w:szCs w:val="18"/>
                <w:lang w:val="en-US" w:eastAsia="zh-CN" w:bidi="ar-SA"/>
              </w:rPr>
              <w:t>（五）</w:t>
            </w:r>
            <w:r>
              <w:rPr>
                <w:rFonts w:hint="default" w:ascii="Times New Roman" w:hAnsi="Times New Roman" w:cs="Times New Roman"/>
                <w:b w:val="0"/>
                <w:bCs/>
                <w:color w:val="auto"/>
                <w:sz w:val="18"/>
                <w:szCs w:val="18"/>
                <w:highlight w:val="none"/>
              </w:rPr>
              <w:t>加强污染物与甲烷协同控制</w:t>
            </w:r>
            <w:r>
              <w:rPr>
                <w:rFonts w:hint="default" w:ascii="Times New Roman" w:hAnsi="Times New Roman" w:cs="Times New Roman"/>
                <w:b w:val="0"/>
                <w:bCs/>
                <w:color w:val="auto"/>
                <w:sz w:val="18"/>
                <w:szCs w:val="18"/>
                <w:highlight w:val="none"/>
                <w:lang w:val="en-US" w:eastAsia="zh-CN"/>
              </w:rPr>
              <w:t xml:space="preserve"> </w:t>
            </w:r>
          </w:p>
          <w:p w14:paraId="5CA88ED2">
            <w:pPr>
              <w:keepNext w:val="0"/>
              <w:keepLines w:val="0"/>
              <w:numPr>
                <w:ilvl w:val="0"/>
                <w:numId w:val="0"/>
              </w:numPr>
              <w:suppressLineNumbers w:val="0"/>
              <w:spacing w:before="0" w:beforeAutospacing="0" w:after="0" w:afterAutospacing="0"/>
              <w:ind w:left="0" w:leftChars="0" w:right="0" w:rightChars="0" w:firstLine="180" w:firstLineChars="100"/>
              <w:contextualSpacing/>
              <w:jc w:val="both"/>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13.优化协同治理技术路线。制定重点领域污染物与甲烷协同控制技术指南。推进油气开采领域使用烃蒸汽回收利用、作业密闭化改造、安全氧化燃烧等一体化控制技术。推广畜禽养殖粪污固液分离、分质处理、深施还田治理工艺。推广使用高浓度有机工业废水高效产甲烷技术并配套高效处理技术。</w:t>
            </w:r>
          </w:p>
        </w:tc>
        <w:tc>
          <w:tcPr>
            <w:tcW w:w="2794" w:type="dxa"/>
            <w:tcBorders>
              <w:top w:val="single" w:color="auto" w:sz="4" w:space="0"/>
              <w:left w:val="single" w:color="auto" w:sz="4" w:space="0"/>
              <w:bottom w:val="single" w:color="auto" w:sz="4" w:space="0"/>
              <w:right w:val="single" w:color="auto" w:sz="4" w:space="0"/>
            </w:tcBorders>
            <w:vAlign w:val="center"/>
          </w:tcPr>
          <w:p w14:paraId="71E6E857">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w:t>
            </w:r>
            <w:r>
              <w:rPr>
                <w:rFonts w:hint="default" w:ascii="Times New Roman" w:hAnsi="Times New Roman" w:cs="Times New Roman"/>
                <w:b w:val="0"/>
                <w:bCs/>
                <w:color w:val="auto"/>
                <w:sz w:val="18"/>
                <w:szCs w:val="18"/>
                <w:highlight w:val="none"/>
                <w:lang w:val="en-US" w:eastAsia="zh-CN"/>
              </w:rPr>
              <w:t>废水依托</w:t>
            </w:r>
            <w:r>
              <w:rPr>
                <w:rFonts w:hint="default" w:ascii="Times New Roman" w:hAnsi="Times New Roman" w:cs="Times New Roman"/>
                <w:color w:val="auto"/>
                <w:sz w:val="18"/>
                <w:szCs w:val="18"/>
                <w:highlight w:val="none"/>
                <w:lang w:val="en-US" w:eastAsia="zh-CN"/>
              </w:rPr>
              <w:t>弥勒温氏畜牧有限公司新哨种猪场建设项目污水处理站处理后用于绿化及农田灌溉</w:t>
            </w:r>
            <w:r>
              <w:rPr>
                <w:rFonts w:hint="default" w:ascii="Times New Roman" w:hAnsi="Times New Roman" w:cs="Times New Roman"/>
                <w:color w:val="auto"/>
                <w:sz w:val="18"/>
                <w:szCs w:val="18"/>
                <w:highlight w:val="none"/>
              </w:rPr>
              <w:t>。</w:t>
            </w:r>
            <w:r>
              <w:rPr>
                <w:rFonts w:hint="default" w:ascii="Times New Roman" w:hAnsi="Times New Roman" w:cs="Times New Roman"/>
                <w:b w:val="0"/>
                <w:bCs/>
                <w:color w:val="auto"/>
                <w:sz w:val="18"/>
                <w:szCs w:val="18"/>
                <w:highlight w:val="none"/>
                <w:lang w:val="en-US" w:eastAsia="zh-CN"/>
              </w:rPr>
              <w:t>固体粪便堆肥发酵后还田。</w:t>
            </w:r>
          </w:p>
        </w:tc>
        <w:tc>
          <w:tcPr>
            <w:tcW w:w="801" w:type="dxa"/>
            <w:tcBorders>
              <w:top w:val="single" w:color="auto" w:sz="4" w:space="0"/>
              <w:left w:val="single" w:color="auto" w:sz="4" w:space="0"/>
              <w:bottom w:val="single" w:color="auto" w:sz="4" w:space="0"/>
              <w:right w:val="single" w:color="auto" w:sz="4" w:space="0"/>
            </w:tcBorders>
            <w:vAlign w:val="center"/>
          </w:tcPr>
          <w:p w14:paraId="5F177E47">
            <w:pPr>
              <w:keepNext w:val="0"/>
              <w:keepLines w:val="0"/>
              <w:suppressLineNumbers w:val="0"/>
              <w:spacing w:before="0" w:beforeAutospacing="0" w:after="0" w:afterAutospacing="0"/>
              <w:ind w:left="0" w:right="0"/>
              <w:contextualSpacing/>
              <w:jc w:val="center"/>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bl>
    <w:p w14:paraId="15B45FF4">
      <w:pPr>
        <w:tabs>
          <w:tab w:val="left" w:pos="611"/>
        </w:tabs>
        <w:snapToGrid w:val="0"/>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eastAsia="zh-CN"/>
        </w:rPr>
        <w:t>综上分析，项目建设符合《甲烷排放控制行动方案》环气候</w:t>
      </w:r>
      <w:r>
        <w:rPr>
          <w:rFonts w:hint="eastAsia" w:ascii="Times New Roman" w:hAnsi="Times New Roman" w:cs="Times New Roman"/>
          <w:color w:val="auto"/>
          <w:kern w:val="0"/>
          <w:sz w:val="24"/>
          <w:highlight w:val="none"/>
          <w:lang w:eastAsia="zh-CN"/>
        </w:rPr>
        <w:t>〔2023〕67号</w:t>
      </w:r>
      <w:r>
        <w:rPr>
          <w:rFonts w:hint="default" w:ascii="Times New Roman" w:hAnsi="Times New Roman" w:cs="Times New Roman"/>
          <w:color w:val="auto"/>
          <w:kern w:val="0"/>
          <w:sz w:val="24"/>
          <w:highlight w:val="none"/>
          <w:lang w:val="en-US" w:eastAsia="zh-CN"/>
        </w:rPr>
        <w:t>相关要求。</w:t>
      </w:r>
    </w:p>
    <w:p w14:paraId="1FFF0A45">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376" w:name="_Toc19188"/>
      <w:r>
        <w:rPr>
          <w:rStyle w:val="35"/>
          <w:rFonts w:hint="default" w:ascii="Times New Roman" w:hAnsi="Times New Roman" w:eastAsia="宋体" w:cs="Times New Roman"/>
          <w:color w:val="auto"/>
          <w:sz w:val="24"/>
          <w:szCs w:val="24"/>
          <w:highlight w:val="none"/>
        </w:rPr>
        <w:t>7.</w:t>
      </w:r>
      <w:r>
        <w:rPr>
          <w:rStyle w:val="35"/>
          <w:rFonts w:hint="default" w:ascii="Times New Roman" w:hAnsi="Times New Roman" w:eastAsia="宋体" w:cs="Times New Roman"/>
          <w:color w:val="auto"/>
          <w:sz w:val="24"/>
          <w:szCs w:val="24"/>
          <w:highlight w:val="none"/>
          <w:lang w:val="en-US" w:eastAsia="zh-CN"/>
        </w:rPr>
        <w:t>3</w:t>
      </w:r>
      <w:r>
        <w:rPr>
          <w:rStyle w:val="35"/>
          <w:rFonts w:hint="default" w:ascii="Times New Roman" w:hAnsi="Times New Roman" w:eastAsia="宋体" w:cs="Times New Roman"/>
          <w:color w:val="auto"/>
          <w:sz w:val="24"/>
          <w:szCs w:val="24"/>
          <w:highlight w:val="none"/>
        </w:rPr>
        <w:t>.</w:t>
      </w:r>
      <w:r>
        <w:rPr>
          <w:rStyle w:val="35"/>
          <w:rFonts w:hint="default" w:ascii="Times New Roman" w:hAnsi="Times New Roman" w:eastAsia="宋体"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rPr>
        <w:t>与《云南省地下水管理办法》符合性分析</w:t>
      </w:r>
      <w:bookmarkEnd w:id="376"/>
    </w:p>
    <w:p w14:paraId="66BD1356">
      <w:pPr>
        <w:tabs>
          <w:tab w:val="left" w:pos="611"/>
        </w:tabs>
        <w:snapToGrid w:val="0"/>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根据《云南省地下水管理办法》（2024年2月1日起施行），项目相关内容符合性分析见表7.3-15。</w:t>
      </w:r>
    </w:p>
    <w:p w14:paraId="07B7622D">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default" w:ascii="Times New Roman" w:hAnsi="Times New Roman" w:cs="Times New Roman"/>
          <w:b/>
          <w:color w:val="auto"/>
          <w:highlight w:val="none"/>
          <w:lang w:val="en-US" w:eastAsia="zh-CN"/>
        </w:rPr>
        <w:t xml:space="preserve">7.3-15 </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eastAsia="zh-CN"/>
        </w:rPr>
        <w:t>项目</w:t>
      </w:r>
      <w:r>
        <w:rPr>
          <w:rFonts w:hint="default" w:ascii="Times New Roman" w:hAnsi="Times New Roman" w:cs="Times New Roman"/>
          <w:b/>
          <w:color w:val="auto"/>
          <w:highlight w:val="none"/>
        </w:rPr>
        <w:t>与《云南省地下水管理办法》符合性分析</w:t>
      </w:r>
    </w:p>
    <w:tbl>
      <w:tblPr>
        <w:tblStyle w:val="23"/>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5168"/>
        <w:gridCol w:w="2794"/>
        <w:gridCol w:w="801"/>
      </w:tblGrid>
      <w:tr w14:paraId="7649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09DDE773">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cs="Times New Roman"/>
                <w:b/>
                <w:color w:val="auto"/>
                <w:sz w:val="18"/>
                <w:szCs w:val="18"/>
                <w:highlight w:val="none"/>
                <w:lang w:eastAsia="zh-CN"/>
              </w:rPr>
              <w:t>序号</w:t>
            </w:r>
          </w:p>
        </w:tc>
        <w:tc>
          <w:tcPr>
            <w:tcW w:w="5168" w:type="dxa"/>
            <w:tcBorders>
              <w:top w:val="single" w:color="auto" w:sz="4" w:space="0"/>
              <w:left w:val="single" w:color="auto" w:sz="4" w:space="0"/>
              <w:bottom w:val="single" w:color="auto" w:sz="4" w:space="0"/>
              <w:right w:val="single" w:color="auto" w:sz="4" w:space="0"/>
            </w:tcBorders>
            <w:vAlign w:val="center"/>
          </w:tcPr>
          <w:p w14:paraId="215FAB5F">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相关要求</w:t>
            </w:r>
          </w:p>
        </w:tc>
        <w:tc>
          <w:tcPr>
            <w:tcW w:w="2794" w:type="dxa"/>
            <w:tcBorders>
              <w:top w:val="single" w:color="auto" w:sz="4" w:space="0"/>
              <w:left w:val="single" w:color="auto" w:sz="4" w:space="0"/>
              <w:bottom w:val="single" w:color="auto" w:sz="4" w:space="0"/>
              <w:right w:val="single" w:color="auto" w:sz="4" w:space="0"/>
            </w:tcBorders>
            <w:vAlign w:val="center"/>
          </w:tcPr>
          <w:p w14:paraId="3AA317C4">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项目情况</w:t>
            </w:r>
          </w:p>
        </w:tc>
        <w:tc>
          <w:tcPr>
            <w:tcW w:w="801" w:type="dxa"/>
            <w:tcBorders>
              <w:top w:val="single" w:color="auto" w:sz="4" w:space="0"/>
              <w:left w:val="single" w:color="auto" w:sz="4" w:space="0"/>
              <w:bottom w:val="single" w:color="auto" w:sz="4" w:space="0"/>
              <w:right w:val="single" w:color="auto" w:sz="4" w:space="0"/>
            </w:tcBorders>
            <w:vAlign w:val="center"/>
          </w:tcPr>
          <w:p w14:paraId="251976F3">
            <w:pPr>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符合性</w:t>
            </w:r>
          </w:p>
        </w:tc>
      </w:tr>
      <w:tr w14:paraId="4023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429F01A7">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w:t>
            </w:r>
          </w:p>
        </w:tc>
        <w:tc>
          <w:tcPr>
            <w:tcW w:w="5168" w:type="dxa"/>
            <w:tcBorders>
              <w:top w:val="single" w:color="auto" w:sz="4" w:space="0"/>
              <w:left w:val="single" w:color="auto" w:sz="4" w:space="0"/>
              <w:bottom w:val="single" w:color="auto" w:sz="4" w:space="0"/>
              <w:right w:val="single" w:color="auto" w:sz="4" w:space="0"/>
            </w:tcBorders>
            <w:vAlign w:val="center"/>
          </w:tcPr>
          <w:p w14:paraId="0497AEDC">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第十三条</w:t>
            </w:r>
            <w:r>
              <w:rPr>
                <w:rFonts w:hint="default" w:ascii="Times New Roman" w:hAnsi="Times New Roman" w:cs="Times New Roman"/>
                <w:b w:val="0"/>
                <w:bCs/>
                <w:color w:val="auto"/>
                <w:sz w:val="18"/>
                <w:szCs w:val="18"/>
                <w:highlight w:val="none"/>
                <w:lang w:val="en-US" w:eastAsia="zh-CN"/>
              </w:rPr>
              <w:t xml:space="preserve"> </w:t>
            </w:r>
            <w:r>
              <w:rPr>
                <w:rFonts w:hint="default" w:ascii="Times New Roman" w:hAnsi="Times New Roman" w:cs="Times New Roman"/>
                <w:b w:val="0"/>
                <w:bCs/>
                <w:color w:val="auto"/>
                <w:sz w:val="18"/>
                <w:szCs w:val="18"/>
                <w:highlight w:val="none"/>
              </w:rPr>
              <w:t>取用地下水依法实行取水许可制度。除《取水许可和水资源费征收管理条例》第四条规定的情形外，取用地下水的单位和个人应当依法申请领取取水许可证。</w:t>
            </w:r>
          </w:p>
          <w:p w14:paraId="5B73C7EF">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勘查地热水、矿泉水的，应当依法申请领取勘查许可证。取用地热水、矿泉水的，应当依法申请领取取水许可证、采矿许可证。</w:t>
            </w:r>
          </w:p>
        </w:tc>
        <w:tc>
          <w:tcPr>
            <w:tcW w:w="2794" w:type="dxa"/>
            <w:tcBorders>
              <w:top w:val="single" w:color="auto" w:sz="4" w:space="0"/>
              <w:left w:val="single" w:color="auto" w:sz="4" w:space="0"/>
              <w:bottom w:val="single" w:color="auto" w:sz="4" w:space="0"/>
              <w:right w:val="single" w:color="auto" w:sz="4" w:space="0"/>
            </w:tcBorders>
            <w:vAlign w:val="center"/>
          </w:tcPr>
          <w:p w14:paraId="6FEC9FE9">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color w:val="auto"/>
                <w:sz w:val="18"/>
                <w:szCs w:val="18"/>
                <w:highlight w:val="none"/>
                <w:lang w:eastAsia="zh-CN"/>
              </w:rPr>
              <w:t>项目用水由周边猴街村委会自来水接入，不涉及取用地下水</w:t>
            </w:r>
            <w:r>
              <w:rPr>
                <w:rFonts w:hint="default" w:ascii="Times New Roman" w:hAnsi="Times New Roman" w:cs="Times New Roman"/>
                <w:b w:val="0"/>
                <w:bCs/>
                <w:color w:val="auto"/>
                <w:sz w:val="18"/>
                <w:szCs w:val="18"/>
                <w:highlight w:val="none"/>
                <w:lang w:eastAsia="zh-CN"/>
              </w:rPr>
              <w:t>。</w:t>
            </w:r>
          </w:p>
        </w:tc>
        <w:tc>
          <w:tcPr>
            <w:tcW w:w="801" w:type="dxa"/>
            <w:tcBorders>
              <w:top w:val="single" w:color="auto" w:sz="4" w:space="0"/>
              <w:left w:val="single" w:color="auto" w:sz="4" w:space="0"/>
              <w:bottom w:val="single" w:color="auto" w:sz="4" w:space="0"/>
              <w:right w:val="single" w:color="auto" w:sz="4" w:space="0"/>
            </w:tcBorders>
            <w:vAlign w:val="center"/>
          </w:tcPr>
          <w:p w14:paraId="54570045">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14:paraId="0161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5CFA2039">
            <w:pPr>
              <w:keepNext w:val="0"/>
              <w:keepLines w:val="0"/>
              <w:suppressLineNumbers w:val="0"/>
              <w:spacing w:before="0" w:beforeAutospacing="0" w:after="0" w:afterAutospacing="0"/>
              <w:ind w:left="0" w:right="0"/>
              <w:contextualSpacing/>
              <w:jc w:val="center"/>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2</w:t>
            </w:r>
          </w:p>
        </w:tc>
        <w:tc>
          <w:tcPr>
            <w:tcW w:w="5168" w:type="dxa"/>
            <w:tcBorders>
              <w:top w:val="single" w:color="auto" w:sz="4" w:space="0"/>
              <w:left w:val="single" w:color="auto" w:sz="4" w:space="0"/>
              <w:bottom w:val="single" w:color="auto" w:sz="4" w:space="0"/>
              <w:right w:val="single" w:color="auto" w:sz="4" w:space="0"/>
            </w:tcBorders>
            <w:vAlign w:val="center"/>
          </w:tcPr>
          <w:p w14:paraId="178C0E54">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第三十条</w:t>
            </w:r>
            <w:r>
              <w:rPr>
                <w:rFonts w:hint="default" w:ascii="Times New Roman" w:hAnsi="Times New Roman" w:cs="Times New Roman"/>
                <w:b w:val="0"/>
                <w:bCs/>
                <w:color w:val="auto"/>
                <w:sz w:val="18"/>
                <w:szCs w:val="18"/>
                <w:highlight w:val="none"/>
                <w:lang w:val="en-US" w:eastAsia="zh-CN"/>
              </w:rPr>
              <w:t xml:space="preserve"> </w:t>
            </w:r>
            <w:r>
              <w:rPr>
                <w:rFonts w:hint="default" w:ascii="Times New Roman" w:hAnsi="Times New Roman" w:cs="Times New Roman"/>
                <w:b w:val="0"/>
                <w:bCs/>
                <w:color w:val="auto"/>
                <w:sz w:val="18"/>
                <w:szCs w:val="18"/>
                <w:highlight w:val="none"/>
              </w:rPr>
              <w:t>禁止下列污染或者可能污染地下水的行为：</w:t>
            </w:r>
          </w:p>
          <w:p w14:paraId="6CB6BF63">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（一）利用渗井、渗坑、裂隙、溶洞以及私设暗管等逃避监管的方式排放水污染物；</w:t>
            </w:r>
          </w:p>
          <w:p w14:paraId="176548AF">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（二）利用岩层孔隙、裂隙、溶洞、废弃矿坑等贮存石化原料及产品、农药、危险废物、城镇污水处理设施产生的污泥和处理后的污泥或者其他有毒有害物质；</w:t>
            </w:r>
          </w:p>
          <w:p w14:paraId="3A691DDC">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（三）利用无防渗漏措施的沟渠、坑塘等输送或者贮存含有毒污染物的废水、含病原体的污水和其他废弃物；</w:t>
            </w:r>
          </w:p>
          <w:p w14:paraId="6020C8F6">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（四）法律、法规禁止的其他污染或者可能污染地下水的行为。</w:t>
            </w:r>
          </w:p>
        </w:tc>
        <w:tc>
          <w:tcPr>
            <w:tcW w:w="2794" w:type="dxa"/>
            <w:tcBorders>
              <w:top w:val="single" w:color="auto" w:sz="4" w:space="0"/>
              <w:left w:val="single" w:color="auto" w:sz="4" w:space="0"/>
              <w:bottom w:val="single" w:color="auto" w:sz="4" w:space="0"/>
              <w:right w:val="single" w:color="auto" w:sz="4" w:space="0"/>
            </w:tcBorders>
            <w:vAlign w:val="center"/>
          </w:tcPr>
          <w:p w14:paraId="73C9E296">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w:t>
            </w:r>
            <w:r>
              <w:rPr>
                <w:rFonts w:hint="default" w:ascii="Times New Roman" w:hAnsi="Times New Roman" w:cs="Times New Roman"/>
                <w:b w:val="0"/>
                <w:bCs/>
                <w:color w:val="auto"/>
                <w:sz w:val="18"/>
                <w:szCs w:val="18"/>
                <w:highlight w:val="none"/>
                <w:lang w:val="en-US" w:eastAsia="zh-CN"/>
              </w:rPr>
              <w:t>废水依托</w:t>
            </w:r>
            <w:r>
              <w:rPr>
                <w:rFonts w:hint="default" w:ascii="Times New Roman" w:hAnsi="Times New Roman" w:cs="Times New Roman"/>
                <w:color w:val="auto"/>
                <w:sz w:val="18"/>
                <w:szCs w:val="18"/>
                <w:highlight w:val="none"/>
                <w:lang w:val="en-US" w:eastAsia="zh-CN"/>
              </w:rPr>
              <w:t>弥勒温氏畜牧有限公司新哨种猪场建设项目污水处理站处理后用于绿化及农田灌溉</w:t>
            </w:r>
            <w:r>
              <w:rPr>
                <w:rFonts w:hint="default" w:ascii="Times New Roman" w:hAnsi="Times New Roman" w:cs="Times New Roman"/>
                <w:b w:val="0"/>
                <w:bCs/>
                <w:color w:val="auto"/>
                <w:sz w:val="18"/>
                <w:szCs w:val="18"/>
                <w:highlight w:val="none"/>
                <w:lang w:eastAsia="zh-CN"/>
              </w:rPr>
              <w:t>，无废水外排。固废均合理处置，无上述禁止行为。</w:t>
            </w:r>
          </w:p>
        </w:tc>
        <w:tc>
          <w:tcPr>
            <w:tcW w:w="801" w:type="dxa"/>
            <w:tcBorders>
              <w:top w:val="single" w:color="auto" w:sz="4" w:space="0"/>
              <w:left w:val="single" w:color="auto" w:sz="4" w:space="0"/>
              <w:bottom w:val="single" w:color="auto" w:sz="4" w:space="0"/>
              <w:right w:val="single" w:color="auto" w:sz="4" w:space="0"/>
            </w:tcBorders>
            <w:vAlign w:val="center"/>
          </w:tcPr>
          <w:p w14:paraId="39D9F31F">
            <w:pPr>
              <w:keepNext w:val="0"/>
              <w:keepLines w:val="0"/>
              <w:suppressLineNumbers w:val="0"/>
              <w:spacing w:before="0" w:beforeAutospacing="0" w:after="0" w:afterAutospacing="0"/>
              <w:ind w:left="0" w:right="0"/>
              <w:contextualSpacing/>
              <w:jc w:val="center"/>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14:paraId="12DB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5EB26CC0">
            <w:pPr>
              <w:keepNext w:val="0"/>
              <w:keepLines w:val="0"/>
              <w:suppressLineNumbers w:val="0"/>
              <w:spacing w:before="0" w:beforeAutospacing="0" w:after="0" w:afterAutospacing="0"/>
              <w:ind w:left="0" w:right="0"/>
              <w:contextualSpacing/>
              <w:jc w:val="center"/>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3</w:t>
            </w:r>
          </w:p>
        </w:tc>
        <w:tc>
          <w:tcPr>
            <w:tcW w:w="5168" w:type="dxa"/>
            <w:tcBorders>
              <w:top w:val="single" w:color="auto" w:sz="4" w:space="0"/>
              <w:left w:val="single" w:color="auto" w:sz="4" w:space="0"/>
              <w:bottom w:val="single" w:color="auto" w:sz="4" w:space="0"/>
              <w:right w:val="single" w:color="auto" w:sz="4" w:space="0"/>
            </w:tcBorders>
            <w:vAlign w:val="center"/>
          </w:tcPr>
          <w:p w14:paraId="32C63144">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第三十一条</w:t>
            </w:r>
            <w:r>
              <w:rPr>
                <w:rFonts w:hint="default" w:ascii="Times New Roman" w:hAnsi="Times New Roman" w:cs="Times New Roman"/>
                <w:b w:val="0"/>
                <w:bCs/>
                <w:color w:val="auto"/>
                <w:sz w:val="18"/>
                <w:szCs w:val="18"/>
                <w:highlight w:val="none"/>
                <w:lang w:val="en-US" w:eastAsia="zh-CN"/>
              </w:rPr>
              <w:t xml:space="preserve"> </w:t>
            </w:r>
            <w:r>
              <w:rPr>
                <w:rFonts w:hint="default" w:ascii="Times New Roman" w:hAnsi="Times New Roman" w:cs="Times New Roman"/>
                <w:b w:val="0"/>
                <w:bCs/>
                <w:color w:val="auto"/>
                <w:sz w:val="18"/>
                <w:szCs w:val="18"/>
                <w:highlight w:val="none"/>
              </w:rPr>
              <w:t>企业事业单位和其他生产经营者应当采取下列措施，防止地下水污染：</w:t>
            </w:r>
          </w:p>
          <w:p w14:paraId="09B97FA0">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（一）兴建地下工程设施或者进行地下勘探、采矿等活动，依法编制的环境影响评价文件中，应当包括地下水污染防治的内容，并采取防护性措施；</w:t>
            </w:r>
          </w:p>
          <w:p w14:paraId="14CC4E60">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（二）化学品生产企业以及工业集聚区、矿山开采区、尾矿库、危险废物处置场、垃圾填埋场等的运营、管理单位，应当采取防渗漏等措施，建设地下水水质监测井，按照有关标准和技术规范进行监测；</w:t>
            </w:r>
          </w:p>
          <w:p w14:paraId="62366D5E">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（三）加油站等的地下油罐应当使用双层罐或者采取建造防渗池等其他有效措施，并按照有关标准和技术规范进行防渗漏监测；</w:t>
            </w:r>
          </w:p>
          <w:p w14:paraId="137DD18F">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（四）存放可溶性剧毒废渣的场所，应当采取防水、防渗漏、防流失的措施；</w:t>
            </w:r>
          </w:p>
          <w:p w14:paraId="53F329CE">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（五）法律、法规规定应当采取的其他防止地下水污染的措施。</w:t>
            </w:r>
          </w:p>
          <w:p w14:paraId="0AE1F6FC">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根据前款第二项规定的企业事业单位和其他生产经营者排放有毒有害物质情况，州（市）人民政府生态环境主管部门应当按照国务院生态环境主管部门的规定，商有关部门确定并公布本行政区域内地下水污染防治重点排污单位名录。地下水污染防治重点排污单位应当依法安装水污染物排放自动监测设备，与生态环境主管部门的监控设备联网，并保证监测设备正常运行。</w:t>
            </w:r>
          </w:p>
        </w:tc>
        <w:tc>
          <w:tcPr>
            <w:tcW w:w="2794" w:type="dxa"/>
            <w:tcBorders>
              <w:top w:val="single" w:color="auto" w:sz="4" w:space="0"/>
              <w:left w:val="single" w:color="auto" w:sz="4" w:space="0"/>
              <w:bottom w:val="single" w:color="auto" w:sz="4" w:space="0"/>
              <w:right w:val="single" w:color="auto" w:sz="4" w:space="0"/>
            </w:tcBorders>
            <w:vAlign w:val="center"/>
          </w:tcPr>
          <w:p w14:paraId="780C5B0E">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项目采取分区防渗措施，粪尿收集池、</w:t>
            </w:r>
            <w:r>
              <w:rPr>
                <w:rFonts w:hint="default" w:ascii="Times New Roman" w:hAnsi="Times New Roman" w:cs="Times New Roman"/>
                <w:b w:val="0"/>
                <w:bCs/>
                <w:color w:val="auto"/>
                <w:sz w:val="18"/>
                <w:szCs w:val="18"/>
                <w:highlight w:val="none"/>
                <w:lang w:val="en-US" w:eastAsia="zh-CN"/>
              </w:rPr>
              <w:t>固液分离区、废水收集</w:t>
            </w:r>
            <w:r>
              <w:rPr>
                <w:rFonts w:hint="default" w:ascii="Times New Roman" w:hAnsi="Times New Roman" w:cs="Times New Roman"/>
                <w:b w:val="0"/>
                <w:bCs/>
                <w:color w:val="auto"/>
                <w:sz w:val="18"/>
                <w:szCs w:val="18"/>
                <w:highlight w:val="none"/>
                <w:lang w:eastAsia="zh-CN"/>
              </w:rPr>
              <w:t>池、堆粪棚等按照重点防渗要求；隔油池、化粪池、初期雨水收集池、</w:t>
            </w:r>
            <w:r>
              <w:rPr>
                <w:rFonts w:hint="default" w:ascii="Times New Roman" w:hAnsi="Times New Roman" w:cs="Times New Roman"/>
                <w:b w:val="0"/>
                <w:bCs/>
                <w:color w:val="auto"/>
                <w:sz w:val="18"/>
                <w:szCs w:val="18"/>
                <w:highlight w:val="none"/>
                <w:lang w:val="en-US" w:eastAsia="zh-CN"/>
              </w:rPr>
              <w:t>车辆洗消棚沉淀池、</w:t>
            </w:r>
            <w:r>
              <w:rPr>
                <w:rFonts w:hint="default" w:ascii="Times New Roman" w:hAnsi="Times New Roman" w:cs="Times New Roman"/>
                <w:b w:val="0"/>
                <w:bCs/>
                <w:color w:val="auto"/>
                <w:sz w:val="18"/>
                <w:szCs w:val="18"/>
                <w:highlight w:val="none"/>
                <w:lang w:eastAsia="zh-CN"/>
              </w:rPr>
              <w:t>柴油发电室、</w:t>
            </w:r>
            <w:r>
              <w:rPr>
                <w:rFonts w:hint="default" w:ascii="Times New Roman" w:hAnsi="Times New Roman" w:cs="Times New Roman"/>
                <w:b w:val="0"/>
                <w:bCs/>
                <w:color w:val="auto"/>
                <w:sz w:val="18"/>
                <w:szCs w:val="18"/>
                <w:highlight w:val="none"/>
                <w:lang w:val="en-US" w:eastAsia="zh-CN"/>
              </w:rPr>
              <w:t>冷库、防疫固废暂存间</w:t>
            </w:r>
            <w:r>
              <w:rPr>
                <w:rFonts w:hint="default" w:ascii="Times New Roman" w:hAnsi="Times New Roman" w:cs="Times New Roman"/>
                <w:b w:val="0"/>
                <w:bCs/>
                <w:color w:val="auto"/>
                <w:sz w:val="18"/>
                <w:szCs w:val="18"/>
                <w:highlight w:val="none"/>
                <w:lang w:eastAsia="zh-CN"/>
              </w:rPr>
              <w:t>按照一般防渗要求建设。</w:t>
            </w:r>
          </w:p>
        </w:tc>
        <w:tc>
          <w:tcPr>
            <w:tcW w:w="801" w:type="dxa"/>
            <w:tcBorders>
              <w:top w:val="single" w:color="auto" w:sz="4" w:space="0"/>
              <w:left w:val="single" w:color="auto" w:sz="4" w:space="0"/>
              <w:bottom w:val="single" w:color="auto" w:sz="4" w:space="0"/>
              <w:right w:val="single" w:color="auto" w:sz="4" w:space="0"/>
            </w:tcBorders>
            <w:vAlign w:val="center"/>
          </w:tcPr>
          <w:p w14:paraId="5F9DDACB">
            <w:pPr>
              <w:keepNext w:val="0"/>
              <w:keepLines w:val="0"/>
              <w:suppressLineNumbers w:val="0"/>
              <w:spacing w:before="0" w:beforeAutospacing="0" w:after="0" w:afterAutospacing="0"/>
              <w:ind w:left="0" w:right="0"/>
              <w:contextualSpacing/>
              <w:jc w:val="center"/>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14:paraId="5D95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42D4DC8E">
            <w:pPr>
              <w:keepNext w:val="0"/>
              <w:keepLines w:val="0"/>
              <w:suppressLineNumbers w:val="0"/>
              <w:spacing w:before="0" w:beforeAutospacing="0" w:after="0" w:afterAutospacing="0"/>
              <w:ind w:left="0" w:right="0"/>
              <w:contextualSpacing/>
              <w:jc w:val="center"/>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4</w:t>
            </w:r>
          </w:p>
        </w:tc>
        <w:tc>
          <w:tcPr>
            <w:tcW w:w="5168" w:type="dxa"/>
            <w:tcBorders>
              <w:top w:val="single" w:color="auto" w:sz="4" w:space="0"/>
              <w:left w:val="single" w:color="auto" w:sz="4" w:space="0"/>
              <w:bottom w:val="single" w:color="auto" w:sz="4" w:space="0"/>
              <w:right w:val="single" w:color="auto" w:sz="4" w:space="0"/>
            </w:tcBorders>
            <w:vAlign w:val="center"/>
          </w:tcPr>
          <w:p w14:paraId="61AF792C">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第三十四条</w:t>
            </w:r>
            <w:r>
              <w:rPr>
                <w:rFonts w:hint="default" w:ascii="Times New Roman" w:hAnsi="Times New Roman" w:cs="Times New Roman"/>
                <w:b w:val="0"/>
                <w:bCs/>
                <w:color w:val="auto"/>
                <w:sz w:val="18"/>
                <w:szCs w:val="18"/>
                <w:highlight w:val="none"/>
                <w:lang w:val="en-US" w:eastAsia="zh-CN"/>
              </w:rPr>
              <w:t xml:space="preserve"> </w:t>
            </w:r>
            <w:r>
              <w:rPr>
                <w:rFonts w:hint="default" w:ascii="Times New Roman" w:hAnsi="Times New Roman" w:cs="Times New Roman"/>
                <w:b w:val="0"/>
                <w:bCs/>
                <w:color w:val="auto"/>
                <w:sz w:val="18"/>
                <w:szCs w:val="18"/>
                <w:highlight w:val="none"/>
              </w:rPr>
              <w:t>从事畜禽养殖和屠宰的单位和个人应当采取措施，对畜禽粪便、尸体和污水等废弃物进行科学处置，防止地下水污染。</w:t>
            </w:r>
          </w:p>
        </w:tc>
        <w:tc>
          <w:tcPr>
            <w:tcW w:w="2794" w:type="dxa"/>
            <w:tcBorders>
              <w:top w:val="single" w:color="auto" w:sz="4" w:space="0"/>
              <w:left w:val="single" w:color="auto" w:sz="4" w:space="0"/>
              <w:bottom w:val="single" w:color="auto" w:sz="4" w:space="0"/>
              <w:right w:val="single" w:color="auto" w:sz="4" w:space="0"/>
            </w:tcBorders>
            <w:vAlign w:val="center"/>
          </w:tcPr>
          <w:p w14:paraId="4EA7C4C3">
            <w:pPr>
              <w:keepNext w:val="0"/>
              <w:keepLines w:val="0"/>
              <w:suppressLineNumbers w:val="0"/>
              <w:spacing w:before="0" w:beforeAutospacing="0" w:after="0" w:afterAutospacing="0"/>
              <w:ind w:left="0" w:right="0" w:firstLine="180" w:firstLineChars="100"/>
              <w:contextualSpacing/>
              <w:jc w:val="both"/>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w:t>
            </w:r>
            <w:r>
              <w:rPr>
                <w:rFonts w:hint="default" w:ascii="Times New Roman" w:hAnsi="Times New Roman" w:cs="Times New Roman"/>
                <w:b w:val="0"/>
                <w:bCs/>
                <w:color w:val="auto"/>
                <w:sz w:val="18"/>
                <w:szCs w:val="18"/>
                <w:highlight w:val="none"/>
                <w:lang w:val="en-US" w:eastAsia="zh-CN"/>
              </w:rPr>
              <w:t>废水依托</w:t>
            </w:r>
            <w:r>
              <w:rPr>
                <w:rFonts w:hint="default" w:ascii="Times New Roman" w:hAnsi="Times New Roman" w:cs="Times New Roman"/>
                <w:color w:val="auto"/>
                <w:sz w:val="18"/>
                <w:szCs w:val="18"/>
                <w:highlight w:val="none"/>
                <w:lang w:val="en-US" w:eastAsia="zh-CN"/>
              </w:rPr>
              <w:t>弥勒温氏畜牧有限公司新哨种猪场建设项目污水处理站处理后用于绿化及农田灌溉</w:t>
            </w:r>
            <w:r>
              <w:rPr>
                <w:rFonts w:hint="default" w:ascii="Times New Roman" w:hAnsi="Times New Roman" w:cs="Times New Roman"/>
                <w:color w:val="auto"/>
                <w:sz w:val="18"/>
                <w:szCs w:val="18"/>
                <w:highlight w:val="none"/>
              </w:rPr>
              <w:t>。</w:t>
            </w:r>
            <w:r>
              <w:rPr>
                <w:rFonts w:hint="default" w:ascii="Times New Roman" w:hAnsi="Times New Roman" w:cs="Times New Roman"/>
                <w:b w:val="0"/>
                <w:bCs/>
                <w:color w:val="auto"/>
                <w:sz w:val="18"/>
                <w:szCs w:val="18"/>
                <w:highlight w:val="none"/>
                <w:lang w:val="en-US" w:eastAsia="zh-CN"/>
              </w:rPr>
              <w:t>固体粪便堆肥发酵后还田。</w:t>
            </w:r>
            <w:r>
              <w:rPr>
                <w:rFonts w:hint="default" w:ascii="Times New Roman" w:hAnsi="Times New Roman" w:cs="Times New Roman"/>
                <w:b w:val="0"/>
                <w:bCs/>
                <w:color w:val="auto"/>
                <w:sz w:val="18"/>
                <w:szCs w:val="18"/>
                <w:highlight w:val="none"/>
                <w:lang w:eastAsia="zh-CN"/>
              </w:rPr>
              <w:t>病死猪设置冷库暂存，及时委托弥勒市北斗星生物科技有限公司清运处置。无废弃物外排。</w:t>
            </w:r>
          </w:p>
        </w:tc>
        <w:tc>
          <w:tcPr>
            <w:tcW w:w="801" w:type="dxa"/>
            <w:tcBorders>
              <w:top w:val="single" w:color="auto" w:sz="4" w:space="0"/>
              <w:left w:val="single" w:color="auto" w:sz="4" w:space="0"/>
              <w:bottom w:val="single" w:color="auto" w:sz="4" w:space="0"/>
              <w:right w:val="single" w:color="auto" w:sz="4" w:space="0"/>
            </w:tcBorders>
            <w:vAlign w:val="center"/>
          </w:tcPr>
          <w:p w14:paraId="054083B3">
            <w:pPr>
              <w:keepNext w:val="0"/>
              <w:keepLines w:val="0"/>
              <w:suppressLineNumbers w:val="0"/>
              <w:spacing w:before="0" w:beforeAutospacing="0" w:after="0" w:afterAutospacing="0"/>
              <w:ind w:left="0" w:right="0"/>
              <w:contextualSpacing/>
              <w:jc w:val="center"/>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bl>
    <w:p w14:paraId="6A7E6E37">
      <w:pPr>
        <w:tabs>
          <w:tab w:val="left" w:pos="611"/>
        </w:tabs>
        <w:snapToGrid w:val="0"/>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根据上述分析，项目建设符合《云南省地下水管理办法》（2024年2月1日起施行）相关要求。</w:t>
      </w:r>
    </w:p>
    <w:p w14:paraId="6B06A5AA">
      <w:pPr>
        <w:pStyle w:val="3"/>
        <w:keepNext/>
        <w:keepLines/>
        <w:pageBreakBefore w:val="0"/>
        <w:widowControl w:val="0"/>
        <w:tabs>
          <w:tab w:val="left" w:pos="420"/>
        </w:tabs>
        <w:kinsoku/>
        <w:wordWrap/>
        <w:overflowPunct/>
        <w:topLinePunct w:val="0"/>
        <w:autoSpaceDE/>
        <w:autoSpaceDN/>
        <w:bidi w:val="0"/>
        <w:adjustRightInd/>
        <w:snapToGrid/>
        <w:spacing w:before="156" w:beforeLines="50" w:after="0" w:line="360" w:lineRule="auto"/>
        <w:textAlignment w:val="auto"/>
        <w:rPr>
          <w:rStyle w:val="34"/>
          <w:rFonts w:hint="default" w:ascii="Times New Roman" w:hAnsi="Times New Roman" w:cs="Times New Roman"/>
          <w:b w:val="0"/>
          <w:bCs w:val="0"/>
          <w:color w:val="auto"/>
          <w:sz w:val="24"/>
          <w:highlight w:val="none"/>
        </w:rPr>
      </w:pPr>
      <w:bookmarkStart w:id="377" w:name="_Toc15756"/>
      <w:bookmarkStart w:id="378" w:name="_Toc28827"/>
      <w:bookmarkStart w:id="379" w:name="_Toc24276"/>
      <w:r>
        <w:rPr>
          <w:rStyle w:val="34"/>
          <w:rFonts w:hint="default" w:ascii="Times New Roman" w:hAnsi="Times New Roman" w:cs="Times New Roman"/>
          <w:b w:val="0"/>
          <w:bCs w:val="0"/>
          <w:color w:val="auto"/>
          <w:sz w:val="24"/>
          <w:highlight w:val="none"/>
        </w:rPr>
        <w:t>7.4项目选址合理性分析</w:t>
      </w:r>
      <w:bookmarkEnd w:id="374"/>
      <w:bookmarkEnd w:id="377"/>
      <w:bookmarkEnd w:id="378"/>
      <w:bookmarkEnd w:id="379"/>
    </w:p>
    <w:p w14:paraId="77D6F3C5">
      <w:pPr>
        <w:adjustRightInd w:val="0"/>
        <w:snapToGrid w:val="0"/>
        <w:spacing w:line="360" w:lineRule="auto"/>
        <w:ind w:firstLine="480" w:firstLineChars="200"/>
        <w:rPr>
          <w:rFonts w:hint="default" w:ascii="Times New Roman" w:hAnsi="Times New Roman" w:cs="Times New Roman"/>
          <w:color w:val="auto"/>
          <w:sz w:val="24"/>
          <w:highlight w:val="none"/>
          <w:lang w:bidi="zh-CN"/>
        </w:rPr>
      </w:pPr>
      <w:r>
        <w:rPr>
          <w:rFonts w:hint="default" w:ascii="Times New Roman" w:hAnsi="Times New Roman" w:cs="Times New Roman"/>
          <w:color w:val="auto"/>
          <w:sz w:val="24"/>
          <w:highlight w:val="none"/>
        </w:rPr>
        <w:t>项目选址位于</w:t>
      </w:r>
      <w:r>
        <w:rPr>
          <w:rFonts w:hint="default" w:ascii="Times New Roman" w:hAnsi="Times New Roman" w:cs="Times New Roman"/>
          <w:bCs/>
          <w:color w:val="auto"/>
          <w:sz w:val="24"/>
          <w:highlight w:val="none"/>
          <w:lang w:eastAsia="zh-CN"/>
        </w:rPr>
        <w:t>弥勒市新哨镇猴街居委会猴街二组东北方向横山脚</w:t>
      </w:r>
      <w:r>
        <w:rPr>
          <w:rFonts w:hint="default" w:ascii="Times New Roman" w:hAnsi="Times New Roman" w:cs="Times New Roman"/>
          <w:bCs/>
          <w:color w:val="auto"/>
          <w:sz w:val="24"/>
          <w:highlight w:val="none"/>
        </w:rPr>
        <w:t>，项目中心地理位置坐标为：东经103.431025°，北纬24.148532°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bidi="zh-CN"/>
        </w:rPr>
        <w:t>项目场址不涉及饮用水水源保护区、风景名胜区、自然保护区的核心区及缓冲区；不在城市及城镇居民区等人口集中地区；项目距离甸溪河</w:t>
      </w:r>
      <w:r>
        <w:rPr>
          <w:rFonts w:hint="default" w:ascii="Times New Roman" w:hAnsi="Times New Roman" w:cs="Times New Roman"/>
          <w:color w:val="auto"/>
          <w:sz w:val="24"/>
          <w:highlight w:val="none"/>
          <w:lang w:val="en-US" w:bidi="zh-CN"/>
        </w:rPr>
        <w:t>380</w:t>
      </w:r>
      <w:r>
        <w:rPr>
          <w:rFonts w:hint="default" w:ascii="Times New Roman" w:hAnsi="Times New Roman" w:cs="Times New Roman"/>
          <w:color w:val="auto"/>
          <w:sz w:val="24"/>
          <w:highlight w:val="none"/>
          <w:lang w:bidi="zh-CN"/>
        </w:rPr>
        <w:t>0m，根据弥勒市农业农村局出具的情况说明（附件7）：项目不在划定的畜禽养殖禁养区范围内。项目选址符合《畜禽养殖业污染防治技术规范》（HJ/T 81-2001）的选址要求及《畜禽规模养殖污染防治条例》中的选址要求。根据大气影响分析，项目不设置大气环境防护距离；根据计算，卫生防护距离为污染物生产单元边界50m范围，卫生防护距离范围内无敏感点。</w:t>
      </w:r>
    </w:p>
    <w:p w14:paraId="79C835DE">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综上，项目选址较为合理。</w:t>
      </w:r>
    </w:p>
    <w:p w14:paraId="4213BF5F">
      <w:pPr>
        <w:pStyle w:val="3"/>
        <w:tabs>
          <w:tab w:val="left" w:pos="420"/>
        </w:tabs>
        <w:spacing w:before="0" w:after="0"/>
        <w:rPr>
          <w:rStyle w:val="34"/>
          <w:rFonts w:hint="default" w:ascii="Times New Roman" w:hAnsi="Times New Roman" w:cs="Times New Roman"/>
          <w:b w:val="0"/>
          <w:bCs w:val="0"/>
          <w:color w:val="auto"/>
          <w:sz w:val="24"/>
          <w:highlight w:val="none"/>
        </w:rPr>
      </w:pPr>
      <w:bookmarkStart w:id="380" w:name="_Toc26996"/>
      <w:bookmarkStart w:id="381" w:name="_Toc23806"/>
      <w:bookmarkStart w:id="382" w:name="_Toc528"/>
      <w:bookmarkStart w:id="383" w:name="_Toc21325"/>
      <w:r>
        <w:rPr>
          <w:rStyle w:val="34"/>
          <w:rFonts w:hint="default" w:ascii="Times New Roman" w:hAnsi="Times New Roman" w:cs="Times New Roman"/>
          <w:b w:val="0"/>
          <w:bCs w:val="0"/>
          <w:color w:val="auto"/>
          <w:sz w:val="24"/>
          <w:highlight w:val="none"/>
        </w:rPr>
        <w:t>7.5总图布置合理性分析</w:t>
      </w:r>
      <w:bookmarkEnd w:id="380"/>
      <w:bookmarkEnd w:id="381"/>
      <w:bookmarkEnd w:id="382"/>
      <w:bookmarkEnd w:id="383"/>
    </w:p>
    <w:p w14:paraId="0E32695D">
      <w:pPr>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项目区总体不规则多边形，地势</w:t>
      </w:r>
      <w:r>
        <w:rPr>
          <w:rFonts w:hint="default" w:ascii="Times New Roman" w:hAnsi="Times New Roman" w:cs="Times New Roman"/>
          <w:color w:val="auto"/>
          <w:sz w:val="24"/>
          <w:highlight w:val="none"/>
          <w:lang w:val="en-US" w:eastAsia="zh-CN"/>
        </w:rPr>
        <w:t>东</w:t>
      </w:r>
      <w:r>
        <w:rPr>
          <w:rFonts w:hint="default" w:ascii="Times New Roman" w:hAnsi="Times New Roman" w:cs="Times New Roman"/>
          <w:color w:val="auto"/>
          <w:sz w:val="24"/>
          <w:highlight w:val="none"/>
        </w:rPr>
        <w:t>高</w:t>
      </w:r>
      <w:r>
        <w:rPr>
          <w:rFonts w:hint="default" w:ascii="Times New Roman" w:hAnsi="Times New Roman" w:cs="Times New Roman"/>
          <w:color w:val="auto"/>
          <w:sz w:val="24"/>
          <w:highlight w:val="none"/>
          <w:lang w:val="en-US" w:eastAsia="zh-CN"/>
        </w:rPr>
        <w:t>西</w:t>
      </w:r>
      <w:r>
        <w:rPr>
          <w:rFonts w:hint="default" w:ascii="Times New Roman" w:hAnsi="Times New Roman" w:cs="Times New Roman"/>
          <w:color w:val="auto"/>
          <w:sz w:val="24"/>
          <w:highlight w:val="none"/>
        </w:rPr>
        <w:t>低，场地最大高差为</w:t>
      </w:r>
      <w:r>
        <w:rPr>
          <w:rFonts w:hint="default" w:ascii="Times New Roman" w:hAnsi="Times New Roman" w:cs="Times New Roman"/>
          <w:color w:val="auto"/>
          <w:sz w:val="24"/>
          <w:highlight w:val="none"/>
          <w:lang w:val="en-US" w:eastAsia="zh-CN"/>
        </w:rPr>
        <w:t>12</w:t>
      </w:r>
      <w:r>
        <w:rPr>
          <w:rFonts w:hint="default" w:ascii="Times New Roman" w:hAnsi="Times New Roman" w:cs="Times New Roman"/>
          <w:color w:val="auto"/>
          <w:sz w:val="24"/>
          <w:highlight w:val="none"/>
        </w:rPr>
        <w:t>m，按照地形布置，分为养殖区</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办公</w:t>
      </w:r>
      <w:r>
        <w:rPr>
          <w:rFonts w:hint="default" w:ascii="Times New Roman" w:hAnsi="Times New Roman" w:cs="Times New Roman"/>
          <w:color w:val="auto"/>
          <w:sz w:val="24"/>
          <w:highlight w:val="none"/>
        </w:rPr>
        <w:t>生活区</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环保区</w:t>
      </w:r>
      <w:r>
        <w:rPr>
          <w:rFonts w:hint="default" w:ascii="Times New Roman" w:hAnsi="Times New Roman" w:cs="Times New Roman"/>
          <w:color w:val="auto"/>
          <w:sz w:val="24"/>
          <w:highlight w:val="none"/>
        </w:rPr>
        <w:t>。项目设置1个厂区出入口接现有乡村公路，位于</w:t>
      </w:r>
      <w:r>
        <w:rPr>
          <w:rFonts w:hint="default" w:ascii="Times New Roman" w:hAnsi="Times New Roman" w:cs="Times New Roman"/>
          <w:color w:val="auto"/>
          <w:sz w:val="24"/>
          <w:highlight w:val="none"/>
          <w:lang w:val="en-US" w:eastAsia="zh-CN"/>
        </w:rPr>
        <w:t>西</w:t>
      </w:r>
      <w:r>
        <w:rPr>
          <w:rFonts w:hint="default" w:ascii="Times New Roman" w:hAnsi="Times New Roman" w:cs="Times New Roman"/>
          <w:color w:val="auto"/>
          <w:sz w:val="24"/>
          <w:highlight w:val="none"/>
        </w:rPr>
        <w:t>南侧。</w:t>
      </w:r>
      <w:r>
        <w:rPr>
          <w:rFonts w:hint="default" w:ascii="Times New Roman" w:hAnsi="Times New Roman" w:cs="Times New Roman"/>
          <w:color w:val="auto"/>
          <w:sz w:val="24"/>
          <w:highlight w:val="none"/>
          <w:lang w:val="en-US" w:eastAsia="zh-CN"/>
        </w:rPr>
        <w:t>进场后</w:t>
      </w:r>
      <w:r>
        <w:rPr>
          <w:rFonts w:hint="default" w:ascii="Times New Roman" w:hAnsi="Times New Roman" w:cs="Times New Roman"/>
          <w:color w:val="auto"/>
          <w:sz w:val="24"/>
          <w:highlight w:val="none"/>
        </w:rPr>
        <w:t>依次设置</w:t>
      </w:r>
      <w:r>
        <w:rPr>
          <w:rFonts w:hint="default" w:ascii="Times New Roman" w:hAnsi="Times New Roman" w:cs="Times New Roman"/>
          <w:color w:val="auto"/>
          <w:sz w:val="24"/>
          <w:highlight w:val="none"/>
          <w:lang w:val="en-US" w:eastAsia="zh-CN"/>
        </w:rPr>
        <w:t>车辆洗消棚、车辆烘干棚</w:t>
      </w:r>
      <w:r>
        <w:rPr>
          <w:rFonts w:hint="default" w:ascii="Times New Roman" w:hAnsi="Times New Roman" w:cs="Times New Roman"/>
          <w:color w:val="auto"/>
          <w:sz w:val="24"/>
          <w:highlight w:val="none"/>
        </w:rPr>
        <w:t>、电子磅秤。整个养殖区和生活区进行封闭式管理，并在生活区和养殖区主出入口处设1个</w:t>
      </w:r>
      <w:r>
        <w:rPr>
          <w:rFonts w:hint="default" w:ascii="Times New Roman" w:hAnsi="Times New Roman" w:cs="Times New Roman"/>
          <w:color w:val="auto"/>
          <w:sz w:val="24"/>
          <w:highlight w:val="none"/>
          <w:lang w:val="en-US" w:eastAsia="zh-CN"/>
        </w:rPr>
        <w:t>物资消毒仓库</w:t>
      </w:r>
      <w:r>
        <w:rPr>
          <w:rFonts w:hint="default" w:ascii="Times New Roman" w:hAnsi="Times New Roman" w:cs="Times New Roman"/>
          <w:color w:val="auto"/>
          <w:sz w:val="24"/>
          <w:highlight w:val="none"/>
        </w:rPr>
        <w:t>，供进入养殖区人员及物资消毒。</w:t>
      </w:r>
    </w:p>
    <w:p w14:paraId="11D28AC1">
      <w:pPr>
        <w:snapToGrid w:val="0"/>
        <w:spacing w:line="360" w:lineRule="auto"/>
        <w:ind w:firstLine="480" w:firstLineChars="200"/>
        <w:textAlignment w:val="baseline"/>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生活区位于</w:t>
      </w:r>
      <w:r>
        <w:rPr>
          <w:rFonts w:hint="default" w:ascii="Times New Roman" w:hAnsi="Times New Roman" w:cs="Times New Roman"/>
          <w:color w:val="auto"/>
          <w:sz w:val="24"/>
          <w:highlight w:val="none"/>
          <w:lang w:val="en-US" w:eastAsia="zh-CN"/>
        </w:rPr>
        <w:t>东</w:t>
      </w:r>
      <w:r>
        <w:rPr>
          <w:rFonts w:hint="default" w:ascii="Times New Roman" w:hAnsi="Times New Roman" w:cs="Times New Roman"/>
          <w:color w:val="auto"/>
          <w:sz w:val="24"/>
          <w:highlight w:val="none"/>
        </w:rPr>
        <w:t>南侧，处于整个厂区</w:t>
      </w:r>
      <w:r>
        <w:rPr>
          <w:rFonts w:hint="default" w:ascii="Times New Roman" w:hAnsi="Times New Roman" w:cs="Times New Roman"/>
          <w:color w:val="auto"/>
          <w:sz w:val="24"/>
          <w:highlight w:val="none"/>
          <w:lang w:val="en-US" w:eastAsia="zh-CN"/>
        </w:rPr>
        <w:t>侧</w:t>
      </w:r>
      <w:r>
        <w:rPr>
          <w:rFonts w:hint="default" w:ascii="Times New Roman" w:hAnsi="Times New Roman" w:cs="Times New Roman"/>
          <w:color w:val="auto"/>
          <w:sz w:val="24"/>
          <w:highlight w:val="none"/>
        </w:rPr>
        <w:t>风向，生活区布置有办公、宿舍、食堂等；</w:t>
      </w:r>
      <w:r>
        <w:rPr>
          <w:rFonts w:hint="default" w:ascii="Times New Roman" w:hAnsi="Times New Roman" w:cs="Times New Roman"/>
          <w:bCs/>
          <w:color w:val="auto"/>
          <w:sz w:val="24"/>
          <w:highlight w:val="none"/>
        </w:rPr>
        <w:t>整个养殖区主要构筑物为</w:t>
      </w:r>
      <w:r>
        <w:rPr>
          <w:rFonts w:hint="default" w:ascii="Times New Roman" w:hAnsi="Times New Roman" w:cs="Times New Roman"/>
          <w:bCs/>
          <w:color w:val="auto"/>
          <w:sz w:val="24"/>
          <w:highlight w:val="none"/>
          <w:lang w:val="en-US" w:eastAsia="zh-CN"/>
        </w:rPr>
        <w:t>3</w:t>
      </w:r>
      <w:r>
        <w:rPr>
          <w:rFonts w:hint="default" w:ascii="Times New Roman" w:hAnsi="Times New Roman" w:cs="Times New Roman"/>
          <w:bCs/>
          <w:color w:val="auto"/>
          <w:sz w:val="24"/>
          <w:highlight w:val="none"/>
        </w:rPr>
        <w:t>幢猪舍，保育舍位于</w:t>
      </w:r>
      <w:r>
        <w:rPr>
          <w:rFonts w:hint="default" w:ascii="Times New Roman" w:hAnsi="Times New Roman" w:cs="Times New Roman"/>
          <w:bCs/>
          <w:color w:val="auto"/>
          <w:sz w:val="24"/>
          <w:highlight w:val="none"/>
          <w:lang w:val="en-US" w:eastAsia="zh-CN"/>
        </w:rPr>
        <w:t>东</w:t>
      </w:r>
      <w:r>
        <w:rPr>
          <w:rFonts w:hint="default" w:ascii="Times New Roman" w:hAnsi="Times New Roman" w:cs="Times New Roman"/>
          <w:bCs/>
          <w:color w:val="auto"/>
          <w:sz w:val="24"/>
          <w:highlight w:val="none"/>
        </w:rPr>
        <w:t>北侧，从北到南依次布置</w:t>
      </w:r>
      <w:r>
        <w:rPr>
          <w:rFonts w:hint="default"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rPr>
        <w:t>幢育肥舍，生产区按照保育和育肥分区饲养，便于生猪饲养及其生长管理。同时为满足养殖场区</w:t>
      </w:r>
      <w:r>
        <w:rPr>
          <w:rFonts w:hint="default" w:ascii="Times New Roman" w:hAnsi="Times New Roman" w:cs="Times New Roman"/>
          <w:bCs/>
          <w:color w:val="auto"/>
          <w:sz w:val="24"/>
          <w:highlight w:val="none"/>
          <w:lang w:eastAsia="zh-CN"/>
        </w:rPr>
        <w:t>粪污</w:t>
      </w:r>
      <w:r>
        <w:rPr>
          <w:rFonts w:hint="default" w:ascii="Times New Roman" w:hAnsi="Times New Roman" w:cs="Times New Roman"/>
          <w:bCs/>
          <w:color w:val="auto"/>
          <w:sz w:val="24"/>
          <w:highlight w:val="none"/>
        </w:rPr>
        <w:t>处理需求，结合场地高差因素，在厂区地势最低处设置</w:t>
      </w:r>
      <w:r>
        <w:rPr>
          <w:rFonts w:hint="default" w:ascii="Times New Roman" w:hAnsi="Times New Roman" w:cs="Times New Roman"/>
          <w:bCs/>
          <w:color w:val="auto"/>
          <w:sz w:val="24"/>
          <w:highlight w:val="none"/>
          <w:lang w:val="en-US" w:eastAsia="zh-CN"/>
        </w:rPr>
        <w:t>环保区</w:t>
      </w:r>
      <w:r>
        <w:rPr>
          <w:rFonts w:hint="default" w:ascii="Times New Roman" w:hAnsi="Times New Roman" w:cs="Times New Roman"/>
          <w:bCs/>
          <w:color w:val="auto"/>
          <w:sz w:val="24"/>
          <w:highlight w:val="none"/>
        </w:rPr>
        <w:t>，设置有</w:t>
      </w:r>
      <w:r>
        <w:rPr>
          <w:rFonts w:hint="default" w:ascii="Times New Roman" w:hAnsi="Times New Roman" w:cs="Times New Roman"/>
          <w:bCs/>
          <w:color w:val="auto"/>
          <w:sz w:val="24"/>
          <w:highlight w:val="none"/>
          <w:lang w:val="en-US" w:eastAsia="zh-CN"/>
        </w:rPr>
        <w:t>污水收集池</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堆粪棚</w:t>
      </w:r>
      <w:r>
        <w:rPr>
          <w:rFonts w:hint="default" w:ascii="Times New Roman" w:hAnsi="Times New Roman" w:cs="Times New Roman"/>
          <w:bCs/>
          <w:color w:val="auto"/>
          <w:sz w:val="24"/>
          <w:highlight w:val="none"/>
        </w:rPr>
        <w:t>等，便于</w:t>
      </w:r>
      <w:r>
        <w:rPr>
          <w:rFonts w:hint="default" w:ascii="Times New Roman" w:hAnsi="Times New Roman" w:cs="Times New Roman"/>
          <w:bCs/>
          <w:color w:val="auto"/>
          <w:sz w:val="24"/>
          <w:highlight w:val="none"/>
          <w:lang w:val="en-US" w:eastAsia="zh-CN"/>
        </w:rPr>
        <w:t>粪污</w:t>
      </w:r>
      <w:r>
        <w:rPr>
          <w:rFonts w:hint="default" w:ascii="Times New Roman" w:hAnsi="Times New Roman" w:cs="Times New Roman"/>
          <w:bCs/>
          <w:color w:val="auto"/>
          <w:sz w:val="24"/>
          <w:highlight w:val="none"/>
        </w:rPr>
        <w:t>收集处理。</w:t>
      </w:r>
    </w:p>
    <w:p w14:paraId="6884EE5D">
      <w:pPr>
        <w:snapToGrid w:val="0"/>
        <w:spacing w:line="360" w:lineRule="auto"/>
        <w:ind w:firstLine="480" w:firstLineChars="200"/>
        <w:textAlignment w:val="baseline"/>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厂址四周及厂内空地处布置绿化带，主要以种植乔木、灌木以及绿化草坪为主；厂区沿边坡种植爬藤类植物进一步加强绿化隔离。整个厂区外围</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养殖区、办公生活区、环保区均连接</w:t>
      </w:r>
      <w:r>
        <w:rPr>
          <w:rFonts w:hint="default" w:ascii="Times New Roman" w:hAnsi="Times New Roman" w:cs="Times New Roman"/>
          <w:bCs/>
          <w:color w:val="auto"/>
          <w:sz w:val="24"/>
          <w:highlight w:val="none"/>
        </w:rPr>
        <w:t>厂内道路，便于日常</w:t>
      </w:r>
      <w:r>
        <w:rPr>
          <w:rFonts w:hint="default" w:ascii="Times New Roman" w:hAnsi="Times New Roman" w:cs="Times New Roman"/>
          <w:bCs/>
          <w:color w:val="auto"/>
          <w:sz w:val="24"/>
          <w:highlight w:val="none"/>
          <w:lang w:eastAsia="zh-CN"/>
        </w:rPr>
        <w:t>粪污</w:t>
      </w:r>
      <w:r>
        <w:rPr>
          <w:rFonts w:hint="default" w:ascii="Times New Roman" w:hAnsi="Times New Roman" w:cs="Times New Roman"/>
          <w:bCs/>
          <w:color w:val="auto"/>
          <w:sz w:val="24"/>
          <w:highlight w:val="none"/>
        </w:rPr>
        <w:t>清运。</w:t>
      </w:r>
    </w:p>
    <w:p w14:paraId="2269A176">
      <w:pPr>
        <w:snapToGrid w:val="0"/>
        <w:spacing w:line="360" w:lineRule="auto"/>
        <w:ind w:firstLine="480" w:firstLineChars="200"/>
        <w:textAlignment w:val="baseline"/>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lang w:bidi="zh-CN"/>
        </w:rPr>
        <w:t>综上，项目各区域根据功能的不同进行了合理的布置，即可便于废水、猪粪的收集， 又可以减少恶臭气体以及噪声对办公生活区职工的影响，又可保证原料的运输便利，保证污物运出方便。项目的总体布局符合安全、消防、卫生和环保的设计规范，</w:t>
      </w:r>
      <w:r>
        <w:rPr>
          <w:rFonts w:hint="default" w:ascii="Times New Roman" w:hAnsi="Times New Roman" w:cs="Times New Roman"/>
          <w:bCs/>
          <w:color w:val="auto"/>
          <w:sz w:val="24"/>
          <w:highlight w:val="none"/>
        </w:rPr>
        <w:t>满足《畜禽养殖业污染防治技术规范》（HJ/T81-2001）的平面布置要求。</w:t>
      </w:r>
      <w:r>
        <w:rPr>
          <w:rFonts w:hint="default" w:ascii="Times New Roman" w:hAnsi="Times New Roman" w:cs="Times New Roman"/>
          <w:color w:val="auto"/>
          <w:kern w:val="0"/>
          <w:sz w:val="24"/>
          <w:highlight w:val="none"/>
        </w:rPr>
        <w:t>项目平面布局较为合理。</w:t>
      </w:r>
    </w:p>
    <w:p w14:paraId="41171458">
      <w:pPr>
        <w:snapToGrid w:val="0"/>
        <w:spacing w:line="360" w:lineRule="auto"/>
        <w:ind w:firstLine="480"/>
        <w:rPr>
          <w:rFonts w:hint="default" w:ascii="Times New Roman" w:hAnsi="Times New Roman" w:cs="Times New Roman"/>
          <w:color w:val="auto"/>
          <w:sz w:val="24"/>
          <w:highlight w:val="none"/>
        </w:rPr>
        <w:sectPr>
          <w:pgSz w:w="11907" w:h="16839"/>
          <w:pgMar w:top="1247" w:right="1361" w:bottom="1247" w:left="1361" w:header="765" w:footer="765" w:gutter="0"/>
          <w:pgBorders>
            <w:top w:val="none" w:sz="0" w:space="0"/>
            <w:left w:val="none" w:sz="0" w:space="0"/>
            <w:bottom w:val="none" w:sz="0" w:space="0"/>
            <w:right w:val="none" w:sz="0" w:space="0"/>
          </w:pgBorders>
          <w:pgNumType w:fmt="decimal"/>
          <w:cols w:space="720" w:num="1"/>
          <w:titlePg/>
          <w:docGrid w:type="lines" w:linePitch="312" w:charSpace="0"/>
        </w:sectPr>
      </w:pPr>
    </w:p>
    <w:p w14:paraId="1F8D4A10">
      <w:pPr>
        <w:pStyle w:val="2"/>
        <w:keepNext/>
        <w:keepLines/>
        <w:pageBreakBefore/>
        <w:widowControl w:val="0"/>
        <w:kinsoku/>
        <w:wordWrap/>
        <w:overflowPunct/>
        <w:topLinePunct w:val="0"/>
        <w:autoSpaceDE/>
        <w:autoSpaceDN/>
        <w:bidi w:val="0"/>
        <w:adjustRightInd/>
        <w:snapToGrid w:val="0"/>
        <w:spacing w:before="0" w:after="0" w:afterLines="0" w:line="360" w:lineRule="auto"/>
        <w:textAlignment w:val="auto"/>
        <w:rPr>
          <w:rFonts w:hint="default" w:ascii="Times New Roman" w:hAnsi="Times New Roman" w:cs="Times New Roman"/>
          <w:color w:val="auto"/>
          <w:sz w:val="28"/>
          <w:szCs w:val="28"/>
          <w:highlight w:val="none"/>
        </w:rPr>
      </w:pPr>
      <w:bookmarkStart w:id="384" w:name="_Toc5619"/>
      <w:bookmarkStart w:id="385" w:name="_Toc30972"/>
      <w:bookmarkStart w:id="386" w:name="_Toc6462"/>
      <w:bookmarkStart w:id="387" w:name="_Toc23311"/>
      <w:r>
        <w:rPr>
          <w:rFonts w:hint="default" w:ascii="Times New Roman" w:hAnsi="Times New Roman" w:cs="Times New Roman"/>
          <w:color w:val="auto"/>
          <w:sz w:val="28"/>
          <w:szCs w:val="28"/>
          <w:highlight w:val="none"/>
        </w:rPr>
        <w:t>8环境经济损益分析</w:t>
      </w:r>
      <w:bookmarkEnd w:id="384"/>
      <w:bookmarkEnd w:id="385"/>
      <w:bookmarkEnd w:id="386"/>
      <w:bookmarkEnd w:id="387"/>
    </w:p>
    <w:p w14:paraId="203AA36A">
      <w:pPr>
        <w:pStyle w:val="3"/>
        <w:tabs>
          <w:tab w:val="left" w:pos="420"/>
        </w:tabs>
        <w:spacing w:before="0" w:after="0"/>
        <w:rPr>
          <w:rStyle w:val="34"/>
          <w:rFonts w:hint="default" w:ascii="Times New Roman" w:hAnsi="Times New Roman" w:cs="Times New Roman"/>
          <w:b w:val="0"/>
          <w:bCs w:val="0"/>
          <w:color w:val="auto"/>
          <w:sz w:val="24"/>
          <w:highlight w:val="none"/>
        </w:rPr>
      </w:pPr>
      <w:bookmarkStart w:id="388" w:name="_Toc481927451"/>
      <w:bookmarkStart w:id="389" w:name="_Toc28979"/>
      <w:bookmarkStart w:id="390" w:name="_Toc1503"/>
      <w:bookmarkStart w:id="391" w:name="_Toc21491"/>
      <w:bookmarkStart w:id="392" w:name="_Toc27620"/>
      <w:r>
        <w:rPr>
          <w:rStyle w:val="34"/>
          <w:rFonts w:hint="default" w:ascii="Times New Roman" w:hAnsi="Times New Roman" w:cs="Times New Roman"/>
          <w:b w:val="0"/>
          <w:bCs w:val="0"/>
          <w:color w:val="auto"/>
          <w:sz w:val="24"/>
          <w:highlight w:val="none"/>
        </w:rPr>
        <w:t>8.1</w:t>
      </w:r>
      <w:bookmarkEnd w:id="388"/>
      <w:r>
        <w:rPr>
          <w:rStyle w:val="34"/>
          <w:rFonts w:hint="default" w:ascii="Times New Roman" w:hAnsi="Times New Roman" w:cs="Times New Roman"/>
          <w:b w:val="0"/>
          <w:bCs w:val="0"/>
          <w:color w:val="auto"/>
          <w:sz w:val="24"/>
          <w:highlight w:val="none"/>
        </w:rPr>
        <w:t>环保投资估算</w:t>
      </w:r>
      <w:bookmarkEnd w:id="389"/>
      <w:bookmarkEnd w:id="390"/>
      <w:bookmarkEnd w:id="391"/>
      <w:bookmarkEnd w:id="392"/>
    </w:p>
    <w:p w14:paraId="52421243">
      <w:pPr>
        <w:snapToGrid w:val="0"/>
        <w:spacing w:line="360" w:lineRule="auto"/>
        <w:ind w:firstLine="436" w:firstLineChars="182"/>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bidi="zh-CN"/>
        </w:rPr>
        <w:t>项目总投资为</w:t>
      </w:r>
      <w:r>
        <w:rPr>
          <w:rFonts w:hint="default" w:ascii="Times New Roman" w:hAnsi="Times New Roman" w:cs="Times New Roman"/>
          <w:color w:val="auto"/>
          <w:sz w:val="24"/>
          <w:highlight w:val="none"/>
          <w:lang w:val="en-US" w:bidi="zh-CN"/>
        </w:rPr>
        <w:t>1620</w:t>
      </w:r>
      <w:r>
        <w:rPr>
          <w:rFonts w:hint="default" w:ascii="Times New Roman" w:hAnsi="Times New Roman" w:cs="Times New Roman"/>
          <w:color w:val="auto"/>
          <w:sz w:val="24"/>
          <w:highlight w:val="none"/>
          <w:lang w:bidi="zh-CN"/>
        </w:rPr>
        <w:t>万元，其中环保投资</w:t>
      </w:r>
      <w:r>
        <w:rPr>
          <w:rFonts w:hint="default" w:ascii="Times New Roman" w:hAnsi="Times New Roman" w:cs="Times New Roman"/>
          <w:color w:val="auto"/>
          <w:sz w:val="24"/>
          <w:highlight w:val="none"/>
          <w:lang w:val="en-US" w:eastAsia="zh-CN" w:bidi="zh-CN"/>
        </w:rPr>
        <w:t>82.93</w:t>
      </w:r>
      <w:r>
        <w:rPr>
          <w:rFonts w:hint="default" w:ascii="Times New Roman" w:hAnsi="Times New Roman" w:cs="Times New Roman"/>
          <w:color w:val="auto"/>
          <w:sz w:val="24"/>
          <w:highlight w:val="none"/>
          <w:lang w:bidi="zh-CN"/>
        </w:rPr>
        <w:t>万元，环保投资占总投资的</w:t>
      </w:r>
      <w:r>
        <w:rPr>
          <w:rFonts w:hint="default" w:ascii="Times New Roman" w:hAnsi="Times New Roman" w:cs="Times New Roman"/>
          <w:color w:val="auto"/>
          <w:sz w:val="24"/>
          <w:highlight w:val="none"/>
          <w:lang w:val="en-US" w:bidi="zh-CN"/>
        </w:rPr>
        <w:t>5.12</w:t>
      </w:r>
      <w:r>
        <w:rPr>
          <w:rFonts w:hint="default" w:ascii="Times New Roman" w:hAnsi="Times New Roman" w:cs="Times New Roman"/>
          <w:color w:val="auto"/>
          <w:sz w:val="24"/>
          <w:highlight w:val="none"/>
          <w:lang w:bidi="zh-CN"/>
        </w:rPr>
        <w:t>%。建设项目环保投资主要用于污水治理、恶臭气体、固废治理设施及噪声的防治、绿化等，</w:t>
      </w:r>
      <w:r>
        <w:rPr>
          <w:rFonts w:hint="default" w:ascii="Times New Roman" w:hAnsi="Times New Roman" w:cs="Times New Roman"/>
          <w:color w:val="auto"/>
          <w:sz w:val="24"/>
          <w:highlight w:val="none"/>
        </w:rPr>
        <w:t>项目分项环保投资详见表8.1-1。</w:t>
      </w:r>
    </w:p>
    <w:p w14:paraId="26788FDE">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表8.1-1    环保投资估算表</w:t>
      </w:r>
    </w:p>
    <w:tbl>
      <w:tblPr>
        <w:tblStyle w:val="23"/>
        <w:tblW w:w="9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191"/>
        <w:gridCol w:w="2595"/>
        <w:gridCol w:w="2413"/>
        <w:gridCol w:w="1458"/>
      </w:tblGrid>
      <w:tr w14:paraId="580A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14:paraId="43B178C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类别</w:t>
            </w:r>
          </w:p>
        </w:tc>
        <w:tc>
          <w:tcPr>
            <w:tcW w:w="2191" w:type="dxa"/>
            <w:vAlign w:val="center"/>
          </w:tcPr>
          <w:p w14:paraId="003454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治理对象</w:t>
            </w:r>
          </w:p>
        </w:tc>
        <w:tc>
          <w:tcPr>
            <w:tcW w:w="2595" w:type="dxa"/>
            <w:vAlign w:val="center"/>
          </w:tcPr>
          <w:p w14:paraId="7518A43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环保措施</w:t>
            </w:r>
          </w:p>
        </w:tc>
        <w:tc>
          <w:tcPr>
            <w:tcW w:w="2413" w:type="dxa"/>
            <w:vAlign w:val="center"/>
          </w:tcPr>
          <w:p w14:paraId="096266F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数量/规模</w:t>
            </w:r>
          </w:p>
        </w:tc>
        <w:tc>
          <w:tcPr>
            <w:tcW w:w="1458" w:type="dxa"/>
            <w:vAlign w:val="center"/>
          </w:tcPr>
          <w:p w14:paraId="128CCA2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lang w:val="en-US" w:eastAsia="zh-CN"/>
              </w:rPr>
              <w:t>环保投资</w:t>
            </w:r>
            <w:r>
              <w:rPr>
                <w:rFonts w:hint="default" w:ascii="Times New Roman" w:hAnsi="Times New Roman" w:cs="Times New Roman"/>
                <w:b/>
                <w:bCs/>
                <w:color w:val="auto"/>
                <w:sz w:val="18"/>
                <w:szCs w:val="18"/>
                <w:highlight w:val="none"/>
              </w:rPr>
              <w:t>（万元）</w:t>
            </w:r>
          </w:p>
        </w:tc>
      </w:tr>
      <w:tr w14:paraId="77E4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97" w:type="dxa"/>
            <w:gridSpan w:val="5"/>
            <w:vAlign w:val="center"/>
          </w:tcPr>
          <w:p w14:paraId="1A23246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施工期</w:t>
            </w:r>
          </w:p>
        </w:tc>
      </w:tr>
      <w:tr w14:paraId="7876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14:paraId="54E89B9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废气</w:t>
            </w:r>
          </w:p>
        </w:tc>
        <w:tc>
          <w:tcPr>
            <w:tcW w:w="2191" w:type="dxa"/>
            <w:vAlign w:val="center"/>
          </w:tcPr>
          <w:p w14:paraId="4BF2726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施工粉尘</w:t>
            </w:r>
          </w:p>
        </w:tc>
        <w:tc>
          <w:tcPr>
            <w:tcW w:w="2595" w:type="dxa"/>
            <w:vAlign w:val="center"/>
          </w:tcPr>
          <w:p w14:paraId="06632FA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洒水降尘、篷布覆盖</w:t>
            </w:r>
          </w:p>
        </w:tc>
        <w:tc>
          <w:tcPr>
            <w:tcW w:w="2413" w:type="dxa"/>
            <w:vAlign w:val="center"/>
          </w:tcPr>
          <w:p w14:paraId="037120C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p>
        </w:tc>
        <w:tc>
          <w:tcPr>
            <w:tcW w:w="1458" w:type="dxa"/>
            <w:vAlign w:val="center"/>
          </w:tcPr>
          <w:p w14:paraId="5727150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r>
      <w:tr w14:paraId="6140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restart"/>
            <w:vAlign w:val="center"/>
          </w:tcPr>
          <w:p w14:paraId="4F9D709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废水</w:t>
            </w:r>
          </w:p>
        </w:tc>
        <w:tc>
          <w:tcPr>
            <w:tcW w:w="2191" w:type="dxa"/>
            <w:vAlign w:val="center"/>
          </w:tcPr>
          <w:p w14:paraId="522E8D9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施工废水、生活洗手废水</w:t>
            </w:r>
          </w:p>
        </w:tc>
        <w:tc>
          <w:tcPr>
            <w:tcW w:w="2595" w:type="dxa"/>
            <w:vAlign w:val="center"/>
          </w:tcPr>
          <w:p w14:paraId="2A9A7BC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临时沉淀池</w:t>
            </w:r>
          </w:p>
        </w:tc>
        <w:tc>
          <w:tcPr>
            <w:tcW w:w="2413" w:type="dxa"/>
            <w:vAlign w:val="center"/>
          </w:tcPr>
          <w:p w14:paraId="22F3793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1个</w:t>
            </w:r>
          </w:p>
        </w:tc>
        <w:tc>
          <w:tcPr>
            <w:tcW w:w="1458" w:type="dxa"/>
            <w:vAlign w:val="center"/>
          </w:tcPr>
          <w:p w14:paraId="18F8D35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0.6</w:t>
            </w:r>
          </w:p>
        </w:tc>
      </w:tr>
      <w:tr w14:paraId="03AA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14:paraId="1AB06A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191" w:type="dxa"/>
            <w:vMerge w:val="restart"/>
            <w:vAlign w:val="center"/>
          </w:tcPr>
          <w:p w14:paraId="3A51260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地表径流</w:t>
            </w:r>
          </w:p>
        </w:tc>
        <w:tc>
          <w:tcPr>
            <w:tcW w:w="2595" w:type="dxa"/>
            <w:vAlign w:val="center"/>
          </w:tcPr>
          <w:p w14:paraId="4CC4DEC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临时沉砂池</w:t>
            </w:r>
          </w:p>
        </w:tc>
        <w:tc>
          <w:tcPr>
            <w:tcW w:w="2413" w:type="dxa"/>
            <w:vAlign w:val="center"/>
          </w:tcPr>
          <w:p w14:paraId="4DA4735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1个</w:t>
            </w:r>
          </w:p>
        </w:tc>
        <w:tc>
          <w:tcPr>
            <w:tcW w:w="1458" w:type="dxa"/>
            <w:vAlign w:val="center"/>
          </w:tcPr>
          <w:p w14:paraId="36C8749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2.5</w:t>
            </w:r>
          </w:p>
        </w:tc>
      </w:tr>
      <w:tr w14:paraId="6E11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14:paraId="2B332F2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191" w:type="dxa"/>
            <w:vMerge w:val="continue"/>
            <w:vAlign w:val="center"/>
          </w:tcPr>
          <w:p w14:paraId="3FC48FF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595" w:type="dxa"/>
            <w:vAlign w:val="center"/>
          </w:tcPr>
          <w:p w14:paraId="0A02800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临时截排水沟</w:t>
            </w:r>
          </w:p>
        </w:tc>
        <w:tc>
          <w:tcPr>
            <w:tcW w:w="2413" w:type="dxa"/>
            <w:vAlign w:val="center"/>
          </w:tcPr>
          <w:p w14:paraId="4750C17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p>
        </w:tc>
        <w:tc>
          <w:tcPr>
            <w:tcW w:w="1458" w:type="dxa"/>
            <w:vAlign w:val="center"/>
          </w:tcPr>
          <w:p w14:paraId="611CE37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w:t>
            </w:r>
          </w:p>
        </w:tc>
      </w:tr>
      <w:tr w14:paraId="2266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restart"/>
            <w:vAlign w:val="center"/>
          </w:tcPr>
          <w:p w14:paraId="4B93D16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固废</w:t>
            </w:r>
          </w:p>
        </w:tc>
        <w:tc>
          <w:tcPr>
            <w:tcW w:w="2191" w:type="dxa"/>
            <w:vAlign w:val="center"/>
          </w:tcPr>
          <w:p w14:paraId="019973B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建筑垃圾</w:t>
            </w:r>
          </w:p>
        </w:tc>
        <w:tc>
          <w:tcPr>
            <w:tcW w:w="2595" w:type="dxa"/>
            <w:vAlign w:val="center"/>
          </w:tcPr>
          <w:p w14:paraId="72DAE10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建筑垃圾清运</w:t>
            </w:r>
          </w:p>
        </w:tc>
        <w:tc>
          <w:tcPr>
            <w:tcW w:w="2413" w:type="dxa"/>
            <w:vAlign w:val="center"/>
          </w:tcPr>
          <w:p w14:paraId="4B905CF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p>
        </w:tc>
        <w:tc>
          <w:tcPr>
            <w:tcW w:w="1458" w:type="dxa"/>
            <w:vAlign w:val="center"/>
          </w:tcPr>
          <w:p w14:paraId="7EA47E4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0.5</w:t>
            </w:r>
          </w:p>
        </w:tc>
      </w:tr>
      <w:tr w14:paraId="4F38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14:paraId="34A61D4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191" w:type="dxa"/>
            <w:vAlign w:val="center"/>
          </w:tcPr>
          <w:p w14:paraId="2DAF93F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生活垃圾</w:t>
            </w:r>
          </w:p>
        </w:tc>
        <w:tc>
          <w:tcPr>
            <w:tcW w:w="2595" w:type="dxa"/>
            <w:vAlign w:val="center"/>
          </w:tcPr>
          <w:p w14:paraId="3A4B3D6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生活垃圾清运</w:t>
            </w:r>
          </w:p>
        </w:tc>
        <w:tc>
          <w:tcPr>
            <w:tcW w:w="2413" w:type="dxa"/>
            <w:vAlign w:val="center"/>
          </w:tcPr>
          <w:p w14:paraId="36C75C9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p>
        </w:tc>
        <w:tc>
          <w:tcPr>
            <w:tcW w:w="1458" w:type="dxa"/>
            <w:vAlign w:val="center"/>
          </w:tcPr>
          <w:p w14:paraId="6FDD460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0.02</w:t>
            </w:r>
          </w:p>
        </w:tc>
      </w:tr>
      <w:tr w14:paraId="476F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97" w:type="dxa"/>
            <w:gridSpan w:val="5"/>
            <w:vAlign w:val="center"/>
          </w:tcPr>
          <w:p w14:paraId="132BAD12">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运营期</w:t>
            </w:r>
          </w:p>
        </w:tc>
      </w:tr>
      <w:tr w14:paraId="4423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restart"/>
            <w:vAlign w:val="center"/>
          </w:tcPr>
          <w:p w14:paraId="7DAAE4F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废水</w:t>
            </w:r>
          </w:p>
        </w:tc>
        <w:tc>
          <w:tcPr>
            <w:tcW w:w="2191" w:type="dxa"/>
            <w:vAlign w:val="center"/>
          </w:tcPr>
          <w:p w14:paraId="4D6939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食堂废水</w:t>
            </w:r>
          </w:p>
        </w:tc>
        <w:tc>
          <w:tcPr>
            <w:tcW w:w="2595" w:type="dxa"/>
            <w:vAlign w:val="center"/>
          </w:tcPr>
          <w:p w14:paraId="5FDAFE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隔油池</w:t>
            </w:r>
          </w:p>
        </w:tc>
        <w:tc>
          <w:tcPr>
            <w:tcW w:w="2413" w:type="dxa"/>
            <w:vAlign w:val="center"/>
          </w:tcPr>
          <w:p w14:paraId="2467A7A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0.05m</w:t>
            </w:r>
            <w:r>
              <w:rPr>
                <w:rFonts w:hint="default" w:ascii="Times New Roman" w:hAnsi="Times New Roman" w:cs="Times New Roman"/>
                <w:bCs/>
                <w:color w:val="auto"/>
                <w:sz w:val="18"/>
                <w:szCs w:val="18"/>
                <w:highlight w:val="none"/>
                <w:vertAlign w:val="superscript"/>
              </w:rPr>
              <w:t>3</w:t>
            </w:r>
          </w:p>
        </w:tc>
        <w:tc>
          <w:tcPr>
            <w:tcW w:w="1458" w:type="dxa"/>
            <w:vAlign w:val="center"/>
          </w:tcPr>
          <w:p w14:paraId="61B1E7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w:t>
            </w:r>
          </w:p>
        </w:tc>
      </w:tr>
      <w:tr w14:paraId="73B7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14:paraId="02B0B53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191" w:type="dxa"/>
            <w:vAlign w:val="center"/>
          </w:tcPr>
          <w:p w14:paraId="7D338D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生活废水</w:t>
            </w:r>
          </w:p>
        </w:tc>
        <w:tc>
          <w:tcPr>
            <w:tcW w:w="2595" w:type="dxa"/>
            <w:vAlign w:val="center"/>
          </w:tcPr>
          <w:p w14:paraId="2564197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化粪池</w:t>
            </w:r>
          </w:p>
        </w:tc>
        <w:tc>
          <w:tcPr>
            <w:tcW w:w="2413" w:type="dxa"/>
            <w:vAlign w:val="center"/>
          </w:tcPr>
          <w:p w14:paraId="2BD277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10m</w:t>
            </w:r>
            <w:r>
              <w:rPr>
                <w:rFonts w:hint="default" w:ascii="Times New Roman" w:hAnsi="Times New Roman" w:cs="Times New Roman"/>
                <w:bCs/>
                <w:color w:val="auto"/>
                <w:sz w:val="18"/>
                <w:szCs w:val="18"/>
                <w:highlight w:val="none"/>
                <w:vertAlign w:val="superscript"/>
              </w:rPr>
              <w:t>3</w:t>
            </w:r>
          </w:p>
        </w:tc>
        <w:tc>
          <w:tcPr>
            <w:tcW w:w="1458" w:type="dxa"/>
            <w:vAlign w:val="center"/>
          </w:tcPr>
          <w:p w14:paraId="220B9F2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r>
      <w:tr w14:paraId="465B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14:paraId="0B794AC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191" w:type="dxa"/>
            <w:vAlign w:val="center"/>
          </w:tcPr>
          <w:p w14:paraId="39C3EA8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雨污分流</w:t>
            </w:r>
          </w:p>
        </w:tc>
        <w:tc>
          <w:tcPr>
            <w:tcW w:w="2595" w:type="dxa"/>
            <w:vAlign w:val="center"/>
          </w:tcPr>
          <w:p w14:paraId="5CC0938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雨污分流管</w:t>
            </w:r>
          </w:p>
        </w:tc>
        <w:tc>
          <w:tcPr>
            <w:tcW w:w="2413" w:type="dxa"/>
            <w:vAlign w:val="center"/>
          </w:tcPr>
          <w:p w14:paraId="5F8721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p>
        </w:tc>
        <w:tc>
          <w:tcPr>
            <w:tcW w:w="1458" w:type="dxa"/>
            <w:vAlign w:val="center"/>
          </w:tcPr>
          <w:p w14:paraId="280F372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w:t>
            </w:r>
          </w:p>
        </w:tc>
      </w:tr>
      <w:tr w14:paraId="1152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14:paraId="6C91773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191" w:type="dxa"/>
            <w:vAlign w:val="center"/>
          </w:tcPr>
          <w:p w14:paraId="24F96C6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初期雨水</w:t>
            </w:r>
          </w:p>
        </w:tc>
        <w:tc>
          <w:tcPr>
            <w:tcW w:w="2595" w:type="dxa"/>
            <w:vAlign w:val="center"/>
          </w:tcPr>
          <w:p w14:paraId="2C88C6E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初期雨水收集池</w:t>
            </w:r>
          </w:p>
        </w:tc>
        <w:tc>
          <w:tcPr>
            <w:tcW w:w="2413" w:type="dxa"/>
            <w:vAlign w:val="center"/>
          </w:tcPr>
          <w:p w14:paraId="6E0BF0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eastAsia" w:cs="Times New Roman"/>
                <w:bCs/>
                <w:color w:val="auto"/>
                <w:sz w:val="18"/>
                <w:szCs w:val="18"/>
                <w:highlight w:val="none"/>
                <w:lang w:val="en-US" w:eastAsia="zh-CN"/>
              </w:rPr>
              <w:t>15</w:t>
            </w:r>
            <w:r>
              <w:rPr>
                <w:rFonts w:hint="default" w:ascii="Times New Roman" w:hAnsi="Times New Roman" w:cs="Times New Roman"/>
                <w:bCs/>
                <w:color w:val="auto"/>
                <w:sz w:val="18"/>
                <w:szCs w:val="18"/>
                <w:highlight w:val="none"/>
              </w:rPr>
              <w:t>m</w:t>
            </w:r>
            <w:r>
              <w:rPr>
                <w:rFonts w:hint="default" w:ascii="Times New Roman" w:hAnsi="Times New Roman" w:cs="Times New Roman"/>
                <w:bCs/>
                <w:color w:val="auto"/>
                <w:sz w:val="18"/>
                <w:szCs w:val="18"/>
                <w:highlight w:val="none"/>
                <w:vertAlign w:val="superscript"/>
              </w:rPr>
              <w:t>3</w:t>
            </w:r>
          </w:p>
        </w:tc>
        <w:tc>
          <w:tcPr>
            <w:tcW w:w="1458" w:type="dxa"/>
            <w:vAlign w:val="center"/>
          </w:tcPr>
          <w:p w14:paraId="5BFC05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r>
      <w:tr w14:paraId="7054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40" w:type="dxa"/>
            <w:vMerge w:val="continue"/>
            <w:vAlign w:val="center"/>
          </w:tcPr>
          <w:p w14:paraId="515500E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191" w:type="dxa"/>
            <w:vAlign w:val="center"/>
          </w:tcPr>
          <w:p w14:paraId="79F528E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养殖废水、</w:t>
            </w:r>
            <w:r>
              <w:rPr>
                <w:rFonts w:hint="eastAsia" w:cs="Times New Roman"/>
                <w:bCs/>
                <w:color w:val="auto"/>
                <w:sz w:val="18"/>
                <w:szCs w:val="18"/>
                <w:highlight w:val="none"/>
                <w:lang w:eastAsia="zh-CN"/>
              </w:rPr>
              <w:t>生活污水</w:t>
            </w:r>
          </w:p>
        </w:tc>
        <w:tc>
          <w:tcPr>
            <w:tcW w:w="2595" w:type="dxa"/>
            <w:vAlign w:val="center"/>
          </w:tcPr>
          <w:p w14:paraId="332272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废水收集池</w:t>
            </w:r>
          </w:p>
        </w:tc>
        <w:tc>
          <w:tcPr>
            <w:tcW w:w="2413" w:type="dxa"/>
            <w:vAlign w:val="center"/>
          </w:tcPr>
          <w:p w14:paraId="07751E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1000立方米</w:t>
            </w:r>
          </w:p>
        </w:tc>
        <w:tc>
          <w:tcPr>
            <w:tcW w:w="1458" w:type="dxa"/>
            <w:vAlign w:val="center"/>
          </w:tcPr>
          <w:p w14:paraId="36DCA9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5</w:t>
            </w:r>
          </w:p>
        </w:tc>
      </w:tr>
      <w:tr w14:paraId="3F79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restart"/>
            <w:vAlign w:val="center"/>
          </w:tcPr>
          <w:p w14:paraId="028DB31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废气</w:t>
            </w:r>
          </w:p>
        </w:tc>
        <w:tc>
          <w:tcPr>
            <w:tcW w:w="2191" w:type="dxa"/>
            <w:vAlign w:val="center"/>
          </w:tcPr>
          <w:p w14:paraId="088BCB8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恶臭</w:t>
            </w:r>
          </w:p>
        </w:tc>
        <w:tc>
          <w:tcPr>
            <w:tcW w:w="2595" w:type="dxa"/>
            <w:vAlign w:val="center"/>
          </w:tcPr>
          <w:p w14:paraId="266882F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喷洒生物除臭剂</w:t>
            </w:r>
          </w:p>
        </w:tc>
        <w:tc>
          <w:tcPr>
            <w:tcW w:w="2413" w:type="dxa"/>
            <w:vAlign w:val="center"/>
          </w:tcPr>
          <w:p w14:paraId="1E7150E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p>
        </w:tc>
        <w:tc>
          <w:tcPr>
            <w:tcW w:w="1458" w:type="dxa"/>
            <w:vAlign w:val="center"/>
          </w:tcPr>
          <w:p w14:paraId="04C5F85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r>
      <w:tr w14:paraId="2F78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14:paraId="0B3CAB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191" w:type="dxa"/>
            <w:vAlign w:val="center"/>
          </w:tcPr>
          <w:p w14:paraId="14A009B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食堂油烟</w:t>
            </w:r>
          </w:p>
        </w:tc>
        <w:tc>
          <w:tcPr>
            <w:tcW w:w="2595" w:type="dxa"/>
            <w:vAlign w:val="center"/>
          </w:tcPr>
          <w:p w14:paraId="2181BE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抽油烟机+楼顶排气筒</w:t>
            </w:r>
          </w:p>
        </w:tc>
        <w:tc>
          <w:tcPr>
            <w:tcW w:w="2413" w:type="dxa"/>
            <w:vAlign w:val="center"/>
          </w:tcPr>
          <w:p w14:paraId="06CA2A8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1套</w:t>
            </w:r>
          </w:p>
        </w:tc>
        <w:tc>
          <w:tcPr>
            <w:tcW w:w="1458" w:type="dxa"/>
            <w:vAlign w:val="center"/>
          </w:tcPr>
          <w:p w14:paraId="6EED33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w:t>
            </w:r>
          </w:p>
        </w:tc>
      </w:tr>
      <w:tr w14:paraId="6EBB7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14:paraId="020D0C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噪声</w:t>
            </w:r>
          </w:p>
        </w:tc>
        <w:tc>
          <w:tcPr>
            <w:tcW w:w="2191" w:type="dxa"/>
            <w:vAlign w:val="center"/>
          </w:tcPr>
          <w:p w14:paraId="0DA8D58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设备噪声</w:t>
            </w:r>
          </w:p>
        </w:tc>
        <w:tc>
          <w:tcPr>
            <w:tcW w:w="2595" w:type="dxa"/>
            <w:vAlign w:val="center"/>
          </w:tcPr>
          <w:p w14:paraId="3000C48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安装减震垫片、设置设备间、绿化等</w:t>
            </w:r>
          </w:p>
        </w:tc>
        <w:tc>
          <w:tcPr>
            <w:tcW w:w="2413" w:type="dxa"/>
            <w:vAlign w:val="center"/>
          </w:tcPr>
          <w:p w14:paraId="562C0F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p>
        </w:tc>
        <w:tc>
          <w:tcPr>
            <w:tcW w:w="1458" w:type="dxa"/>
            <w:vAlign w:val="center"/>
          </w:tcPr>
          <w:p w14:paraId="47F28F4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0.3</w:t>
            </w:r>
          </w:p>
        </w:tc>
      </w:tr>
      <w:tr w14:paraId="1BBB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restart"/>
            <w:vAlign w:val="center"/>
          </w:tcPr>
          <w:p w14:paraId="014E5DE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固废</w:t>
            </w:r>
          </w:p>
        </w:tc>
        <w:tc>
          <w:tcPr>
            <w:tcW w:w="2191" w:type="dxa"/>
            <w:vAlign w:val="center"/>
          </w:tcPr>
          <w:p w14:paraId="4FC15D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生活垃圾</w:t>
            </w:r>
          </w:p>
        </w:tc>
        <w:tc>
          <w:tcPr>
            <w:tcW w:w="2595" w:type="dxa"/>
            <w:vAlign w:val="center"/>
          </w:tcPr>
          <w:p w14:paraId="2976158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生活垃圾收集装置</w:t>
            </w:r>
          </w:p>
        </w:tc>
        <w:tc>
          <w:tcPr>
            <w:tcW w:w="2413" w:type="dxa"/>
            <w:vAlign w:val="center"/>
          </w:tcPr>
          <w:p w14:paraId="6AEFD92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若干</w:t>
            </w:r>
          </w:p>
        </w:tc>
        <w:tc>
          <w:tcPr>
            <w:tcW w:w="1458" w:type="dxa"/>
            <w:vAlign w:val="center"/>
          </w:tcPr>
          <w:p w14:paraId="5FBA30C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0.01</w:t>
            </w:r>
          </w:p>
        </w:tc>
      </w:tr>
      <w:tr w14:paraId="6566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14:paraId="0714931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191" w:type="dxa"/>
            <w:vAlign w:val="center"/>
          </w:tcPr>
          <w:p w14:paraId="0259136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病死猪</w:t>
            </w:r>
          </w:p>
        </w:tc>
        <w:tc>
          <w:tcPr>
            <w:tcW w:w="2595" w:type="dxa"/>
            <w:vAlign w:val="center"/>
          </w:tcPr>
          <w:p w14:paraId="0D386B7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冷库</w:t>
            </w:r>
          </w:p>
        </w:tc>
        <w:tc>
          <w:tcPr>
            <w:tcW w:w="2413" w:type="dxa"/>
            <w:vAlign w:val="center"/>
          </w:tcPr>
          <w:p w14:paraId="004F4E1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1间</w:t>
            </w:r>
          </w:p>
        </w:tc>
        <w:tc>
          <w:tcPr>
            <w:tcW w:w="1458" w:type="dxa"/>
            <w:vAlign w:val="center"/>
          </w:tcPr>
          <w:p w14:paraId="0CDF4E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r>
      <w:tr w14:paraId="0E70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14:paraId="79D6AE0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191" w:type="dxa"/>
            <w:vAlign w:val="center"/>
          </w:tcPr>
          <w:p w14:paraId="4D02D1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防疫固废</w:t>
            </w:r>
          </w:p>
        </w:tc>
        <w:tc>
          <w:tcPr>
            <w:tcW w:w="2595" w:type="dxa"/>
            <w:vAlign w:val="center"/>
          </w:tcPr>
          <w:p w14:paraId="4051255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lang w:val="en-US"/>
              </w:rPr>
            </w:pPr>
            <w:r>
              <w:rPr>
                <w:rFonts w:hint="default" w:ascii="Times New Roman" w:hAnsi="Times New Roman" w:cs="Times New Roman"/>
                <w:bCs/>
                <w:color w:val="auto"/>
                <w:sz w:val="18"/>
                <w:szCs w:val="18"/>
                <w:highlight w:val="none"/>
                <w:lang w:val="en-US" w:eastAsia="zh-CN"/>
              </w:rPr>
              <w:t>防疫固废暂存间</w:t>
            </w:r>
          </w:p>
        </w:tc>
        <w:tc>
          <w:tcPr>
            <w:tcW w:w="2413" w:type="dxa"/>
            <w:vAlign w:val="center"/>
          </w:tcPr>
          <w:p w14:paraId="4D3DFF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m</w:t>
            </w:r>
            <w:r>
              <w:rPr>
                <w:rFonts w:hint="default" w:ascii="Times New Roman" w:hAnsi="Times New Roman" w:cs="Times New Roman"/>
                <w:bCs/>
                <w:color w:val="auto"/>
                <w:sz w:val="18"/>
                <w:szCs w:val="18"/>
                <w:highlight w:val="none"/>
                <w:vertAlign w:val="superscript"/>
              </w:rPr>
              <w:t>2</w:t>
            </w:r>
          </w:p>
        </w:tc>
        <w:tc>
          <w:tcPr>
            <w:tcW w:w="1458" w:type="dxa"/>
            <w:vAlign w:val="center"/>
          </w:tcPr>
          <w:p w14:paraId="0A5EFC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r>
      <w:tr w14:paraId="5538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14:paraId="7F11B01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191" w:type="dxa"/>
            <w:vMerge w:val="restart"/>
            <w:vAlign w:val="center"/>
          </w:tcPr>
          <w:p w14:paraId="061D507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固体粪便等</w:t>
            </w:r>
          </w:p>
        </w:tc>
        <w:tc>
          <w:tcPr>
            <w:tcW w:w="2595" w:type="dxa"/>
            <w:vAlign w:val="center"/>
          </w:tcPr>
          <w:p w14:paraId="386A07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bCs/>
                <w:color w:val="auto"/>
                <w:sz w:val="18"/>
                <w:szCs w:val="18"/>
                <w:highlight w:val="none"/>
                <w:lang w:eastAsia="zh-CN"/>
              </w:rPr>
              <w:t>堆粪棚</w:t>
            </w:r>
          </w:p>
        </w:tc>
        <w:tc>
          <w:tcPr>
            <w:tcW w:w="2413" w:type="dxa"/>
            <w:vAlign w:val="center"/>
          </w:tcPr>
          <w:p w14:paraId="1B63BFE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三面封闭</w:t>
            </w:r>
          </w:p>
        </w:tc>
        <w:tc>
          <w:tcPr>
            <w:tcW w:w="1458" w:type="dxa"/>
            <w:vAlign w:val="center"/>
          </w:tcPr>
          <w:p w14:paraId="36BE11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8</w:t>
            </w:r>
          </w:p>
        </w:tc>
      </w:tr>
      <w:tr w14:paraId="219A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14:paraId="2EB58BB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191" w:type="dxa"/>
            <w:vMerge w:val="continue"/>
            <w:vAlign w:val="center"/>
          </w:tcPr>
          <w:p w14:paraId="50271A9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595" w:type="dxa"/>
            <w:vAlign w:val="center"/>
          </w:tcPr>
          <w:p w14:paraId="0E8A936D">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固液分离区</w:t>
            </w:r>
          </w:p>
        </w:tc>
        <w:tc>
          <w:tcPr>
            <w:tcW w:w="2413" w:type="dxa"/>
            <w:vAlign w:val="center"/>
          </w:tcPr>
          <w:p w14:paraId="7B19EFD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75m</w:t>
            </w:r>
            <w:r>
              <w:rPr>
                <w:rFonts w:hint="default" w:ascii="Times New Roman" w:hAnsi="Times New Roman" w:cs="Times New Roman"/>
                <w:bCs/>
                <w:color w:val="auto"/>
                <w:sz w:val="18"/>
                <w:szCs w:val="18"/>
                <w:highlight w:val="none"/>
                <w:vertAlign w:val="superscript"/>
              </w:rPr>
              <w:t>2</w:t>
            </w:r>
            <w:r>
              <w:rPr>
                <w:rFonts w:hint="default" w:ascii="Times New Roman" w:hAnsi="Times New Roman" w:cs="Times New Roman"/>
                <w:bCs/>
                <w:color w:val="auto"/>
                <w:sz w:val="18"/>
                <w:szCs w:val="18"/>
                <w:highlight w:val="none"/>
              </w:rPr>
              <w:t>、设备1台</w:t>
            </w:r>
          </w:p>
        </w:tc>
        <w:tc>
          <w:tcPr>
            <w:tcW w:w="1458" w:type="dxa"/>
            <w:vAlign w:val="center"/>
          </w:tcPr>
          <w:p w14:paraId="2C66B8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p>
        </w:tc>
      </w:tr>
      <w:tr w14:paraId="0CEC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14:paraId="120A024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191" w:type="dxa"/>
            <w:vAlign w:val="center"/>
          </w:tcPr>
          <w:p w14:paraId="1B4392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危险废物</w:t>
            </w:r>
          </w:p>
        </w:tc>
        <w:tc>
          <w:tcPr>
            <w:tcW w:w="2595" w:type="dxa"/>
            <w:vAlign w:val="center"/>
          </w:tcPr>
          <w:p w14:paraId="02992D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危废暂存间</w:t>
            </w:r>
          </w:p>
        </w:tc>
        <w:tc>
          <w:tcPr>
            <w:tcW w:w="2413" w:type="dxa"/>
            <w:vAlign w:val="center"/>
          </w:tcPr>
          <w:p w14:paraId="684C71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1个、</w:t>
            </w:r>
            <w:r>
              <w:rPr>
                <w:rFonts w:hint="default" w:ascii="Times New Roman" w:hAnsi="Times New Roman"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rPr>
              <w:t>m</w:t>
            </w:r>
            <w:r>
              <w:rPr>
                <w:rFonts w:hint="default" w:ascii="Times New Roman" w:hAnsi="Times New Roman" w:cs="Times New Roman"/>
                <w:bCs/>
                <w:color w:val="auto"/>
                <w:sz w:val="18"/>
                <w:szCs w:val="18"/>
                <w:highlight w:val="none"/>
                <w:vertAlign w:val="superscript"/>
              </w:rPr>
              <w:t>2</w:t>
            </w:r>
          </w:p>
        </w:tc>
        <w:tc>
          <w:tcPr>
            <w:tcW w:w="1458" w:type="dxa"/>
            <w:vAlign w:val="center"/>
          </w:tcPr>
          <w:p w14:paraId="2F63D7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r>
      <w:tr w14:paraId="3756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restart"/>
            <w:vAlign w:val="center"/>
          </w:tcPr>
          <w:p w14:paraId="6E45D04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地下水、土壤</w:t>
            </w:r>
          </w:p>
        </w:tc>
        <w:tc>
          <w:tcPr>
            <w:tcW w:w="2191" w:type="dxa"/>
            <w:vAlign w:val="center"/>
          </w:tcPr>
          <w:p w14:paraId="0E1002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污染物渗漏检测</w:t>
            </w:r>
          </w:p>
        </w:tc>
        <w:tc>
          <w:tcPr>
            <w:tcW w:w="2595" w:type="dxa"/>
            <w:vAlign w:val="center"/>
          </w:tcPr>
          <w:p w14:paraId="0240181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跟踪监测井</w:t>
            </w:r>
          </w:p>
        </w:tc>
        <w:tc>
          <w:tcPr>
            <w:tcW w:w="2413" w:type="dxa"/>
            <w:vAlign w:val="center"/>
          </w:tcPr>
          <w:p w14:paraId="24029BA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1个（</w:t>
            </w:r>
            <w:r>
              <w:rPr>
                <w:rFonts w:hint="default" w:ascii="Times New Roman" w:hAnsi="Times New Roman" w:cs="Times New Roman"/>
                <w:color w:val="auto"/>
                <w:sz w:val="18"/>
                <w:szCs w:val="18"/>
                <w:highlight w:val="none"/>
                <w:lang w:val="en-US" w:eastAsia="zh-CN"/>
              </w:rPr>
              <w:t>废水收集池</w:t>
            </w:r>
            <w:r>
              <w:rPr>
                <w:rFonts w:hint="default" w:ascii="Times New Roman" w:hAnsi="Times New Roman" w:cs="Times New Roman"/>
                <w:color w:val="auto"/>
                <w:sz w:val="18"/>
                <w:szCs w:val="18"/>
                <w:highlight w:val="none"/>
              </w:rPr>
              <w:t>下游</w:t>
            </w:r>
            <w:r>
              <w:rPr>
                <w:rFonts w:hint="eastAsia" w:cs="Times New Roman"/>
                <w:color w:val="auto"/>
                <w:sz w:val="18"/>
                <w:szCs w:val="18"/>
                <w:highlight w:val="none"/>
                <w:lang w:val="en-US" w:eastAsia="zh-CN"/>
              </w:rPr>
              <w:t>25</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lang w:eastAsia="zh-CN"/>
              </w:rPr>
              <w:t>范围</w:t>
            </w:r>
            <w:r>
              <w:rPr>
                <w:rFonts w:hint="default" w:ascii="Times New Roman" w:hAnsi="Times New Roman" w:cs="Times New Roman"/>
                <w:bCs/>
                <w:color w:val="auto"/>
                <w:sz w:val="18"/>
                <w:szCs w:val="18"/>
                <w:highlight w:val="none"/>
              </w:rPr>
              <w:t>）</w:t>
            </w:r>
          </w:p>
        </w:tc>
        <w:tc>
          <w:tcPr>
            <w:tcW w:w="1458" w:type="dxa"/>
            <w:vAlign w:val="center"/>
          </w:tcPr>
          <w:p w14:paraId="11C6DB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r>
      <w:tr w14:paraId="086E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14:paraId="53AE766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191" w:type="dxa"/>
            <w:vAlign w:val="center"/>
          </w:tcPr>
          <w:p w14:paraId="1DED58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粪污还田区含盐量跟踪评价</w:t>
            </w:r>
          </w:p>
        </w:tc>
        <w:tc>
          <w:tcPr>
            <w:tcW w:w="2595" w:type="dxa"/>
            <w:vAlign w:val="center"/>
          </w:tcPr>
          <w:p w14:paraId="777B9E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跟踪监测</w:t>
            </w:r>
            <w:r>
              <w:rPr>
                <w:rFonts w:hint="default" w:ascii="Times New Roman" w:hAnsi="Times New Roman" w:cs="Times New Roman"/>
                <w:color w:val="auto"/>
                <w:sz w:val="18"/>
                <w:szCs w:val="18"/>
                <w:highlight w:val="none"/>
                <w:lang w:val="en-US" w:eastAsia="zh-CN"/>
              </w:rPr>
              <w:t>点</w:t>
            </w:r>
          </w:p>
        </w:tc>
        <w:tc>
          <w:tcPr>
            <w:tcW w:w="2413" w:type="dxa"/>
            <w:vAlign w:val="center"/>
          </w:tcPr>
          <w:p w14:paraId="43CE80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2个</w:t>
            </w:r>
          </w:p>
        </w:tc>
        <w:tc>
          <w:tcPr>
            <w:tcW w:w="1458" w:type="dxa"/>
            <w:vAlign w:val="center"/>
          </w:tcPr>
          <w:p w14:paraId="2C3C18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14:paraId="2C73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14:paraId="18C4CDB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2191" w:type="dxa"/>
            <w:vAlign w:val="center"/>
          </w:tcPr>
          <w:p w14:paraId="1B033A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p>
        </w:tc>
        <w:tc>
          <w:tcPr>
            <w:tcW w:w="5008" w:type="dxa"/>
            <w:gridSpan w:val="2"/>
            <w:vAlign w:val="center"/>
          </w:tcPr>
          <w:p w14:paraId="34F33516">
            <w:pPr>
              <w:keepNext w:val="0"/>
              <w:keepLines w:val="0"/>
              <w:suppressLineNumbers w:val="0"/>
              <w:adjustRightInd w:val="0"/>
              <w:snapToGrid w:val="0"/>
              <w:spacing w:before="0" w:beforeAutospacing="0" w:after="0" w:afterAutospacing="0"/>
              <w:ind w:left="0" w:right="0" w:firstLine="180" w:firstLineChars="100"/>
              <w:jc w:val="left"/>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①重点防渗区：</w:t>
            </w:r>
            <w:r>
              <w:rPr>
                <w:rFonts w:hint="default" w:ascii="Times New Roman" w:hAnsi="Times New Roman" w:cs="Times New Roman"/>
                <w:bCs/>
                <w:color w:val="auto"/>
                <w:sz w:val="18"/>
                <w:szCs w:val="18"/>
                <w:highlight w:val="none"/>
                <w:lang w:eastAsia="zh-CN"/>
              </w:rPr>
              <w:t>粪尿收集池</w:t>
            </w:r>
            <w:r>
              <w:rPr>
                <w:rFonts w:hint="default" w:ascii="Times New Roman" w:hAnsi="Times New Roman" w:cs="Times New Roman"/>
                <w:bCs/>
                <w:color w:val="auto"/>
                <w:sz w:val="18"/>
                <w:szCs w:val="18"/>
                <w:highlight w:val="none"/>
              </w:rPr>
              <w:t>、固液分离区、</w:t>
            </w:r>
            <w:r>
              <w:rPr>
                <w:rFonts w:hint="default" w:ascii="Times New Roman" w:hAnsi="Times New Roman" w:cs="Times New Roman"/>
                <w:bCs/>
                <w:color w:val="auto"/>
                <w:sz w:val="18"/>
                <w:szCs w:val="18"/>
                <w:highlight w:val="none"/>
                <w:lang w:val="en-US" w:eastAsia="zh-CN"/>
              </w:rPr>
              <w:t>废水收集池</w:t>
            </w:r>
            <w:r>
              <w:rPr>
                <w:rFonts w:hint="default" w:ascii="Times New Roman" w:hAnsi="Times New Roman" w:cs="Times New Roman"/>
                <w:bCs/>
                <w:color w:val="auto"/>
                <w:sz w:val="18"/>
                <w:szCs w:val="18"/>
                <w:highlight w:val="none"/>
              </w:rPr>
              <w:t>、</w:t>
            </w:r>
            <w:r>
              <w:rPr>
                <w:rFonts w:hint="default" w:ascii="Times New Roman" w:hAnsi="Times New Roman" w:cs="Times New Roman"/>
                <w:bCs/>
                <w:color w:val="auto"/>
                <w:sz w:val="18"/>
                <w:szCs w:val="18"/>
                <w:highlight w:val="none"/>
                <w:lang w:eastAsia="zh-CN"/>
              </w:rPr>
              <w:t>堆粪棚、</w:t>
            </w:r>
            <w:r>
              <w:rPr>
                <w:rFonts w:hint="default" w:ascii="Times New Roman" w:hAnsi="Times New Roman" w:cs="Times New Roman"/>
                <w:bCs/>
                <w:color w:val="auto"/>
                <w:sz w:val="18"/>
                <w:szCs w:val="18"/>
                <w:highlight w:val="none"/>
              </w:rPr>
              <w:t>危废暂存间。</w:t>
            </w:r>
          </w:p>
          <w:p w14:paraId="12293A61">
            <w:pPr>
              <w:keepNext w:val="0"/>
              <w:keepLines w:val="0"/>
              <w:suppressLineNumbers w:val="0"/>
              <w:adjustRightInd w:val="0"/>
              <w:snapToGrid w:val="0"/>
              <w:spacing w:before="0" w:beforeAutospacing="0" w:after="0" w:afterAutospacing="0"/>
              <w:ind w:left="0" w:right="0" w:firstLine="180" w:firstLineChars="100"/>
              <w:jc w:val="left"/>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②一般防渗区：</w:t>
            </w:r>
            <w:r>
              <w:rPr>
                <w:rFonts w:hint="default" w:ascii="Times New Roman" w:hAnsi="Times New Roman" w:cs="Times New Roman"/>
                <w:color w:val="auto"/>
                <w:sz w:val="18"/>
                <w:szCs w:val="18"/>
              </w:rPr>
              <w:t>隔油池、化粪池、初期雨水收集池、</w:t>
            </w:r>
            <w:r>
              <w:rPr>
                <w:rFonts w:hint="default" w:ascii="Times New Roman" w:hAnsi="Times New Roman" w:cs="Times New Roman"/>
                <w:color w:val="auto"/>
                <w:sz w:val="18"/>
                <w:szCs w:val="18"/>
                <w:lang w:val="en-US" w:eastAsia="zh-CN"/>
              </w:rPr>
              <w:t>车辆洗消棚沉淀池</w:t>
            </w:r>
            <w:r>
              <w:rPr>
                <w:rFonts w:hint="default" w:ascii="Times New Roman" w:hAnsi="Times New Roman" w:cs="Times New Roman"/>
                <w:bCs/>
                <w:color w:val="auto"/>
                <w:sz w:val="18"/>
                <w:szCs w:val="18"/>
                <w:lang w:val="en-US" w:eastAsia="zh-CN"/>
              </w:rPr>
              <w:t>、</w:t>
            </w:r>
            <w:r>
              <w:rPr>
                <w:rFonts w:hint="default" w:ascii="Times New Roman" w:hAnsi="Times New Roman" w:cs="Times New Roman"/>
                <w:bCs/>
                <w:color w:val="auto"/>
                <w:sz w:val="18"/>
                <w:szCs w:val="18"/>
              </w:rPr>
              <w:t>柴油发电室</w:t>
            </w:r>
            <w:r>
              <w:rPr>
                <w:rFonts w:hint="default" w:ascii="Times New Roman" w:hAnsi="Times New Roman" w:cs="Times New Roman"/>
                <w:bCs/>
                <w:color w:val="auto"/>
                <w:sz w:val="18"/>
                <w:szCs w:val="18"/>
                <w:lang w:eastAsia="zh-CN"/>
              </w:rPr>
              <w:t>、</w:t>
            </w:r>
            <w:r>
              <w:rPr>
                <w:rFonts w:hint="default" w:ascii="Times New Roman" w:hAnsi="Times New Roman" w:cs="Times New Roman"/>
                <w:color w:val="auto"/>
                <w:sz w:val="18"/>
                <w:szCs w:val="18"/>
                <w:lang w:val="en-US" w:eastAsia="zh-CN"/>
              </w:rPr>
              <w:t>冷库、防疫固废暂存间</w:t>
            </w:r>
            <w:r>
              <w:rPr>
                <w:rFonts w:hint="default" w:ascii="Times New Roman" w:hAnsi="Times New Roman" w:cs="Times New Roman"/>
                <w:bCs/>
                <w:color w:val="auto"/>
                <w:sz w:val="18"/>
                <w:szCs w:val="18"/>
                <w:highlight w:val="none"/>
              </w:rPr>
              <w:t>。</w:t>
            </w:r>
          </w:p>
          <w:p w14:paraId="38BDD10C">
            <w:pPr>
              <w:keepNext w:val="0"/>
              <w:keepLines w:val="0"/>
              <w:suppressLineNumbers w:val="0"/>
              <w:adjustRightInd w:val="0"/>
              <w:snapToGrid w:val="0"/>
              <w:spacing w:before="0" w:beforeAutospacing="0" w:after="0" w:afterAutospacing="0"/>
              <w:ind w:left="0" w:right="0" w:firstLine="180" w:firstLineChars="100"/>
              <w:jc w:val="left"/>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③简单防渗：</w:t>
            </w:r>
            <w:r>
              <w:rPr>
                <w:rFonts w:hint="default" w:ascii="Times New Roman" w:hAnsi="Times New Roman" w:cs="Times New Roman"/>
                <w:color w:val="auto"/>
                <w:sz w:val="18"/>
                <w:szCs w:val="18"/>
                <w:highlight w:val="none"/>
                <w:lang w:val="en-US" w:eastAsia="zh-CN"/>
              </w:rPr>
              <w:t>物资消毒仓库</w:t>
            </w:r>
            <w:r>
              <w:rPr>
                <w:rFonts w:hint="default" w:ascii="Times New Roman" w:hAnsi="Times New Roman" w:cs="Times New Roman"/>
                <w:color w:val="auto"/>
                <w:sz w:val="18"/>
                <w:szCs w:val="18"/>
                <w:highlight w:val="none"/>
              </w:rPr>
              <w:t>、配电房、料塔区、办公生活区、厂区道路</w:t>
            </w:r>
            <w:r>
              <w:rPr>
                <w:rFonts w:hint="default" w:ascii="Times New Roman" w:hAnsi="Times New Roman" w:cs="Times New Roman"/>
                <w:color w:val="auto"/>
                <w:sz w:val="18"/>
                <w:szCs w:val="18"/>
                <w:highlight w:val="none"/>
                <w:lang w:eastAsia="zh-CN"/>
              </w:rPr>
              <w:t>等</w:t>
            </w:r>
          </w:p>
        </w:tc>
        <w:tc>
          <w:tcPr>
            <w:tcW w:w="1458" w:type="dxa"/>
            <w:vAlign w:val="center"/>
          </w:tcPr>
          <w:p w14:paraId="01A506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w:t>
            </w:r>
          </w:p>
        </w:tc>
      </w:tr>
      <w:tr w14:paraId="7E3D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14:paraId="60552E0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环境风险</w:t>
            </w:r>
          </w:p>
        </w:tc>
        <w:tc>
          <w:tcPr>
            <w:tcW w:w="2191" w:type="dxa"/>
            <w:vAlign w:val="center"/>
          </w:tcPr>
          <w:p w14:paraId="27D9CC9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bidi="zh-CN"/>
              </w:rPr>
              <w:t>风险防范</w:t>
            </w:r>
          </w:p>
        </w:tc>
        <w:tc>
          <w:tcPr>
            <w:tcW w:w="5008" w:type="dxa"/>
            <w:gridSpan w:val="2"/>
            <w:vAlign w:val="center"/>
          </w:tcPr>
          <w:p w14:paraId="4700209D">
            <w:pPr>
              <w:keepNext w:val="0"/>
              <w:keepLines w:val="0"/>
              <w:suppressLineNumbers w:val="0"/>
              <w:adjustRightInd w:val="0"/>
              <w:snapToGrid w:val="0"/>
              <w:spacing w:before="0" w:beforeAutospacing="0" w:after="0" w:afterAutospacing="0"/>
              <w:ind w:left="0" w:right="0" w:firstLine="180" w:firstLineChars="100"/>
              <w:jc w:val="left"/>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防渗措施同地下水、土壤；</w:t>
            </w:r>
          </w:p>
          <w:p w14:paraId="29E1A4F2">
            <w:pPr>
              <w:keepNext w:val="0"/>
              <w:keepLines w:val="0"/>
              <w:suppressLineNumbers w:val="0"/>
              <w:adjustRightInd w:val="0"/>
              <w:snapToGrid w:val="0"/>
              <w:spacing w:before="0" w:beforeAutospacing="0" w:after="0" w:afterAutospacing="0"/>
              <w:ind w:left="0" w:right="0" w:firstLine="180" w:firstLineChars="100"/>
              <w:jc w:val="left"/>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bidi="zh-CN"/>
              </w:rPr>
              <w:t>编制突发环境事件应急预案等。</w:t>
            </w:r>
          </w:p>
        </w:tc>
        <w:tc>
          <w:tcPr>
            <w:tcW w:w="1458" w:type="dxa"/>
            <w:vAlign w:val="center"/>
          </w:tcPr>
          <w:p w14:paraId="403ACB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r>
      <w:tr w14:paraId="7D3D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restart"/>
            <w:vAlign w:val="center"/>
          </w:tcPr>
          <w:p w14:paraId="02DED3B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其他</w:t>
            </w:r>
          </w:p>
        </w:tc>
        <w:tc>
          <w:tcPr>
            <w:tcW w:w="4786" w:type="dxa"/>
            <w:gridSpan w:val="2"/>
            <w:vAlign w:val="center"/>
          </w:tcPr>
          <w:p w14:paraId="2335C32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绿化</w:t>
            </w:r>
          </w:p>
        </w:tc>
        <w:tc>
          <w:tcPr>
            <w:tcW w:w="2413" w:type="dxa"/>
            <w:vAlign w:val="center"/>
          </w:tcPr>
          <w:p w14:paraId="09A6446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val="en-US" w:eastAsia="zh-CN"/>
              </w:rPr>
              <w:t>1000</w:t>
            </w:r>
            <w:r>
              <w:rPr>
                <w:rFonts w:hint="default" w:ascii="Times New Roman" w:hAnsi="Times New Roman" w:cs="Times New Roman"/>
                <w:bCs/>
                <w:color w:val="auto"/>
                <w:sz w:val="18"/>
                <w:szCs w:val="18"/>
                <w:highlight w:val="none"/>
              </w:rPr>
              <w:t>m</w:t>
            </w:r>
            <w:r>
              <w:rPr>
                <w:rFonts w:hint="default" w:ascii="Times New Roman" w:hAnsi="Times New Roman" w:cs="Times New Roman"/>
                <w:bCs/>
                <w:color w:val="auto"/>
                <w:sz w:val="18"/>
                <w:szCs w:val="18"/>
                <w:highlight w:val="none"/>
                <w:vertAlign w:val="superscript"/>
              </w:rPr>
              <w:t>2</w:t>
            </w:r>
          </w:p>
        </w:tc>
        <w:tc>
          <w:tcPr>
            <w:tcW w:w="1458" w:type="dxa"/>
            <w:vAlign w:val="center"/>
          </w:tcPr>
          <w:p w14:paraId="436F2D4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r>
      <w:tr w14:paraId="1C56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14:paraId="4311E8B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4786" w:type="dxa"/>
            <w:gridSpan w:val="2"/>
            <w:vAlign w:val="center"/>
          </w:tcPr>
          <w:p w14:paraId="4FC5CD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标识标牌</w:t>
            </w:r>
          </w:p>
        </w:tc>
        <w:tc>
          <w:tcPr>
            <w:tcW w:w="2413" w:type="dxa"/>
            <w:vAlign w:val="center"/>
          </w:tcPr>
          <w:p w14:paraId="513A60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bCs/>
                <w:color w:val="auto"/>
                <w:sz w:val="18"/>
                <w:szCs w:val="18"/>
                <w:highlight w:val="none"/>
                <w:lang w:val="en-US" w:eastAsia="zh-CN"/>
              </w:rPr>
              <w:t>若干</w:t>
            </w:r>
          </w:p>
        </w:tc>
        <w:tc>
          <w:tcPr>
            <w:tcW w:w="1458" w:type="dxa"/>
            <w:vAlign w:val="center"/>
          </w:tcPr>
          <w:p w14:paraId="51179E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w:t>
            </w:r>
          </w:p>
        </w:tc>
      </w:tr>
      <w:tr w14:paraId="4A40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1" w:type="dxa"/>
            <w:gridSpan w:val="2"/>
            <w:vAlign w:val="center"/>
          </w:tcPr>
          <w:p w14:paraId="3CA1472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合计</w:t>
            </w:r>
          </w:p>
        </w:tc>
        <w:tc>
          <w:tcPr>
            <w:tcW w:w="2595" w:type="dxa"/>
            <w:vAlign w:val="center"/>
          </w:tcPr>
          <w:p w14:paraId="66D8BF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p>
        </w:tc>
        <w:tc>
          <w:tcPr>
            <w:tcW w:w="2413" w:type="dxa"/>
            <w:vAlign w:val="center"/>
          </w:tcPr>
          <w:p w14:paraId="4D479D0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p>
        </w:tc>
        <w:tc>
          <w:tcPr>
            <w:tcW w:w="1458" w:type="dxa"/>
            <w:shd w:val="clear" w:color="auto" w:fill="auto"/>
            <w:vAlign w:val="center"/>
          </w:tcPr>
          <w:p w14:paraId="29FF9D16">
            <w:pPr>
              <w:keepNext w:val="0"/>
              <w:keepLines w:val="0"/>
              <w:widowControl/>
              <w:suppressLineNumbers w:val="0"/>
              <w:jc w:val="right"/>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cs="Times New Roman"/>
                <w:i w:val="0"/>
                <w:iCs w:val="0"/>
                <w:color w:val="auto"/>
                <w:kern w:val="0"/>
                <w:sz w:val="18"/>
                <w:szCs w:val="18"/>
                <w:u w:val="none"/>
                <w:lang w:val="en-US" w:eastAsia="zh-CN" w:bidi="ar"/>
              </w:rPr>
              <w:t>82.93</w:t>
            </w:r>
          </w:p>
        </w:tc>
      </w:tr>
    </w:tbl>
    <w:p w14:paraId="6C82DDAB">
      <w:pPr>
        <w:snapToGrid w:val="0"/>
        <w:spacing w:before="156" w:beforeLines="50" w:line="360" w:lineRule="auto"/>
        <w:ind w:firstLine="482"/>
        <w:rPr>
          <w:rFonts w:hint="default" w:ascii="Times New Roman" w:hAnsi="Times New Roman" w:cs="Times New Roman"/>
          <w:color w:val="auto"/>
          <w:sz w:val="24"/>
          <w:highlight w:val="none"/>
        </w:rPr>
      </w:pPr>
    </w:p>
    <w:p w14:paraId="3198F58F">
      <w:pPr>
        <w:pStyle w:val="3"/>
        <w:tabs>
          <w:tab w:val="left" w:pos="420"/>
        </w:tabs>
        <w:spacing w:before="0" w:after="0"/>
        <w:rPr>
          <w:rStyle w:val="34"/>
          <w:rFonts w:hint="default" w:ascii="Times New Roman" w:hAnsi="Times New Roman" w:cs="Times New Roman"/>
          <w:b w:val="0"/>
          <w:bCs w:val="0"/>
          <w:color w:val="auto"/>
          <w:sz w:val="24"/>
          <w:highlight w:val="none"/>
        </w:rPr>
      </w:pPr>
      <w:bookmarkStart w:id="393" w:name="_Toc14952"/>
      <w:bookmarkStart w:id="394" w:name="_Toc30598"/>
      <w:bookmarkStart w:id="395" w:name="_Toc4018"/>
      <w:bookmarkStart w:id="396" w:name="_Toc9005"/>
      <w:r>
        <w:rPr>
          <w:rStyle w:val="34"/>
          <w:rFonts w:hint="default" w:ascii="Times New Roman" w:hAnsi="Times New Roman" w:cs="Times New Roman"/>
          <w:b w:val="0"/>
          <w:bCs w:val="0"/>
          <w:color w:val="auto"/>
          <w:sz w:val="24"/>
          <w:highlight w:val="none"/>
        </w:rPr>
        <w:t>8.2环境经济损益分析</w:t>
      </w:r>
      <w:bookmarkEnd w:id="393"/>
      <w:bookmarkEnd w:id="394"/>
      <w:bookmarkEnd w:id="395"/>
      <w:bookmarkEnd w:id="396"/>
    </w:p>
    <w:p w14:paraId="775A94DA">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本项目为了达到环境目标要求，工程采取了相应的环保措施，投入一定的费用，所支付的环保费用实现了废气、噪声达标排放，且养殖废水及生活污水全部经过处理后</w:t>
      </w:r>
      <w:r>
        <w:rPr>
          <w:rFonts w:hint="default" w:ascii="Times New Roman" w:hAnsi="Times New Roman" w:cs="Times New Roman"/>
          <w:color w:val="auto"/>
          <w:sz w:val="24"/>
          <w:highlight w:val="none"/>
          <w:lang w:val="en-US" w:eastAsia="zh-CN"/>
        </w:rPr>
        <w:t>用于绿化及农田浇灌</w:t>
      </w:r>
      <w:r>
        <w:rPr>
          <w:rFonts w:hint="default" w:ascii="Times New Roman" w:hAnsi="Times New Roman" w:cs="Times New Roman"/>
          <w:color w:val="auto"/>
          <w:sz w:val="24"/>
          <w:highlight w:val="none"/>
        </w:rPr>
        <w:t>，实现污水资源化利用，固废均得到了合理处置，从而降低了对周围环境的污染，体现了循环经济的理念。所以从环境经济分析来看，项目环保投资是可行的，符合经济与环境协调发展的原则。</w:t>
      </w:r>
    </w:p>
    <w:p w14:paraId="57AA446B">
      <w:pPr>
        <w:pStyle w:val="3"/>
        <w:tabs>
          <w:tab w:val="left" w:pos="420"/>
        </w:tabs>
        <w:spacing w:before="0" w:after="0"/>
        <w:rPr>
          <w:rStyle w:val="34"/>
          <w:rFonts w:hint="default" w:ascii="Times New Roman" w:hAnsi="Times New Roman" w:cs="Times New Roman"/>
          <w:b w:val="0"/>
          <w:bCs w:val="0"/>
          <w:color w:val="auto"/>
          <w:sz w:val="24"/>
          <w:highlight w:val="none"/>
        </w:rPr>
      </w:pPr>
      <w:bookmarkStart w:id="397" w:name="_Toc30708"/>
      <w:bookmarkStart w:id="398" w:name="_Toc26817"/>
      <w:bookmarkStart w:id="399" w:name="_Toc14064"/>
      <w:bookmarkStart w:id="400" w:name="_Toc21633"/>
      <w:r>
        <w:rPr>
          <w:rStyle w:val="34"/>
          <w:rFonts w:hint="default" w:ascii="Times New Roman" w:hAnsi="Times New Roman" w:cs="Times New Roman"/>
          <w:b w:val="0"/>
          <w:bCs w:val="0"/>
          <w:color w:val="auto"/>
          <w:sz w:val="24"/>
          <w:highlight w:val="none"/>
        </w:rPr>
        <w:t>8.3社会效益分析</w:t>
      </w:r>
      <w:bookmarkEnd w:id="397"/>
      <w:bookmarkEnd w:id="398"/>
      <w:bookmarkEnd w:id="399"/>
      <w:bookmarkEnd w:id="400"/>
    </w:p>
    <w:p w14:paraId="23323A41">
      <w:pPr>
        <w:snapToGrid w:val="0"/>
        <w:spacing w:line="360" w:lineRule="auto"/>
        <w:ind w:firstLine="482"/>
        <w:rPr>
          <w:rFonts w:hint="default" w:ascii="Times New Roman" w:hAnsi="Times New Roman" w:cs="Times New Roman"/>
          <w:color w:val="auto"/>
          <w:sz w:val="24"/>
          <w:highlight w:val="none"/>
          <w:lang w:bidi="zh-CN"/>
        </w:rPr>
      </w:pPr>
      <w:r>
        <w:rPr>
          <w:rFonts w:hint="default" w:ascii="Times New Roman" w:hAnsi="Times New Roman" w:cs="Times New Roman"/>
          <w:color w:val="auto"/>
          <w:sz w:val="24"/>
          <w:highlight w:val="none"/>
          <w:lang w:bidi="zh-CN"/>
        </w:rPr>
        <w:t>项目的经济和社会效益主要体现如下：</w:t>
      </w:r>
    </w:p>
    <w:p w14:paraId="775465A9">
      <w:pPr>
        <w:snapToGrid w:val="0"/>
        <w:spacing w:line="360" w:lineRule="auto"/>
        <w:ind w:firstLine="480" w:firstLineChars="200"/>
        <w:rPr>
          <w:rFonts w:hint="default" w:ascii="Times New Roman" w:hAnsi="Times New Roman" w:cs="Times New Roman"/>
          <w:color w:val="auto"/>
          <w:sz w:val="24"/>
          <w:highlight w:val="none"/>
          <w:lang w:bidi="zh-CN"/>
        </w:rPr>
      </w:pPr>
      <w:r>
        <w:rPr>
          <w:rFonts w:hint="default" w:ascii="Times New Roman" w:hAnsi="Times New Roman" w:cs="Times New Roman"/>
          <w:color w:val="auto"/>
          <w:sz w:val="24"/>
          <w:highlight w:val="none"/>
          <w:lang w:bidi="zh-CN"/>
        </w:rPr>
        <w:t>（1）项目运营后，有利于促进当地产业结构调整，带动猪产品加工业等相关产业的发展，有力推动当地畜牧业生产要素市场的发育和产业化经营组织的发展。</w:t>
      </w:r>
    </w:p>
    <w:p w14:paraId="16F81EFE">
      <w:pPr>
        <w:snapToGrid w:val="0"/>
        <w:spacing w:line="360" w:lineRule="auto"/>
        <w:ind w:firstLine="480" w:firstLineChars="200"/>
        <w:rPr>
          <w:rFonts w:hint="default" w:ascii="Times New Roman" w:hAnsi="Times New Roman" w:cs="Times New Roman"/>
          <w:color w:val="auto"/>
          <w:sz w:val="24"/>
          <w:highlight w:val="none"/>
          <w:lang w:bidi="zh-CN"/>
        </w:rPr>
      </w:pPr>
      <w:r>
        <w:rPr>
          <w:rFonts w:hint="default" w:ascii="Times New Roman" w:hAnsi="Times New Roman" w:cs="Times New Roman"/>
          <w:color w:val="auto"/>
          <w:sz w:val="24"/>
          <w:highlight w:val="none"/>
          <w:lang w:bidi="zh-CN"/>
        </w:rPr>
        <w:t>（2）项目的建成投产能迅速的减缓目前国内肉食供应紧张矛盾，起到压低肉类食品市场价格的作用，改善城乡居民生活品质，降低居民生活成本等一系列的社会和经济效益。</w:t>
      </w:r>
    </w:p>
    <w:p w14:paraId="671BBED2">
      <w:pPr>
        <w:snapToGrid w:val="0"/>
        <w:spacing w:line="360" w:lineRule="auto"/>
        <w:ind w:firstLine="480" w:firstLineChars="200"/>
        <w:rPr>
          <w:rFonts w:hint="default" w:ascii="Times New Roman" w:hAnsi="Times New Roman" w:cs="Times New Roman"/>
          <w:color w:val="auto"/>
          <w:sz w:val="24"/>
          <w:highlight w:val="none"/>
          <w:lang w:bidi="zh-CN"/>
        </w:rPr>
      </w:pPr>
      <w:r>
        <w:rPr>
          <w:rFonts w:hint="default" w:ascii="Times New Roman" w:hAnsi="Times New Roman" w:cs="Times New Roman"/>
          <w:color w:val="auto"/>
          <w:sz w:val="24"/>
          <w:highlight w:val="none"/>
          <w:lang w:bidi="zh-CN"/>
        </w:rPr>
        <w:t>（3）项目新增的就业岗位，将带动农村人口就业难的问题，解决城乡闲置劳动力就业，增加农民收入，为弥勒市生态建设和产业扶贫提供技术支撑。</w:t>
      </w:r>
    </w:p>
    <w:p w14:paraId="1FDB08DF">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bidi="zh-CN"/>
        </w:rPr>
        <w:t>（4）本项目产生的猪粪含有丰富的氮、磷、钾、钙、钠等，在向农作物提供速效肥源的同时，还能向农作物根际引殖有益微生物和充分利用土壤潜在肥力，并提高化肥利用率，对农作物起营养、调理和保健作用，对多种土壤传播的植物病原菌有较强的拮抗作用。田间试验表明，一些作物施用后可防病抗病、调整株形、提早成熟、提高产品品质。因此本项目的实施也有利于当地的种植业的发展。</w:t>
      </w:r>
    </w:p>
    <w:p w14:paraId="43FD79DB">
      <w:pPr>
        <w:pStyle w:val="3"/>
        <w:tabs>
          <w:tab w:val="left" w:pos="420"/>
        </w:tabs>
        <w:spacing w:before="0" w:after="0"/>
        <w:rPr>
          <w:rStyle w:val="34"/>
          <w:rFonts w:hint="default" w:ascii="Times New Roman" w:hAnsi="Times New Roman" w:cs="Times New Roman"/>
          <w:b w:val="0"/>
          <w:bCs w:val="0"/>
          <w:color w:val="auto"/>
          <w:sz w:val="24"/>
          <w:highlight w:val="none"/>
        </w:rPr>
      </w:pPr>
      <w:bookmarkStart w:id="401" w:name="_Toc10811"/>
      <w:bookmarkStart w:id="402" w:name="_Toc20847"/>
      <w:bookmarkStart w:id="403" w:name="_Toc10346"/>
      <w:bookmarkStart w:id="404" w:name="_Toc15277"/>
      <w:r>
        <w:rPr>
          <w:rStyle w:val="34"/>
          <w:rFonts w:hint="default" w:ascii="Times New Roman" w:hAnsi="Times New Roman" w:cs="Times New Roman"/>
          <w:b w:val="0"/>
          <w:bCs w:val="0"/>
          <w:color w:val="auto"/>
          <w:sz w:val="24"/>
          <w:highlight w:val="none"/>
        </w:rPr>
        <w:t>8.4小结</w:t>
      </w:r>
      <w:bookmarkEnd w:id="401"/>
      <w:bookmarkEnd w:id="402"/>
      <w:bookmarkEnd w:id="403"/>
      <w:bookmarkEnd w:id="404"/>
    </w:p>
    <w:p w14:paraId="2EF49C8F">
      <w:pPr>
        <w:snapToGrid w:val="0"/>
        <w:spacing w:line="360" w:lineRule="auto"/>
        <w:ind w:firstLine="482"/>
        <w:rPr>
          <w:rFonts w:hint="default" w:ascii="Times New Roman" w:hAnsi="Times New Roman" w:cs="Times New Roman"/>
          <w:color w:val="auto"/>
          <w:sz w:val="24"/>
          <w:highlight w:val="none"/>
          <w:lang w:bidi="zh-CN"/>
        </w:rPr>
      </w:pPr>
      <w:r>
        <w:rPr>
          <w:rFonts w:hint="default" w:ascii="Times New Roman" w:hAnsi="Times New Roman" w:cs="Times New Roman"/>
          <w:color w:val="auto"/>
          <w:sz w:val="24"/>
          <w:highlight w:val="none"/>
          <w:lang w:bidi="zh-CN"/>
        </w:rPr>
        <w:t>通过对本项目的直接经济效益、社会效益、环境效益分析，本项目建设过程中只要严格执行国家规定的“三同时”制度，严格进行管理，保证相应环保设施的正常运行，本项目在进行污染防治、保证环境投资和治理效果的情况下，对区域的环境影响将得到有效的减缓，能取得社会效益、经济效益和环境效益的统一、协调发展。</w:t>
      </w:r>
    </w:p>
    <w:p w14:paraId="34EFEFE1">
      <w:pPr>
        <w:snapToGrid w:val="0"/>
        <w:spacing w:line="360" w:lineRule="auto"/>
        <w:ind w:firstLine="480" w:firstLineChars="200"/>
        <w:rPr>
          <w:rFonts w:hint="default" w:ascii="Times New Roman" w:hAnsi="Times New Roman" w:cs="Times New Roman"/>
          <w:color w:val="auto"/>
          <w:sz w:val="24"/>
          <w:highlight w:val="none"/>
        </w:rPr>
        <w:sectPr>
          <w:pgSz w:w="11907" w:h="16839"/>
          <w:pgMar w:top="1247" w:right="1361" w:bottom="1247" w:left="1361" w:header="765" w:footer="765" w:gutter="0"/>
          <w:pgBorders>
            <w:top w:val="none" w:sz="0" w:space="0"/>
            <w:left w:val="none" w:sz="0" w:space="0"/>
            <w:bottom w:val="none" w:sz="0" w:space="0"/>
            <w:right w:val="none" w:sz="0" w:space="0"/>
          </w:pgBorders>
          <w:pgNumType w:fmt="decimal"/>
          <w:cols w:space="720" w:num="1"/>
          <w:titlePg/>
          <w:docGrid w:type="lines" w:linePitch="312" w:charSpace="0"/>
        </w:sectPr>
      </w:pPr>
    </w:p>
    <w:p w14:paraId="72301E15">
      <w:pPr>
        <w:pStyle w:val="2"/>
        <w:keepNext/>
        <w:keepLines/>
        <w:pageBreakBefore/>
        <w:widowControl w:val="0"/>
        <w:kinsoku/>
        <w:wordWrap/>
        <w:overflowPunct/>
        <w:topLinePunct w:val="0"/>
        <w:autoSpaceDE/>
        <w:autoSpaceDN/>
        <w:bidi w:val="0"/>
        <w:adjustRightInd/>
        <w:snapToGrid w:val="0"/>
        <w:spacing w:before="0" w:after="0" w:afterLines="0" w:line="360" w:lineRule="auto"/>
        <w:textAlignment w:val="auto"/>
        <w:rPr>
          <w:rFonts w:hint="default" w:ascii="Times New Roman" w:hAnsi="Times New Roman" w:cs="Times New Roman"/>
          <w:color w:val="auto"/>
          <w:sz w:val="28"/>
          <w:szCs w:val="28"/>
          <w:highlight w:val="none"/>
        </w:rPr>
      </w:pPr>
      <w:bookmarkStart w:id="405" w:name="_Toc18265"/>
      <w:bookmarkStart w:id="406" w:name="_Toc11269"/>
      <w:bookmarkStart w:id="407" w:name="_Toc26295"/>
      <w:bookmarkStart w:id="408" w:name="_Toc22440"/>
      <w:r>
        <w:rPr>
          <w:rFonts w:hint="default" w:ascii="Times New Roman" w:hAnsi="Times New Roman" w:cs="Times New Roman"/>
          <w:color w:val="auto"/>
          <w:sz w:val="28"/>
          <w:szCs w:val="28"/>
          <w:highlight w:val="none"/>
        </w:rPr>
        <w:t>9环境管理及监测计划</w:t>
      </w:r>
      <w:bookmarkEnd w:id="405"/>
      <w:bookmarkEnd w:id="406"/>
      <w:bookmarkEnd w:id="407"/>
      <w:bookmarkEnd w:id="408"/>
    </w:p>
    <w:p w14:paraId="0CCE1260">
      <w:pPr>
        <w:pStyle w:val="3"/>
        <w:tabs>
          <w:tab w:val="left" w:pos="420"/>
        </w:tabs>
        <w:spacing w:before="0" w:after="0"/>
        <w:rPr>
          <w:rStyle w:val="34"/>
          <w:rFonts w:hint="default" w:ascii="Times New Roman" w:hAnsi="Times New Roman" w:cs="Times New Roman"/>
          <w:b w:val="0"/>
          <w:bCs w:val="0"/>
          <w:color w:val="auto"/>
          <w:sz w:val="24"/>
          <w:highlight w:val="none"/>
        </w:rPr>
      </w:pPr>
      <w:bookmarkStart w:id="409" w:name="_Toc358809381"/>
      <w:bookmarkStart w:id="410" w:name="_Toc390094633"/>
      <w:bookmarkStart w:id="411" w:name="_Toc415152578"/>
      <w:bookmarkStart w:id="412" w:name="_Toc13184"/>
      <w:bookmarkStart w:id="413" w:name="_Toc12339"/>
      <w:bookmarkStart w:id="414" w:name="_Toc29515"/>
      <w:bookmarkStart w:id="415" w:name="_Toc301"/>
      <w:r>
        <w:rPr>
          <w:rStyle w:val="34"/>
          <w:rFonts w:hint="default" w:ascii="Times New Roman" w:hAnsi="Times New Roman" w:cs="Times New Roman"/>
          <w:b w:val="0"/>
          <w:bCs w:val="0"/>
          <w:color w:val="auto"/>
          <w:sz w:val="24"/>
          <w:highlight w:val="none"/>
        </w:rPr>
        <w:t>9.1</w:t>
      </w:r>
      <w:bookmarkEnd w:id="409"/>
      <w:bookmarkEnd w:id="410"/>
      <w:bookmarkEnd w:id="411"/>
      <w:r>
        <w:rPr>
          <w:rStyle w:val="34"/>
          <w:rFonts w:hint="default" w:ascii="Times New Roman" w:hAnsi="Times New Roman" w:cs="Times New Roman"/>
          <w:b w:val="0"/>
          <w:bCs w:val="0"/>
          <w:color w:val="auto"/>
          <w:sz w:val="24"/>
          <w:highlight w:val="none"/>
        </w:rPr>
        <w:t>环境管理</w:t>
      </w:r>
      <w:bookmarkEnd w:id="412"/>
      <w:bookmarkEnd w:id="413"/>
      <w:bookmarkEnd w:id="414"/>
      <w:bookmarkEnd w:id="415"/>
    </w:p>
    <w:p w14:paraId="36FAF6C1">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416" w:name="_Toc25551"/>
      <w:r>
        <w:rPr>
          <w:rStyle w:val="35"/>
          <w:rFonts w:hint="default" w:ascii="Times New Roman" w:hAnsi="Times New Roman" w:eastAsia="宋体" w:cs="Times New Roman"/>
          <w:color w:val="auto"/>
          <w:sz w:val="24"/>
          <w:szCs w:val="24"/>
          <w:highlight w:val="none"/>
        </w:rPr>
        <w:t>9.1.1环境管理的目的</w:t>
      </w:r>
      <w:bookmarkEnd w:id="416"/>
    </w:p>
    <w:p w14:paraId="10443BC8">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过工程的环境管理工作实施，达到预防、消减、缓解或补偿工程建设带来的不利影响的最终目标。即在工程建设和生产过程中，通过先进的环境管理方式，指导并监督工程的环境保护工作，预防并减缓工程建设和生产过程中对周围环境的不利影响，保障各污染治理设施的正常运转，并通过生态恢复工程措施，补偿工程建设带来的不利影响。充分发挥工程建设的社会效益和生态效益。</w:t>
      </w:r>
    </w:p>
    <w:p w14:paraId="4BCCD271">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通过环境管理的实施，明确各管理部门的职责，更好落实工程的环境管理工作。</w:t>
      </w:r>
    </w:p>
    <w:p w14:paraId="1FA078F1">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417" w:name="_Toc30418"/>
      <w:r>
        <w:rPr>
          <w:rStyle w:val="35"/>
          <w:rFonts w:hint="default" w:ascii="Times New Roman" w:hAnsi="Times New Roman" w:eastAsia="宋体" w:cs="Times New Roman"/>
          <w:color w:val="auto"/>
          <w:sz w:val="24"/>
          <w:szCs w:val="24"/>
          <w:highlight w:val="none"/>
        </w:rPr>
        <w:t>9.1.2环境管理职责</w:t>
      </w:r>
      <w:bookmarkEnd w:id="417"/>
    </w:p>
    <w:p w14:paraId="654E20C1">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为加强企业的环境保护管理工作，发挥环保人员的作用，明确其环境管理的主要职责为：</w:t>
      </w:r>
    </w:p>
    <w:p w14:paraId="1CB2CA05">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（1）贯彻执行国家、地方环境保护法规和标准。</w:t>
      </w:r>
    </w:p>
    <w:p w14:paraId="234C3EE7">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（2）制定明确的环境方针，包括对污染预防的承诺、对有关环境法律、法规及其应遵守的规定和承诺。</w:t>
      </w:r>
    </w:p>
    <w:p w14:paraId="19BEFFC5">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（3）项目建设期间，认真贯彻落实环保“三同时”规定，切实按照设计要求予以实施，以确保环保设施的建设，使环保工程达到预期效果。</w:t>
      </w:r>
    </w:p>
    <w:p w14:paraId="45AD898C">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（4）加强废水、噪声等治理设施监督管理，确保污水处理设备正常运行，厂界噪声达标。</w:t>
      </w:r>
    </w:p>
    <w:p w14:paraId="7FC0AABF">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建立污染源档案，并优化污染防治措施。按照上级环保部门的规范建立本企业有关“三废”排放量、排放浓度、噪声情况、固体废物综合利用、污染控制效果等情况的档案，并按有关规定编制各种报告与报表，负责向上级领导及环保部门呈报。</w:t>
      </w:r>
    </w:p>
    <w:p w14:paraId="3C4B3F38">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（6）搞好环境保护宣传和职工环境意识教育及技术培训等工作。</w:t>
      </w:r>
    </w:p>
    <w:p w14:paraId="45C395AC">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（7）检查环境管理工作中的问题和不足，对发现的问题和不足，提出改进意见。协同当地环保部门处理与工程有关的环境问题，维护好公众的利益。</w:t>
      </w:r>
    </w:p>
    <w:p w14:paraId="2B95A3FC">
      <w:pPr>
        <w:pStyle w:val="3"/>
        <w:tabs>
          <w:tab w:val="left" w:pos="420"/>
        </w:tabs>
        <w:spacing w:before="0" w:after="0"/>
        <w:rPr>
          <w:rStyle w:val="34"/>
          <w:rFonts w:hint="default" w:ascii="Times New Roman" w:hAnsi="Times New Roman" w:cs="Times New Roman"/>
          <w:b w:val="0"/>
          <w:bCs w:val="0"/>
          <w:color w:val="auto"/>
          <w:sz w:val="24"/>
          <w:highlight w:val="none"/>
        </w:rPr>
      </w:pPr>
      <w:bookmarkStart w:id="418" w:name="_Toc40654366"/>
      <w:bookmarkStart w:id="419" w:name="_Toc17318"/>
      <w:bookmarkStart w:id="420" w:name="_Toc16038"/>
      <w:bookmarkStart w:id="421" w:name="_Toc19674"/>
      <w:bookmarkStart w:id="422" w:name="_Toc36357304"/>
      <w:bookmarkStart w:id="423" w:name="_Toc14378"/>
      <w:r>
        <w:rPr>
          <w:rStyle w:val="34"/>
          <w:rFonts w:hint="default" w:ascii="Times New Roman" w:hAnsi="Times New Roman" w:cs="Times New Roman"/>
          <w:b w:val="0"/>
          <w:bCs w:val="0"/>
          <w:color w:val="auto"/>
          <w:sz w:val="24"/>
          <w:highlight w:val="none"/>
        </w:rPr>
        <w:t>9.2环境管理及监理计划</w:t>
      </w:r>
      <w:bookmarkEnd w:id="418"/>
      <w:bookmarkEnd w:id="419"/>
      <w:bookmarkEnd w:id="420"/>
      <w:bookmarkEnd w:id="421"/>
      <w:bookmarkEnd w:id="422"/>
      <w:bookmarkEnd w:id="423"/>
    </w:p>
    <w:p w14:paraId="0AAF4F64">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424" w:name="_Toc13953"/>
      <w:r>
        <w:rPr>
          <w:rStyle w:val="35"/>
          <w:rFonts w:hint="default" w:ascii="Times New Roman" w:hAnsi="Times New Roman" w:eastAsia="宋体" w:cs="Times New Roman"/>
          <w:color w:val="auto"/>
          <w:sz w:val="24"/>
          <w:szCs w:val="24"/>
          <w:highlight w:val="none"/>
        </w:rPr>
        <w:t>9.2.1施工期环境监理计划</w:t>
      </w:r>
      <w:bookmarkEnd w:id="424"/>
    </w:p>
    <w:p w14:paraId="6DBF3D2B">
      <w:pPr>
        <w:tabs>
          <w:tab w:val="left" w:pos="611"/>
        </w:tabs>
        <w:snapToGrid w:val="0"/>
        <w:spacing w:line="360" w:lineRule="auto"/>
        <w:ind w:firstLine="480" w:firstLineChars="200"/>
        <w:rPr>
          <w:rFonts w:hint="default" w:ascii="Times New Roman" w:hAnsi="Times New Roman" w:eastAsia="宋体" w:cs="Times New Roman"/>
          <w:color w:val="auto"/>
          <w:sz w:val="24"/>
          <w:highlight w:val="none"/>
        </w:rPr>
      </w:pPr>
      <w:bookmarkStart w:id="425" w:name="_Toc20764"/>
      <w:r>
        <w:rPr>
          <w:rFonts w:hint="default" w:ascii="Times New Roman" w:hAnsi="Times New Roman" w:eastAsia="宋体" w:cs="Times New Roman"/>
          <w:color w:val="auto"/>
          <w:sz w:val="24"/>
          <w:highlight w:val="none"/>
          <w:lang w:val="en-US" w:eastAsia="zh-CN"/>
        </w:rPr>
        <w:t>本项目主要建设内容为</w:t>
      </w:r>
      <w:r>
        <w:rPr>
          <w:rFonts w:hint="default" w:ascii="Times New Roman" w:hAnsi="Times New Roman" w:cs="Times New Roman"/>
          <w:bCs/>
          <w:color w:val="auto"/>
          <w:sz w:val="24"/>
          <w:highlight w:val="none"/>
        </w:rPr>
        <w:t>包括标准化猪舍</w:t>
      </w:r>
      <w:r>
        <w:rPr>
          <w:rFonts w:hint="default"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rPr>
        <w:t>幢、保育舍1幢、饲料塔3个，</w:t>
      </w:r>
      <w:r>
        <w:rPr>
          <w:rFonts w:hint="default" w:ascii="Times New Roman" w:hAnsi="Times New Roman" w:cs="Times New Roman"/>
          <w:bCs/>
          <w:color w:val="auto"/>
          <w:sz w:val="24"/>
          <w:highlight w:val="none"/>
          <w:lang w:val="en-US" w:eastAsia="zh-CN"/>
        </w:rPr>
        <w:t>废水收集池</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堆粪棚、办公生活区</w:t>
      </w:r>
      <w:r>
        <w:rPr>
          <w:rFonts w:hint="default" w:ascii="Times New Roman" w:hAnsi="Times New Roman" w:cs="Times New Roman"/>
          <w:color w:val="auto"/>
          <w:sz w:val="24"/>
        </w:rPr>
        <w:t>及其他配套附属设施等</w:t>
      </w:r>
      <w:r>
        <w:rPr>
          <w:rFonts w:hint="default" w:ascii="Times New Roman" w:hAnsi="Times New Roman" w:eastAsia="宋体" w:cs="Times New Roman"/>
          <w:color w:val="auto"/>
          <w:sz w:val="24"/>
          <w:highlight w:val="none"/>
        </w:rPr>
        <w:t>，施工内容简单，工期比较短，因此仅针对重点工程提出环境监理要求，主要是：</w:t>
      </w:r>
      <w:r>
        <w:rPr>
          <w:rFonts w:hint="default" w:ascii="Times New Roman" w:hAnsi="Times New Roman" w:eastAsia="宋体" w:cs="Times New Roman"/>
          <w:color w:val="auto"/>
          <w:sz w:val="24"/>
          <w:highlight w:val="none"/>
          <w:lang w:val="en-US" w:eastAsia="zh-CN"/>
        </w:rPr>
        <w:t>粪尿收集池、废水收集池</w:t>
      </w:r>
      <w:r>
        <w:rPr>
          <w:rFonts w:hint="default" w:ascii="Times New Roman" w:hAnsi="Times New Roman" w:eastAsia="宋体" w:cs="Times New Roman"/>
          <w:color w:val="auto"/>
          <w:sz w:val="24"/>
          <w:highlight w:val="none"/>
        </w:rPr>
        <w:t>、堆粪棚渗滤液收集管道、</w:t>
      </w:r>
      <w:r>
        <w:rPr>
          <w:rFonts w:hint="default" w:ascii="Times New Roman" w:hAnsi="Times New Roman" w:eastAsia="宋体" w:cs="Times New Roman"/>
          <w:color w:val="auto"/>
          <w:sz w:val="24"/>
          <w:highlight w:val="none"/>
          <w:lang w:val="en-US" w:eastAsia="zh-CN"/>
        </w:rPr>
        <w:t>初期雨水收集池、</w:t>
      </w:r>
      <w:r>
        <w:rPr>
          <w:rFonts w:hint="default" w:ascii="Times New Roman" w:hAnsi="Times New Roman" w:eastAsia="宋体" w:cs="Times New Roman"/>
          <w:color w:val="auto"/>
          <w:sz w:val="24"/>
          <w:highlight w:val="none"/>
        </w:rPr>
        <w:t>环保设施标识标牌、厂区分区防渗工程等，对施工建设的过程进行实景拍照，注明拍摄人、时间、地点，涉及</w:t>
      </w:r>
      <w:r>
        <w:rPr>
          <w:rFonts w:hint="default" w:ascii="Times New Roman" w:hAnsi="Times New Roman" w:eastAsia="宋体" w:cs="Times New Roman"/>
          <w:color w:val="auto"/>
          <w:sz w:val="24"/>
          <w:highlight w:val="none"/>
          <w:lang w:val="en-US" w:eastAsia="zh-CN"/>
        </w:rPr>
        <w:t>重点</w:t>
      </w:r>
      <w:r>
        <w:rPr>
          <w:rFonts w:hint="default" w:ascii="Times New Roman" w:hAnsi="Times New Roman" w:eastAsia="宋体" w:cs="Times New Roman"/>
          <w:color w:val="auto"/>
          <w:sz w:val="24"/>
          <w:highlight w:val="none"/>
        </w:rPr>
        <w:t>防渗层建设过程进行实景录像，按照监理规定落实好相关责任人签字制度；涉及的防渗工程完成后严格按照相关要求进行验收</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同时进行施工照片的收集、存档工作。</w:t>
      </w:r>
    </w:p>
    <w:p w14:paraId="4B92CF77">
      <w:pPr>
        <w:pStyle w:val="4"/>
        <w:adjustRightInd w:val="0"/>
        <w:snapToGrid w:val="0"/>
        <w:spacing w:before="156" w:beforeLines="50" w:after="0" w:afterLines="0" w:line="360" w:lineRule="auto"/>
        <w:ind w:firstLine="0" w:firstLineChars="0"/>
        <w:rPr>
          <w:rStyle w:val="35"/>
          <w:rFonts w:hint="default" w:ascii="Times New Roman" w:hAnsi="Times New Roman" w:eastAsia="宋体" w:cs="Times New Roman"/>
          <w:color w:val="auto"/>
          <w:sz w:val="24"/>
          <w:szCs w:val="24"/>
          <w:highlight w:val="none"/>
        </w:rPr>
      </w:pPr>
      <w:r>
        <w:rPr>
          <w:rStyle w:val="35"/>
          <w:rFonts w:hint="default" w:ascii="Times New Roman" w:hAnsi="Times New Roman" w:eastAsia="宋体" w:cs="Times New Roman"/>
          <w:color w:val="auto"/>
          <w:sz w:val="24"/>
          <w:szCs w:val="24"/>
          <w:highlight w:val="none"/>
        </w:rPr>
        <w:t>9.2.2运营期环境管理计划</w:t>
      </w:r>
      <w:bookmarkEnd w:id="425"/>
    </w:p>
    <w:p w14:paraId="3328AA77">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运行期环境保护实施计划见表9.2-1，表中各项环保措施可作为编制生产运行期环保计划的依据，并付诸实施。</w:t>
      </w:r>
    </w:p>
    <w:p w14:paraId="0264783D">
      <w:pPr>
        <w:snapToGrid w:val="0"/>
        <w:jc w:val="center"/>
        <w:rPr>
          <w:rFonts w:hint="default" w:ascii="Times New Roman" w:hAnsi="Times New Roman" w:cs="Times New Roman"/>
          <w:b/>
          <w:color w:val="auto"/>
          <w:szCs w:val="22"/>
          <w:highlight w:val="none"/>
        </w:rPr>
      </w:pPr>
      <w:bookmarkStart w:id="426" w:name="_Ref280568107"/>
      <w:r>
        <w:rPr>
          <w:rFonts w:hint="default" w:ascii="Times New Roman" w:hAnsi="Times New Roman" w:cs="Times New Roman"/>
          <w:b/>
          <w:color w:val="auto"/>
          <w:szCs w:val="22"/>
          <w:highlight w:val="none"/>
        </w:rPr>
        <w:t>表</w:t>
      </w:r>
      <w:bookmarkEnd w:id="426"/>
      <w:r>
        <w:rPr>
          <w:rFonts w:hint="default" w:ascii="Times New Roman" w:hAnsi="Times New Roman" w:cs="Times New Roman"/>
          <w:b/>
          <w:color w:val="auto"/>
          <w:szCs w:val="22"/>
          <w:highlight w:val="none"/>
        </w:rPr>
        <w:t>9.2-1    运行期环境保护实施计划表</w:t>
      </w:r>
    </w:p>
    <w:tbl>
      <w:tblPr>
        <w:tblStyle w:val="23"/>
        <w:tblW w:w="9401"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480"/>
        <w:gridCol w:w="5454"/>
        <w:gridCol w:w="912"/>
        <w:gridCol w:w="1555"/>
      </w:tblGrid>
      <w:tr w14:paraId="47686AA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80" w:type="dxa"/>
            <w:vAlign w:val="center"/>
          </w:tcPr>
          <w:p w14:paraId="2723C583">
            <w:pPr>
              <w:keepNext w:val="0"/>
              <w:keepLines w:val="0"/>
              <w:suppressLineNumbers w:val="0"/>
              <w:spacing w:before="0" w:beforeAutospacing="0" w:after="0" w:afterAutospacing="0"/>
              <w:ind w:left="0" w:right="0"/>
              <w:jc w:val="center"/>
              <w:outlineLvl w:val="4"/>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环境问题</w:t>
            </w:r>
          </w:p>
        </w:tc>
        <w:tc>
          <w:tcPr>
            <w:tcW w:w="5454" w:type="dxa"/>
            <w:vAlign w:val="center"/>
          </w:tcPr>
          <w:p w14:paraId="573BA1BC">
            <w:pPr>
              <w:keepNext/>
              <w:keepLines/>
              <w:suppressLineNumbers w:val="0"/>
              <w:spacing w:before="0" w:beforeAutospacing="0" w:after="0" w:afterAutospacing="0"/>
              <w:ind w:left="0" w:right="0"/>
              <w:jc w:val="center"/>
              <w:outlineLvl w:val="4"/>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主要内容</w:t>
            </w:r>
          </w:p>
        </w:tc>
        <w:tc>
          <w:tcPr>
            <w:tcW w:w="912" w:type="dxa"/>
            <w:vAlign w:val="center"/>
          </w:tcPr>
          <w:p w14:paraId="376737AA">
            <w:pPr>
              <w:keepNext/>
              <w:keepLines/>
              <w:suppressLineNumbers w:val="0"/>
              <w:spacing w:before="0" w:beforeAutospacing="0" w:after="0" w:afterAutospacing="0"/>
              <w:ind w:left="0" w:right="0"/>
              <w:jc w:val="center"/>
              <w:outlineLvl w:val="4"/>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执行单位</w:t>
            </w:r>
          </w:p>
        </w:tc>
        <w:tc>
          <w:tcPr>
            <w:tcW w:w="1555" w:type="dxa"/>
            <w:vAlign w:val="center"/>
          </w:tcPr>
          <w:p w14:paraId="3828C437">
            <w:pPr>
              <w:keepNext/>
              <w:keepLines/>
              <w:suppressLineNumbers w:val="0"/>
              <w:spacing w:before="0" w:beforeAutospacing="0" w:after="0" w:afterAutospacing="0"/>
              <w:ind w:left="0" w:right="0"/>
              <w:jc w:val="center"/>
              <w:outlineLvl w:val="4"/>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监督管理部门</w:t>
            </w:r>
          </w:p>
        </w:tc>
      </w:tr>
      <w:tr w14:paraId="0277BBC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80" w:type="dxa"/>
            <w:vAlign w:val="center"/>
          </w:tcPr>
          <w:p w14:paraId="79BAFB1D">
            <w:pPr>
              <w:keepNext w:val="0"/>
              <w:keepLines w:val="0"/>
              <w:suppressLineNumbers w:val="0"/>
              <w:spacing w:before="0" w:beforeAutospacing="0" w:after="0" w:afterAutospacing="0"/>
              <w:ind w:left="0" w:right="0"/>
              <w:jc w:val="center"/>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环境管理</w:t>
            </w:r>
          </w:p>
        </w:tc>
        <w:tc>
          <w:tcPr>
            <w:tcW w:w="5454" w:type="dxa"/>
            <w:vAlign w:val="center"/>
          </w:tcPr>
          <w:p w14:paraId="4DFB0B4E">
            <w:pPr>
              <w:keepNext/>
              <w:keepLines/>
              <w:suppressLineNumbers w:val="0"/>
              <w:spacing w:before="0" w:beforeAutospacing="0" w:after="0" w:afterAutospacing="0"/>
              <w:ind w:left="0" w:right="0" w:firstLine="360" w:firstLineChars="200"/>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（1）制定环境管理规划与规章制度；</w:t>
            </w:r>
          </w:p>
          <w:p w14:paraId="423EFF53">
            <w:pPr>
              <w:keepNext/>
              <w:keepLines/>
              <w:suppressLineNumbers w:val="0"/>
              <w:spacing w:before="0" w:beforeAutospacing="0" w:after="0" w:afterAutospacing="0"/>
              <w:ind w:left="0" w:right="0" w:firstLine="360" w:firstLineChars="200"/>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（2）建立定期环境监测制度，加强环境监督、检查；</w:t>
            </w:r>
          </w:p>
          <w:p w14:paraId="50C8DFD6">
            <w:pPr>
              <w:keepNext/>
              <w:keepLines/>
              <w:suppressLineNumbers w:val="0"/>
              <w:spacing w:before="0" w:beforeAutospacing="0" w:after="0" w:afterAutospacing="0"/>
              <w:ind w:left="0" w:right="0" w:firstLine="360" w:firstLineChars="200"/>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（3）组织编制工程竣工验收监测报告；</w:t>
            </w:r>
          </w:p>
          <w:p w14:paraId="3097043D">
            <w:pPr>
              <w:keepNext/>
              <w:keepLines/>
              <w:suppressLineNumbers w:val="0"/>
              <w:spacing w:before="0" w:beforeAutospacing="0" w:after="0" w:afterAutospacing="0"/>
              <w:ind w:left="0" w:right="0" w:firstLine="360" w:firstLineChars="200"/>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（4）认真落实各项环保手续，完成各级环保主管部门对本工程提出环境管理要求。</w:t>
            </w:r>
          </w:p>
          <w:p w14:paraId="600BEC92">
            <w:pPr>
              <w:keepNext/>
              <w:keepLines/>
              <w:suppressLineNumbers w:val="0"/>
              <w:spacing w:before="0" w:beforeAutospacing="0" w:after="0" w:afterAutospacing="0"/>
              <w:ind w:left="0" w:right="0" w:firstLine="360" w:firstLineChars="200"/>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（5）建立健全固体废物管理台账，并加强日常监管。</w:t>
            </w:r>
          </w:p>
        </w:tc>
        <w:tc>
          <w:tcPr>
            <w:tcW w:w="912" w:type="dxa"/>
            <w:vMerge w:val="restart"/>
            <w:vAlign w:val="center"/>
          </w:tcPr>
          <w:p w14:paraId="1945DC26">
            <w:pPr>
              <w:keepNext/>
              <w:keepLines/>
              <w:suppressLineNumbers w:val="0"/>
              <w:spacing w:before="0" w:beforeAutospacing="0" w:after="0" w:afterAutospacing="0"/>
              <w:ind w:left="0" w:right="0"/>
              <w:jc w:val="center"/>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建设单位</w:t>
            </w:r>
          </w:p>
        </w:tc>
        <w:tc>
          <w:tcPr>
            <w:tcW w:w="1555" w:type="dxa"/>
            <w:vMerge w:val="restart"/>
            <w:vAlign w:val="center"/>
          </w:tcPr>
          <w:p w14:paraId="158BE3BF">
            <w:pPr>
              <w:keepNext/>
              <w:keepLines/>
              <w:suppressLineNumbers w:val="0"/>
              <w:spacing w:before="0" w:beforeAutospacing="0" w:after="0" w:afterAutospacing="0"/>
              <w:ind w:left="0" w:right="0"/>
              <w:jc w:val="center"/>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红河州生态环境局弥勒分局</w:t>
            </w:r>
          </w:p>
        </w:tc>
      </w:tr>
      <w:tr w14:paraId="63F44DA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80" w:type="dxa"/>
            <w:vAlign w:val="center"/>
          </w:tcPr>
          <w:p w14:paraId="7FE76C08">
            <w:pPr>
              <w:keepNext w:val="0"/>
              <w:keepLines w:val="0"/>
              <w:suppressLineNumbers w:val="0"/>
              <w:spacing w:before="0" w:beforeAutospacing="0" w:after="0" w:afterAutospacing="0"/>
              <w:ind w:left="0" w:right="0"/>
              <w:jc w:val="center"/>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废水处理</w:t>
            </w:r>
          </w:p>
          <w:p w14:paraId="4304F929">
            <w:pPr>
              <w:keepNext w:val="0"/>
              <w:keepLines w:val="0"/>
              <w:suppressLineNumbers w:val="0"/>
              <w:spacing w:before="0" w:beforeAutospacing="0" w:after="0" w:afterAutospacing="0"/>
              <w:ind w:left="0" w:right="0"/>
              <w:jc w:val="center"/>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废气治理</w:t>
            </w:r>
          </w:p>
          <w:p w14:paraId="61C44C73">
            <w:pPr>
              <w:keepNext w:val="0"/>
              <w:keepLines w:val="0"/>
              <w:suppressLineNumbers w:val="0"/>
              <w:spacing w:before="0" w:beforeAutospacing="0" w:after="0" w:afterAutospacing="0"/>
              <w:ind w:left="0" w:right="0"/>
              <w:jc w:val="center"/>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噪声防治</w:t>
            </w:r>
          </w:p>
          <w:p w14:paraId="457E21C2">
            <w:pPr>
              <w:keepNext w:val="0"/>
              <w:keepLines w:val="0"/>
              <w:suppressLineNumbers w:val="0"/>
              <w:spacing w:before="0" w:beforeAutospacing="0" w:after="0" w:afterAutospacing="0"/>
              <w:ind w:left="0" w:right="0"/>
              <w:jc w:val="center"/>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固废处置</w:t>
            </w:r>
          </w:p>
          <w:p w14:paraId="235F5314">
            <w:pPr>
              <w:keepNext w:val="0"/>
              <w:keepLines w:val="0"/>
              <w:suppressLineNumbers w:val="0"/>
              <w:spacing w:before="0" w:beforeAutospacing="0" w:after="0" w:afterAutospacing="0"/>
              <w:ind w:left="0" w:right="0"/>
              <w:jc w:val="center"/>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地下水土壤防治</w:t>
            </w:r>
          </w:p>
        </w:tc>
        <w:tc>
          <w:tcPr>
            <w:tcW w:w="5454" w:type="dxa"/>
            <w:vAlign w:val="center"/>
          </w:tcPr>
          <w:p w14:paraId="0A051746">
            <w:pPr>
              <w:keepNext/>
              <w:keepLines/>
              <w:suppressLineNumbers w:val="0"/>
              <w:spacing w:before="0" w:beforeAutospacing="0" w:after="0" w:afterAutospacing="0"/>
              <w:ind w:left="0" w:right="0" w:firstLine="360" w:firstLineChars="200"/>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（1）按照本报告和工程设计中对“三废”治理设施的要求；</w:t>
            </w:r>
          </w:p>
          <w:p w14:paraId="6787B47A">
            <w:pPr>
              <w:keepNext/>
              <w:keepLines/>
              <w:suppressLineNumbers w:val="0"/>
              <w:spacing w:before="0" w:beforeAutospacing="0" w:after="0" w:afterAutospacing="0"/>
              <w:ind w:left="0" w:right="0" w:firstLine="360" w:firstLineChars="200"/>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（2）对各项污染治理设施，建立操作、维护和检修规程，落实岗位责任制；</w:t>
            </w:r>
          </w:p>
          <w:p w14:paraId="7BF34170">
            <w:pPr>
              <w:keepNext/>
              <w:keepLines/>
              <w:suppressLineNumbers w:val="0"/>
              <w:spacing w:before="0" w:beforeAutospacing="0" w:after="0" w:afterAutospacing="0"/>
              <w:ind w:left="0" w:right="0" w:firstLine="360" w:firstLineChars="200"/>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（3）建立设备运行率、达标率等综合性考核指标。</w:t>
            </w:r>
          </w:p>
          <w:p w14:paraId="14C28BA2">
            <w:pPr>
              <w:keepNext/>
              <w:keepLines/>
              <w:suppressLineNumbers w:val="0"/>
              <w:spacing w:before="0" w:beforeAutospacing="0" w:after="0" w:afterAutospacing="0"/>
              <w:ind w:left="0" w:right="0" w:firstLine="360" w:firstLineChars="200"/>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（4）落实跟踪监测计划。</w:t>
            </w:r>
          </w:p>
        </w:tc>
        <w:tc>
          <w:tcPr>
            <w:tcW w:w="912" w:type="dxa"/>
            <w:vMerge w:val="continue"/>
            <w:vAlign w:val="center"/>
          </w:tcPr>
          <w:p w14:paraId="3A4FA723">
            <w:pPr>
              <w:keepNext/>
              <w:keepLines/>
              <w:suppressLineNumbers w:val="0"/>
              <w:spacing w:before="0" w:beforeAutospacing="0" w:after="0" w:afterAutospacing="0"/>
              <w:ind w:left="0" w:right="0"/>
              <w:jc w:val="center"/>
              <w:outlineLvl w:val="4"/>
              <w:rPr>
                <w:rFonts w:hint="default" w:ascii="Times New Roman" w:hAnsi="Times New Roman" w:cs="Times New Roman"/>
                <w:bCs/>
                <w:color w:val="auto"/>
                <w:sz w:val="18"/>
                <w:szCs w:val="18"/>
                <w:highlight w:val="none"/>
              </w:rPr>
            </w:pPr>
          </w:p>
        </w:tc>
        <w:tc>
          <w:tcPr>
            <w:tcW w:w="1555" w:type="dxa"/>
            <w:vMerge w:val="continue"/>
            <w:vAlign w:val="center"/>
          </w:tcPr>
          <w:p w14:paraId="73A9DC4B">
            <w:pPr>
              <w:keepNext/>
              <w:keepLines/>
              <w:suppressLineNumbers w:val="0"/>
              <w:spacing w:before="0" w:beforeAutospacing="0" w:after="0" w:afterAutospacing="0"/>
              <w:ind w:left="0" w:right="0"/>
              <w:jc w:val="center"/>
              <w:outlineLvl w:val="4"/>
              <w:rPr>
                <w:rFonts w:hint="default" w:ascii="Times New Roman" w:hAnsi="Times New Roman" w:cs="Times New Roman"/>
                <w:bCs/>
                <w:color w:val="auto"/>
                <w:sz w:val="18"/>
                <w:szCs w:val="18"/>
                <w:highlight w:val="none"/>
              </w:rPr>
            </w:pPr>
          </w:p>
        </w:tc>
      </w:tr>
      <w:tr w14:paraId="1259576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80" w:type="dxa"/>
            <w:vAlign w:val="center"/>
          </w:tcPr>
          <w:p w14:paraId="79970565">
            <w:pPr>
              <w:keepNext w:val="0"/>
              <w:keepLines w:val="0"/>
              <w:suppressLineNumbers w:val="0"/>
              <w:spacing w:before="0" w:beforeAutospacing="0" w:after="0" w:afterAutospacing="0"/>
              <w:ind w:left="0" w:right="0"/>
              <w:jc w:val="center"/>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生态破坏水土流失</w:t>
            </w:r>
          </w:p>
        </w:tc>
        <w:tc>
          <w:tcPr>
            <w:tcW w:w="5454" w:type="dxa"/>
            <w:vAlign w:val="center"/>
          </w:tcPr>
          <w:p w14:paraId="63AE639D">
            <w:pPr>
              <w:keepNext/>
              <w:keepLines/>
              <w:suppressLineNumbers w:val="0"/>
              <w:spacing w:before="0" w:beforeAutospacing="0" w:after="0" w:afterAutospacing="0"/>
              <w:ind w:left="0" w:right="0" w:firstLine="360" w:firstLineChars="200"/>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（1）及时开展水保措施执行情况检查、验收；</w:t>
            </w:r>
          </w:p>
          <w:p w14:paraId="20F8ED94">
            <w:pPr>
              <w:keepNext/>
              <w:keepLines/>
              <w:suppressLineNumbers w:val="0"/>
              <w:spacing w:before="0" w:beforeAutospacing="0" w:after="0" w:afterAutospacing="0"/>
              <w:ind w:left="0" w:right="0" w:firstLine="360" w:firstLineChars="200"/>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（2）落实项目区水土保持方案，场地的水保工程设施和绿化措施；</w:t>
            </w:r>
          </w:p>
          <w:p w14:paraId="3FC6F782">
            <w:pPr>
              <w:keepNext/>
              <w:keepLines/>
              <w:suppressLineNumbers w:val="0"/>
              <w:spacing w:before="0" w:beforeAutospacing="0" w:after="0" w:afterAutospacing="0"/>
              <w:ind w:left="0" w:right="0" w:firstLine="360" w:firstLineChars="200"/>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（3）落实工程水土保持经费来源；</w:t>
            </w:r>
          </w:p>
          <w:p w14:paraId="41AC26A5">
            <w:pPr>
              <w:keepNext/>
              <w:keepLines/>
              <w:suppressLineNumbers w:val="0"/>
              <w:spacing w:before="0" w:beforeAutospacing="0" w:after="0" w:afterAutospacing="0"/>
              <w:ind w:left="0" w:right="0" w:firstLine="360" w:firstLineChars="200"/>
              <w:outlineLvl w:val="4"/>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（4）落实绿化措施实施情况。</w:t>
            </w:r>
          </w:p>
        </w:tc>
        <w:tc>
          <w:tcPr>
            <w:tcW w:w="912" w:type="dxa"/>
            <w:vMerge w:val="continue"/>
            <w:vAlign w:val="center"/>
          </w:tcPr>
          <w:p w14:paraId="76D1AEC4">
            <w:pPr>
              <w:keepNext/>
              <w:keepLines/>
              <w:suppressLineNumbers w:val="0"/>
              <w:spacing w:before="0" w:beforeAutospacing="0" w:after="0" w:afterAutospacing="0"/>
              <w:ind w:left="0" w:right="0"/>
              <w:jc w:val="center"/>
              <w:outlineLvl w:val="4"/>
              <w:rPr>
                <w:rFonts w:hint="default" w:ascii="Times New Roman" w:hAnsi="Times New Roman" w:cs="Times New Roman"/>
                <w:bCs/>
                <w:color w:val="auto"/>
                <w:sz w:val="18"/>
                <w:szCs w:val="18"/>
                <w:highlight w:val="none"/>
              </w:rPr>
            </w:pPr>
          </w:p>
        </w:tc>
        <w:tc>
          <w:tcPr>
            <w:tcW w:w="1555" w:type="dxa"/>
            <w:vMerge w:val="continue"/>
            <w:vAlign w:val="center"/>
          </w:tcPr>
          <w:p w14:paraId="04063B04">
            <w:pPr>
              <w:keepNext/>
              <w:keepLines/>
              <w:suppressLineNumbers w:val="0"/>
              <w:spacing w:before="0" w:beforeAutospacing="0" w:after="0" w:afterAutospacing="0"/>
              <w:ind w:left="0" w:right="0"/>
              <w:jc w:val="center"/>
              <w:outlineLvl w:val="4"/>
              <w:rPr>
                <w:rFonts w:hint="default" w:ascii="Times New Roman" w:hAnsi="Times New Roman" w:cs="Times New Roman"/>
                <w:bCs/>
                <w:color w:val="auto"/>
                <w:sz w:val="18"/>
                <w:szCs w:val="18"/>
                <w:highlight w:val="none"/>
              </w:rPr>
            </w:pPr>
          </w:p>
        </w:tc>
      </w:tr>
    </w:tbl>
    <w:p w14:paraId="12226D09">
      <w:pPr>
        <w:pStyle w:val="3"/>
        <w:tabs>
          <w:tab w:val="left" w:pos="420"/>
        </w:tabs>
        <w:spacing w:before="156" w:beforeLines="50" w:after="0"/>
        <w:rPr>
          <w:rStyle w:val="34"/>
          <w:rFonts w:hint="default" w:ascii="Times New Roman" w:hAnsi="Times New Roman" w:cs="Times New Roman"/>
          <w:b w:val="0"/>
          <w:bCs w:val="0"/>
          <w:color w:val="auto"/>
          <w:sz w:val="24"/>
          <w:highlight w:val="none"/>
        </w:rPr>
      </w:pPr>
      <w:bookmarkStart w:id="427" w:name="_Toc40654367"/>
      <w:bookmarkStart w:id="428" w:name="_Toc14532"/>
      <w:bookmarkStart w:id="429" w:name="_Toc11945"/>
      <w:bookmarkStart w:id="430" w:name="_Toc19531"/>
      <w:bookmarkStart w:id="431" w:name="_Toc27187"/>
      <w:r>
        <w:rPr>
          <w:rStyle w:val="34"/>
          <w:rFonts w:hint="default" w:ascii="Times New Roman" w:hAnsi="Times New Roman" w:cs="Times New Roman"/>
          <w:b w:val="0"/>
          <w:bCs w:val="0"/>
          <w:color w:val="auto"/>
          <w:sz w:val="24"/>
          <w:highlight w:val="none"/>
        </w:rPr>
        <w:t>9.3信息公开制度</w:t>
      </w:r>
      <w:bookmarkEnd w:id="427"/>
      <w:bookmarkEnd w:id="428"/>
      <w:bookmarkEnd w:id="429"/>
      <w:bookmarkEnd w:id="430"/>
      <w:bookmarkEnd w:id="431"/>
    </w:p>
    <w:p w14:paraId="11E78B80">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根据《企业环境信息依法披露管理办法》（2022年2月8日施行），中的相关规定，本项目建设单位应当向社会公开以下信息：</w:t>
      </w:r>
    </w:p>
    <w:p w14:paraId="090D05AD">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（一）企业基本信息，包括企业生产和生态环境保护等方面的基础信息；</w:t>
      </w:r>
    </w:p>
    <w:p w14:paraId="6F9F4397">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（二）企业环境管理信息，包括生态环境行政许可、环境保护税、环境污染责任保险、环保信用评价等方面的信息；</w:t>
      </w:r>
    </w:p>
    <w:p w14:paraId="0E5C5492">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（三）污染物产生、治理与排放信息，包括污染防治设施，污染物排放，有毒有害物质排放，工业固体废物和危险废物产生、贮存、流向、利用、处置，自行监测等方面的信息；</w:t>
      </w:r>
    </w:p>
    <w:p w14:paraId="748B7C99">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（四）碳排放信息，包括排放量、排放设施等方面的信息；</w:t>
      </w:r>
    </w:p>
    <w:p w14:paraId="69C69AE2">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（五）生态环境应急信息，包括突发环境事件应急预案、重污染天气应急响应等方面的信息；</w:t>
      </w:r>
    </w:p>
    <w:p w14:paraId="453E7600">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（六）生态环境违法信息；</w:t>
      </w:r>
    </w:p>
    <w:p w14:paraId="497EC8AF">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（七）本年度临时环境信息依法披露情况；</w:t>
      </w:r>
    </w:p>
    <w:p w14:paraId="2714AAE4">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（八）法律法规规定的其他环境信息。</w:t>
      </w:r>
    </w:p>
    <w:p w14:paraId="7BA529F7">
      <w:pPr>
        <w:pStyle w:val="3"/>
        <w:tabs>
          <w:tab w:val="left" w:pos="420"/>
        </w:tabs>
        <w:spacing w:before="0" w:after="0"/>
        <w:rPr>
          <w:rStyle w:val="34"/>
          <w:rFonts w:hint="default" w:ascii="Times New Roman" w:hAnsi="Times New Roman" w:cs="Times New Roman"/>
          <w:b w:val="0"/>
          <w:bCs w:val="0"/>
          <w:color w:val="auto"/>
          <w:sz w:val="24"/>
          <w:highlight w:val="none"/>
        </w:rPr>
      </w:pPr>
      <w:bookmarkStart w:id="432" w:name="_Toc31833"/>
      <w:bookmarkStart w:id="433" w:name="_Toc23786"/>
      <w:bookmarkStart w:id="434" w:name="_Toc14107"/>
      <w:bookmarkStart w:id="435" w:name="_Toc40654368"/>
      <w:bookmarkStart w:id="436" w:name="_Toc11532"/>
      <w:r>
        <w:rPr>
          <w:rStyle w:val="34"/>
          <w:rFonts w:hint="default" w:ascii="Times New Roman" w:hAnsi="Times New Roman" w:cs="Times New Roman"/>
          <w:b w:val="0"/>
          <w:bCs w:val="0"/>
          <w:color w:val="auto"/>
          <w:sz w:val="24"/>
          <w:highlight w:val="none"/>
        </w:rPr>
        <w:t>9.4污染物排放清单及排污口设置</w:t>
      </w:r>
      <w:bookmarkEnd w:id="432"/>
      <w:bookmarkEnd w:id="433"/>
      <w:bookmarkEnd w:id="434"/>
      <w:bookmarkEnd w:id="435"/>
      <w:bookmarkEnd w:id="436"/>
    </w:p>
    <w:p w14:paraId="17D2A959">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项目污染物排放情况及排污口设置见表9.4-1。</w:t>
      </w:r>
    </w:p>
    <w:p w14:paraId="3C421E37">
      <w:pPr>
        <w:snapToGrid w:val="0"/>
        <w:spacing w:line="360" w:lineRule="auto"/>
        <w:ind w:firstLine="482"/>
        <w:rPr>
          <w:rFonts w:hint="default" w:ascii="Times New Roman" w:hAnsi="Times New Roman" w:cs="Times New Roman"/>
          <w:color w:val="auto"/>
          <w:sz w:val="24"/>
          <w:highlight w:val="none"/>
        </w:rPr>
        <w:sectPr>
          <w:pgSz w:w="11907" w:h="16839"/>
          <w:pgMar w:top="1247" w:right="1361" w:bottom="1247" w:left="1361" w:header="765" w:footer="765" w:gutter="0"/>
          <w:pgBorders>
            <w:top w:val="none" w:sz="0" w:space="0"/>
            <w:left w:val="none" w:sz="0" w:space="0"/>
            <w:bottom w:val="none" w:sz="0" w:space="0"/>
            <w:right w:val="none" w:sz="0" w:space="0"/>
          </w:pgBorders>
          <w:pgNumType w:fmt="decimal"/>
          <w:cols w:space="720" w:num="1"/>
          <w:titlePg/>
          <w:docGrid w:type="lines" w:linePitch="312" w:charSpace="0"/>
        </w:sectPr>
      </w:pPr>
    </w:p>
    <w:p w14:paraId="0D42DF03">
      <w:pPr>
        <w:tabs>
          <w:tab w:val="left" w:pos="611"/>
        </w:tabs>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表9.4-1   污染物排放清单一览表</w:t>
      </w:r>
    </w:p>
    <w:tbl>
      <w:tblPr>
        <w:tblStyle w:val="23"/>
        <w:tblW w:w="14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560"/>
        <w:gridCol w:w="1276"/>
        <w:gridCol w:w="1274"/>
        <w:gridCol w:w="3119"/>
        <w:gridCol w:w="1276"/>
        <w:gridCol w:w="2835"/>
        <w:gridCol w:w="1248"/>
        <w:gridCol w:w="1439"/>
      </w:tblGrid>
      <w:tr w14:paraId="731F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gridSpan w:val="2"/>
            <w:vAlign w:val="center"/>
          </w:tcPr>
          <w:p w14:paraId="36791F9E">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污染源/装置</w:t>
            </w:r>
          </w:p>
        </w:tc>
        <w:tc>
          <w:tcPr>
            <w:tcW w:w="1276" w:type="dxa"/>
            <w:vAlign w:val="center"/>
          </w:tcPr>
          <w:p w14:paraId="65E3947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污染物名称</w:t>
            </w:r>
          </w:p>
        </w:tc>
        <w:tc>
          <w:tcPr>
            <w:tcW w:w="1274" w:type="dxa"/>
            <w:vAlign w:val="center"/>
          </w:tcPr>
          <w:p w14:paraId="48BE6404">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排放量（t/a）</w:t>
            </w:r>
          </w:p>
        </w:tc>
        <w:tc>
          <w:tcPr>
            <w:tcW w:w="3119" w:type="dxa"/>
            <w:vAlign w:val="center"/>
          </w:tcPr>
          <w:p w14:paraId="5BDE20F3">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处理处置方式</w:t>
            </w:r>
          </w:p>
        </w:tc>
        <w:tc>
          <w:tcPr>
            <w:tcW w:w="1276" w:type="dxa"/>
            <w:tcBorders>
              <w:bottom w:val="single" w:color="auto" w:sz="2" w:space="0"/>
            </w:tcBorders>
            <w:vAlign w:val="center"/>
          </w:tcPr>
          <w:p w14:paraId="14B0E243">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排放方式</w:t>
            </w:r>
          </w:p>
        </w:tc>
        <w:tc>
          <w:tcPr>
            <w:tcW w:w="2835" w:type="dxa"/>
            <w:tcBorders>
              <w:bottom w:val="single" w:color="auto" w:sz="2" w:space="0"/>
            </w:tcBorders>
            <w:vAlign w:val="center"/>
          </w:tcPr>
          <w:p w14:paraId="7B4535E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排放标准</w:t>
            </w:r>
          </w:p>
        </w:tc>
        <w:tc>
          <w:tcPr>
            <w:tcW w:w="1248" w:type="dxa"/>
            <w:vAlign w:val="center"/>
          </w:tcPr>
          <w:p w14:paraId="3D6E1F5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达标情况</w:t>
            </w:r>
          </w:p>
        </w:tc>
        <w:tc>
          <w:tcPr>
            <w:tcW w:w="1439" w:type="dxa"/>
            <w:vAlign w:val="center"/>
          </w:tcPr>
          <w:p w14:paraId="48AFAA4A">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排污口设置</w:t>
            </w:r>
          </w:p>
        </w:tc>
      </w:tr>
      <w:tr w14:paraId="635B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vAlign w:val="center"/>
          </w:tcPr>
          <w:p w14:paraId="1CE345DE">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w:t>
            </w:r>
          </w:p>
        </w:tc>
        <w:tc>
          <w:tcPr>
            <w:tcW w:w="1560" w:type="dxa"/>
            <w:vMerge w:val="restart"/>
            <w:vAlign w:val="center"/>
          </w:tcPr>
          <w:p w14:paraId="674A28F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猪舍</w:t>
            </w:r>
          </w:p>
        </w:tc>
        <w:tc>
          <w:tcPr>
            <w:tcW w:w="1276" w:type="dxa"/>
            <w:tcBorders>
              <w:bottom w:val="single" w:color="auto" w:sz="2" w:space="0"/>
            </w:tcBorders>
            <w:vAlign w:val="center"/>
          </w:tcPr>
          <w:p w14:paraId="18CACB8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p>
        </w:tc>
        <w:tc>
          <w:tcPr>
            <w:tcW w:w="1274" w:type="dxa"/>
            <w:vAlign w:val="center"/>
          </w:tcPr>
          <w:p w14:paraId="76ABA9D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24</w:t>
            </w:r>
          </w:p>
        </w:tc>
        <w:tc>
          <w:tcPr>
            <w:tcW w:w="3119" w:type="dxa"/>
            <w:vMerge w:val="restart"/>
            <w:vAlign w:val="center"/>
          </w:tcPr>
          <w:p w14:paraId="318324F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日粮中投放益生菌、EM活菌剂等，日粮充分混合均匀后喂养；猪舍进行喷洒微生物除臭剂，猪舍周边种植绿化树</w:t>
            </w:r>
          </w:p>
        </w:tc>
        <w:tc>
          <w:tcPr>
            <w:tcW w:w="1276" w:type="dxa"/>
            <w:vAlign w:val="center"/>
          </w:tcPr>
          <w:p w14:paraId="7492989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连续</w:t>
            </w:r>
          </w:p>
        </w:tc>
        <w:tc>
          <w:tcPr>
            <w:tcW w:w="2835" w:type="dxa"/>
            <w:vMerge w:val="restart"/>
            <w:vAlign w:val="center"/>
          </w:tcPr>
          <w:p w14:paraId="07EE0FE2">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《恶臭污染物排放标准》（GB14554-93）中恶臭污染物厂界标准限值二级标准，其中NH</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rPr>
              <w:t>标准值为1.5mg/m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、H</w:t>
            </w:r>
            <w:r>
              <w:rPr>
                <w:rFonts w:hint="default" w:ascii="Times New Roman" w:hAnsi="Times New Roman" w:cs="Times New Roman"/>
                <w:color w:val="auto"/>
                <w:sz w:val="18"/>
                <w:szCs w:val="18"/>
                <w:highlight w:val="none"/>
                <w:vertAlign w:val="subscript"/>
              </w:rPr>
              <w:t>2</w:t>
            </w:r>
            <w:r>
              <w:rPr>
                <w:rFonts w:hint="default" w:ascii="Times New Roman" w:hAnsi="Times New Roman" w:cs="Times New Roman"/>
                <w:color w:val="auto"/>
                <w:sz w:val="18"/>
                <w:szCs w:val="18"/>
                <w:highlight w:val="none"/>
              </w:rPr>
              <w:t>S标准值为0.06mg/m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，厂界臭气浓度标准值为70</w:t>
            </w:r>
          </w:p>
        </w:tc>
        <w:tc>
          <w:tcPr>
            <w:tcW w:w="1248" w:type="dxa"/>
            <w:vAlign w:val="center"/>
          </w:tcPr>
          <w:p w14:paraId="17B5B7A3">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439" w:type="dxa"/>
            <w:vMerge w:val="restart"/>
            <w:vAlign w:val="center"/>
          </w:tcPr>
          <w:p w14:paraId="325911AA">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无</w:t>
            </w:r>
          </w:p>
        </w:tc>
      </w:tr>
      <w:tr w14:paraId="3CFF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285735D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560" w:type="dxa"/>
            <w:vMerge w:val="continue"/>
            <w:vAlign w:val="center"/>
          </w:tcPr>
          <w:p w14:paraId="1BD54DB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p>
        </w:tc>
        <w:tc>
          <w:tcPr>
            <w:tcW w:w="1276" w:type="dxa"/>
            <w:tcBorders>
              <w:bottom w:val="single" w:color="auto" w:sz="2" w:space="0"/>
            </w:tcBorders>
            <w:vAlign w:val="center"/>
          </w:tcPr>
          <w:p w14:paraId="39E8347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t>
            </w:r>
            <w:r>
              <w:rPr>
                <w:rFonts w:hint="default" w:ascii="Times New Roman" w:hAnsi="Times New Roman" w:cs="Times New Roman"/>
                <w:color w:val="auto"/>
                <w:sz w:val="18"/>
                <w:szCs w:val="18"/>
                <w:highlight w:val="none"/>
                <w:vertAlign w:val="subscript"/>
              </w:rPr>
              <w:t>2</w:t>
            </w:r>
            <w:r>
              <w:rPr>
                <w:rFonts w:hint="default" w:ascii="Times New Roman" w:hAnsi="Times New Roman" w:cs="Times New Roman"/>
                <w:color w:val="auto"/>
                <w:sz w:val="18"/>
                <w:szCs w:val="18"/>
                <w:highlight w:val="none"/>
              </w:rPr>
              <w:t>S</w:t>
            </w:r>
          </w:p>
        </w:tc>
        <w:tc>
          <w:tcPr>
            <w:tcW w:w="1274" w:type="dxa"/>
            <w:vAlign w:val="center"/>
          </w:tcPr>
          <w:p w14:paraId="11DA745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361</w:t>
            </w:r>
          </w:p>
        </w:tc>
        <w:tc>
          <w:tcPr>
            <w:tcW w:w="3119" w:type="dxa"/>
            <w:vMerge w:val="continue"/>
            <w:vAlign w:val="center"/>
          </w:tcPr>
          <w:p w14:paraId="73C143C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76" w:type="dxa"/>
            <w:vAlign w:val="center"/>
          </w:tcPr>
          <w:p w14:paraId="1B914340">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连续</w:t>
            </w:r>
          </w:p>
        </w:tc>
        <w:tc>
          <w:tcPr>
            <w:tcW w:w="2835" w:type="dxa"/>
            <w:vMerge w:val="continue"/>
            <w:vAlign w:val="center"/>
          </w:tcPr>
          <w:p w14:paraId="13FC9BE6">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48" w:type="dxa"/>
            <w:vAlign w:val="center"/>
          </w:tcPr>
          <w:p w14:paraId="6A3DEC07">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439" w:type="dxa"/>
            <w:vMerge w:val="continue"/>
            <w:vAlign w:val="center"/>
          </w:tcPr>
          <w:p w14:paraId="6C9DBC4F">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2A9B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0882D97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560" w:type="dxa"/>
            <w:vMerge w:val="continue"/>
            <w:vAlign w:val="center"/>
          </w:tcPr>
          <w:p w14:paraId="35E37CF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76" w:type="dxa"/>
            <w:tcBorders>
              <w:bottom w:val="single" w:color="auto" w:sz="2" w:space="0"/>
            </w:tcBorders>
            <w:vAlign w:val="center"/>
          </w:tcPr>
          <w:p w14:paraId="62DCF36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臭气</w:t>
            </w:r>
            <w:r>
              <w:rPr>
                <w:rFonts w:hint="default" w:ascii="Times New Roman" w:hAnsi="Times New Roman" w:cs="Times New Roman"/>
                <w:color w:val="auto"/>
                <w:sz w:val="18"/>
                <w:szCs w:val="18"/>
                <w:highlight w:val="none"/>
                <w:lang w:val="en-US" w:eastAsia="zh-CN"/>
              </w:rPr>
              <w:t>浓度</w:t>
            </w:r>
          </w:p>
        </w:tc>
        <w:tc>
          <w:tcPr>
            <w:tcW w:w="1274" w:type="dxa"/>
            <w:vAlign w:val="center"/>
          </w:tcPr>
          <w:p w14:paraId="7A5B9DF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3119" w:type="dxa"/>
            <w:vMerge w:val="continue"/>
            <w:vAlign w:val="center"/>
          </w:tcPr>
          <w:p w14:paraId="223A2E9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76" w:type="dxa"/>
            <w:vAlign w:val="center"/>
          </w:tcPr>
          <w:p w14:paraId="1EDA13FC">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连续</w:t>
            </w:r>
          </w:p>
        </w:tc>
        <w:tc>
          <w:tcPr>
            <w:tcW w:w="2835" w:type="dxa"/>
            <w:vMerge w:val="continue"/>
            <w:vAlign w:val="center"/>
          </w:tcPr>
          <w:p w14:paraId="10BA93C8">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48" w:type="dxa"/>
            <w:vAlign w:val="center"/>
          </w:tcPr>
          <w:p w14:paraId="542E8DFE">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439" w:type="dxa"/>
            <w:vMerge w:val="continue"/>
            <w:vAlign w:val="center"/>
          </w:tcPr>
          <w:p w14:paraId="167F29E0">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3FA8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34" w:type="dxa"/>
            <w:vMerge w:val="continue"/>
            <w:vAlign w:val="center"/>
          </w:tcPr>
          <w:p w14:paraId="35085A5A">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560" w:type="dxa"/>
            <w:vMerge w:val="restart"/>
            <w:vAlign w:val="center"/>
          </w:tcPr>
          <w:p w14:paraId="1FEEDC2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废水收集池</w:t>
            </w:r>
          </w:p>
        </w:tc>
        <w:tc>
          <w:tcPr>
            <w:tcW w:w="1276" w:type="dxa"/>
            <w:tcBorders>
              <w:bottom w:val="single" w:color="auto" w:sz="2" w:space="0"/>
            </w:tcBorders>
            <w:vAlign w:val="center"/>
          </w:tcPr>
          <w:p w14:paraId="14889F41">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p>
        </w:tc>
        <w:tc>
          <w:tcPr>
            <w:tcW w:w="1274" w:type="dxa"/>
            <w:vAlign w:val="center"/>
          </w:tcPr>
          <w:p w14:paraId="1EF03618">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0.0</w:t>
            </w:r>
            <w:r>
              <w:rPr>
                <w:rFonts w:hint="default" w:ascii="Times New Roman" w:hAnsi="Times New Roman" w:cs="Times New Roman"/>
                <w:color w:val="auto"/>
                <w:kern w:val="0"/>
                <w:sz w:val="18"/>
                <w:szCs w:val="18"/>
                <w:highlight w:val="none"/>
                <w:lang w:val="en-US" w:eastAsia="zh-CN"/>
              </w:rPr>
              <w:t>074</w:t>
            </w:r>
          </w:p>
        </w:tc>
        <w:tc>
          <w:tcPr>
            <w:tcW w:w="3119" w:type="dxa"/>
            <w:vMerge w:val="restart"/>
            <w:vAlign w:val="center"/>
          </w:tcPr>
          <w:p w14:paraId="78DD70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180" w:firstLineChars="10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val="en-US" w:eastAsia="zh-CN"/>
              </w:rPr>
              <w:t>废水收集池</w:t>
            </w:r>
            <w:r>
              <w:rPr>
                <w:rFonts w:hint="default" w:ascii="Times New Roman" w:hAnsi="Times New Roman" w:cs="Times New Roman"/>
                <w:color w:val="auto"/>
                <w:sz w:val="18"/>
                <w:szCs w:val="18"/>
                <w:lang w:val="en-US" w:eastAsia="zh-CN"/>
              </w:rPr>
              <w:t>采用盖板</w:t>
            </w:r>
            <w:r>
              <w:rPr>
                <w:rFonts w:hint="default" w:ascii="Times New Roman" w:hAnsi="Times New Roman" w:cs="Times New Roman"/>
                <w:color w:val="auto"/>
                <w:sz w:val="18"/>
                <w:szCs w:val="18"/>
              </w:rPr>
              <w:t>封闭，喷洒生物除臭剂、绿化等措施</w:t>
            </w:r>
          </w:p>
        </w:tc>
        <w:tc>
          <w:tcPr>
            <w:tcW w:w="1276" w:type="dxa"/>
            <w:vAlign w:val="center"/>
          </w:tcPr>
          <w:p w14:paraId="67798912">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连续</w:t>
            </w:r>
          </w:p>
        </w:tc>
        <w:tc>
          <w:tcPr>
            <w:tcW w:w="2835" w:type="dxa"/>
            <w:vMerge w:val="continue"/>
            <w:vAlign w:val="center"/>
          </w:tcPr>
          <w:p w14:paraId="2D1F4D2E">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48" w:type="dxa"/>
            <w:vAlign w:val="center"/>
          </w:tcPr>
          <w:p w14:paraId="44C8653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439" w:type="dxa"/>
            <w:vMerge w:val="restart"/>
            <w:vAlign w:val="center"/>
          </w:tcPr>
          <w:p w14:paraId="56D9107A">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无</w:t>
            </w:r>
          </w:p>
        </w:tc>
      </w:tr>
      <w:tr w14:paraId="632A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2CED693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560" w:type="dxa"/>
            <w:vMerge w:val="continue"/>
            <w:vAlign w:val="center"/>
          </w:tcPr>
          <w:p w14:paraId="18B95A5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76" w:type="dxa"/>
            <w:tcBorders>
              <w:bottom w:val="single" w:color="auto" w:sz="2" w:space="0"/>
            </w:tcBorders>
            <w:vAlign w:val="center"/>
          </w:tcPr>
          <w:p w14:paraId="4AFC3A3F">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t>
            </w:r>
            <w:r>
              <w:rPr>
                <w:rFonts w:hint="default" w:ascii="Times New Roman" w:hAnsi="Times New Roman" w:cs="Times New Roman"/>
                <w:color w:val="auto"/>
                <w:sz w:val="18"/>
                <w:szCs w:val="18"/>
                <w:highlight w:val="none"/>
                <w:vertAlign w:val="subscript"/>
              </w:rPr>
              <w:t>2</w:t>
            </w:r>
            <w:r>
              <w:rPr>
                <w:rFonts w:hint="default" w:ascii="Times New Roman" w:hAnsi="Times New Roman" w:cs="Times New Roman"/>
                <w:color w:val="auto"/>
                <w:sz w:val="18"/>
                <w:szCs w:val="18"/>
                <w:highlight w:val="none"/>
              </w:rPr>
              <w:t>S</w:t>
            </w:r>
          </w:p>
        </w:tc>
        <w:tc>
          <w:tcPr>
            <w:tcW w:w="1274" w:type="dxa"/>
            <w:vAlign w:val="center"/>
          </w:tcPr>
          <w:p w14:paraId="54FEE85C">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0.00</w:t>
            </w:r>
            <w:r>
              <w:rPr>
                <w:rFonts w:hint="default" w:ascii="Times New Roman" w:hAnsi="Times New Roman" w:cs="Times New Roman"/>
                <w:color w:val="auto"/>
                <w:kern w:val="0"/>
                <w:sz w:val="18"/>
                <w:szCs w:val="18"/>
                <w:highlight w:val="none"/>
                <w:lang w:val="en-US" w:eastAsia="zh-CN"/>
              </w:rPr>
              <w:t>028</w:t>
            </w:r>
          </w:p>
        </w:tc>
        <w:tc>
          <w:tcPr>
            <w:tcW w:w="3119" w:type="dxa"/>
            <w:vMerge w:val="continue"/>
            <w:vAlign w:val="center"/>
          </w:tcPr>
          <w:p w14:paraId="0F90730E">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76" w:type="dxa"/>
            <w:vAlign w:val="center"/>
          </w:tcPr>
          <w:p w14:paraId="7733BD5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连续</w:t>
            </w:r>
          </w:p>
        </w:tc>
        <w:tc>
          <w:tcPr>
            <w:tcW w:w="2835" w:type="dxa"/>
            <w:vMerge w:val="continue"/>
            <w:vAlign w:val="center"/>
          </w:tcPr>
          <w:p w14:paraId="6F87D24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48" w:type="dxa"/>
            <w:vAlign w:val="center"/>
          </w:tcPr>
          <w:p w14:paraId="3569CD3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439" w:type="dxa"/>
            <w:vMerge w:val="continue"/>
            <w:vAlign w:val="center"/>
          </w:tcPr>
          <w:p w14:paraId="24C95C0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7E33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3158164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560" w:type="dxa"/>
            <w:vMerge w:val="continue"/>
            <w:vAlign w:val="center"/>
          </w:tcPr>
          <w:p w14:paraId="5559A6E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76" w:type="dxa"/>
            <w:tcBorders>
              <w:bottom w:val="single" w:color="auto" w:sz="2" w:space="0"/>
            </w:tcBorders>
            <w:vAlign w:val="center"/>
          </w:tcPr>
          <w:p w14:paraId="32A9CC57">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臭气</w:t>
            </w:r>
            <w:r>
              <w:rPr>
                <w:rFonts w:hint="default" w:ascii="Times New Roman" w:hAnsi="Times New Roman" w:cs="Times New Roman"/>
                <w:color w:val="auto"/>
                <w:sz w:val="18"/>
                <w:szCs w:val="18"/>
                <w:highlight w:val="none"/>
                <w:lang w:val="en-US" w:eastAsia="zh-CN"/>
              </w:rPr>
              <w:t>浓度</w:t>
            </w:r>
          </w:p>
        </w:tc>
        <w:tc>
          <w:tcPr>
            <w:tcW w:w="1274" w:type="dxa"/>
            <w:vAlign w:val="center"/>
          </w:tcPr>
          <w:p w14:paraId="49B8C08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3119" w:type="dxa"/>
            <w:vMerge w:val="continue"/>
            <w:vAlign w:val="center"/>
          </w:tcPr>
          <w:p w14:paraId="2617F66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76" w:type="dxa"/>
            <w:vAlign w:val="center"/>
          </w:tcPr>
          <w:p w14:paraId="2B934BDE">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连续</w:t>
            </w:r>
          </w:p>
        </w:tc>
        <w:tc>
          <w:tcPr>
            <w:tcW w:w="2835" w:type="dxa"/>
            <w:vMerge w:val="continue"/>
            <w:vAlign w:val="center"/>
          </w:tcPr>
          <w:p w14:paraId="7D85033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48" w:type="dxa"/>
            <w:vAlign w:val="center"/>
          </w:tcPr>
          <w:p w14:paraId="5E920CC4">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439" w:type="dxa"/>
            <w:vMerge w:val="continue"/>
            <w:vAlign w:val="center"/>
          </w:tcPr>
          <w:p w14:paraId="79C0085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5DC1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38EA08A2">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560" w:type="dxa"/>
            <w:vMerge w:val="restart"/>
            <w:vAlign w:val="center"/>
          </w:tcPr>
          <w:p w14:paraId="56CA3D40">
            <w:pPr>
              <w:pStyle w:val="37"/>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堆粪棚</w:t>
            </w:r>
          </w:p>
        </w:tc>
        <w:tc>
          <w:tcPr>
            <w:tcW w:w="1276" w:type="dxa"/>
            <w:tcBorders>
              <w:bottom w:val="single" w:color="auto" w:sz="2" w:space="0"/>
            </w:tcBorders>
            <w:vAlign w:val="center"/>
          </w:tcPr>
          <w:p w14:paraId="380D5EBF">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p>
        </w:tc>
        <w:tc>
          <w:tcPr>
            <w:tcW w:w="1274" w:type="dxa"/>
            <w:vAlign w:val="center"/>
          </w:tcPr>
          <w:p w14:paraId="6985549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147</w:t>
            </w:r>
          </w:p>
        </w:tc>
        <w:tc>
          <w:tcPr>
            <w:tcW w:w="3119" w:type="dxa"/>
            <w:vMerge w:val="restart"/>
            <w:vAlign w:val="center"/>
          </w:tcPr>
          <w:p w14:paraId="4EEA6AB4">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val="en-US" w:eastAsia="zh-CN"/>
              </w:rPr>
              <w:t>堆粪棚</w:t>
            </w:r>
            <w:r>
              <w:rPr>
                <w:rFonts w:hint="default" w:ascii="Times New Roman" w:hAnsi="Times New Roman" w:cs="Times New Roman"/>
                <w:color w:val="auto"/>
                <w:sz w:val="18"/>
                <w:szCs w:val="18"/>
                <w:highlight w:val="none"/>
              </w:rPr>
              <w:t>采用半封闭式，三面墙体，并设顶棚，</w:t>
            </w:r>
            <w:r>
              <w:rPr>
                <w:rFonts w:hint="default" w:ascii="Times New Roman" w:hAnsi="Times New Roman" w:cs="Times New Roman"/>
                <w:color w:val="auto"/>
                <w:kern w:val="0"/>
                <w:sz w:val="18"/>
                <w:szCs w:val="18"/>
                <w:highlight w:val="none"/>
              </w:rPr>
              <w:t>并定期喷洒微生物除臭剂，车间进出口处加强除臭剂喷洒，</w:t>
            </w:r>
            <w:r>
              <w:rPr>
                <w:rFonts w:hint="default" w:ascii="Times New Roman" w:hAnsi="Times New Roman" w:cs="Times New Roman"/>
                <w:color w:val="auto"/>
                <w:kern w:val="0"/>
                <w:sz w:val="18"/>
                <w:szCs w:val="18"/>
                <w:highlight w:val="none"/>
                <w:lang w:val="en-US" w:eastAsia="zh-CN"/>
              </w:rPr>
              <w:t>堆粪棚</w:t>
            </w:r>
            <w:r>
              <w:rPr>
                <w:rFonts w:hint="default" w:ascii="Times New Roman" w:hAnsi="Times New Roman" w:cs="Times New Roman"/>
                <w:color w:val="auto"/>
                <w:sz w:val="18"/>
                <w:szCs w:val="18"/>
                <w:highlight w:val="none"/>
              </w:rPr>
              <w:t>外种植绿化树</w:t>
            </w:r>
          </w:p>
        </w:tc>
        <w:tc>
          <w:tcPr>
            <w:tcW w:w="1276" w:type="dxa"/>
            <w:vAlign w:val="center"/>
          </w:tcPr>
          <w:p w14:paraId="66F6DA04">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连续</w:t>
            </w:r>
          </w:p>
        </w:tc>
        <w:tc>
          <w:tcPr>
            <w:tcW w:w="2835" w:type="dxa"/>
            <w:vMerge w:val="continue"/>
            <w:vAlign w:val="center"/>
          </w:tcPr>
          <w:p w14:paraId="2ECB3B7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48" w:type="dxa"/>
            <w:vAlign w:val="center"/>
          </w:tcPr>
          <w:p w14:paraId="690C33C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439" w:type="dxa"/>
            <w:vMerge w:val="restart"/>
            <w:vAlign w:val="center"/>
          </w:tcPr>
          <w:p w14:paraId="6B1EE558">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无</w:t>
            </w:r>
          </w:p>
        </w:tc>
      </w:tr>
      <w:tr w14:paraId="0252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30993D1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560" w:type="dxa"/>
            <w:vMerge w:val="continue"/>
            <w:vAlign w:val="center"/>
          </w:tcPr>
          <w:p w14:paraId="2FB9AF7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76" w:type="dxa"/>
            <w:tcBorders>
              <w:bottom w:val="single" w:color="auto" w:sz="2" w:space="0"/>
            </w:tcBorders>
            <w:vAlign w:val="center"/>
          </w:tcPr>
          <w:p w14:paraId="27918998">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t>
            </w:r>
            <w:r>
              <w:rPr>
                <w:rFonts w:hint="default" w:ascii="Times New Roman" w:hAnsi="Times New Roman" w:cs="Times New Roman"/>
                <w:color w:val="auto"/>
                <w:sz w:val="18"/>
                <w:szCs w:val="18"/>
                <w:highlight w:val="none"/>
                <w:vertAlign w:val="subscript"/>
              </w:rPr>
              <w:t>2</w:t>
            </w:r>
            <w:r>
              <w:rPr>
                <w:rFonts w:hint="default" w:ascii="Times New Roman" w:hAnsi="Times New Roman" w:cs="Times New Roman"/>
                <w:color w:val="auto"/>
                <w:sz w:val="18"/>
                <w:szCs w:val="18"/>
                <w:highlight w:val="none"/>
              </w:rPr>
              <w:t>S</w:t>
            </w:r>
          </w:p>
        </w:tc>
        <w:tc>
          <w:tcPr>
            <w:tcW w:w="1274" w:type="dxa"/>
            <w:vAlign w:val="center"/>
          </w:tcPr>
          <w:p w14:paraId="1B6D4E7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059</w:t>
            </w:r>
          </w:p>
        </w:tc>
        <w:tc>
          <w:tcPr>
            <w:tcW w:w="3119" w:type="dxa"/>
            <w:vMerge w:val="continue"/>
            <w:vAlign w:val="center"/>
          </w:tcPr>
          <w:p w14:paraId="5D815A1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76" w:type="dxa"/>
            <w:vAlign w:val="center"/>
          </w:tcPr>
          <w:p w14:paraId="1844EBB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连续</w:t>
            </w:r>
          </w:p>
        </w:tc>
        <w:tc>
          <w:tcPr>
            <w:tcW w:w="2835" w:type="dxa"/>
            <w:vMerge w:val="continue"/>
            <w:vAlign w:val="center"/>
          </w:tcPr>
          <w:p w14:paraId="49CFB77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48" w:type="dxa"/>
            <w:vAlign w:val="center"/>
          </w:tcPr>
          <w:p w14:paraId="26474927">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439" w:type="dxa"/>
            <w:vMerge w:val="continue"/>
            <w:vAlign w:val="center"/>
          </w:tcPr>
          <w:p w14:paraId="214B72DC">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52BAA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34" w:type="dxa"/>
            <w:vMerge w:val="continue"/>
            <w:tcBorders>
              <w:bottom w:val="single" w:color="auto" w:sz="4" w:space="0"/>
            </w:tcBorders>
            <w:vAlign w:val="center"/>
          </w:tcPr>
          <w:p w14:paraId="25BBEEEA">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560" w:type="dxa"/>
            <w:vMerge w:val="continue"/>
            <w:tcBorders>
              <w:bottom w:val="single" w:color="auto" w:sz="4" w:space="0"/>
            </w:tcBorders>
            <w:vAlign w:val="center"/>
          </w:tcPr>
          <w:p w14:paraId="56409A0C">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76" w:type="dxa"/>
            <w:tcBorders>
              <w:bottom w:val="single" w:color="auto" w:sz="4" w:space="0"/>
            </w:tcBorders>
            <w:vAlign w:val="center"/>
          </w:tcPr>
          <w:p w14:paraId="330819C4">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臭气</w:t>
            </w:r>
            <w:r>
              <w:rPr>
                <w:rFonts w:hint="default" w:ascii="Times New Roman" w:hAnsi="Times New Roman" w:cs="Times New Roman"/>
                <w:color w:val="auto"/>
                <w:sz w:val="18"/>
                <w:szCs w:val="18"/>
                <w:highlight w:val="none"/>
                <w:lang w:val="en-US" w:eastAsia="zh-CN"/>
              </w:rPr>
              <w:t>浓度</w:t>
            </w:r>
          </w:p>
        </w:tc>
        <w:tc>
          <w:tcPr>
            <w:tcW w:w="1274" w:type="dxa"/>
            <w:tcBorders>
              <w:bottom w:val="single" w:color="auto" w:sz="4" w:space="0"/>
            </w:tcBorders>
            <w:vAlign w:val="center"/>
          </w:tcPr>
          <w:p w14:paraId="4C4AA8F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3119" w:type="dxa"/>
            <w:vMerge w:val="continue"/>
            <w:tcBorders>
              <w:bottom w:val="single" w:color="auto" w:sz="4" w:space="0"/>
            </w:tcBorders>
            <w:vAlign w:val="center"/>
          </w:tcPr>
          <w:p w14:paraId="6F4F0918">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76" w:type="dxa"/>
            <w:tcBorders>
              <w:bottom w:val="single" w:color="auto" w:sz="4" w:space="0"/>
            </w:tcBorders>
            <w:vAlign w:val="center"/>
          </w:tcPr>
          <w:p w14:paraId="7371BE27">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连续</w:t>
            </w:r>
          </w:p>
        </w:tc>
        <w:tc>
          <w:tcPr>
            <w:tcW w:w="2835" w:type="dxa"/>
            <w:vMerge w:val="continue"/>
            <w:tcBorders>
              <w:bottom w:val="single" w:color="auto" w:sz="4" w:space="0"/>
            </w:tcBorders>
            <w:vAlign w:val="center"/>
          </w:tcPr>
          <w:p w14:paraId="7A005698">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48" w:type="dxa"/>
            <w:tcBorders>
              <w:bottom w:val="single" w:color="auto" w:sz="4" w:space="0"/>
            </w:tcBorders>
            <w:vAlign w:val="center"/>
          </w:tcPr>
          <w:p w14:paraId="722700D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439" w:type="dxa"/>
            <w:vMerge w:val="continue"/>
            <w:tcBorders>
              <w:bottom w:val="single" w:color="auto" w:sz="4" w:space="0"/>
            </w:tcBorders>
            <w:vAlign w:val="center"/>
          </w:tcPr>
          <w:p w14:paraId="68E4854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5C27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34" w:type="dxa"/>
            <w:vMerge w:val="continue"/>
            <w:vAlign w:val="center"/>
          </w:tcPr>
          <w:p w14:paraId="351A97C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560" w:type="dxa"/>
            <w:vMerge w:val="restart"/>
            <w:vAlign w:val="center"/>
          </w:tcPr>
          <w:p w14:paraId="3369B1D2">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天然气燃烧器</w:t>
            </w:r>
          </w:p>
        </w:tc>
        <w:tc>
          <w:tcPr>
            <w:tcW w:w="1276" w:type="dxa"/>
            <w:tcBorders>
              <w:bottom w:val="single" w:color="auto" w:sz="2" w:space="0"/>
            </w:tcBorders>
            <w:vAlign w:val="center"/>
          </w:tcPr>
          <w:p w14:paraId="0D8171BE">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颗粒物</w:t>
            </w:r>
          </w:p>
        </w:tc>
        <w:tc>
          <w:tcPr>
            <w:tcW w:w="1274" w:type="dxa"/>
            <w:vAlign w:val="center"/>
          </w:tcPr>
          <w:p w14:paraId="772ED212">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lang w:val="en-US" w:eastAsia="zh-CN"/>
              </w:rPr>
              <w:t>0.107</w:t>
            </w:r>
          </w:p>
        </w:tc>
        <w:tc>
          <w:tcPr>
            <w:tcW w:w="3119" w:type="dxa"/>
            <w:vMerge w:val="restart"/>
            <w:vAlign w:val="center"/>
          </w:tcPr>
          <w:p w14:paraId="541955E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低氮燃烧</w:t>
            </w:r>
          </w:p>
        </w:tc>
        <w:tc>
          <w:tcPr>
            <w:tcW w:w="1276" w:type="dxa"/>
            <w:vMerge w:val="restart"/>
            <w:vAlign w:val="center"/>
          </w:tcPr>
          <w:p w14:paraId="790302F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w:t>
            </w:r>
          </w:p>
          <w:p w14:paraId="15F7250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835" w:type="dxa"/>
            <w:vMerge w:val="restart"/>
            <w:vAlign w:val="center"/>
          </w:tcPr>
          <w:p w14:paraId="72139DC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《大气污染物综合排放标准》（GB16297-1996）表2无组织排放要求</w:t>
            </w:r>
          </w:p>
        </w:tc>
        <w:tc>
          <w:tcPr>
            <w:tcW w:w="1248" w:type="dxa"/>
            <w:vAlign w:val="center"/>
          </w:tcPr>
          <w:p w14:paraId="7761621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439" w:type="dxa"/>
            <w:vMerge w:val="restart"/>
            <w:vAlign w:val="center"/>
          </w:tcPr>
          <w:p w14:paraId="5DDF92C7">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无</w:t>
            </w:r>
          </w:p>
        </w:tc>
      </w:tr>
      <w:tr w14:paraId="372A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34" w:type="dxa"/>
            <w:vMerge w:val="continue"/>
            <w:vAlign w:val="center"/>
          </w:tcPr>
          <w:p w14:paraId="1AC500F6">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560" w:type="dxa"/>
            <w:vMerge w:val="continue"/>
            <w:vAlign w:val="center"/>
          </w:tcPr>
          <w:p w14:paraId="7875A61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76" w:type="dxa"/>
            <w:tcBorders>
              <w:bottom w:val="single" w:color="auto" w:sz="2" w:space="0"/>
            </w:tcBorders>
            <w:vAlign w:val="center"/>
          </w:tcPr>
          <w:p w14:paraId="347823AE">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SO</w:t>
            </w:r>
            <w:r>
              <w:rPr>
                <w:rFonts w:hint="default" w:ascii="Times New Roman" w:hAnsi="Times New Roman" w:cs="Times New Roman"/>
                <w:color w:val="auto"/>
                <w:kern w:val="0"/>
                <w:sz w:val="18"/>
                <w:szCs w:val="18"/>
                <w:highlight w:val="none"/>
                <w:vertAlign w:val="subscript"/>
              </w:rPr>
              <w:t>2</w:t>
            </w:r>
          </w:p>
        </w:tc>
        <w:tc>
          <w:tcPr>
            <w:tcW w:w="1274" w:type="dxa"/>
            <w:vAlign w:val="center"/>
          </w:tcPr>
          <w:p w14:paraId="750ADFA3">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lang w:val="en-US" w:eastAsia="zh-CN"/>
              </w:rPr>
              <w:t>0.0306</w:t>
            </w:r>
          </w:p>
        </w:tc>
        <w:tc>
          <w:tcPr>
            <w:tcW w:w="3119" w:type="dxa"/>
            <w:vMerge w:val="continue"/>
            <w:vAlign w:val="center"/>
          </w:tcPr>
          <w:p w14:paraId="183BFB3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76" w:type="dxa"/>
            <w:vMerge w:val="continue"/>
            <w:vAlign w:val="center"/>
          </w:tcPr>
          <w:p w14:paraId="5C2EDF7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835" w:type="dxa"/>
            <w:vMerge w:val="continue"/>
            <w:vAlign w:val="center"/>
          </w:tcPr>
          <w:p w14:paraId="3957FDCE">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48" w:type="dxa"/>
            <w:vAlign w:val="center"/>
          </w:tcPr>
          <w:p w14:paraId="2F491F1C">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439" w:type="dxa"/>
            <w:vMerge w:val="continue"/>
            <w:vAlign w:val="center"/>
          </w:tcPr>
          <w:p w14:paraId="5ED21100">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787B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2D809A7E">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560" w:type="dxa"/>
            <w:vMerge w:val="continue"/>
            <w:vAlign w:val="center"/>
          </w:tcPr>
          <w:p w14:paraId="5AEFA6C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76" w:type="dxa"/>
            <w:tcBorders>
              <w:bottom w:val="single" w:color="auto" w:sz="2" w:space="0"/>
            </w:tcBorders>
            <w:vAlign w:val="center"/>
          </w:tcPr>
          <w:p w14:paraId="60451511">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NO</w:t>
            </w:r>
            <w:r>
              <w:rPr>
                <w:rFonts w:hint="default" w:ascii="Times New Roman" w:hAnsi="Times New Roman" w:cs="Times New Roman"/>
                <w:color w:val="auto"/>
                <w:kern w:val="0"/>
                <w:sz w:val="18"/>
                <w:szCs w:val="18"/>
                <w:highlight w:val="none"/>
                <w:vertAlign w:val="subscript"/>
              </w:rPr>
              <w:t>x</w:t>
            </w:r>
          </w:p>
        </w:tc>
        <w:tc>
          <w:tcPr>
            <w:tcW w:w="1274" w:type="dxa"/>
            <w:vAlign w:val="center"/>
          </w:tcPr>
          <w:p w14:paraId="123857A7">
            <w:pPr>
              <w:pStyle w:val="37"/>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vertAlign w:val="baseline"/>
                <w:lang w:val="en-US" w:eastAsia="zh-CN"/>
              </w:rPr>
              <w:t>0.234</w:t>
            </w:r>
          </w:p>
        </w:tc>
        <w:tc>
          <w:tcPr>
            <w:tcW w:w="3119" w:type="dxa"/>
            <w:vMerge w:val="continue"/>
            <w:vAlign w:val="center"/>
          </w:tcPr>
          <w:p w14:paraId="1C5D6B4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76" w:type="dxa"/>
            <w:vMerge w:val="continue"/>
            <w:vAlign w:val="center"/>
          </w:tcPr>
          <w:p w14:paraId="097BC48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835" w:type="dxa"/>
            <w:vMerge w:val="continue"/>
            <w:vAlign w:val="center"/>
          </w:tcPr>
          <w:p w14:paraId="0FD1FB70">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48" w:type="dxa"/>
            <w:vAlign w:val="center"/>
          </w:tcPr>
          <w:p w14:paraId="06313832">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439" w:type="dxa"/>
            <w:vMerge w:val="continue"/>
            <w:vAlign w:val="center"/>
          </w:tcPr>
          <w:p w14:paraId="0960BB08">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10A4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534" w:type="dxa"/>
            <w:vMerge w:val="continue"/>
            <w:vAlign w:val="center"/>
          </w:tcPr>
          <w:p w14:paraId="46F10CFF">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560" w:type="dxa"/>
            <w:vAlign w:val="center"/>
          </w:tcPr>
          <w:p w14:paraId="7774CBBE">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厨房</w:t>
            </w:r>
          </w:p>
        </w:tc>
        <w:tc>
          <w:tcPr>
            <w:tcW w:w="1276" w:type="dxa"/>
            <w:vAlign w:val="center"/>
          </w:tcPr>
          <w:p w14:paraId="7C4CCA8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rPr>
              <w:t>油烟</w:t>
            </w:r>
          </w:p>
        </w:tc>
        <w:tc>
          <w:tcPr>
            <w:tcW w:w="1274" w:type="dxa"/>
            <w:vAlign w:val="center"/>
          </w:tcPr>
          <w:p w14:paraId="577AA57E">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vertAlign w:val="baseline"/>
                <w:lang w:val="en-US" w:eastAsia="zh-CN"/>
              </w:rPr>
              <w:t>0.234</w:t>
            </w:r>
          </w:p>
        </w:tc>
        <w:tc>
          <w:tcPr>
            <w:tcW w:w="3119" w:type="dxa"/>
            <w:vAlign w:val="center"/>
          </w:tcPr>
          <w:p w14:paraId="176484FA">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经抽油烟机处理后，经高于食堂楼顶1.5m烟囱外排</w:t>
            </w:r>
          </w:p>
        </w:tc>
        <w:tc>
          <w:tcPr>
            <w:tcW w:w="1276" w:type="dxa"/>
            <w:vAlign w:val="center"/>
          </w:tcPr>
          <w:p w14:paraId="23176E54">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w:t>
            </w:r>
          </w:p>
        </w:tc>
        <w:tc>
          <w:tcPr>
            <w:tcW w:w="2835" w:type="dxa"/>
            <w:vAlign w:val="center"/>
          </w:tcPr>
          <w:p w14:paraId="76D22A3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《饮食业油烟排放标准（试行）》（GB18483-2001）中的“小型”标准，即最高允许排放浓度为2mg/m</w:t>
            </w:r>
            <w:r>
              <w:rPr>
                <w:rFonts w:hint="default" w:ascii="Times New Roman" w:hAnsi="Times New Roman" w:cs="Times New Roman"/>
                <w:color w:val="auto"/>
                <w:sz w:val="18"/>
                <w:szCs w:val="18"/>
                <w:highlight w:val="none"/>
                <w:vertAlign w:val="superscript"/>
              </w:rPr>
              <w:t>3</w:t>
            </w:r>
          </w:p>
        </w:tc>
        <w:tc>
          <w:tcPr>
            <w:tcW w:w="1248" w:type="dxa"/>
            <w:vAlign w:val="center"/>
          </w:tcPr>
          <w:p w14:paraId="7C74EEF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439" w:type="dxa"/>
            <w:vAlign w:val="center"/>
          </w:tcPr>
          <w:p w14:paraId="2437874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29AF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34" w:type="dxa"/>
            <w:vMerge w:val="restart"/>
            <w:vAlign w:val="center"/>
          </w:tcPr>
          <w:p w14:paraId="428FB4E3">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w:t>
            </w:r>
          </w:p>
        </w:tc>
        <w:tc>
          <w:tcPr>
            <w:tcW w:w="1560" w:type="dxa"/>
            <w:vAlign w:val="center"/>
          </w:tcPr>
          <w:p w14:paraId="34B4D620">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养殖废水</w:t>
            </w:r>
          </w:p>
        </w:tc>
        <w:tc>
          <w:tcPr>
            <w:tcW w:w="1276" w:type="dxa"/>
            <w:vMerge w:val="restart"/>
            <w:vAlign w:val="center"/>
          </w:tcPr>
          <w:p w14:paraId="51C4C3DE">
            <w:pPr>
              <w:keepNext w:val="0"/>
              <w:keepLines w:val="0"/>
              <w:suppressLineNumbers w:val="0"/>
              <w:tabs>
                <w:tab w:val="left" w:pos="611"/>
              </w:tabs>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Cs/>
                <w:color w:val="auto"/>
                <w:sz w:val="18"/>
                <w:szCs w:val="18"/>
                <w:highlight w:val="none"/>
              </w:rPr>
              <w:t>COD、BOD</w:t>
            </w:r>
            <w:r>
              <w:rPr>
                <w:rFonts w:hint="default" w:ascii="Times New Roman" w:hAnsi="Times New Roman" w:cs="Times New Roman"/>
                <w:bCs/>
                <w:color w:val="auto"/>
                <w:sz w:val="18"/>
                <w:szCs w:val="18"/>
                <w:highlight w:val="none"/>
                <w:vertAlign w:val="subscript"/>
              </w:rPr>
              <w:t>5</w:t>
            </w:r>
            <w:r>
              <w:rPr>
                <w:rFonts w:hint="default" w:ascii="Times New Roman" w:hAnsi="Times New Roman" w:cs="Times New Roman"/>
                <w:bCs/>
                <w:color w:val="auto"/>
                <w:sz w:val="18"/>
                <w:szCs w:val="18"/>
                <w:highlight w:val="none"/>
              </w:rPr>
              <w:t>、NH</w:t>
            </w:r>
            <w:r>
              <w:rPr>
                <w:rFonts w:hint="default" w:ascii="Times New Roman" w:hAnsi="Times New Roman" w:cs="Times New Roman"/>
                <w:bCs/>
                <w:color w:val="auto"/>
                <w:sz w:val="18"/>
                <w:szCs w:val="18"/>
                <w:highlight w:val="none"/>
                <w:vertAlign w:val="subscript"/>
              </w:rPr>
              <w:t>3</w:t>
            </w:r>
            <w:r>
              <w:rPr>
                <w:rFonts w:hint="default" w:ascii="Times New Roman" w:hAnsi="Times New Roman" w:cs="Times New Roman"/>
                <w:bCs/>
                <w:color w:val="auto"/>
                <w:sz w:val="18"/>
                <w:szCs w:val="18"/>
                <w:highlight w:val="none"/>
              </w:rPr>
              <w:t>-N、SS、TP、TN、动植物油</w:t>
            </w:r>
            <w:r>
              <w:rPr>
                <w:rFonts w:hint="default" w:ascii="Times New Roman" w:hAnsi="Times New Roman" w:cs="Times New Roman"/>
                <w:bCs/>
                <w:color w:val="auto"/>
                <w:sz w:val="18"/>
                <w:szCs w:val="18"/>
                <w:highlight w:val="none"/>
                <w:lang w:eastAsia="zh-CN"/>
              </w:rPr>
              <w:t>、</w:t>
            </w:r>
            <w:r>
              <w:rPr>
                <w:rFonts w:hint="default" w:ascii="Times New Roman" w:hAnsi="Times New Roman" w:cs="Times New Roman"/>
                <w:bCs/>
                <w:color w:val="auto"/>
                <w:sz w:val="18"/>
                <w:szCs w:val="18"/>
                <w:highlight w:val="none"/>
                <w:lang w:val="en-US" w:eastAsia="zh-CN"/>
              </w:rPr>
              <w:t>粪大肠菌群</w:t>
            </w:r>
          </w:p>
        </w:tc>
        <w:tc>
          <w:tcPr>
            <w:tcW w:w="1274" w:type="dxa"/>
            <w:vAlign w:val="center"/>
          </w:tcPr>
          <w:p w14:paraId="5F372764">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3119" w:type="dxa"/>
            <w:vMerge w:val="restart"/>
            <w:vAlign w:val="center"/>
          </w:tcPr>
          <w:p w14:paraId="05B90D44">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食堂废水经隔油池处理后，与其他生活废水一起</w:t>
            </w:r>
            <w:r>
              <w:rPr>
                <w:rFonts w:hint="default" w:ascii="Times New Roman" w:hAnsi="Times New Roman" w:cs="Times New Roman"/>
                <w:bCs/>
                <w:color w:val="auto"/>
                <w:sz w:val="18"/>
                <w:szCs w:val="18"/>
                <w:highlight w:val="none"/>
                <w:lang w:val="en-US" w:eastAsia="zh-CN"/>
              </w:rPr>
              <w:t>经化粪池处理，与养殖废水一起进入废水收集池，依托弥勒温氏畜牧有限公司新哨种猪场建设项目污水处理站处理后用于绿化及农田灌溉。</w:t>
            </w:r>
          </w:p>
        </w:tc>
        <w:tc>
          <w:tcPr>
            <w:tcW w:w="1276" w:type="dxa"/>
            <w:vAlign w:val="center"/>
          </w:tcPr>
          <w:p w14:paraId="11CD9B03">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连续</w:t>
            </w:r>
          </w:p>
        </w:tc>
        <w:tc>
          <w:tcPr>
            <w:tcW w:w="2835" w:type="dxa"/>
            <w:vMerge w:val="restart"/>
            <w:vAlign w:val="center"/>
          </w:tcPr>
          <w:p w14:paraId="60BE6C4E">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pacing w:val="-1"/>
                <w:sz w:val="18"/>
                <w:szCs w:val="18"/>
              </w:rPr>
              <w:t>《城市污水再生利用、城市生活杂</w:t>
            </w:r>
            <w:r>
              <w:rPr>
                <w:rFonts w:hint="default" w:ascii="Times New Roman" w:hAnsi="Times New Roman" w:eastAsia="宋体" w:cs="Times New Roman"/>
                <w:color w:val="auto"/>
                <w:spacing w:val="-3"/>
                <w:sz w:val="18"/>
                <w:szCs w:val="18"/>
              </w:rPr>
              <w:t>用水水质》</w:t>
            </w:r>
            <w:r>
              <w:rPr>
                <w:rFonts w:hint="default" w:ascii="Times New Roman" w:hAnsi="Times New Roman" w:cs="Times New Roman"/>
                <w:color w:val="auto"/>
                <w:spacing w:val="-3"/>
                <w:sz w:val="18"/>
                <w:szCs w:val="18"/>
                <w:lang w:eastAsia="zh-CN"/>
              </w:rPr>
              <w:t>（</w:t>
            </w:r>
            <w:r>
              <w:rPr>
                <w:rFonts w:hint="default" w:ascii="Times New Roman" w:hAnsi="Times New Roman" w:eastAsia="宋体" w:cs="Times New Roman"/>
                <w:color w:val="auto"/>
                <w:spacing w:val="-52"/>
                <w:sz w:val="18"/>
                <w:szCs w:val="18"/>
              </w:rPr>
              <w:t xml:space="preserve"> </w:t>
            </w:r>
            <w:r>
              <w:rPr>
                <w:rFonts w:hint="default" w:ascii="Times New Roman" w:hAnsi="Times New Roman" w:cs="Times New Roman"/>
                <w:color w:val="auto"/>
                <w:spacing w:val="-1"/>
                <w:sz w:val="18"/>
                <w:szCs w:val="18"/>
              </w:rPr>
              <w:t>GB/T18920-20</w:t>
            </w:r>
            <w:r>
              <w:rPr>
                <w:rFonts w:hint="default" w:ascii="Times New Roman" w:hAnsi="Times New Roman" w:cs="Times New Roman"/>
                <w:color w:val="auto"/>
                <w:spacing w:val="-1"/>
                <w:sz w:val="18"/>
                <w:szCs w:val="18"/>
                <w:lang w:val="en-US" w:eastAsia="zh-CN"/>
              </w:rPr>
              <w:t>20</w:t>
            </w:r>
            <w:r>
              <w:rPr>
                <w:rFonts w:hint="default" w:ascii="Times New Roman" w:hAnsi="Times New Roman" w:cs="Times New Roman"/>
                <w:color w:val="auto"/>
                <w:spacing w:val="-3"/>
                <w:sz w:val="18"/>
                <w:szCs w:val="18"/>
                <w:lang w:eastAsia="zh-CN"/>
              </w:rPr>
              <w:t>）</w:t>
            </w:r>
            <w:r>
              <w:rPr>
                <w:rFonts w:hint="default" w:ascii="Times New Roman" w:hAnsi="Times New Roman" w:eastAsia="宋体" w:cs="Times New Roman"/>
                <w:color w:val="auto"/>
                <w:spacing w:val="-3"/>
                <w:sz w:val="18"/>
                <w:szCs w:val="18"/>
              </w:rPr>
              <w:t>标准；</w:t>
            </w:r>
            <w:r>
              <w:rPr>
                <w:rFonts w:hint="default" w:ascii="Times New Roman" w:hAnsi="Times New Roman" w:cs="Times New Roman"/>
                <w:color w:val="auto"/>
                <w:sz w:val="18"/>
                <w:szCs w:val="18"/>
                <w:highlight w:val="none"/>
                <w:lang w:val="en-US" w:eastAsia="zh-CN"/>
              </w:rPr>
              <w:t>《农田灌溉水质标准》（GB5084-2021）中的“旱地作物”标准</w:t>
            </w:r>
          </w:p>
        </w:tc>
        <w:tc>
          <w:tcPr>
            <w:tcW w:w="1248" w:type="dxa"/>
            <w:vAlign w:val="center"/>
          </w:tcPr>
          <w:p w14:paraId="32BC1112">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439" w:type="dxa"/>
            <w:vMerge w:val="restart"/>
            <w:vAlign w:val="center"/>
          </w:tcPr>
          <w:p w14:paraId="6E329B8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无</w:t>
            </w:r>
          </w:p>
        </w:tc>
      </w:tr>
      <w:tr w14:paraId="2D1A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534" w:type="dxa"/>
            <w:vMerge w:val="continue"/>
            <w:vAlign w:val="center"/>
          </w:tcPr>
          <w:p w14:paraId="1686377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560" w:type="dxa"/>
            <w:vAlign w:val="center"/>
          </w:tcPr>
          <w:p w14:paraId="0999D3B2">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生活污水</w:t>
            </w:r>
          </w:p>
        </w:tc>
        <w:tc>
          <w:tcPr>
            <w:tcW w:w="1276" w:type="dxa"/>
            <w:vMerge w:val="continue"/>
            <w:vAlign w:val="center"/>
          </w:tcPr>
          <w:p w14:paraId="4083D2EF">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274" w:type="dxa"/>
            <w:vAlign w:val="center"/>
          </w:tcPr>
          <w:p w14:paraId="57183356">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3119" w:type="dxa"/>
            <w:vMerge w:val="continue"/>
            <w:vAlign w:val="center"/>
          </w:tcPr>
          <w:p w14:paraId="6DBFA389">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sz w:val="18"/>
                <w:szCs w:val="18"/>
                <w:highlight w:val="none"/>
              </w:rPr>
            </w:pPr>
          </w:p>
        </w:tc>
        <w:tc>
          <w:tcPr>
            <w:tcW w:w="1276" w:type="dxa"/>
            <w:vAlign w:val="center"/>
          </w:tcPr>
          <w:p w14:paraId="262CAEE2">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w:t>
            </w:r>
          </w:p>
        </w:tc>
        <w:tc>
          <w:tcPr>
            <w:tcW w:w="2835" w:type="dxa"/>
            <w:vMerge w:val="continue"/>
            <w:vAlign w:val="center"/>
          </w:tcPr>
          <w:p w14:paraId="5FE01213">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248" w:type="dxa"/>
            <w:vAlign w:val="center"/>
          </w:tcPr>
          <w:p w14:paraId="4E81880C">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439" w:type="dxa"/>
            <w:vMerge w:val="continue"/>
            <w:vAlign w:val="center"/>
          </w:tcPr>
          <w:p w14:paraId="38B3A016">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r>
    </w:tbl>
    <w:p w14:paraId="2EE049D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sectPr>
          <w:footerReference r:id="rId23" w:type="first"/>
          <w:footerReference r:id="rId22" w:type="default"/>
          <w:pgSz w:w="16839" w:h="11907" w:orient="landscape"/>
          <w:pgMar w:top="1361" w:right="1247" w:bottom="1361" w:left="1247" w:header="765" w:footer="765" w:gutter="0"/>
          <w:pgBorders>
            <w:top w:val="none" w:sz="0" w:space="0"/>
            <w:left w:val="none" w:sz="0" w:space="0"/>
            <w:bottom w:val="none" w:sz="0" w:space="0"/>
            <w:right w:val="none" w:sz="0" w:space="0"/>
          </w:pgBorders>
          <w:pgNumType w:fmt="decimal"/>
          <w:cols w:space="720" w:num="1"/>
          <w:titlePg/>
          <w:docGrid w:type="linesAndChars" w:linePitch="312" w:charSpace="0"/>
        </w:sectPr>
      </w:pPr>
    </w:p>
    <w:tbl>
      <w:tblPr>
        <w:tblStyle w:val="23"/>
        <w:tblW w:w="14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560"/>
        <w:gridCol w:w="1276"/>
        <w:gridCol w:w="1274"/>
        <w:gridCol w:w="3119"/>
        <w:gridCol w:w="1276"/>
        <w:gridCol w:w="2835"/>
        <w:gridCol w:w="1248"/>
        <w:gridCol w:w="1439"/>
      </w:tblGrid>
      <w:tr w14:paraId="6B3FF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23FC24A6">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噪声</w:t>
            </w:r>
          </w:p>
        </w:tc>
        <w:tc>
          <w:tcPr>
            <w:tcW w:w="1560" w:type="dxa"/>
            <w:vAlign w:val="center"/>
          </w:tcPr>
          <w:p w14:paraId="5948C3F9">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生产设备及猪群叫声</w:t>
            </w:r>
          </w:p>
        </w:tc>
        <w:tc>
          <w:tcPr>
            <w:tcW w:w="1276" w:type="dxa"/>
            <w:vAlign w:val="center"/>
          </w:tcPr>
          <w:p w14:paraId="441D82D0">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噪声</w:t>
            </w:r>
          </w:p>
        </w:tc>
        <w:tc>
          <w:tcPr>
            <w:tcW w:w="1274" w:type="dxa"/>
            <w:vAlign w:val="center"/>
          </w:tcPr>
          <w:p w14:paraId="44FC1DE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70-85dB（A）</w:t>
            </w:r>
          </w:p>
        </w:tc>
        <w:tc>
          <w:tcPr>
            <w:tcW w:w="3119" w:type="dxa"/>
            <w:vAlign w:val="center"/>
          </w:tcPr>
          <w:p w14:paraId="5625531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设置于厂房内，且高噪声设备安装减震垫、设备间等</w:t>
            </w:r>
          </w:p>
        </w:tc>
        <w:tc>
          <w:tcPr>
            <w:tcW w:w="1276" w:type="dxa"/>
            <w:vAlign w:val="center"/>
          </w:tcPr>
          <w:p w14:paraId="161345A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w:t>
            </w:r>
          </w:p>
        </w:tc>
        <w:tc>
          <w:tcPr>
            <w:tcW w:w="2835" w:type="dxa"/>
            <w:vAlign w:val="center"/>
          </w:tcPr>
          <w:p w14:paraId="0580CA5A">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昼间≦60dB（A）；夜间≦50 dB（A）</w:t>
            </w:r>
          </w:p>
        </w:tc>
        <w:tc>
          <w:tcPr>
            <w:tcW w:w="1248" w:type="dxa"/>
            <w:vAlign w:val="center"/>
          </w:tcPr>
          <w:p w14:paraId="63DEE8B0">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439" w:type="dxa"/>
            <w:vAlign w:val="center"/>
          </w:tcPr>
          <w:p w14:paraId="0E6C33D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638F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vAlign w:val="center"/>
          </w:tcPr>
          <w:p w14:paraId="740430CF">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固废</w:t>
            </w:r>
          </w:p>
        </w:tc>
        <w:tc>
          <w:tcPr>
            <w:tcW w:w="2836" w:type="dxa"/>
            <w:gridSpan w:val="2"/>
            <w:vAlign w:val="center"/>
          </w:tcPr>
          <w:p w14:paraId="45DEA15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猪粪</w:t>
            </w:r>
          </w:p>
        </w:tc>
        <w:tc>
          <w:tcPr>
            <w:tcW w:w="1274" w:type="dxa"/>
            <w:vAlign w:val="center"/>
          </w:tcPr>
          <w:p w14:paraId="703613FF">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3119" w:type="dxa"/>
            <w:vAlign w:val="center"/>
          </w:tcPr>
          <w:p w14:paraId="69CB43D0">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rPr>
              <w:t>干清粪工艺，猪粪收集后进行固液分离，固体粪便清运至</w:t>
            </w:r>
            <w:r>
              <w:rPr>
                <w:rFonts w:hint="default" w:ascii="Times New Roman" w:hAnsi="Times New Roman" w:cs="Times New Roman"/>
                <w:color w:val="auto"/>
                <w:sz w:val="18"/>
                <w:szCs w:val="18"/>
                <w:lang w:eastAsia="zh-CN"/>
              </w:rPr>
              <w:t>堆粪棚</w:t>
            </w:r>
            <w:r>
              <w:rPr>
                <w:rFonts w:hint="default" w:ascii="Times New Roman" w:hAnsi="Times New Roman" w:cs="Times New Roman"/>
                <w:color w:val="auto"/>
                <w:sz w:val="18"/>
                <w:szCs w:val="18"/>
              </w:rPr>
              <w:t>，堆肥发酵后用于还田施肥</w:t>
            </w:r>
          </w:p>
        </w:tc>
        <w:tc>
          <w:tcPr>
            <w:tcW w:w="1276" w:type="dxa"/>
            <w:vAlign w:val="center"/>
          </w:tcPr>
          <w:p w14:paraId="47AAC7F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w:t>
            </w:r>
          </w:p>
        </w:tc>
        <w:tc>
          <w:tcPr>
            <w:tcW w:w="2835" w:type="dxa"/>
            <w:vAlign w:val="center"/>
          </w:tcPr>
          <w:p w14:paraId="79C26314">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248" w:type="dxa"/>
            <w:vAlign w:val="center"/>
          </w:tcPr>
          <w:p w14:paraId="4299C8C3">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不造成二次污染</w:t>
            </w:r>
          </w:p>
        </w:tc>
        <w:tc>
          <w:tcPr>
            <w:tcW w:w="1439" w:type="dxa"/>
            <w:vAlign w:val="center"/>
          </w:tcPr>
          <w:p w14:paraId="6A4998A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47D2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7380EB6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836" w:type="dxa"/>
            <w:gridSpan w:val="2"/>
            <w:vAlign w:val="center"/>
          </w:tcPr>
          <w:p w14:paraId="65C05A9F">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病死猪</w:t>
            </w:r>
          </w:p>
        </w:tc>
        <w:tc>
          <w:tcPr>
            <w:tcW w:w="1274" w:type="dxa"/>
            <w:vAlign w:val="center"/>
          </w:tcPr>
          <w:p w14:paraId="7990609C">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3119" w:type="dxa"/>
            <w:vAlign w:val="center"/>
          </w:tcPr>
          <w:p w14:paraId="29E04302">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设置冷库暂存，委托弥勒市北斗星生物科技有限公司进行无害化处置</w:t>
            </w:r>
          </w:p>
        </w:tc>
        <w:tc>
          <w:tcPr>
            <w:tcW w:w="1276" w:type="dxa"/>
            <w:vAlign w:val="center"/>
          </w:tcPr>
          <w:p w14:paraId="6463FC66">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w:t>
            </w:r>
          </w:p>
        </w:tc>
        <w:tc>
          <w:tcPr>
            <w:tcW w:w="2835" w:type="dxa"/>
            <w:vAlign w:val="center"/>
          </w:tcPr>
          <w:p w14:paraId="5513BFE2">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248" w:type="dxa"/>
            <w:vAlign w:val="center"/>
          </w:tcPr>
          <w:p w14:paraId="67E7234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合理处置</w:t>
            </w:r>
          </w:p>
        </w:tc>
        <w:tc>
          <w:tcPr>
            <w:tcW w:w="1439" w:type="dxa"/>
            <w:vAlign w:val="center"/>
          </w:tcPr>
          <w:p w14:paraId="31DDA806">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715E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24B846A7">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836" w:type="dxa"/>
            <w:gridSpan w:val="2"/>
            <w:vAlign w:val="center"/>
          </w:tcPr>
          <w:p w14:paraId="432F9338">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防疫固废</w:t>
            </w:r>
          </w:p>
        </w:tc>
        <w:tc>
          <w:tcPr>
            <w:tcW w:w="1274" w:type="dxa"/>
            <w:vAlign w:val="center"/>
          </w:tcPr>
          <w:p w14:paraId="438675E4">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color w:val="auto"/>
                <w:kern w:val="0"/>
                <w:sz w:val="18"/>
                <w:szCs w:val="18"/>
                <w:lang w:val="en-US" w:eastAsia="zh-CN" w:bidi="ar-SA"/>
              </w:rPr>
              <w:t>0</w:t>
            </w:r>
          </w:p>
        </w:tc>
        <w:tc>
          <w:tcPr>
            <w:tcW w:w="3119" w:type="dxa"/>
            <w:vAlign w:val="center"/>
          </w:tcPr>
          <w:p w14:paraId="18276658">
            <w:pPr>
              <w:pStyle w:val="1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按照当地动物防疫部门管理要求进行处置</w:t>
            </w:r>
          </w:p>
        </w:tc>
        <w:tc>
          <w:tcPr>
            <w:tcW w:w="1276" w:type="dxa"/>
            <w:vAlign w:val="center"/>
          </w:tcPr>
          <w:p w14:paraId="526EDE92">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w:t>
            </w:r>
          </w:p>
        </w:tc>
        <w:tc>
          <w:tcPr>
            <w:tcW w:w="2835" w:type="dxa"/>
            <w:vAlign w:val="center"/>
          </w:tcPr>
          <w:p w14:paraId="491DF37A">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248" w:type="dxa"/>
            <w:vAlign w:val="center"/>
          </w:tcPr>
          <w:p w14:paraId="0C058F22">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合理处置</w:t>
            </w:r>
          </w:p>
        </w:tc>
        <w:tc>
          <w:tcPr>
            <w:tcW w:w="1439" w:type="dxa"/>
            <w:vAlign w:val="center"/>
          </w:tcPr>
          <w:p w14:paraId="7A60FBB6">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1544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0280F4F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836" w:type="dxa"/>
            <w:gridSpan w:val="2"/>
            <w:vAlign w:val="center"/>
          </w:tcPr>
          <w:p w14:paraId="511838CF">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饲料残渣</w:t>
            </w:r>
          </w:p>
        </w:tc>
        <w:tc>
          <w:tcPr>
            <w:tcW w:w="1274" w:type="dxa"/>
            <w:vAlign w:val="center"/>
          </w:tcPr>
          <w:p w14:paraId="0BD940B8">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3119" w:type="dxa"/>
            <w:vAlign w:val="center"/>
          </w:tcPr>
          <w:p w14:paraId="057E308A">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通过人工清扫，运至</w:t>
            </w:r>
            <w:r>
              <w:rPr>
                <w:rFonts w:hint="default" w:ascii="Times New Roman" w:hAnsi="Times New Roman" w:cs="Times New Roman"/>
                <w:color w:val="auto"/>
                <w:sz w:val="18"/>
                <w:szCs w:val="18"/>
                <w:highlight w:val="none"/>
                <w:lang w:eastAsia="zh-CN"/>
              </w:rPr>
              <w:t>堆粪棚</w:t>
            </w:r>
            <w:r>
              <w:rPr>
                <w:rFonts w:hint="default" w:ascii="Times New Roman" w:hAnsi="Times New Roman" w:cs="Times New Roman"/>
                <w:color w:val="auto"/>
                <w:sz w:val="18"/>
                <w:szCs w:val="18"/>
                <w:highlight w:val="none"/>
              </w:rPr>
              <w:t>堆肥</w:t>
            </w:r>
          </w:p>
        </w:tc>
        <w:tc>
          <w:tcPr>
            <w:tcW w:w="1276" w:type="dxa"/>
            <w:vAlign w:val="center"/>
          </w:tcPr>
          <w:p w14:paraId="42F410AF">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w:t>
            </w:r>
          </w:p>
        </w:tc>
        <w:tc>
          <w:tcPr>
            <w:tcW w:w="2835" w:type="dxa"/>
            <w:vAlign w:val="center"/>
          </w:tcPr>
          <w:p w14:paraId="71E90E0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248" w:type="dxa"/>
            <w:vAlign w:val="center"/>
          </w:tcPr>
          <w:p w14:paraId="60B142B6">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合理处置</w:t>
            </w:r>
          </w:p>
        </w:tc>
        <w:tc>
          <w:tcPr>
            <w:tcW w:w="1439" w:type="dxa"/>
            <w:vAlign w:val="center"/>
          </w:tcPr>
          <w:p w14:paraId="19ED23E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262B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421827C1">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836" w:type="dxa"/>
            <w:gridSpan w:val="2"/>
            <w:vAlign w:val="center"/>
          </w:tcPr>
          <w:p w14:paraId="7006653C">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废弃包装材料</w:t>
            </w:r>
          </w:p>
        </w:tc>
        <w:tc>
          <w:tcPr>
            <w:tcW w:w="1274" w:type="dxa"/>
            <w:vAlign w:val="center"/>
          </w:tcPr>
          <w:p w14:paraId="7526F0F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3119" w:type="dxa"/>
            <w:vAlign w:val="center"/>
          </w:tcPr>
          <w:p w14:paraId="3C0B50FD">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统一收集定期外卖给废品站</w:t>
            </w:r>
          </w:p>
        </w:tc>
        <w:tc>
          <w:tcPr>
            <w:tcW w:w="1276" w:type="dxa"/>
            <w:vAlign w:val="center"/>
          </w:tcPr>
          <w:p w14:paraId="48FD514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w:t>
            </w:r>
          </w:p>
        </w:tc>
        <w:tc>
          <w:tcPr>
            <w:tcW w:w="2835" w:type="dxa"/>
            <w:vAlign w:val="center"/>
          </w:tcPr>
          <w:p w14:paraId="45511083">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248" w:type="dxa"/>
            <w:vAlign w:val="center"/>
          </w:tcPr>
          <w:p w14:paraId="74DF32FE">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合理处置</w:t>
            </w:r>
          </w:p>
        </w:tc>
        <w:tc>
          <w:tcPr>
            <w:tcW w:w="1439" w:type="dxa"/>
            <w:vAlign w:val="center"/>
          </w:tcPr>
          <w:p w14:paraId="5FD10ED3">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68FB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1B06B25A">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836" w:type="dxa"/>
            <w:gridSpan w:val="2"/>
            <w:vAlign w:val="center"/>
          </w:tcPr>
          <w:p w14:paraId="32041450">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隔油池废油脂</w:t>
            </w:r>
          </w:p>
        </w:tc>
        <w:tc>
          <w:tcPr>
            <w:tcW w:w="1274" w:type="dxa"/>
            <w:vAlign w:val="center"/>
          </w:tcPr>
          <w:p w14:paraId="49AE3158">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3119" w:type="dxa"/>
            <w:vAlign w:val="center"/>
          </w:tcPr>
          <w:p w14:paraId="1763C271">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经密闭容器收集，委托有资质单位清运处置</w:t>
            </w:r>
          </w:p>
        </w:tc>
        <w:tc>
          <w:tcPr>
            <w:tcW w:w="1276" w:type="dxa"/>
            <w:vAlign w:val="center"/>
          </w:tcPr>
          <w:p w14:paraId="5CB6C6A4">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w:t>
            </w:r>
          </w:p>
        </w:tc>
        <w:tc>
          <w:tcPr>
            <w:tcW w:w="2835" w:type="dxa"/>
            <w:vAlign w:val="center"/>
          </w:tcPr>
          <w:p w14:paraId="1D65693E">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248" w:type="dxa"/>
            <w:vAlign w:val="center"/>
          </w:tcPr>
          <w:p w14:paraId="6067504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合理处置</w:t>
            </w:r>
          </w:p>
        </w:tc>
        <w:tc>
          <w:tcPr>
            <w:tcW w:w="1439" w:type="dxa"/>
            <w:vAlign w:val="center"/>
          </w:tcPr>
          <w:p w14:paraId="33984C9C">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31D0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31ABB7D8">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836" w:type="dxa"/>
            <w:gridSpan w:val="2"/>
            <w:vAlign w:val="center"/>
          </w:tcPr>
          <w:p w14:paraId="0D5A851F">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厨房泔水</w:t>
            </w:r>
          </w:p>
        </w:tc>
        <w:tc>
          <w:tcPr>
            <w:tcW w:w="1274" w:type="dxa"/>
            <w:vAlign w:val="center"/>
          </w:tcPr>
          <w:p w14:paraId="73D300EF">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3119" w:type="dxa"/>
            <w:vAlign w:val="center"/>
          </w:tcPr>
          <w:p w14:paraId="2A2C482E">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经密闭泔水桶收集后，按照住建部门的相关规定处置</w:t>
            </w:r>
          </w:p>
        </w:tc>
        <w:tc>
          <w:tcPr>
            <w:tcW w:w="1276" w:type="dxa"/>
            <w:vAlign w:val="center"/>
          </w:tcPr>
          <w:p w14:paraId="33C49BDC">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w:t>
            </w:r>
          </w:p>
        </w:tc>
        <w:tc>
          <w:tcPr>
            <w:tcW w:w="2835" w:type="dxa"/>
            <w:vAlign w:val="center"/>
          </w:tcPr>
          <w:p w14:paraId="4915D15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248" w:type="dxa"/>
            <w:vAlign w:val="center"/>
          </w:tcPr>
          <w:p w14:paraId="7EE3A56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合理处置</w:t>
            </w:r>
          </w:p>
        </w:tc>
        <w:tc>
          <w:tcPr>
            <w:tcW w:w="1439" w:type="dxa"/>
            <w:vAlign w:val="center"/>
          </w:tcPr>
          <w:p w14:paraId="2CFAC62A">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229E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6B343F9E">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836" w:type="dxa"/>
            <w:gridSpan w:val="2"/>
            <w:vAlign w:val="center"/>
          </w:tcPr>
          <w:p w14:paraId="24C92DE2">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化粪池污泥</w:t>
            </w:r>
          </w:p>
        </w:tc>
        <w:tc>
          <w:tcPr>
            <w:tcW w:w="1274" w:type="dxa"/>
            <w:vAlign w:val="center"/>
          </w:tcPr>
          <w:p w14:paraId="63C0FF9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3119" w:type="dxa"/>
            <w:vAlign w:val="center"/>
          </w:tcPr>
          <w:p w14:paraId="57099C14">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定期清掏后作为绿化施肥及农田施肥使用</w:t>
            </w:r>
          </w:p>
        </w:tc>
        <w:tc>
          <w:tcPr>
            <w:tcW w:w="1276" w:type="dxa"/>
            <w:vAlign w:val="center"/>
          </w:tcPr>
          <w:p w14:paraId="478426CC">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w:t>
            </w:r>
          </w:p>
        </w:tc>
        <w:tc>
          <w:tcPr>
            <w:tcW w:w="2835" w:type="dxa"/>
            <w:vAlign w:val="center"/>
          </w:tcPr>
          <w:p w14:paraId="6F68A0A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248" w:type="dxa"/>
            <w:vAlign w:val="center"/>
          </w:tcPr>
          <w:p w14:paraId="3303D52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合理处置</w:t>
            </w:r>
          </w:p>
        </w:tc>
        <w:tc>
          <w:tcPr>
            <w:tcW w:w="1439" w:type="dxa"/>
            <w:vAlign w:val="center"/>
          </w:tcPr>
          <w:p w14:paraId="0CA88946">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2B83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14:paraId="7CA7E39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836" w:type="dxa"/>
            <w:gridSpan w:val="2"/>
            <w:vAlign w:val="center"/>
          </w:tcPr>
          <w:p w14:paraId="110A7485">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生活垃圾</w:t>
            </w:r>
          </w:p>
        </w:tc>
        <w:tc>
          <w:tcPr>
            <w:tcW w:w="1274" w:type="dxa"/>
            <w:vAlign w:val="center"/>
          </w:tcPr>
          <w:p w14:paraId="4A6554DB">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3119" w:type="dxa"/>
            <w:vAlign w:val="center"/>
          </w:tcPr>
          <w:p w14:paraId="16241B3E">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垃圾桶统一收集后，并运至</w:t>
            </w:r>
            <w:r>
              <w:rPr>
                <w:rFonts w:hint="default" w:ascii="Times New Roman" w:hAnsi="Times New Roman" w:cs="Times New Roman"/>
                <w:bCs/>
                <w:color w:val="auto"/>
                <w:sz w:val="18"/>
                <w:szCs w:val="18"/>
                <w:highlight w:val="none"/>
                <w:lang w:eastAsia="zh-CN"/>
              </w:rPr>
              <w:t>猴街村</w:t>
            </w:r>
            <w:r>
              <w:rPr>
                <w:rFonts w:hint="default" w:ascii="Times New Roman" w:hAnsi="Times New Roman" w:cs="Times New Roman"/>
                <w:bCs/>
                <w:color w:val="auto"/>
                <w:sz w:val="18"/>
                <w:szCs w:val="18"/>
                <w:highlight w:val="none"/>
              </w:rPr>
              <w:t>统一的垃圾收集点堆放</w:t>
            </w:r>
          </w:p>
        </w:tc>
        <w:tc>
          <w:tcPr>
            <w:tcW w:w="1276" w:type="dxa"/>
            <w:vAlign w:val="center"/>
          </w:tcPr>
          <w:p w14:paraId="1DB0F073">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w:t>
            </w:r>
          </w:p>
        </w:tc>
        <w:tc>
          <w:tcPr>
            <w:tcW w:w="2835" w:type="dxa"/>
            <w:vAlign w:val="center"/>
          </w:tcPr>
          <w:p w14:paraId="1B68CC4A">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248" w:type="dxa"/>
            <w:vAlign w:val="center"/>
          </w:tcPr>
          <w:p w14:paraId="7E63FBD4">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合理处置</w:t>
            </w:r>
          </w:p>
        </w:tc>
        <w:tc>
          <w:tcPr>
            <w:tcW w:w="1439" w:type="dxa"/>
            <w:vAlign w:val="center"/>
          </w:tcPr>
          <w:p w14:paraId="61B3AA14">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31CE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34" w:type="dxa"/>
            <w:vMerge w:val="continue"/>
            <w:vAlign w:val="center"/>
          </w:tcPr>
          <w:p w14:paraId="3915DA6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836" w:type="dxa"/>
            <w:gridSpan w:val="2"/>
            <w:vAlign w:val="center"/>
          </w:tcPr>
          <w:p w14:paraId="2C091306">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废机油</w:t>
            </w:r>
          </w:p>
        </w:tc>
        <w:tc>
          <w:tcPr>
            <w:tcW w:w="1274" w:type="dxa"/>
            <w:vAlign w:val="center"/>
          </w:tcPr>
          <w:p w14:paraId="3B9982D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3119" w:type="dxa"/>
            <w:vAlign w:val="center"/>
          </w:tcPr>
          <w:p w14:paraId="16D34CE5">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设专用密闭容器收集后，暂存至危废暂存间，委托相关资质单位处置。</w:t>
            </w:r>
          </w:p>
        </w:tc>
        <w:tc>
          <w:tcPr>
            <w:tcW w:w="1276" w:type="dxa"/>
            <w:vAlign w:val="center"/>
          </w:tcPr>
          <w:p w14:paraId="3BB3925F">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间断</w:t>
            </w:r>
          </w:p>
        </w:tc>
        <w:tc>
          <w:tcPr>
            <w:tcW w:w="2835" w:type="dxa"/>
            <w:vAlign w:val="center"/>
          </w:tcPr>
          <w:p w14:paraId="0BD8F069">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1248" w:type="dxa"/>
            <w:vAlign w:val="center"/>
          </w:tcPr>
          <w:p w14:paraId="266C36C5">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合理处置</w:t>
            </w:r>
          </w:p>
        </w:tc>
        <w:tc>
          <w:tcPr>
            <w:tcW w:w="1439" w:type="dxa"/>
            <w:vAlign w:val="center"/>
          </w:tcPr>
          <w:p w14:paraId="34C5AF6D">
            <w:pPr>
              <w:keepNext w:val="0"/>
              <w:keepLines w:val="0"/>
              <w:suppressLineNumbers w:val="0"/>
              <w:tabs>
                <w:tab w:val="left" w:pos="611"/>
              </w:tabs>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bl>
    <w:p w14:paraId="0B8A6B3A">
      <w:pPr>
        <w:snapToGrid w:val="0"/>
        <w:spacing w:line="360" w:lineRule="auto"/>
        <w:ind w:firstLine="482"/>
        <w:rPr>
          <w:rFonts w:hint="default" w:ascii="Times New Roman" w:hAnsi="Times New Roman" w:cs="Times New Roman"/>
          <w:color w:val="auto"/>
          <w:sz w:val="24"/>
          <w:highlight w:val="none"/>
        </w:rPr>
      </w:pPr>
    </w:p>
    <w:p w14:paraId="407439B7">
      <w:pPr>
        <w:snapToGrid w:val="0"/>
        <w:spacing w:line="360" w:lineRule="auto"/>
        <w:ind w:firstLine="482"/>
        <w:rPr>
          <w:rFonts w:hint="default" w:ascii="Times New Roman" w:hAnsi="Times New Roman" w:cs="Times New Roman"/>
          <w:color w:val="auto"/>
          <w:sz w:val="24"/>
          <w:highlight w:val="none"/>
        </w:rPr>
        <w:sectPr>
          <w:footerReference r:id="rId25" w:type="first"/>
          <w:footerReference r:id="rId24" w:type="default"/>
          <w:pgSz w:w="16839" w:h="11907" w:orient="landscape"/>
          <w:pgMar w:top="1361" w:right="1247" w:bottom="1361" w:left="1247" w:header="765" w:footer="765" w:gutter="0"/>
          <w:pgBorders>
            <w:top w:val="none" w:sz="0" w:space="0"/>
            <w:left w:val="none" w:sz="0" w:space="0"/>
            <w:bottom w:val="none" w:sz="0" w:space="0"/>
            <w:right w:val="none" w:sz="0" w:space="0"/>
          </w:pgBorders>
          <w:pgNumType w:fmt="decimal"/>
          <w:cols w:space="720" w:num="1"/>
          <w:docGrid w:type="linesAndChars" w:linePitch="312" w:charSpace="0"/>
        </w:sectPr>
      </w:pPr>
    </w:p>
    <w:p w14:paraId="0EF77412">
      <w:pPr>
        <w:pStyle w:val="3"/>
        <w:tabs>
          <w:tab w:val="left" w:pos="420"/>
        </w:tabs>
        <w:spacing w:before="0" w:after="0"/>
        <w:rPr>
          <w:rStyle w:val="34"/>
          <w:rFonts w:hint="default" w:ascii="Times New Roman" w:hAnsi="Times New Roman" w:cs="Times New Roman"/>
          <w:b w:val="0"/>
          <w:bCs w:val="0"/>
          <w:color w:val="auto"/>
          <w:sz w:val="24"/>
          <w:highlight w:val="none"/>
        </w:rPr>
      </w:pPr>
      <w:bookmarkStart w:id="437" w:name="_Toc40654369"/>
      <w:bookmarkStart w:id="438" w:name="_Toc8385"/>
      <w:bookmarkStart w:id="439" w:name="_Toc7877"/>
      <w:bookmarkStart w:id="440" w:name="_Toc8105"/>
      <w:bookmarkStart w:id="441" w:name="_Toc14512"/>
      <w:r>
        <w:rPr>
          <w:rStyle w:val="34"/>
          <w:rFonts w:hint="default" w:ascii="Times New Roman" w:hAnsi="Times New Roman" w:cs="Times New Roman"/>
          <w:b w:val="0"/>
          <w:bCs w:val="0"/>
          <w:color w:val="auto"/>
          <w:sz w:val="24"/>
          <w:highlight w:val="none"/>
        </w:rPr>
        <w:t>9.5总量控制</w:t>
      </w:r>
      <w:bookmarkEnd w:id="437"/>
      <w:bookmarkEnd w:id="438"/>
      <w:bookmarkEnd w:id="439"/>
      <w:bookmarkEnd w:id="440"/>
      <w:bookmarkEnd w:id="441"/>
    </w:p>
    <w:p w14:paraId="5FA22102">
      <w:pPr>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根据《云南省“十四五”生态环境保护规划》提出的环境保护目标，纳入约束性考核的4项污染物：COD、NH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-N、NO</w:t>
      </w:r>
      <w:r>
        <w:rPr>
          <w:rFonts w:hint="default" w:ascii="Times New Roman" w:hAnsi="Times New Roman" w:cs="Times New Roman"/>
          <w:color w:val="auto"/>
          <w:sz w:val="24"/>
          <w:szCs w:val="24"/>
          <w:highlight w:val="none"/>
          <w:vertAlign w:val="subscript"/>
        </w:rPr>
        <w:t>x</w:t>
      </w:r>
      <w:r>
        <w:rPr>
          <w:rFonts w:hint="default" w:ascii="Times New Roman" w:hAnsi="Times New Roman" w:cs="Times New Roman"/>
          <w:color w:val="auto"/>
          <w:sz w:val="24"/>
          <w:szCs w:val="24"/>
          <w:highlight w:val="none"/>
        </w:rPr>
        <w:t>、非甲烷总烃。</w:t>
      </w:r>
    </w:p>
    <w:p w14:paraId="7CFC4690">
      <w:pPr>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根据本项目的产污特点以及达标排放原则，本次环评提出总量控制建议指标：</w:t>
      </w:r>
    </w:p>
    <w:p w14:paraId="588CBEB8">
      <w:pPr>
        <w:snapToGrid w:val="0"/>
        <w:spacing w:line="360" w:lineRule="auto"/>
        <w:ind w:firstLine="482" w:firstLineChars="200"/>
        <w:rPr>
          <w:rFonts w:hint="default" w:ascii="Times New Roman" w:hAnsi="Times New Roman" w:cs="Times New Roman"/>
          <w:b/>
          <w:color w:val="auto"/>
          <w:sz w:val="24"/>
          <w:szCs w:val="24"/>
          <w:highlight w:val="none"/>
        </w:rPr>
      </w:pPr>
      <w:bookmarkStart w:id="442" w:name="_Toc27682"/>
      <w:bookmarkStart w:id="443" w:name="_Toc26883"/>
      <w:r>
        <w:rPr>
          <w:rFonts w:hint="default" w:ascii="Times New Roman" w:hAnsi="Times New Roman" w:cs="Times New Roman"/>
          <w:b/>
          <w:color w:val="auto"/>
          <w:sz w:val="24"/>
          <w:szCs w:val="24"/>
          <w:highlight w:val="none"/>
        </w:rPr>
        <w:t>（1）废气</w:t>
      </w:r>
      <w:bookmarkEnd w:id="442"/>
      <w:bookmarkEnd w:id="443"/>
    </w:p>
    <w:p w14:paraId="13B72D17">
      <w:pPr>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根据工程分析，项目养殖过程中产生的NH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S呈无组织排放</w:t>
      </w:r>
      <w:r>
        <w:rPr>
          <w:rFonts w:hint="default" w:ascii="Times New Roman" w:hAnsi="Times New Roman" w:cs="Times New Roman"/>
          <w:color w:val="auto"/>
          <w:sz w:val="24"/>
          <w:szCs w:val="24"/>
          <w:highlight w:val="none"/>
          <w:lang w:eastAsia="zh-CN"/>
        </w:rPr>
        <w:t>，年排放量为</w:t>
      </w: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eastAsia="宋体" w:cs="Times New Roman"/>
          <w:i w:val="0"/>
          <w:iCs w:val="0"/>
          <w:color w:val="auto"/>
          <w:kern w:val="0"/>
          <w:sz w:val="24"/>
          <w:szCs w:val="24"/>
          <w:u w:val="none"/>
          <w:lang w:val="en-US" w:eastAsia="zh-CN" w:bidi="ar"/>
        </w:rPr>
        <w:t>0.0461</w:t>
      </w:r>
      <w:r>
        <w:rPr>
          <w:rFonts w:hint="default" w:ascii="Times New Roman" w:hAnsi="Times New Roman" w:cs="Times New Roman"/>
          <w:color w:val="auto"/>
          <w:sz w:val="24"/>
          <w:szCs w:val="24"/>
          <w:highlight w:val="none"/>
          <w:lang w:val="en-US" w:eastAsia="zh-CN"/>
        </w:rPr>
        <w:t>t/a、</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i w:val="0"/>
          <w:iCs w:val="0"/>
          <w:color w:val="auto"/>
          <w:kern w:val="0"/>
          <w:sz w:val="24"/>
          <w:szCs w:val="24"/>
          <w:u w:val="none"/>
          <w:lang w:val="en-US" w:eastAsia="zh-CN" w:bidi="ar"/>
        </w:rPr>
        <w:t>0.00979</w:t>
      </w:r>
      <w:r>
        <w:rPr>
          <w:rFonts w:hint="default" w:ascii="Times New Roman" w:hAnsi="Times New Roman" w:cs="Times New Roman"/>
          <w:color w:val="auto"/>
          <w:sz w:val="24"/>
          <w:szCs w:val="24"/>
          <w:highlight w:val="none"/>
          <w:lang w:val="en-US" w:eastAsia="zh-CN"/>
        </w:rPr>
        <w:t>t/a</w:t>
      </w:r>
      <w:r>
        <w:rPr>
          <w:rFonts w:hint="default" w:ascii="Times New Roman" w:hAnsi="Times New Roman" w:cs="Times New Roman"/>
          <w:color w:val="auto"/>
          <w:sz w:val="24"/>
          <w:szCs w:val="24"/>
          <w:highlight w:val="none"/>
        </w:rPr>
        <w:t>。</w:t>
      </w:r>
    </w:p>
    <w:p w14:paraId="7E7D1F8E">
      <w:pPr>
        <w:snapToGrid w:val="0"/>
        <w:spacing w:line="360" w:lineRule="auto"/>
        <w:ind w:firstLine="480" w:firstLineChars="200"/>
        <w:rPr>
          <w:rFonts w:hint="default" w:ascii="Times New Roman" w:hAnsi="Times New Roman" w:cs="Times New Roman"/>
          <w:color w:val="auto"/>
          <w:sz w:val="24"/>
          <w:szCs w:val="24"/>
          <w:highlight w:val="none"/>
          <w:lang w:val="en-US" w:bidi="zh-CN"/>
        </w:rPr>
      </w:pPr>
      <w:r>
        <w:rPr>
          <w:rFonts w:hint="default" w:ascii="Times New Roman" w:hAnsi="Times New Roman" w:cs="Times New Roman"/>
          <w:color w:val="auto"/>
          <w:sz w:val="24"/>
          <w:szCs w:val="24"/>
          <w:highlight w:val="none"/>
          <w:lang w:val="en-US" w:bidi="zh-CN"/>
        </w:rPr>
        <w:t>天然气</w:t>
      </w:r>
      <w:r>
        <w:rPr>
          <w:rFonts w:hint="default" w:ascii="Times New Roman" w:hAnsi="Times New Roman" w:cs="Times New Roman"/>
          <w:color w:val="auto"/>
          <w:sz w:val="24"/>
          <w:szCs w:val="24"/>
          <w:highlight w:val="none"/>
          <w:lang w:bidi="zh-CN"/>
        </w:rPr>
        <w:t>燃烧污染物排放量为 SO</w:t>
      </w:r>
      <w:r>
        <w:rPr>
          <w:rFonts w:hint="default" w:ascii="Times New Roman" w:hAnsi="Times New Roman" w:cs="Times New Roman"/>
          <w:color w:val="auto"/>
          <w:sz w:val="24"/>
          <w:szCs w:val="24"/>
          <w:highlight w:val="none"/>
          <w:vertAlign w:val="subscript"/>
          <w:lang w:bidi="zh-CN"/>
        </w:rPr>
        <w:t>2</w:t>
      </w:r>
      <w:r>
        <w:rPr>
          <w:rFonts w:hint="default" w:ascii="Times New Roman" w:hAnsi="Times New Roman" w:cs="Times New Roman"/>
          <w:color w:val="auto"/>
          <w:sz w:val="24"/>
          <w:szCs w:val="24"/>
          <w:highlight w:val="none"/>
          <w:lang w:val="en-US" w:eastAsia="zh-CN"/>
        </w:rPr>
        <w:t>0.0306</w:t>
      </w:r>
      <w:r>
        <w:rPr>
          <w:rFonts w:hint="default" w:ascii="Times New Roman" w:hAnsi="Times New Roman" w:cs="Times New Roman"/>
          <w:color w:val="auto"/>
          <w:sz w:val="24"/>
          <w:szCs w:val="24"/>
          <w:highlight w:val="none"/>
          <w:lang w:bidi="zh-CN"/>
        </w:rPr>
        <w:t>t/a，NO</w:t>
      </w:r>
      <w:r>
        <w:rPr>
          <w:rFonts w:hint="default" w:ascii="Times New Roman" w:hAnsi="Times New Roman" w:cs="Times New Roman"/>
          <w:color w:val="auto"/>
          <w:sz w:val="24"/>
          <w:szCs w:val="24"/>
          <w:highlight w:val="none"/>
          <w:vertAlign w:val="subscript"/>
          <w:lang w:bidi="zh-CN"/>
        </w:rPr>
        <w:t>x</w:t>
      </w:r>
      <w:r>
        <w:rPr>
          <w:rFonts w:hint="default" w:ascii="Times New Roman" w:hAnsi="Times New Roman" w:cs="Times New Roman"/>
          <w:color w:val="auto"/>
          <w:sz w:val="24"/>
          <w:szCs w:val="24"/>
          <w:highlight w:val="none"/>
          <w:lang w:bidi="zh-CN"/>
        </w:rPr>
        <w:t xml:space="preserve"> </w:t>
      </w:r>
      <w:r>
        <w:rPr>
          <w:rFonts w:hint="default" w:ascii="Times New Roman" w:hAnsi="Times New Roman" w:cs="Times New Roman"/>
          <w:color w:val="auto"/>
          <w:sz w:val="24"/>
          <w:szCs w:val="24"/>
          <w:highlight w:val="none"/>
          <w:vertAlign w:val="baseline"/>
          <w:lang w:val="en-US" w:eastAsia="zh-CN"/>
        </w:rPr>
        <w:t>0.234</w:t>
      </w:r>
      <w:r>
        <w:rPr>
          <w:rFonts w:hint="default" w:ascii="Times New Roman" w:hAnsi="Times New Roman" w:cs="Times New Roman"/>
          <w:color w:val="auto"/>
          <w:sz w:val="24"/>
          <w:szCs w:val="24"/>
          <w:highlight w:val="none"/>
          <w:lang w:bidi="zh-CN"/>
        </w:rPr>
        <w:t>t/a，</w:t>
      </w:r>
      <w:r>
        <w:rPr>
          <w:rFonts w:hint="default" w:ascii="Times New Roman" w:hAnsi="Times New Roman" w:cs="Times New Roman"/>
          <w:color w:val="auto"/>
          <w:sz w:val="24"/>
          <w:szCs w:val="24"/>
          <w:highlight w:val="none"/>
          <w:lang w:val="en-US" w:bidi="zh-CN"/>
        </w:rPr>
        <w:t>TSP</w:t>
      </w:r>
      <w:r>
        <w:rPr>
          <w:rFonts w:hint="default" w:ascii="Times New Roman" w:hAnsi="Times New Roman" w:cs="Times New Roman"/>
          <w:color w:val="auto"/>
          <w:sz w:val="24"/>
          <w:szCs w:val="24"/>
          <w:highlight w:val="none"/>
          <w:lang w:val="en-US" w:eastAsia="zh-CN"/>
        </w:rPr>
        <w:t>0.107</w:t>
      </w:r>
      <w:r>
        <w:rPr>
          <w:rFonts w:hint="default" w:ascii="Times New Roman" w:hAnsi="Times New Roman" w:cs="Times New Roman"/>
          <w:color w:val="auto"/>
          <w:sz w:val="24"/>
          <w:szCs w:val="24"/>
          <w:highlight w:val="none"/>
          <w:lang w:bidi="zh-CN"/>
        </w:rPr>
        <w:t>t/a</w:t>
      </w:r>
    </w:p>
    <w:p w14:paraId="30C28E70">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结合《固定污染源排污许可分类管理名录（2019年版）》，本项目属于登记管理类，因此，项目不设大气总量控制指标。</w:t>
      </w:r>
    </w:p>
    <w:p w14:paraId="2B6EF24C">
      <w:pPr>
        <w:snapToGrid w:val="0"/>
        <w:spacing w:line="360" w:lineRule="auto"/>
        <w:ind w:firstLine="482" w:firstLineChars="200"/>
        <w:rPr>
          <w:rFonts w:hint="default" w:ascii="Times New Roman" w:hAnsi="Times New Roman" w:cs="Times New Roman"/>
          <w:b/>
          <w:color w:val="auto"/>
          <w:sz w:val="24"/>
          <w:highlight w:val="none"/>
        </w:rPr>
      </w:pPr>
      <w:bookmarkStart w:id="444" w:name="_Toc13313"/>
      <w:bookmarkStart w:id="445" w:name="_Toc14771"/>
      <w:r>
        <w:rPr>
          <w:rFonts w:hint="default" w:ascii="Times New Roman" w:hAnsi="Times New Roman" w:cs="Times New Roman"/>
          <w:b/>
          <w:color w:val="auto"/>
          <w:sz w:val="24"/>
          <w:highlight w:val="none"/>
        </w:rPr>
        <w:t>（2）废水</w:t>
      </w:r>
      <w:bookmarkEnd w:id="444"/>
      <w:bookmarkEnd w:id="445"/>
    </w:p>
    <w:p w14:paraId="3A815C87">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项目运营</w:t>
      </w:r>
      <w:r>
        <w:rPr>
          <w:rFonts w:hint="default" w:ascii="Times New Roman" w:hAnsi="Times New Roman" w:eastAsia="宋体" w:cs="Times New Roman"/>
          <w:color w:val="auto"/>
          <w:sz w:val="24"/>
          <w:highlight w:val="none"/>
        </w:rPr>
        <w:t>期养殖废水和</w:t>
      </w:r>
      <w:r>
        <w:rPr>
          <w:rFonts w:hint="eastAsia" w:ascii="Times New Roman" w:hAnsi="Times New Roman" w:cs="Times New Roman"/>
          <w:color w:val="auto"/>
          <w:sz w:val="24"/>
          <w:highlight w:val="none"/>
          <w:lang w:eastAsia="zh-CN"/>
        </w:rPr>
        <w:t>生活污水</w:t>
      </w:r>
      <w:r>
        <w:rPr>
          <w:rFonts w:hint="default" w:ascii="Times New Roman" w:hAnsi="Times New Roman" w:eastAsia="宋体" w:cs="Times New Roman"/>
          <w:color w:val="auto"/>
          <w:sz w:val="24"/>
          <w:highlight w:val="none"/>
          <w:lang w:val="en-US" w:eastAsia="zh-CN"/>
        </w:rPr>
        <w:t>依托弥勒温氏畜牧有限公司新哨种猪场建设项目污水处理站处理后用于绿化及</w:t>
      </w:r>
      <w:r>
        <w:rPr>
          <w:rFonts w:hint="default" w:ascii="Times New Roman" w:hAnsi="Times New Roman" w:cs="Times New Roman"/>
          <w:color w:val="auto"/>
          <w:sz w:val="24"/>
          <w:highlight w:val="none"/>
          <w:lang w:val="en-US" w:eastAsia="zh-CN"/>
        </w:rPr>
        <w:t>农田灌溉</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rPr>
        <w:t>不设废水总量控制指标。</w:t>
      </w:r>
    </w:p>
    <w:p w14:paraId="2E17D87F">
      <w:pPr>
        <w:snapToGrid w:val="0"/>
        <w:spacing w:line="360" w:lineRule="auto"/>
        <w:ind w:firstLine="482" w:firstLineChars="200"/>
        <w:rPr>
          <w:rFonts w:hint="default" w:ascii="Times New Roman" w:hAnsi="Times New Roman" w:cs="Times New Roman"/>
          <w:b/>
          <w:color w:val="auto"/>
          <w:sz w:val="24"/>
          <w:highlight w:val="none"/>
        </w:rPr>
      </w:pPr>
      <w:bookmarkStart w:id="446" w:name="_Toc32721"/>
      <w:bookmarkStart w:id="447" w:name="_Toc3517"/>
      <w:r>
        <w:rPr>
          <w:rFonts w:hint="default" w:ascii="Times New Roman" w:hAnsi="Times New Roman" w:cs="Times New Roman"/>
          <w:b/>
          <w:color w:val="auto"/>
          <w:sz w:val="24"/>
          <w:highlight w:val="none"/>
        </w:rPr>
        <w:t>（3）固废</w:t>
      </w:r>
      <w:bookmarkEnd w:id="446"/>
      <w:bookmarkEnd w:id="447"/>
    </w:p>
    <w:p w14:paraId="7D0B72B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固体废物处置率100%，不设总量控制指标。</w:t>
      </w:r>
    </w:p>
    <w:p w14:paraId="353871EF">
      <w:pPr>
        <w:pStyle w:val="3"/>
        <w:tabs>
          <w:tab w:val="left" w:pos="420"/>
        </w:tabs>
        <w:spacing w:before="0" w:after="0"/>
        <w:rPr>
          <w:rStyle w:val="34"/>
          <w:rFonts w:hint="default" w:ascii="Times New Roman" w:hAnsi="Times New Roman" w:cs="Times New Roman"/>
          <w:b w:val="0"/>
          <w:bCs w:val="0"/>
          <w:color w:val="auto"/>
          <w:sz w:val="24"/>
          <w:highlight w:val="none"/>
        </w:rPr>
      </w:pPr>
      <w:bookmarkStart w:id="448" w:name="_Toc40654370"/>
      <w:bookmarkStart w:id="449" w:name="_Toc8189"/>
      <w:bookmarkStart w:id="450" w:name="_Toc1255"/>
      <w:bookmarkStart w:id="451" w:name="_Toc16254"/>
      <w:bookmarkStart w:id="452" w:name="_Toc15368"/>
      <w:r>
        <w:rPr>
          <w:rStyle w:val="34"/>
          <w:rFonts w:hint="default" w:ascii="Times New Roman" w:hAnsi="Times New Roman" w:cs="Times New Roman"/>
          <w:b w:val="0"/>
          <w:bCs w:val="0"/>
          <w:color w:val="auto"/>
          <w:sz w:val="24"/>
          <w:highlight w:val="none"/>
        </w:rPr>
        <w:t>9.6环境监测计划</w:t>
      </w:r>
      <w:bookmarkEnd w:id="448"/>
      <w:bookmarkEnd w:id="449"/>
      <w:bookmarkEnd w:id="450"/>
      <w:bookmarkEnd w:id="451"/>
      <w:bookmarkEnd w:id="452"/>
    </w:p>
    <w:p w14:paraId="7BD1A5F8">
      <w:pPr>
        <w:widowControl/>
        <w:snapToGrid w:val="0"/>
        <w:spacing w:line="360" w:lineRule="auto"/>
        <w:ind w:firstLine="482" w:firstLineChars="200"/>
        <w:rPr>
          <w:rFonts w:hint="default" w:ascii="Times New Roman" w:hAnsi="Times New Roman" w:cs="Times New Roman"/>
          <w:b/>
          <w:color w:val="auto"/>
          <w:sz w:val="24"/>
          <w:szCs w:val="22"/>
          <w:highlight w:val="none"/>
        </w:rPr>
      </w:pPr>
      <w:r>
        <w:rPr>
          <w:rFonts w:hint="default" w:ascii="Times New Roman" w:hAnsi="Times New Roman" w:cs="Times New Roman"/>
          <w:b/>
          <w:color w:val="auto"/>
          <w:sz w:val="24"/>
          <w:szCs w:val="22"/>
          <w:highlight w:val="none"/>
        </w:rPr>
        <w:t>1、排污许可等级判断</w:t>
      </w:r>
    </w:p>
    <w:p w14:paraId="75A4395C">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2"/>
          <w:highlight w:val="none"/>
        </w:rPr>
        <w:t>结合《固定污染源排污许可分类管理名录（2019年版）》，本项目属于“一、畜牧业03”—“牲畜饲养031”，</w:t>
      </w:r>
      <w:r>
        <w:rPr>
          <w:rFonts w:hint="default" w:ascii="Times New Roman" w:hAnsi="Times New Roman" w:cs="Times New Roman"/>
          <w:color w:val="auto"/>
          <w:sz w:val="24"/>
          <w:highlight w:val="none"/>
        </w:rPr>
        <w:t>项目养殖废水和生活废水</w:t>
      </w:r>
      <w:r>
        <w:rPr>
          <w:rFonts w:hint="default" w:ascii="Times New Roman" w:hAnsi="Times New Roman" w:eastAsia="宋体" w:cs="Times New Roman"/>
          <w:color w:val="auto"/>
          <w:sz w:val="24"/>
          <w:highlight w:val="none"/>
          <w:lang w:val="en-US" w:eastAsia="zh-CN"/>
        </w:rPr>
        <w:t>依托弥勒温氏畜牧有限公司新哨种猪场建设项目污水处理站处理后用于绿化及</w:t>
      </w:r>
      <w:r>
        <w:rPr>
          <w:rFonts w:hint="default" w:ascii="Times New Roman" w:hAnsi="Times New Roman" w:cs="Times New Roman"/>
          <w:color w:val="auto"/>
          <w:sz w:val="24"/>
          <w:highlight w:val="none"/>
          <w:lang w:val="en-US" w:eastAsia="zh-CN"/>
        </w:rPr>
        <w:t>农田灌溉</w:t>
      </w:r>
      <w:r>
        <w:rPr>
          <w:rFonts w:hint="default" w:ascii="Times New Roman" w:hAnsi="Times New Roman" w:cs="Times New Roman"/>
          <w:color w:val="auto"/>
          <w:sz w:val="24"/>
          <w:highlight w:val="none"/>
        </w:rPr>
        <w:t>，不设污水排放口，</w:t>
      </w:r>
      <w:r>
        <w:rPr>
          <w:rFonts w:hint="default" w:ascii="Times New Roman" w:hAnsi="Times New Roman" w:cs="Times New Roman"/>
          <w:color w:val="auto"/>
          <w:sz w:val="24"/>
          <w:szCs w:val="22"/>
          <w:highlight w:val="none"/>
        </w:rPr>
        <w:t>经分析，本项目排污许可属“登记管理”。</w:t>
      </w:r>
    </w:p>
    <w:p w14:paraId="68D3BB51">
      <w:pPr>
        <w:tabs>
          <w:tab w:val="left" w:pos="611"/>
        </w:tabs>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2、监测计划</w:t>
      </w:r>
    </w:p>
    <w:p w14:paraId="6EC39F75">
      <w:pPr>
        <w:tabs>
          <w:tab w:val="left" w:pos="611"/>
        </w:tabs>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境监测是环境管理的基础，是开展环境科学研究、防止环境破坏和污染的重要依据。由于本项目为小型企业，进行环境监测的主要任务是检查工程运行时，企业所产生的主要污染源经治理后是否达到了国家规定的排放标准，找出工程排污和环境质量的演变规律，为环境管理和污染治理提供依据。环境监测分为环境质量和污染源监测。工程环境监测工作可委托具有相应资质的监测站承担。</w:t>
      </w:r>
    </w:p>
    <w:p w14:paraId="3141EE19">
      <w:pPr>
        <w:widowControl/>
        <w:snapToGrid w:val="0"/>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项目属非重点排污单位，根据项目特点，结合《排污单位自行监测技术指南 畜禽养殖业》（HJ1252-2022）、《排污单位自行监测技术指南 总则》（HJ819-2017）、等相关规范，项目运营期污染源监测计划见表9.6-1。</w:t>
      </w:r>
    </w:p>
    <w:p w14:paraId="0594E7C1">
      <w:pPr>
        <w:tabs>
          <w:tab w:val="left" w:pos="611"/>
        </w:tabs>
        <w:snapToGrid w:val="0"/>
        <w:jc w:val="center"/>
        <w:rPr>
          <w:rFonts w:hint="default" w:ascii="Times New Roman" w:hAnsi="Times New Roman" w:cs="Times New Roman"/>
          <w:b/>
          <w:color w:val="auto"/>
          <w:kern w:val="0"/>
          <w:szCs w:val="21"/>
          <w:highlight w:val="none"/>
        </w:rPr>
        <w:sectPr>
          <w:footerReference r:id="rId27" w:type="first"/>
          <w:footerReference r:id="rId26" w:type="default"/>
          <w:pgSz w:w="11907" w:h="16839"/>
          <w:pgMar w:top="1247" w:right="1361" w:bottom="1247" w:left="1361" w:header="765" w:footer="765" w:gutter="0"/>
          <w:pgBorders>
            <w:top w:val="none" w:sz="0" w:space="0"/>
            <w:left w:val="none" w:sz="0" w:space="0"/>
            <w:bottom w:val="none" w:sz="0" w:space="0"/>
            <w:right w:val="none" w:sz="0" w:space="0"/>
          </w:pgBorders>
          <w:pgNumType w:fmt="decimal"/>
          <w:cols w:space="720" w:num="1"/>
          <w:titlePg/>
          <w:docGrid w:type="lines" w:linePitch="312" w:charSpace="0"/>
        </w:sectPr>
      </w:pPr>
    </w:p>
    <w:p w14:paraId="7A2D562F">
      <w:pPr>
        <w:tabs>
          <w:tab w:val="left" w:pos="611"/>
        </w:tabs>
        <w:snapToGri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表9.6-1    运营期环境监测计划一览表</w:t>
      </w:r>
    </w:p>
    <w:tbl>
      <w:tblPr>
        <w:tblStyle w:val="23"/>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1767"/>
        <w:gridCol w:w="1561"/>
        <w:gridCol w:w="1858"/>
        <w:gridCol w:w="3204"/>
      </w:tblGrid>
      <w:tr w14:paraId="5AE2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11" w:type="dxa"/>
            <w:vAlign w:val="center"/>
          </w:tcPr>
          <w:p w14:paraId="59A0C860">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lang w:bidi="zh-CN"/>
              </w:rPr>
            </w:pPr>
            <w:r>
              <w:rPr>
                <w:rFonts w:hint="default" w:ascii="Times New Roman" w:hAnsi="Times New Roman" w:cs="Times New Roman"/>
                <w:b/>
                <w:color w:val="auto"/>
                <w:sz w:val="18"/>
                <w:szCs w:val="18"/>
                <w:highlight w:val="none"/>
                <w:lang w:bidi="zh-CN"/>
              </w:rPr>
              <w:t>监测对象</w:t>
            </w:r>
          </w:p>
        </w:tc>
        <w:tc>
          <w:tcPr>
            <w:tcW w:w="1767" w:type="dxa"/>
            <w:vAlign w:val="center"/>
          </w:tcPr>
          <w:p w14:paraId="24E92DAE">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lang w:bidi="zh-CN"/>
              </w:rPr>
            </w:pPr>
            <w:r>
              <w:rPr>
                <w:rFonts w:hint="default" w:ascii="Times New Roman" w:hAnsi="Times New Roman" w:cs="Times New Roman"/>
                <w:b/>
                <w:color w:val="auto"/>
                <w:sz w:val="18"/>
                <w:szCs w:val="18"/>
                <w:highlight w:val="none"/>
                <w:lang w:bidi="zh-CN"/>
              </w:rPr>
              <w:t>监测点位</w:t>
            </w:r>
          </w:p>
        </w:tc>
        <w:tc>
          <w:tcPr>
            <w:tcW w:w="1561" w:type="dxa"/>
            <w:vAlign w:val="center"/>
          </w:tcPr>
          <w:p w14:paraId="7A8F0677">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lang w:bidi="zh-CN"/>
              </w:rPr>
            </w:pPr>
            <w:r>
              <w:rPr>
                <w:rFonts w:hint="default" w:ascii="Times New Roman" w:hAnsi="Times New Roman" w:cs="Times New Roman"/>
                <w:b/>
                <w:color w:val="auto"/>
                <w:sz w:val="18"/>
                <w:szCs w:val="18"/>
                <w:highlight w:val="none"/>
                <w:lang w:bidi="zh-CN"/>
              </w:rPr>
              <w:t>监测因子</w:t>
            </w:r>
          </w:p>
        </w:tc>
        <w:tc>
          <w:tcPr>
            <w:tcW w:w="1858" w:type="dxa"/>
            <w:vAlign w:val="center"/>
          </w:tcPr>
          <w:p w14:paraId="2A2C6CCB">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lang w:bidi="zh-CN"/>
              </w:rPr>
            </w:pPr>
            <w:r>
              <w:rPr>
                <w:rFonts w:hint="default" w:ascii="Times New Roman" w:hAnsi="Times New Roman" w:cs="Times New Roman"/>
                <w:b/>
                <w:color w:val="auto"/>
                <w:sz w:val="18"/>
                <w:szCs w:val="18"/>
                <w:highlight w:val="none"/>
                <w:lang w:bidi="zh-CN"/>
              </w:rPr>
              <w:t>监测频率</w:t>
            </w:r>
          </w:p>
        </w:tc>
        <w:tc>
          <w:tcPr>
            <w:tcW w:w="3204" w:type="dxa"/>
            <w:vAlign w:val="center"/>
          </w:tcPr>
          <w:p w14:paraId="642748FC">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lang w:bidi="zh-CN"/>
              </w:rPr>
            </w:pPr>
            <w:r>
              <w:rPr>
                <w:rFonts w:hint="default" w:ascii="Times New Roman" w:hAnsi="Times New Roman" w:cs="Times New Roman"/>
                <w:b/>
                <w:color w:val="auto"/>
                <w:sz w:val="18"/>
                <w:szCs w:val="18"/>
                <w:highlight w:val="none"/>
                <w:lang w:bidi="zh-CN"/>
              </w:rPr>
              <w:t>执行标准</w:t>
            </w:r>
          </w:p>
        </w:tc>
      </w:tr>
      <w:tr w14:paraId="3CA2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gridSpan w:val="5"/>
            <w:vAlign w:val="center"/>
          </w:tcPr>
          <w:p w14:paraId="72414397">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lang w:bidi="zh-CN"/>
              </w:rPr>
            </w:pPr>
            <w:r>
              <w:rPr>
                <w:rFonts w:hint="default" w:ascii="Times New Roman" w:hAnsi="Times New Roman" w:cs="Times New Roman"/>
                <w:b/>
                <w:color w:val="auto"/>
                <w:sz w:val="18"/>
                <w:szCs w:val="18"/>
                <w:highlight w:val="none"/>
                <w:lang w:bidi="zh-CN"/>
              </w:rPr>
              <w:t>污染源监测</w:t>
            </w:r>
          </w:p>
        </w:tc>
      </w:tr>
      <w:tr w14:paraId="3CE4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14:paraId="37FE0BF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废气</w:t>
            </w:r>
          </w:p>
        </w:tc>
        <w:tc>
          <w:tcPr>
            <w:tcW w:w="1767" w:type="dxa"/>
            <w:vAlign w:val="center"/>
          </w:tcPr>
          <w:p w14:paraId="6F9880D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厂界上风向厂界外10m处设置一对照点，下风向厂界外10m 处设两个监控点</w:t>
            </w:r>
          </w:p>
        </w:tc>
        <w:tc>
          <w:tcPr>
            <w:tcW w:w="1561" w:type="dxa"/>
            <w:vAlign w:val="center"/>
          </w:tcPr>
          <w:p w14:paraId="18337D3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H</w:t>
            </w:r>
            <w:r>
              <w:rPr>
                <w:rFonts w:hint="default" w:ascii="Times New Roman" w:hAnsi="Times New Roman" w:cs="Times New Roman"/>
                <w:color w:val="auto"/>
                <w:sz w:val="18"/>
                <w:szCs w:val="18"/>
                <w:highlight w:val="none"/>
                <w:vertAlign w:val="subscript"/>
                <w:lang w:bidi="zh-CN"/>
              </w:rPr>
              <w:t>2</w:t>
            </w:r>
            <w:r>
              <w:rPr>
                <w:rFonts w:hint="default" w:ascii="Times New Roman" w:hAnsi="Times New Roman" w:cs="Times New Roman"/>
                <w:color w:val="auto"/>
                <w:sz w:val="18"/>
                <w:szCs w:val="18"/>
                <w:highlight w:val="none"/>
                <w:lang w:bidi="zh-CN"/>
              </w:rPr>
              <w:t>S、NH</w:t>
            </w:r>
            <w:r>
              <w:rPr>
                <w:rFonts w:hint="default" w:ascii="Times New Roman" w:hAnsi="Times New Roman" w:cs="Times New Roman"/>
                <w:color w:val="auto"/>
                <w:sz w:val="18"/>
                <w:szCs w:val="18"/>
                <w:highlight w:val="none"/>
                <w:vertAlign w:val="subscript"/>
                <w:lang w:bidi="zh-CN"/>
              </w:rPr>
              <w:t>3</w:t>
            </w:r>
            <w:r>
              <w:rPr>
                <w:rFonts w:hint="default" w:ascii="Times New Roman" w:hAnsi="Times New Roman" w:cs="Times New Roman"/>
                <w:color w:val="auto"/>
                <w:sz w:val="18"/>
                <w:szCs w:val="18"/>
                <w:highlight w:val="none"/>
                <w:lang w:bidi="zh-CN"/>
              </w:rPr>
              <w:t>、臭气浓度</w:t>
            </w:r>
          </w:p>
        </w:tc>
        <w:tc>
          <w:tcPr>
            <w:tcW w:w="1858" w:type="dxa"/>
            <w:vAlign w:val="center"/>
          </w:tcPr>
          <w:p w14:paraId="00AF93C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臭气浓度：1次/半年；H</w:t>
            </w:r>
            <w:r>
              <w:rPr>
                <w:rFonts w:hint="default" w:ascii="Times New Roman" w:hAnsi="Times New Roman" w:cs="Times New Roman"/>
                <w:color w:val="auto"/>
                <w:sz w:val="18"/>
                <w:szCs w:val="18"/>
                <w:highlight w:val="none"/>
                <w:vertAlign w:val="subscript"/>
                <w:lang w:bidi="zh-CN"/>
              </w:rPr>
              <w:t>2</w:t>
            </w:r>
            <w:r>
              <w:rPr>
                <w:rFonts w:hint="default" w:ascii="Times New Roman" w:hAnsi="Times New Roman" w:cs="Times New Roman"/>
                <w:color w:val="auto"/>
                <w:sz w:val="18"/>
                <w:szCs w:val="18"/>
                <w:highlight w:val="none"/>
                <w:lang w:bidi="zh-CN"/>
              </w:rPr>
              <w:t>S、NH</w:t>
            </w:r>
            <w:r>
              <w:rPr>
                <w:rFonts w:hint="default" w:ascii="Times New Roman" w:hAnsi="Times New Roman" w:cs="Times New Roman"/>
                <w:color w:val="auto"/>
                <w:sz w:val="18"/>
                <w:szCs w:val="18"/>
                <w:highlight w:val="none"/>
                <w:vertAlign w:val="subscript"/>
                <w:lang w:bidi="zh-CN"/>
              </w:rPr>
              <w:t xml:space="preserve">3 </w:t>
            </w:r>
            <w:r>
              <w:rPr>
                <w:rFonts w:hint="default" w:ascii="Times New Roman" w:hAnsi="Times New Roman" w:cs="Times New Roman"/>
                <w:color w:val="auto"/>
                <w:sz w:val="18"/>
                <w:szCs w:val="18"/>
                <w:highlight w:val="none"/>
                <w:lang w:bidi="zh-CN"/>
              </w:rPr>
              <w:t>1次/年；每次均监测</w:t>
            </w:r>
            <w:r>
              <w:rPr>
                <w:rFonts w:hint="default" w:ascii="Times New Roman" w:hAnsi="Times New Roman" w:cs="Times New Roman"/>
                <w:color w:val="auto"/>
                <w:sz w:val="18"/>
                <w:szCs w:val="18"/>
                <w:highlight w:val="none"/>
                <w:lang w:val="en-US" w:bidi="zh-CN"/>
              </w:rPr>
              <w:t>1</w:t>
            </w:r>
            <w:r>
              <w:rPr>
                <w:rFonts w:hint="default" w:ascii="Times New Roman" w:hAnsi="Times New Roman" w:cs="Times New Roman"/>
                <w:color w:val="auto"/>
                <w:sz w:val="18"/>
                <w:szCs w:val="18"/>
                <w:highlight w:val="none"/>
                <w:lang w:bidi="zh-CN"/>
              </w:rPr>
              <w:t>d</w:t>
            </w:r>
          </w:p>
        </w:tc>
        <w:tc>
          <w:tcPr>
            <w:tcW w:w="3204" w:type="dxa"/>
            <w:vAlign w:val="center"/>
          </w:tcPr>
          <w:p w14:paraId="799D84C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《恶臭污染物排放标准》（GB14554-93），（NH</w:t>
            </w:r>
            <w:r>
              <w:rPr>
                <w:rFonts w:hint="default" w:ascii="Times New Roman" w:hAnsi="Times New Roman" w:cs="Times New Roman"/>
                <w:color w:val="auto"/>
                <w:sz w:val="18"/>
                <w:szCs w:val="18"/>
                <w:highlight w:val="none"/>
                <w:vertAlign w:val="subscript"/>
                <w:lang w:bidi="zh-CN"/>
              </w:rPr>
              <w:t>3</w:t>
            </w:r>
            <w:r>
              <w:rPr>
                <w:rFonts w:hint="default" w:ascii="Times New Roman" w:hAnsi="Times New Roman" w:cs="Times New Roman"/>
                <w:color w:val="auto"/>
                <w:sz w:val="18"/>
                <w:szCs w:val="18"/>
                <w:highlight w:val="none"/>
                <w:lang w:bidi="zh-CN"/>
              </w:rPr>
              <w:t>≤1.5mg/m</w:t>
            </w:r>
            <w:r>
              <w:rPr>
                <w:rFonts w:hint="default" w:ascii="Times New Roman" w:hAnsi="Times New Roman" w:cs="Times New Roman"/>
                <w:color w:val="auto"/>
                <w:sz w:val="18"/>
                <w:szCs w:val="18"/>
                <w:highlight w:val="none"/>
                <w:vertAlign w:val="superscript"/>
                <w:lang w:bidi="zh-CN"/>
              </w:rPr>
              <w:t>3</w:t>
            </w:r>
            <w:r>
              <w:rPr>
                <w:rFonts w:hint="default" w:ascii="Times New Roman" w:hAnsi="Times New Roman" w:cs="Times New Roman"/>
                <w:color w:val="auto"/>
                <w:sz w:val="18"/>
                <w:szCs w:val="18"/>
                <w:highlight w:val="none"/>
                <w:lang w:bidi="zh-CN"/>
              </w:rPr>
              <w:t>、H</w:t>
            </w:r>
            <w:r>
              <w:rPr>
                <w:rFonts w:hint="default" w:ascii="Times New Roman" w:hAnsi="Times New Roman" w:cs="Times New Roman"/>
                <w:color w:val="auto"/>
                <w:sz w:val="18"/>
                <w:szCs w:val="18"/>
                <w:highlight w:val="none"/>
                <w:vertAlign w:val="subscript"/>
                <w:lang w:bidi="zh-CN"/>
              </w:rPr>
              <w:t>2</w:t>
            </w:r>
            <w:r>
              <w:rPr>
                <w:rFonts w:hint="default" w:ascii="Times New Roman" w:hAnsi="Times New Roman" w:cs="Times New Roman"/>
                <w:color w:val="auto"/>
                <w:sz w:val="18"/>
                <w:szCs w:val="18"/>
                <w:highlight w:val="none"/>
                <w:lang w:bidi="zh-CN"/>
              </w:rPr>
              <w:t>S≤0.06mg/m</w:t>
            </w:r>
            <w:r>
              <w:rPr>
                <w:rFonts w:hint="default" w:ascii="Times New Roman" w:hAnsi="Times New Roman" w:cs="Times New Roman"/>
                <w:color w:val="auto"/>
                <w:sz w:val="18"/>
                <w:szCs w:val="18"/>
                <w:highlight w:val="none"/>
                <w:vertAlign w:val="superscript"/>
                <w:lang w:bidi="zh-CN"/>
              </w:rPr>
              <w:t>3</w:t>
            </w:r>
            <w:r>
              <w:rPr>
                <w:rFonts w:hint="default" w:ascii="Times New Roman" w:hAnsi="Times New Roman" w:cs="Times New Roman"/>
                <w:color w:val="auto"/>
                <w:sz w:val="18"/>
                <w:szCs w:val="18"/>
                <w:highlight w:val="none"/>
                <w:lang w:bidi="zh-CN"/>
              </w:rPr>
              <w:t>），《畜禽养殖业污染物排放标准》（GB18596-2001）（厂界臭气浓度标准值为70）</w:t>
            </w:r>
          </w:p>
        </w:tc>
      </w:tr>
      <w:tr w14:paraId="7F9C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14:paraId="641055A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噪声</w:t>
            </w:r>
          </w:p>
        </w:tc>
        <w:tc>
          <w:tcPr>
            <w:tcW w:w="1767" w:type="dxa"/>
            <w:vAlign w:val="center"/>
          </w:tcPr>
          <w:p w14:paraId="427CBBD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 xml:space="preserve">东、南、西、北厂界外1m； </w:t>
            </w:r>
          </w:p>
        </w:tc>
        <w:tc>
          <w:tcPr>
            <w:tcW w:w="1561" w:type="dxa"/>
            <w:vAlign w:val="center"/>
          </w:tcPr>
          <w:p w14:paraId="1CBC9C3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等效声级dB（A）</w:t>
            </w:r>
          </w:p>
        </w:tc>
        <w:tc>
          <w:tcPr>
            <w:tcW w:w="1858" w:type="dxa"/>
            <w:vAlign w:val="center"/>
          </w:tcPr>
          <w:p w14:paraId="77000C5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1次/季度；每次监测</w:t>
            </w:r>
            <w:r>
              <w:rPr>
                <w:rFonts w:hint="default" w:ascii="Times New Roman" w:hAnsi="Times New Roman" w:cs="Times New Roman"/>
                <w:color w:val="auto"/>
                <w:sz w:val="18"/>
                <w:szCs w:val="18"/>
                <w:highlight w:val="none"/>
                <w:lang w:val="en-US" w:bidi="zh-CN"/>
              </w:rPr>
              <w:t>1</w:t>
            </w:r>
            <w:r>
              <w:rPr>
                <w:rFonts w:hint="default" w:ascii="Times New Roman" w:hAnsi="Times New Roman" w:cs="Times New Roman"/>
                <w:color w:val="auto"/>
                <w:sz w:val="18"/>
                <w:szCs w:val="18"/>
                <w:highlight w:val="none"/>
                <w:lang w:bidi="zh-CN"/>
              </w:rPr>
              <w:t>d，每天昼夜各1次</w:t>
            </w:r>
          </w:p>
        </w:tc>
        <w:tc>
          <w:tcPr>
            <w:tcW w:w="3204" w:type="dxa"/>
            <w:vAlign w:val="center"/>
          </w:tcPr>
          <w:p w14:paraId="5B30976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执行《工业企业厂界环境噪声排放标准》（GB12348-2008）2类标准</w:t>
            </w:r>
          </w:p>
        </w:tc>
      </w:tr>
      <w:tr w14:paraId="1C43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gridSpan w:val="5"/>
            <w:vAlign w:val="center"/>
          </w:tcPr>
          <w:p w14:paraId="0B0B3FBA">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lang w:bidi="zh-CN"/>
              </w:rPr>
            </w:pPr>
            <w:r>
              <w:rPr>
                <w:rFonts w:hint="default" w:ascii="Times New Roman" w:hAnsi="Times New Roman" w:cs="Times New Roman"/>
                <w:b/>
                <w:color w:val="auto"/>
                <w:sz w:val="18"/>
                <w:szCs w:val="18"/>
                <w:highlight w:val="none"/>
                <w:lang w:bidi="zh-CN"/>
              </w:rPr>
              <w:t>环境质量监测</w:t>
            </w:r>
          </w:p>
        </w:tc>
      </w:tr>
      <w:tr w14:paraId="1B2B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14:paraId="68DB7DA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地下水</w:t>
            </w:r>
          </w:p>
        </w:tc>
        <w:tc>
          <w:tcPr>
            <w:tcW w:w="1767" w:type="dxa"/>
            <w:vAlign w:val="center"/>
          </w:tcPr>
          <w:p w14:paraId="66CD74B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项目区跟踪监测井</w:t>
            </w:r>
          </w:p>
        </w:tc>
        <w:tc>
          <w:tcPr>
            <w:tcW w:w="1561" w:type="dxa"/>
            <w:vAlign w:val="center"/>
          </w:tcPr>
          <w:p w14:paraId="028A3F5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pH、耗氧量（COD</w:t>
            </w:r>
            <w:r>
              <w:rPr>
                <w:rFonts w:hint="default" w:ascii="Times New Roman" w:hAnsi="Times New Roman" w:cs="Times New Roman"/>
                <w:color w:val="auto"/>
                <w:sz w:val="18"/>
                <w:szCs w:val="18"/>
                <w:highlight w:val="none"/>
                <w:vertAlign w:val="subscript"/>
                <w:lang w:bidi="zh-CN"/>
              </w:rPr>
              <w:t>Mn</w:t>
            </w:r>
            <w:r>
              <w:rPr>
                <w:rFonts w:hint="default" w:ascii="Times New Roman" w:hAnsi="Times New Roman" w:cs="Times New Roman"/>
                <w:color w:val="auto"/>
                <w:sz w:val="18"/>
                <w:szCs w:val="18"/>
                <w:highlight w:val="none"/>
                <w:lang w:bidi="zh-CN"/>
              </w:rPr>
              <w:t>）、NH</w:t>
            </w:r>
            <w:r>
              <w:rPr>
                <w:rFonts w:hint="default" w:ascii="Times New Roman" w:hAnsi="Times New Roman" w:cs="Times New Roman"/>
                <w:color w:val="auto"/>
                <w:sz w:val="18"/>
                <w:szCs w:val="18"/>
                <w:highlight w:val="none"/>
                <w:vertAlign w:val="subscript"/>
                <w:lang w:bidi="zh-CN"/>
              </w:rPr>
              <w:t>3</w:t>
            </w:r>
            <w:r>
              <w:rPr>
                <w:rFonts w:hint="default" w:ascii="Times New Roman" w:hAnsi="Times New Roman" w:cs="Times New Roman"/>
                <w:color w:val="auto"/>
                <w:sz w:val="18"/>
                <w:szCs w:val="18"/>
                <w:highlight w:val="none"/>
                <w:lang w:bidi="zh-CN"/>
              </w:rPr>
              <w:t>-N、溶解性总固体、总大肠菌群、细菌总数</w:t>
            </w:r>
          </w:p>
        </w:tc>
        <w:tc>
          <w:tcPr>
            <w:tcW w:w="1858" w:type="dxa"/>
            <w:vAlign w:val="center"/>
          </w:tcPr>
          <w:p w14:paraId="620DDD2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1次/年，每次监测</w:t>
            </w:r>
            <w:r>
              <w:rPr>
                <w:rFonts w:hint="default" w:ascii="Times New Roman" w:hAnsi="Times New Roman" w:cs="Times New Roman"/>
                <w:color w:val="auto"/>
                <w:sz w:val="18"/>
                <w:szCs w:val="18"/>
                <w:highlight w:val="none"/>
                <w:lang w:val="en-US" w:bidi="zh-CN"/>
              </w:rPr>
              <w:t>1</w:t>
            </w:r>
            <w:r>
              <w:rPr>
                <w:rFonts w:hint="default" w:ascii="Times New Roman" w:hAnsi="Times New Roman" w:cs="Times New Roman"/>
                <w:color w:val="auto"/>
                <w:sz w:val="18"/>
                <w:szCs w:val="18"/>
                <w:highlight w:val="none"/>
                <w:lang w:bidi="zh-CN"/>
              </w:rPr>
              <w:t>d，每天不少于2次</w:t>
            </w:r>
          </w:p>
        </w:tc>
        <w:tc>
          <w:tcPr>
            <w:tcW w:w="3204" w:type="dxa"/>
            <w:vAlign w:val="center"/>
          </w:tcPr>
          <w:p w14:paraId="3EC74F5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《地下水质量标准》（GB/T14848-2017）中Ⅲ类</w:t>
            </w:r>
          </w:p>
        </w:tc>
      </w:tr>
      <w:tr w14:paraId="420D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14:paraId="01B08FD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bidi="zh-CN"/>
              </w:rPr>
            </w:pPr>
            <w:r>
              <w:rPr>
                <w:rFonts w:hint="default" w:ascii="Times New Roman" w:hAnsi="Times New Roman" w:cs="Times New Roman"/>
                <w:color w:val="auto"/>
                <w:sz w:val="18"/>
                <w:szCs w:val="18"/>
                <w:highlight w:val="none"/>
                <w:lang w:val="en-US" w:bidi="zh-CN"/>
              </w:rPr>
              <w:t>土壤</w:t>
            </w:r>
          </w:p>
        </w:tc>
        <w:tc>
          <w:tcPr>
            <w:tcW w:w="1767" w:type="dxa"/>
            <w:vAlign w:val="center"/>
          </w:tcPr>
          <w:p w14:paraId="68D379F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val="en-US" w:bidi="zh-CN"/>
              </w:rPr>
            </w:pPr>
            <w:r>
              <w:rPr>
                <w:rFonts w:hint="default" w:ascii="Times New Roman" w:hAnsi="Times New Roman" w:cs="Times New Roman"/>
                <w:color w:val="auto"/>
                <w:sz w:val="18"/>
                <w:szCs w:val="18"/>
                <w:highlight w:val="none"/>
                <w:lang w:val="en-US" w:bidi="zh-CN"/>
              </w:rPr>
              <w:t>各粪污消纳区设1个，共2个点</w:t>
            </w:r>
          </w:p>
        </w:tc>
        <w:tc>
          <w:tcPr>
            <w:tcW w:w="1561" w:type="dxa"/>
            <w:vAlign w:val="center"/>
          </w:tcPr>
          <w:p w14:paraId="1393202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rPr>
              <w:t>pH、含盐量</w:t>
            </w:r>
          </w:p>
        </w:tc>
        <w:tc>
          <w:tcPr>
            <w:tcW w:w="1858" w:type="dxa"/>
            <w:vAlign w:val="center"/>
          </w:tcPr>
          <w:p w14:paraId="2CEA2E6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bCs/>
                <w:color w:val="auto"/>
                <w:sz w:val="18"/>
                <w:szCs w:val="18"/>
                <w:highlight w:val="none"/>
              </w:rPr>
              <w:t>每5年开展1次监测</w:t>
            </w:r>
          </w:p>
        </w:tc>
        <w:tc>
          <w:tcPr>
            <w:tcW w:w="3204" w:type="dxa"/>
            <w:vAlign w:val="center"/>
          </w:tcPr>
          <w:p w14:paraId="7F9E15A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lang w:bidi="zh-CN"/>
              </w:rPr>
            </w:pPr>
            <w:r>
              <w:rPr>
                <w:rFonts w:hint="default" w:ascii="Times New Roman" w:hAnsi="Times New Roman" w:cs="Times New Roman"/>
                <w:color w:val="auto"/>
                <w:sz w:val="18"/>
                <w:szCs w:val="18"/>
                <w:highlight w:val="none"/>
                <w:lang w:bidi="zh-CN"/>
              </w:rPr>
              <w:t>《环境影响评价技术导则 土壤环境（试行）》（HJ964-2018）附录 D 中表 D.1 土壤盐化分级标准。</w:t>
            </w:r>
          </w:p>
        </w:tc>
      </w:tr>
    </w:tbl>
    <w:p w14:paraId="42E748E9">
      <w:pPr>
        <w:pStyle w:val="3"/>
        <w:tabs>
          <w:tab w:val="left" w:pos="420"/>
        </w:tabs>
        <w:spacing w:before="156" w:beforeLines="50" w:after="0"/>
        <w:rPr>
          <w:rStyle w:val="34"/>
          <w:rFonts w:hint="default" w:ascii="Times New Roman" w:hAnsi="Times New Roman" w:cs="Times New Roman"/>
          <w:b w:val="0"/>
          <w:bCs w:val="0"/>
          <w:color w:val="auto"/>
          <w:sz w:val="24"/>
          <w:highlight w:val="none"/>
        </w:rPr>
      </w:pPr>
      <w:bookmarkStart w:id="453" w:name="_Toc27535"/>
      <w:bookmarkStart w:id="454" w:name="_Toc20263"/>
      <w:bookmarkStart w:id="455" w:name="_Toc4646"/>
      <w:bookmarkStart w:id="456" w:name="_Toc10734"/>
      <w:r>
        <w:rPr>
          <w:rStyle w:val="34"/>
          <w:rFonts w:hint="default" w:ascii="Times New Roman" w:hAnsi="Times New Roman" w:cs="Times New Roman"/>
          <w:b w:val="0"/>
          <w:bCs w:val="0"/>
          <w:color w:val="auto"/>
          <w:sz w:val="24"/>
          <w:highlight w:val="none"/>
        </w:rPr>
        <w:t>9.7环境保护竣工验收</w:t>
      </w:r>
      <w:bookmarkEnd w:id="453"/>
      <w:bookmarkEnd w:id="454"/>
      <w:bookmarkEnd w:id="455"/>
      <w:bookmarkEnd w:id="456"/>
    </w:p>
    <w:p w14:paraId="77927788">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2017年7月16日，国务院发布了第682号令《国务院关于修改&lt;建设项目环境保护管理条例&gt;的决定》，根据第十七条要求：编制环境影响报告书、环境影响报告表的建设项目竣工后，建设单位应当按照国务院环境保护行政主管部门规定的标准和程序，对配套建设的环境保护措施进行验收，编制验收报告。</w:t>
      </w:r>
    </w:p>
    <w:p w14:paraId="2CE2DFDC">
      <w:pPr>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因此，本项目工程竣工后，建设单位应按照《建设项目竣工环境保护验收暂行办法》（国环规环评﹝2017﹞4号）的要求组织竣工环境保护验收。本次环评拟设的项目环境保护竣工验收内容详见表9.7-1。</w:t>
      </w:r>
    </w:p>
    <w:p w14:paraId="7D706D16">
      <w:pPr>
        <w:snapToGrid w:val="0"/>
        <w:spacing w:line="360" w:lineRule="auto"/>
        <w:ind w:firstLine="482"/>
        <w:rPr>
          <w:rFonts w:hint="default" w:ascii="Times New Roman" w:hAnsi="Times New Roman" w:cs="Times New Roman"/>
          <w:color w:val="auto"/>
          <w:sz w:val="24"/>
          <w:highlight w:val="none"/>
        </w:rPr>
        <w:sectPr>
          <w:footerReference r:id="rId29" w:type="first"/>
          <w:footerReference r:id="rId28" w:type="default"/>
          <w:pgSz w:w="11907" w:h="16839"/>
          <w:pgMar w:top="1247" w:right="1361" w:bottom="1247" w:left="1361" w:header="765" w:footer="765" w:gutter="0"/>
          <w:pgBorders>
            <w:top w:val="none" w:sz="0" w:space="0"/>
            <w:left w:val="none" w:sz="0" w:space="0"/>
            <w:bottom w:val="none" w:sz="0" w:space="0"/>
            <w:right w:val="none" w:sz="0" w:space="0"/>
          </w:pgBorders>
          <w:pgNumType w:fmt="decimal"/>
          <w:cols w:space="720" w:num="1"/>
          <w:docGrid w:type="lines" w:linePitch="312" w:charSpace="0"/>
        </w:sectPr>
      </w:pPr>
    </w:p>
    <w:p w14:paraId="62AA6D2A">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表9.7-1     环境保护竣工验收一览表</w:t>
      </w:r>
    </w:p>
    <w:tbl>
      <w:tblPr>
        <w:tblStyle w:val="23"/>
        <w:tblW w:w="14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50"/>
        <w:gridCol w:w="151"/>
        <w:gridCol w:w="1987"/>
        <w:gridCol w:w="5243"/>
        <w:gridCol w:w="6230"/>
      </w:tblGrid>
      <w:tr w14:paraId="4C82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50" w:type="dxa"/>
            <w:shd w:val="clear" w:color="auto" w:fill="auto"/>
            <w:vAlign w:val="center"/>
          </w:tcPr>
          <w:p w14:paraId="17185B33">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验收项目</w:t>
            </w:r>
          </w:p>
        </w:tc>
        <w:tc>
          <w:tcPr>
            <w:tcW w:w="2138" w:type="dxa"/>
            <w:gridSpan w:val="2"/>
            <w:shd w:val="clear" w:color="auto" w:fill="auto"/>
            <w:vAlign w:val="center"/>
          </w:tcPr>
          <w:p w14:paraId="4454AD4B">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处理对象</w:t>
            </w:r>
          </w:p>
        </w:tc>
        <w:tc>
          <w:tcPr>
            <w:tcW w:w="5243" w:type="dxa"/>
            <w:shd w:val="clear" w:color="auto" w:fill="auto"/>
            <w:vAlign w:val="center"/>
          </w:tcPr>
          <w:p w14:paraId="06D88A41">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验收内容</w:t>
            </w:r>
          </w:p>
        </w:tc>
        <w:tc>
          <w:tcPr>
            <w:tcW w:w="6230" w:type="dxa"/>
            <w:shd w:val="clear" w:color="auto" w:fill="auto"/>
            <w:vAlign w:val="center"/>
          </w:tcPr>
          <w:p w14:paraId="29A887D2">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采用标准及验收要求</w:t>
            </w:r>
          </w:p>
        </w:tc>
      </w:tr>
      <w:tr w14:paraId="3D6A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Merge w:val="restart"/>
            <w:shd w:val="clear" w:color="auto" w:fill="auto"/>
            <w:vAlign w:val="center"/>
          </w:tcPr>
          <w:p w14:paraId="71226D6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废水治理</w:t>
            </w:r>
          </w:p>
        </w:tc>
        <w:tc>
          <w:tcPr>
            <w:tcW w:w="2138" w:type="dxa"/>
            <w:gridSpan w:val="2"/>
            <w:shd w:val="clear" w:color="auto" w:fill="auto"/>
            <w:vAlign w:val="center"/>
          </w:tcPr>
          <w:p w14:paraId="1D4021D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食堂废水</w:t>
            </w:r>
          </w:p>
        </w:tc>
        <w:tc>
          <w:tcPr>
            <w:tcW w:w="5243" w:type="dxa"/>
            <w:shd w:val="clear" w:color="auto" w:fill="auto"/>
            <w:vAlign w:val="center"/>
          </w:tcPr>
          <w:p w14:paraId="0C3F96D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隔油池（1个，容积</w:t>
            </w:r>
            <w:r>
              <w:rPr>
                <w:rFonts w:hint="default" w:ascii="Times New Roman" w:hAnsi="Times New Roman" w:cs="Times New Roman"/>
                <w:bCs/>
                <w:color w:val="auto"/>
                <w:sz w:val="18"/>
                <w:szCs w:val="18"/>
                <w:highlight w:val="none"/>
              </w:rPr>
              <w:t>0.05m</w:t>
            </w:r>
            <w:r>
              <w:rPr>
                <w:rFonts w:hint="default" w:ascii="Times New Roman" w:hAnsi="Times New Roman" w:cs="Times New Roman"/>
                <w:bCs/>
                <w:color w:val="auto"/>
                <w:sz w:val="18"/>
                <w:szCs w:val="18"/>
                <w:highlight w:val="none"/>
                <w:vertAlign w:val="superscript"/>
              </w:rPr>
              <w:t>3</w:t>
            </w:r>
            <w:r>
              <w:rPr>
                <w:rFonts w:hint="default" w:ascii="Times New Roman" w:hAnsi="Times New Roman" w:cs="Times New Roman"/>
                <w:color w:val="auto"/>
                <w:sz w:val="18"/>
                <w:szCs w:val="18"/>
                <w:highlight w:val="none"/>
              </w:rPr>
              <w:t>）</w:t>
            </w:r>
          </w:p>
        </w:tc>
        <w:tc>
          <w:tcPr>
            <w:tcW w:w="6230" w:type="dxa"/>
            <w:vMerge w:val="restart"/>
            <w:shd w:val="clear" w:color="auto" w:fill="auto"/>
            <w:vAlign w:val="center"/>
          </w:tcPr>
          <w:p w14:paraId="75A541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依托可行性、GB/T18920-2020《城市污水再生利用、城市生活杂用水水质》标准；《农田灌溉水质标准》（GB5084-2021）中的“旱地作物”标准</w:t>
            </w:r>
          </w:p>
        </w:tc>
      </w:tr>
      <w:tr w14:paraId="6824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Merge w:val="continue"/>
            <w:shd w:val="clear" w:color="auto" w:fill="auto"/>
            <w:vAlign w:val="center"/>
          </w:tcPr>
          <w:p w14:paraId="5A28735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138" w:type="dxa"/>
            <w:gridSpan w:val="2"/>
            <w:shd w:val="clear" w:color="auto" w:fill="auto"/>
            <w:vAlign w:val="center"/>
          </w:tcPr>
          <w:p w14:paraId="36CEEAC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生活废水</w:t>
            </w:r>
          </w:p>
        </w:tc>
        <w:tc>
          <w:tcPr>
            <w:tcW w:w="5243" w:type="dxa"/>
            <w:shd w:val="clear" w:color="auto" w:fill="auto"/>
            <w:vAlign w:val="center"/>
          </w:tcPr>
          <w:p w14:paraId="686E22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18"/>
                <w:szCs w:val="18"/>
                <w:highlight w:val="none"/>
                <w:vertAlign w:val="superscript"/>
              </w:rPr>
            </w:pPr>
            <w:r>
              <w:rPr>
                <w:rFonts w:hint="default" w:ascii="Times New Roman" w:hAnsi="Times New Roman" w:cs="Times New Roman"/>
                <w:color w:val="auto"/>
                <w:sz w:val="18"/>
                <w:szCs w:val="18"/>
                <w:highlight w:val="none"/>
              </w:rPr>
              <w:t>化粪池（1个，容积</w:t>
            </w:r>
            <w:r>
              <w:rPr>
                <w:rFonts w:hint="default" w:ascii="Times New Roman" w:hAnsi="Times New Roman" w:cs="Times New Roman"/>
                <w:bCs/>
                <w:color w:val="auto"/>
                <w:sz w:val="18"/>
                <w:szCs w:val="18"/>
                <w:highlight w:val="none"/>
              </w:rPr>
              <w:t>10m</w:t>
            </w:r>
            <w:r>
              <w:rPr>
                <w:rFonts w:hint="default" w:ascii="Times New Roman" w:hAnsi="Times New Roman" w:cs="Times New Roman"/>
                <w:bCs/>
                <w:color w:val="auto"/>
                <w:sz w:val="18"/>
                <w:szCs w:val="18"/>
                <w:highlight w:val="none"/>
                <w:vertAlign w:val="superscript"/>
              </w:rPr>
              <w:t>3</w:t>
            </w:r>
            <w:r>
              <w:rPr>
                <w:rFonts w:hint="default" w:ascii="Times New Roman" w:hAnsi="Times New Roman" w:cs="Times New Roman"/>
                <w:color w:val="auto"/>
                <w:sz w:val="18"/>
                <w:szCs w:val="18"/>
                <w:highlight w:val="none"/>
              </w:rPr>
              <w:t>）</w:t>
            </w:r>
          </w:p>
        </w:tc>
        <w:tc>
          <w:tcPr>
            <w:tcW w:w="6230" w:type="dxa"/>
            <w:vMerge w:val="continue"/>
            <w:shd w:val="clear" w:color="auto" w:fill="auto"/>
            <w:vAlign w:val="center"/>
          </w:tcPr>
          <w:p w14:paraId="270D070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59E0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Merge w:val="continue"/>
            <w:shd w:val="clear" w:color="auto" w:fill="auto"/>
            <w:vAlign w:val="center"/>
          </w:tcPr>
          <w:p w14:paraId="1CEE035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138" w:type="dxa"/>
            <w:gridSpan w:val="2"/>
            <w:shd w:val="clear" w:color="auto" w:fill="auto"/>
            <w:vAlign w:val="center"/>
          </w:tcPr>
          <w:p w14:paraId="14839F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初期雨水</w:t>
            </w:r>
          </w:p>
        </w:tc>
        <w:tc>
          <w:tcPr>
            <w:tcW w:w="5243" w:type="dxa"/>
            <w:shd w:val="clear" w:color="auto" w:fill="auto"/>
            <w:vAlign w:val="center"/>
          </w:tcPr>
          <w:p w14:paraId="60EFB8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初期雨水收集池</w:t>
            </w:r>
            <w:r>
              <w:rPr>
                <w:rFonts w:hint="default" w:ascii="Times New Roman" w:hAnsi="Times New Roman" w:cs="Times New Roman"/>
                <w:color w:val="auto"/>
                <w:sz w:val="18"/>
                <w:szCs w:val="18"/>
                <w:highlight w:val="none"/>
              </w:rPr>
              <w:t>（1个，容积</w:t>
            </w:r>
            <w:r>
              <w:rPr>
                <w:rFonts w:hint="eastAsia" w:cs="Times New Roman"/>
                <w:bCs/>
                <w:color w:val="auto"/>
                <w:sz w:val="18"/>
                <w:szCs w:val="18"/>
                <w:highlight w:val="none"/>
                <w:lang w:val="en-US" w:eastAsia="zh-CN"/>
              </w:rPr>
              <w:t>15</w:t>
            </w:r>
            <w:r>
              <w:rPr>
                <w:rFonts w:hint="default" w:ascii="Times New Roman" w:hAnsi="Times New Roman" w:cs="Times New Roman"/>
                <w:bCs/>
                <w:color w:val="auto"/>
                <w:sz w:val="18"/>
                <w:szCs w:val="18"/>
                <w:highlight w:val="none"/>
              </w:rPr>
              <w:t>m</w:t>
            </w:r>
            <w:r>
              <w:rPr>
                <w:rFonts w:hint="default" w:ascii="Times New Roman" w:hAnsi="Times New Roman" w:cs="Times New Roman"/>
                <w:bCs/>
                <w:color w:val="auto"/>
                <w:sz w:val="18"/>
                <w:szCs w:val="18"/>
                <w:highlight w:val="none"/>
                <w:vertAlign w:val="superscript"/>
              </w:rPr>
              <w:t>3</w:t>
            </w:r>
            <w:r>
              <w:rPr>
                <w:rFonts w:hint="default" w:ascii="Times New Roman" w:hAnsi="Times New Roman" w:cs="Times New Roman"/>
                <w:color w:val="auto"/>
                <w:sz w:val="18"/>
                <w:szCs w:val="18"/>
                <w:highlight w:val="none"/>
              </w:rPr>
              <w:t>）</w:t>
            </w:r>
          </w:p>
        </w:tc>
        <w:tc>
          <w:tcPr>
            <w:tcW w:w="6230" w:type="dxa"/>
            <w:vMerge w:val="continue"/>
            <w:shd w:val="clear" w:color="auto" w:fill="auto"/>
            <w:vAlign w:val="center"/>
          </w:tcPr>
          <w:p w14:paraId="335343E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52C9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950" w:type="dxa"/>
            <w:vMerge w:val="continue"/>
            <w:shd w:val="clear" w:color="auto" w:fill="auto"/>
            <w:vAlign w:val="center"/>
          </w:tcPr>
          <w:p w14:paraId="20616A4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138" w:type="dxa"/>
            <w:gridSpan w:val="2"/>
            <w:shd w:val="clear" w:color="auto" w:fill="auto"/>
            <w:vAlign w:val="center"/>
          </w:tcPr>
          <w:p w14:paraId="3D06C17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养殖废水及综合废水</w:t>
            </w:r>
          </w:p>
        </w:tc>
        <w:tc>
          <w:tcPr>
            <w:tcW w:w="5243" w:type="dxa"/>
            <w:shd w:val="clear" w:color="auto" w:fill="auto"/>
            <w:vAlign w:val="center"/>
          </w:tcPr>
          <w:p w14:paraId="1B9952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采用</w:t>
            </w:r>
            <w:r>
              <w:rPr>
                <w:rFonts w:hint="default" w:ascii="Times New Roman" w:hAnsi="Times New Roman" w:cs="Times New Roman"/>
                <w:bCs/>
                <w:color w:val="auto"/>
                <w:sz w:val="18"/>
                <w:szCs w:val="18"/>
                <w:highlight w:val="none"/>
              </w:rPr>
              <w:t>“</w:t>
            </w:r>
            <w:r>
              <w:rPr>
                <w:rFonts w:hint="default" w:ascii="Times New Roman" w:hAnsi="Times New Roman" w:cs="Times New Roman"/>
                <w:bCs/>
                <w:color w:val="auto"/>
                <w:sz w:val="18"/>
                <w:szCs w:val="18"/>
                <w:highlight w:val="none"/>
                <w:lang w:eastAsia="zh-CN"/>
              </w:rPr>
              <w:t>粪尿收集池</w:t>
            </w:r>
            <w:r>
              <w:rPr>
                <w:rFonts w:hint="default" w:ascii="Times New Roman" w:hAnsi="Times New Roman" w:cs="Times New Roman"/>
                <w:bCs/>
                <w:color w:val="auto"/>
                <w:sz w:val="18"/>
                <w:szCs w:val="18"/>
                <w:highlight w:val="none"/>
              </w:rPr>
              <w:t>+过滤+固液分离+</w:t>
            </w:r>
            <w:r>
              <w:rPr>
                <w:rFonts w:hint="default" w:ascii="Times New Roman" w:hAnsi="Times New Roman" w:cs="Times New Roman"/>
                <w:bCs/>
                <w:color w:val="auto"/>
                <w:sz w:val="18"/>
                <w:szCs w:val="18"/>
                <w:highlight w:val="none"/>
                <w:lang w:val="en-US" w:eastAsia="zh-CN"/>
              </w:rPr>
              <w:t>1000m³废水收集池暂存</w:t>
            </w:r>
            <w:r>
              <w:rPr>
                <w:rFonts w:hint="default" w:ascii="Times New Roman" w:hAnsi="Times New Roman" w:cs="Times New Roman"/>
                <w:bCs/>
                <w:color w:val="auto"/>
                <w:sz w:val="18"/>
                <w:szCs w:val="18"/>
                <w:highlight w:val="none"/>
              </w:rPr>
              <w:t>”</w:t>
            </w:r>
            <w:r>
              <w:rPr>
                <w:rFonts w:hint="default" w:ascii="Times New Roman" w:hAnsi="Times New Roman" w:cs="Times New Roman"/>
                <w:bCs/>
                <w:color w:val="auto"/>
                <w:sz w:val="18"/>
                <w:szCs w:val="18"/>
                <w:highlight w:val="none"/>
                <w:lang w:eastAsia="zh-CN"/>
              </w:rPr>
              <w:t>，</w:t>
            </w:r>
            <w:r>
              <w:rPr>
                <w:rFonts w:hint="eastAsia" w:cs="Times New Roman"/>
                <w:bCs/>
                <w:color w:val="auto"/>
                <w:sz w:val="18"/>
                <w:szCs w:val="18"/>
                <w:highlight w:val="none"/>
                <w:lang w:eastAsia="zh-CN"/>
              </w:rPr>
              <w:t>依托</w:t>
            </w:r>
            <w:r>
              <w:rPr>
                <w:rFonts w:hint="default" w:ascii="Times New Roman" w:hAnsi="Times New Roman" w:eastAsia="宋体" w:cs="Times New Roman"/>
                <w:color w:val="auto"/>
                <w:sz w:val="18"/>
                <w:szCs w:val="18"/>
                <w:highlight w:val="none"/>
                <w:lang w:val="en-US" w:eastAsia="zh-CN"/>
              </w:rPr>
              <w:t>弥勒温氏畜牧有限公司新哨种猪场建设项目污水处理站处理后用于绿化及</w:t>
            </w:r>
            <w:r>
              <w:rPr>
                <w:rFonts w:hint="default" w:ascii="Times New Roman" w:hAnsi="Times New Roman" w:cs="Times New Roman"/>
                <w:color w:val="auto"/>
                <w:sz w:val="18"/>
                <w:szCs w:val="18"/>
                <w:highlight w:val="none"/>
                <w:lang w:val="en-US" w:eastAsia="zh-CN"/>
              </w:rPr>
              <w:t>农田灌溉</w:t>
            </w:r>
          </w:p>
        </w:tc>
        <w:tc>
          <w:tcPr>
            <w:tcW w:w="6230" w:type="dxa"/>
            <w:vMerge w:val="continue"/>
            <w:shd w:val="clear" w:color="auto" w:fill="auto"/>
            <w:vAlign w:val="center"/>
          </w:tcPr>
          <w:p w14:paraId="3A4E25E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3EA5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Merge w:val="restart"/>
            <w:shd w:val="clear" w:color="auto" w:fill="auto"/>
            <w:vAlign w:val="center"/>
          </w:tcPr>
          <w:p w14:paraId="520AA61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w:t>
            </w:r>
          </w:p>
        </w:tc>
        <w:tc>
          <w:tcPr>
            <w:tcW w:w="2138" w:type="dxa"/>
            <w:gridSpan w:val="2"/>
            <w:shd w:val="clear" w:color="auto" w:fill="auto"/>
            <w:vAlign w:val="center"/>
          </w:tcPr>
          <w:p w14:paraId="2384DF0F">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猪舍恶臭</w:t>
            </w:r>
          </w:p>
        </w:tc>
        <w:tc>
          <w:tcPr>
            <w:tcW w:w="5243" w:type="dxa"/>
            <w:shd w:val="clear" w:color="auto" w:fill="auto"/>
            <w:vAlign w:val="center"/>
          </w:tcPr>
          <w:p w14:paraId="709FB5DE">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日粮中投放益生菌、EM活菌剂等，日粮充分混合均匀后喂养；猪舍进行喷洒微生物除臭剂，猪舍周边种植绿化树</w:t>
            </w:r>
          </w:p>
        </w:tc>
        <w:tc>
          <w:tcPr>
            <w:tcW w:w="6230" w:type="dxa"/>
            <w:vMerge w:val="restart"/>
            <w:shd w:val="clear" w:color="auto" w:fill="auto"/>
            <w:vAlign w:val="center"/>
          </w:tcPr>
          <w:p w14:paraId="7F75AE4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H</w:t>
            </w:r>
            <w:r>
              <w:rPr>
                <w:rFonts w:hint="default" w:ascii="Times New Roman" w:hAnsi="Times New Roman" w:cs="Times New Roman"/>
                <w:color w:val="auto"/>
                <w:sz w:val="18"/>
                <w:szCs w:val="18"/>
                <w:highlight w:val="none"/>
                <w:vertAlign w:val="subscript"/>
              </w:rPr>
              <w:t>2</w:t>
            </w:r>
            <w:r>
              <w:rPr>
                <w:rFonts w:hint="default" w:ascii="Times New Roman" w:hAnsi="Times New Roman" w:cs="Times New Roman"/>
                <w:color w:val="auto"/>
                <w:sz w:val="18"/>
                <w:szCs w:val="18"/>
                <w:highlight w:val="none"/>
              </w:rPr>
              <w:t>S、NH</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rPr>
              <w:t>厂界浓度满足《恶臭污染物排放标准》（GB14554-93）中新扩改建二级标准限值，即NH</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rPr>
              <w:t>标准值为1.5mg/m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、H</w:t>
            </w:r>
            <w:r>
              <w:rPr>
                <w:rFonts w:hint="default" w:ascii="Times New Roman" w:hAnsi="Times New Roman" w:cs="Times New Roman"/>
                <w:color w:val="auto"/>
                <w:sz w:val="18"/>
                <w:szCs w:val="18"/>
                <w:highlight w:val="none"/>
                <w:vertAlign w:val="subscript"/>
              </w:rPr>
              <w:t>2</w:t>
            </w:r>
            <w:r>
              <w:rPr>
                <w:rFonts w:hint="default" w:ascii="Times New Roman" w:hAnsi="Times New Roman" w:cs="Times New Roman"/>
                <w:color w:val="auto"/>
                <w:sz w:val="18"/>
                <w:szCs w:val="18"/>
                <w:highlight w:val="none"/>
              </w:rPr>
              <w:t>S标准值为0.06mg/m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；厂界臭气浓度排放满足《畜禽养殖业污染物排放标准》（GB18596-2001）中的集约化畜禽养殖业恶臭污染物排放标准，即臭气浓度标准值为70</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无量纲</w:t>
            </w:r>
            <w:r>
              <w:rPr>
                <w:rFonts w:hint="default" w:ascii="Times New Roman" w:hAnsi="Times New Roman" w:cs="Times New Roman"/>
                <w:color w:val="auto"/>
                <w:sz w:val="18"/>
                <w:szCs w:val="18"/>
                <w:highlight w:val="none"/>
                <w:lang w:eastAsia="zh-CN"/>
              </w:rPr>
              <w:t>）</w:t>
            </w:r>
          </w:p>
        </w:tc>
      </w:tr>
      <w:tr w14:paraId="1CCD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Merge w:val="continue"/>
            <w:shd w:val="clear" w:color="auto" w:fill="auto"/>
            <w:vAlign w:val="center"/>
          </w:tcPr>
          <w:p w14:paraId="09CE9FD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138" w:type="dxa"/>
            <w:gridSpan w:val="2"/>
            <w:shd w:val="clear" w:color="auto" w:fill="auto"/>
            <w:vAlign w:val="center"/>
          </w:tcPr>
          <w:p w14:paraId="2B558341">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废水收集池</w:t>
            </w:r>
          </w:p>
        </w:tc>
        <w:tc>
          <w:tcPr>
            <w:tcW w:w="5243" w:type="dxa"/>
            <w:shd w:val="clear" w:color="auto" w:fill="auto"/>
            <w:vAlign w:val="center"/>
          </w:tcPr>
          <w:p w14:paraId="66245A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180" w:firstLineChars="100"/>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val="en-US" w:eastAsia="zh-CN"/>
              </w:rPr>
              <w:t>废水收集池</w:t>
            </w:r>
            <w:r>
              <w:rPr>
                <w:rFonts w:hint="default" w:ascii="Times New Roman" w:hAnsi="Times New Roman" w:cs="Times New Roman"/>
                <w:color w:val="auto"/>
                <w:sz w:val="18"/>
                <w:szCs w:val="18"/>
                <w:highlight w:val="none"/>
                <w:lang w:val="en-US" w:eastAsia="zh-CN"/>
              </w:rPr>
              <w:t>采用盖板</w:t>
            </w:r>
            <w:r>
              <w:rPr>
                <w:rFonts w:hint="default" w:ascii="Times New Roman" w:hAnsi="Times New Roman" w:cs="Times New Roman"/>
                <w:color w:val="auto"/>
                <w:sz w:val="18"/>
                <w:szCs w:val="18"/>
                <w:highlight w:val="none"/>
              </w:rPr>
              <w:t>封闭，喷洒生物除臭剂、绿化等措施</w:t>
            </w:r>
            <w:r>
              <w:rPr>
                <w:rFonts w:hint="default" w:ascii="Times New Roman" w:hAnsi="Times New Roman" w:cs="Times New Roman"/>
                <w:color w:val="auto"/>
                <w:sz w:val="18"/>
                <w:szCs w:val="18"/>
                <w:highlight w:val="none"/>
                <w:lang w:val="en-US" w:eastAsia="zh-CN"/>
              </w:rPr>
              <w:t>。</w:t>
            </w:r>
          </w:p>
        </w:tc>
        <w:tc>
          <w:tcPr>
            <w:tcW w:w="6230" w:type="dxa"/>
            <w:vMerge w:val="continue"/>
            <w:shd w:val="clear" w:color="auto" w:fill="auto"/>
            <w:vAlign w:val="center"/>
          </w:tcPr>
          <w:p w14:paraId="53581E2B">
            <w:pPr>
              <w:keepNext w:val="0"/>
              <w:keepLines w:val="0"/>
              <w:suppressLineNumbers w:val="0"/>
              <w:autoSpaceDE w:val="0"/>
              <w:autoSpaceDN w:val="0"/>
              <w:adjustRightInd w:val="0"/>
              <w:spacing w:before="0" w:beforeAutospacing="0" w:after="0" w:afterAutospacing="0"/>
              <w:ind w:left="0" w:right="0" w:firstLine="360" w:firstLineChars="200"/>
              <w:jc w:val="center"/>
              <w:rPr>
                <w:rFonts w:hint="default" w:ascii="Times New Roman" w:hAnsi="Times New Roman" w:cs="Times New Roman"/>
                <w:color w:val="auto"/>
                <w:sz w:val="18"/>
                <w:szCs w:val="18"/>
                <w:highlight w:val="none"/>
              </w:rPr>
            </w:pPr>
          </w:p>
        </w:tc>
      </w:tr>
      <w:tr w14:paraId="5C6A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Merge w:val="continue"/>
            <w:shd w:val="clear" w:color="auto" w:fill="auto"/>
            <w:vAlign w:val="center"/>
          </w:tcPr>
          <w:p w14:paraId="0CCEDA8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138" w:type="dxa"/>
            <w:gridSpan w:val="2"/>
            <w:shd w:val="clear" w:color="auto" w:fill="auto"/>
            <w:vAlign w:val="center"/>
          </w:tcPr>
          <w:p w14:paraId="79162842">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堆粪棚</w:t>
            </w:r>
            <w:r>
              <w:rPr>
                <w:rFonts w:hint="default" w:ascii="Times New Roman" w:hAnsi="Times New Roman" w:cs="Times New Roman"/>
                <w:color w:val="auto"/>
                <w:sz w:val="18"/>
                <w:szCs w:val="18"/>
                <w:highlight w:val="none"/>
              </w:rPr>
              <w:t>恶臭</w:t>
            </w:r>
          </w:p>
        </w:tc>
        <w:tc>
          <w:tcPr>
            <w:tcW w:w="5243" w:type="dxa"/>
            <w:shd w:val="clear" w:color="auto" w:fill="auto"/>
            <w:vAlign w:val="center"/>
          </w:tcPr>
          <w:p w14:paraId="41B4AFF8">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eastAsia="zh-CN"/>
              </w:rPr>
              <w:t>堆粪棚</w:t>
            </w:r>
            <w:r>
              <w:rPr>
                <w:rFonts w:hint="default" w:ascii="Times New Roman" w:hAnsi="Times New Roman" w:cs="Times New Roman"/>
                <w:color w:val="auto"/>
                <w:kern w:val="0"/>
                <w:sz w:val="18"/>
                <w:szCs w:val="18"/>
                <w:highlight w:val="none"/>
              </w:rPr>
              <w:t>采用半封闭式，三面墙体，并设顶棚，并定期喷洒微生物除臭剂，进出口处加强除臭剂喷洒，堆粪间外种植绿化树</w:t>
            </w:r>
          </w:p>
        </w:tc>
        <w:tc>
          <w:tcPr>
            <w:tcW w:w="6230" w:type="dxa"/>
            <w:vMerge w:val="continue"/>
            <w:shd w:val="clear" w:color="auto" w:fill="auto"/>
            <w:vAlign w:val="center"/>
          </w:tcPr>
          <w:p w14:paraId="44BF5940">
            <w:pPr>
              <w:keepNext w:val="0"/>
              <w:keepLines w:val="0"/>
              <w:suppressLineNumbers w:val="0"/>
              <w:autoSpaceDE w:val="0"/>
              <w:autoSpaceDN w:val="0"/>
              <w:adjustRightInd w:val="0"/>
              <w:spacing w:before="0" w:beforeAutospacing="0" w:after="0" w:afterAutospacing="0"/>
              <w:ind w:left="0" w:right="0" w:firstLine="360" w:firstLineChars="200"/>
              <w:jc w:val="center"/>
              <w:rPr>
                <w:rFonts w:hint="default" w:ascii="Times New Roman" w:hAnsi="Times New Roman" w:cs="Times New Roman"/>
                <w:color w:val="auto"/>
                <w:sz w:val="18"/>
                <w:szCs w:val="18"/>
                <w:highlight w:val="none"/>
              </w:rPr>
            </w:pPr>
          </w:p>
        </w:tc>
      </w:tr>
      <w:tr w14:paraId="2E8A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Merge w:val="continue"/>
            <w:shd w:val="clear" w:color="auto" w:fill="auto"/>
            <w:vAlign w:val="center"/>
          </w:tcPr>
          <w:p w14:paraId="3C4B9F5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138" w:type="dxa"/>
            <w:gridSpan w:val="2"/>
            <w:shd w:val="clear" w:color="auto" w:fill="auto"/>
            <w:vAlign w:val="center"/>
          </w:tcPr>
          <w:p w14:paraId="5B856A80">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天然气燃烧器</w:t>
            </w:r>
          </w:p>
        </w:tc>
        <w:tc>
          <w:tcPr>
            <w:tcW w:w="5243" w:type="dxa"/>
            <w:shd w:val="clear" w:color="auto" w:fill="auto"/>
            <w:vAlign w:val="center"/>
          </w:tcPr>
          <w:p w14:paraId="4BC3EA8B">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低氮燃烧</w:t>
            </w:r>
          </w:p>
        </w:tc>
        <w:tc>
          <w:tcPr>
            <w:tcW w:w="6230" w:type="dxa"/>
            <w:shd w:val="clear" w:color="auto" w:fill="auto"/>
            <w:vAlign w:val="center"/>
          </w:tcPr>
          <w:p w14:paraId="5F7495DC">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《大气污染物综合排放标准》（GB16297-1996）表2无组织排放标准</w:t>
            </w:r>
          </w:p>
        </w:tc>
      </w:tr>
      <w:tr w14:paraId="0671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Merge w:val="continue"/>
            <w:shd w:val="clear" w:color="auto" w:fill="auto"/>
            <w:vAlign w:val="center"/>
          </w:tcPr>
          <w:p w14:paraId="1339D95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2138" w:type="dxa"/>
            <w:gridSpan w:val="2"/>
            <w:shd w:val="clear" w:color="auto" w:fill="auto"/>
            <w:vAlign w:val="center"/>
          </w:tcPr>
          <w:p w14:paraId="54F021E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食堂油烟</w:t>
            </w:r>
          </w:p>
        </w:tc>
        <w:tc>
          <w:tcPr>
            <w:tcW w:w="5243" w:type="dxa"/>
            <w:shd w:val="clear" w:color="auto" w:fill="auto"/>
            <w:vAlign w:val="center"/>
          </w:tcPr>
          <w:p w14:paraId="0D31F5D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经抽油烟机处理后，经高于食堂楼顶1.5m烟囱外排</w:t>
            </w:r>
          </w:p>
        </w:tc>
        <w:tc>
          <w:tcPr>
            <w:tcW w:w="6230" w:type="dxa"/>
            <w:shd w:val="clear" w:color="auto" w:fill="auto"/>
            <w:vAlign w:val="center"/>
          </w:tcPr>
          <w:p w14:paraId="1B32D94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达《饮食业油烟排放标准（试行）》（GB18483-2001）中的“小型”标准，即最高允许排放浓度为2mg/m</w:t>
            </w:r>
            <w:r>
              <w:rPr>
                <w:rFonts w:hint="default" w:ascii="Times New Roman" w:hAnsi="Times New Roman" w:cs="Times New Roman"/>
                <w:color w:val="auto"/>
                <w:sz w:val="18"/>
                <w:szCs w:val="18"/>
                <w:highlight w:val="none"/>
                <w:vertAlign w:val="superscript"/>
              </w:rPr>
              <w:t>3</w:t>
            </w:r>
          </w:p>
        </w:tc>
      </w:tr>
      <w:tr w14:paraId="4F0B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gridSpan w:val="3"/>
            <w:shd w:val="clear" w:color="auto" w:fill="auto"/>
            <w:vAlign w:val="center"/>
          </w:tcPr>
          <w:p w14:paraId="6EEBB86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噪声治理</w:t>
            </w:r>
          </w:p>
        </w:tc>
        <w:tc>
          <w:tcPr>
            <w:tcW w:w="5243" w:type="dxa"/>
            <w:shd w:val="clear" w:color="auto" w:fill="auto"/>
            <w:vAlign w:val="center"/>
          </w:tcPr>
          <w:p w14:paraId="27F5332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设置于厂房内，且高噪声设备安装减震垫、设备间等</w:t>
            </w:r>
          </w:p>
        </w:tc>
        <w:tc>
          <w:tcPr>
            <w:tcW w:w="6230" w:type="dxa"/>
            <w:shd w:val="clear" w:color="auto" w:fill="auto"/>
            <w:vAlign w:val="center"/>
          </w:tcPr>
          <w:p w14:paraId="4B6765EF">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厂界昼间、夜间噪声达</w:t>
            </w:r>
            <w:r>
              <w:rPr>
                <w:rFonts w:hint="default" w:ascii="Times New Roman" w:hAnsi="Times New Roman" w:eastAsia="TimesNewRomanPSMT" w:cs="Times New Roman"/>
                <w:color w:val="auto"/>
                <w:kern w:val="0"/>
                <w:sz w:val="18"/>
                <w:szCs w:val="18"/>
                <w:highlight w:val="none"/>
              </w:rPr>
              <w:t>GB12348-2008</w:t>
            </w:r>
            <w:r>
              <w:rPr>
                <w:rFonts w:hint="default" w:ascii="Times New Roman" w:hAnsi="Times New Roman" w:cs="Times New Roman"/>
                <w:color w:val="auto"/>
                <w:kern w:val="0"/>
                <w:sz w:val="18"/>
                <w:szCs w:val="18"/>
                <w:highlight w:val="none"/>
              </w:rPr>
              <w:t>《工业企业厂界环境噪声排放标准》</w:t>
            </w:r>
            <w:r>
              <w:rPr>
                <w:rFonts w:hint="default" w:ascii="Times New Roman" w:hAnsi="Times New Roman" w:eastAsia="TimesNewRomanPSMT" w:cs="Times New Roman"/>
                <w:color w:val="auto"/>
                <w:kern w:val="0"/>
                <w:sz w:val="18"/>
                <w:szCs w:val="18"/>
                <w:highlight w:val="none"/>
              </w:rPr>
              <w:t>2</w:t>
            </w:r>
            <w:r>
              <w:rPr>
                <w:rFonts w:hint="default" w:ascii="Times New Roman" w:hAnsi="Times New Roman" w:cs="Times New Roman"/>
                <w:color w:val="auto"/>
                <w:kern w:val="0"/>
                <w:sz w:val="18"/>
                <w:szCs w:val="18"/>
                <w:highlight w:val="none"/>
              </w:rPr>
              <w:t>类标准，即</w:t>
            </w:r>
            <w:r>
              <w:rPr>
                <w:rFonts w:hint="default" w:ascii="Times New Roman" w:hAnsi="Times New Roman" w:cs="Times New Roman"/>
                <w:color w:val="auto"/>
                <w:sz w:val="18"/>
                <w:szCs w:val="18"/>
                <w:highlight w:val="none"/>
              </w:rPr>
              <w:t>昼间≦60dB（A）；夜间≦50 dB（A）</w:t>
            </w:r>
          </w:p>
        </w:tc>
      </w:tr>
      <w:tr w14:paraId="4C4D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1" w:type="dxa"/>
            <w:gridSpan w:val="2"/>
            <w:vMerge w:val="restart"/>
            <w:shd w:val="clear" w:color="auto" w:fill="auto"/>
            <w:vAlign w:val="center"/>
          </w:tcPr>
          <w:p w14:paraId="7B7990B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固废处置</w:t>
            </w:r>
          </w:p>
        </w:tc>
        <w:tc>
          <w:tcPr>
            <w:tcW w:w="1987" w:type="dxa"/>
            <w:shd w:val="clear" w:color="auto" w:fill="auto"/>
            <w:vAlign w:val="center"/>
          </w:tcPr>
          <w:p w14:paraId="2A8D72F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猪粪</w:t>
            </w:r>
          </w:p>
        </w:tc>
        <w:tc>
          <w:tcPr>
            <w:tcW w:w="5243" w:type="dxa"/>
            <w:shd w:val="clear" w:color="auto" w:fill="auto"/>
            <w:vAlign w:val="center"/>
          </w:tcPr>
          <w:p w14:paraId="1921B0F5">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bidi="ar"/>
              </w:rPr>
              <w:t>干清粪工艺，猪粪收集后进行固液分离，固体粪便清运至</w:t>
            </w:r>
            <w:r>
              <w:rPr>
                <w:rFonts w:hint="default" w:ascii="Times New Roman" w:hAnsi="Times New Roman" w:cs="Times New Roman"/>
                <w:color w:val="auto"/>
                <w:kern w:val="2"/>
                <w:sz w:val="18"/>
                <w:szCs w:val="18"/>
                <w:highlight w:val="none"/>
                <w:lang w:val="en-US" w:eastAsia="zh-CN" w:bidi="ar"/>
              </w:rPr>
              <w:t>堆粪棚</w:t>
            </w:r>
            <w:r>
              <w:rPr>
                <w:rFonts w:hint="default" w:ascii="Times New Roman" w:hAnsi="Times New Roman" w:eastAsia="宋体" w:cs="Times New Roman"/>
                <w:color w:val="auto"/>
                <w:kern w:val="2"/>
                <w:sz w:val="18"/>
                <w:szCs w:val="18"/>
                <w:highlight w:val="none"/>
                <w:lang w:val="en-US" w:eastAsia="zh-CN" w:bidi="ar"/>
              </w:rPr>
              <w:t>，堆肥发酵后粪肥需求当季用于还田施肥。</w:t>
            </w:r>
            <w:r>
              <w:rPr>
                <w:rFonts w:hint="default" w:ascii="Times New Roman" w:hAnsi="Times New Roman" w:cs="Times New Roman"/>
                <w:color w:val="auto"/>
                <w:sz w:val="18"/>
                <w:szCs w:val="18"/>
                <w:highlight w:val="none"/>
              </w:rPr>
              <w:t>设置1个</w:t>
            </w:r>
            <w:r>
              <w:rPr>
                <w:rFonts w:hint="default" w:ascii="Times New Roman" w:hAnsi="Times New Roman" w:cs="Times New Roman"/>
                <w:color w:val="auto"/>
                <w:sz w:val="18"/>
                <w:szCs w:val="18"/>
                <w:highlight w:val="none"/>
                <w:lang w:eastAsia="zh-CN"/>
              </w:rPr>
              <w:t>堆粪棚</w:t>
            </w:r>
            <w:r>
              <w:rPr>
                <w:rFonts w:hint="default" w:ascii="Times New Roman" w:hAnsi="Times New Roman" w:cs="Times New Roman"/>
                <w:color w:val="auto"/>
                <w:sz w:val="18"/>
                <w:szCs w:val="18"/>
                <w:highlight w:val="none"/>
              </w:rPr>
              <w:t>，建筑面积</w:t>
            </w:r>
            <w:r>
              <w:rPr>
                <w:rFonts w:hint="default" w:ascii="Times New Roman" w:hAnsi="Times New Roman" w:cs="Times New Roman"/>
                <w:color w:val="auto"/>
                <w:sz w:val="18"/>
                <w:szCs w:val="18"/>
                <w:highlight w:val="none"/>
                <w:lang w:val="en-US" w:eastAsia="zh-CN"/>
              </w:rPr>
              <w:t>300</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2</w:t>
            </w:r>
            <w:r>
              <w:rPr>
                <w:rFonts w:hint="default" w:ascii="Times New Roman" w:hAnsi="Times New Roman" w:cs="Times New Roman"/>
                <w:color w:val="auto"/>
                <w:sz w:val="18"/>
                <w:szCs w:val="18"/>
                <w:highlight w:val="none"/>
                <w:vertAlign w:val="superscript"/>
                <w:lang w:eastAsia="zh-CN"/>
              </w:rPr>
              <w:t>，</w:t>
            </w:r>
            <w:r>
              <w:rPr>
                <w:rFonts w:hint="default" w:ascii="Times New Roman" w:hAnsi="Times New Roman" w:cs="Times New Roman"/>
                <w:color w:val="auto"/>
                <w:sz w:val="18"/>
                <w:szCs w:val="18"/>
                <w:highlight w:val="none"/>
                <w:lang w:val="en-US" w:eastAsia="zh-CN"/>
              </w:rPr>
              <w:t>堆槽为2格式交替使用。</w:t>
            </w:r>
          </w:p>
        </w:tc>
        <w:tc>
          <w:tcPr>
            <w:tcW w:w="6230" w:type="dxa"/>
            <w:vMerge w:val="restart"/>
            <w:shd w:val="clear" w:color="auto" w:fill="auto"/>
            <w:vAlign w:val="center"/>
          </w:tcPr>
          <w:p w14:paraId="2C0301E9">
            <w:pPr>
              <w:keepNext w:val="0"/>
              <w:keepLines w:val="0"/>
              <w:suppressLineNumbers w:val="0"/>
              <w:autoSpaceDE w:val="0"/>
              <w:autoSpaceDN w:val="0"/>
              <w:adjustRightInd w:val="0"/>
              <w:spacing w:before="0" w:beforeAutospacing="0" w:after="0" w:afterAutospacing="0"/>
              <w:ind w:left="0" w:right="0" w:firstLine="360" w:firstLineChars="20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eastAsia="zh-CN"/>
              </w:rPr>
              <w:t>堆粪棚</w:t>
            </w:r>
            <w:r>
              <w:rPr>
                <w:rFonts w:hint="default" w:ascii="Times New Roman" w:hAnsi="Times New Roman" w:cs="Times New Roman"/>
                <w:color w:val="auto"/>
                <w:kern w:val="0"/>
                <w:sz w:val="18"/>
                <w:szCs w:val="18"/>
                <w:highlight w:val="none"/>
              </w:rPr>
              <w:t>设置满足：《畜禽养殖业污染治理工程技术规范》（HJ497-2009）中“8.固体粪便处理”要求。</w:t>
            </w:r>
          </w:p>
          <w:p w14:paraId="6FCF8238">
            <w:pPr>
              <w:keepNext w:val="0"/>
              <w:keepLines w:val="0"/>
              <w:suppressLineNumbers w:val="0"/>
              <w:autoSpaceDE w:val="0"/>
              <w:autoSpaceDN w:val="0"/>
              <w:adjustRightInd w:val="0"/>
              <w:spacing w:before="0" w:beforeAutospacing="0" w:after="0" w:afterAutospacing="0"/>
              <w:ind w:left="0" w:right="0" w:firstLine="360" w:firstLineChars="20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病死猪按照《畜禽养殖业污染防治技术规范》（HJ/T81-2001）及《病死及病害动物无害化处理技术规范》（农医发</w:t>
            </w:r>
            <w:r>
              <w:rPr>
                <w:rFonts w:hint="eastAsia" w:ascii="Times New Roman" w:hAnsi="Times New Roman" w:cs="Times New Roman"/>
                <w:color w:val="auto"/>
                <w:sz w:val="18"/>
                <w:szCs w:val="18"/>
                <w:highlight w:val="none"/>
                <w:lang w:eastAsia="zh-CN"/>
              </w:rPr>
              <w:t>〔2017〕</w:t>
            </w:r>
            <w:r>
              <w:rPr>
                <w:rFonts w:hint="default" w:ascii="Times New Roman" w:hAnsi="Times New Roman" w:cs="Times New Roman"/>
                <w:color w:val="auto"/>
                <w:sz w:val="18"/>
                <w:szCs w:val="18"/>
                <w:highlight w:val="none"/>
              </w:rPr>
              <w:t>25 号）的要求处置</w:t>
            </w:r>
          </w:p>
        </w:tc>
      </w:tr>
      <w:tr w14:paraId="6CE9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gridSpan w:val="2"/>
            <w:vMerge w:val="continue"/>
            <w:shd w:val="clear" w:color="auto" w:fill="auto"/>
            <w:vAlign w:val="center"/>
          </w:tcPr>
          <w:p w14:paraId="73BA124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87" w:type="dxa"/>
            <w:shd w:val="clear" w:color="auto" w:fill="auto"/>
            <w:vAlign w:val="center"/>
          </w:tcPr>
          <w:p w14:paraId="63C5FCE2">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病死猪</w:t>
            </w:r>
          </w:p>
        </w:tc>
        <w:tc>
          <w:tcPr>
            <w:tcW w:w="5243" w:type="dxa"/>
            <w:shd w:val="clear" w:color="auto" w:fill="auto"/>
            <w:vAlign w:val="center"/>
          </w:tcPr>
          <w:p w14:paraId="2AD0F863">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设1个建筑面积为30m</w:t>
            </w:r>
            <w:r>
              <w:rPr>
                <w:rFonts w:hint="default" w:ascii="Times New Roman" w:hAnsi="Times New Roman" w:cs="Times New Roman"/>
                <w:bCs/>
                <w:color w:val="auto"/>
                <w:sz w:val="18"/>
                <w:szCs w:val="18"/>
                <w:highlight w:val="none"/>
                <w:vertAlign w:val="superscript"/>
              </w:rPr>
              <w:t>2</w:t>
            </w:r>
            <w:r>
              <w:rPr>
                <w:rFonts w:hint="default" w:ascii="Times New Roman" w:hAnsi="Times New Roman" w:cs="Times New Roman"/>
                <w:bCs/>
                <w:color w:val="auto"/>
                <w:sz w:val="18"/>
                <w:szCs w:val="18"/>
                <w:highlight w:val="none"/>
              </w:rPr>
              <w:t>的冷库，病死猪仅临时暂存，并委托弥勒市北斗星生物科技有限公司进场清运处置</w:t>
            </w:r>
          </w:p>
        </w:tc>
        <w:tc>
          <w:tcPr>
            <w:tcW w:w="6230" w:type="dxa"/>
            <w:vMerge w:val="continue"/>
            <w:shd w:val="clear" w:color="auto" w:fill="auto"/>
            <w:vAlign w:val="center"/>
          </w:tcPr>
          <w:p w14:paraId="642127C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38A8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gridSpan w:val="2"/>
            <w:vMerge w:val="continue"/>
            <w:shd w:val="clear" w:color="auto" w:fill="auto"/>
            <w:vAlign w:val="center"/>
          </w:tcPr>
          <w:p w14:paraId="4723A04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87" w:type="dxa"/>
            <w:shd w:val="clear" w:color="auto" w:fill="auto"/>
            <w:vAlign w:val="center"/>
          </w:tcPr>
          <w:p w14:paraId="269E9026">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防疫固废</w:t>
            </w:r>
          </w:p>
        </w:tc>
        <w:tc>
          <w:tcPr>
            <w:tcW w:w="5243" w:type="dxa"/>
            <w:shd w:val="clear" w:color="auto" w:fill="auto"/>
            <w:vAlign w:val="center"/>
          </w:tcPr>
          <w:p w14:paraId="463579F9">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建设一个5㎡的防疫固废暂存间，按照当地动物防疫部门管理要求进行处置</w:t>
            </w:r>
          </w:p>
        </w:tc>
        <w:tc>
          <w:tcPr>
            <w:tcW w:w="6230" w:type="dxa"/>
            <w:vMerge w:val="continue"/>
            <w:shd w:val="clear" w:color="auto" w:fill="auto"/>
            <w:vAlign w:val="center"/>
          </w:tcPr>
          <w:p w14:paraId="1A5D898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7A43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gridSpan w:val="2"/>
            <w:vMerge w:val="continue"/>
            <w:shd w:val="clear" w:color="auto" w:fill="auto"/>
            <w:vAlign w:val="center"/>
          </w:tcPr>
          <w:p w14:paraId="2598C07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87" w:type="dxa"/>
            <w:shd w:val="clear" w:color="auto" w:fill="auto"/>
            <w:vAlign w:val="center"/>
          </w:tcPr>
          <w:p w14:paraId="696C1574">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饲料残渣</w:t>
            </w:r>
          </w:p>
        </w:tc>
        <w:tc>
          <w:tcPr>
            <w:tcW w:w="5243" w:type="dxa"/>
            <w:shd w:val="clear" w:color="auto" w:fill="auto"/>
            <w:vAlign w:val="center"/>
          </w:tcPr>
          <w:p w14:paraId="063B302B">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通过人工清扫，运至</w:t>
            </w:r>
            <w:r>
              <w:rPr>
                <w:rFonts w:hint="default" w:ascii="Times New Roman" w:hAnsi="Times New Roman" w:cs="Times New Roman"/>
                <w:color w:val="auto"/>
                <w:sz w:val="18"/>
                <w:szCs w:val="18"/>
                <w:highlight w:val="none"/>
                <w:lang w:eastAsia="zh-CN"/>
              </w:rPr>
              <w:t>堆粪棚</w:t>
            </w:r>
            <w:r>
              <w:rPr>
                <w:rFonts w:hint="default" w:ascii="Times New Roman" w:hAnsi="Times New Roman" w:cs="Times New Roman"/>
                <w:color w:val="auto"/>
                <w:sz w:val="18"/>
                <w:szCs w:val="18"/>
                <w:highlight w:val="none"/>
              </w:rPr>
              <w:t>堆肥</w:t>
            </w:r>
          </w:p>
        </w:tc>
        <w:tc>
          <w:tcPr>
            <w:tcW w:w="6230" w:type="dxa"/>
            <w:vMerge w:val="continue"/>
            <w:shd w:val="clear" w:color="auto" w:fill="auto"/>
            <w:vAlign w:val="center"/>
          </w:tcPr>
          <w:p w14:paraId="35C0048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1FCF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gridSpan w:val="2"/>
            <w:vMerge w:val="continue"/>
            <w:shd w:val="clear" w:color="auto" w:fill="auto"/>
            <w:vAlign w:val="center"/>
          </w:tcPr>
          <w:p w14:paraId="64E56C9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87" w:type="dxa"/>
            <w:shd w:val="clear" w:color="auto" w:fill="auto"/>
            <w:vAlign w:val="center"/>
          </w:tcPr>
          <w:p w14:paraId="3D6DDC1C">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废弃包装材料</w:t>
            </w:r>
          </w:p>
        </w:tc>
        <w:tc>
          <w:tcPr>
            <w:tcW w:w="5243" w:type="dxa"/>
            <w:shd w:val="clear" w:color="auto" w:fill="auto"/>
            <w:vAlign w:val="center"/>
          </w:tcPr>
          <w:p w14:paraId="41042946">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统一收集定期外卖给废品站</w:t>
            </w:r>
          </w:p>
        </w:tc>
        <w:tc>
          <w:tcPr>
            <w:tcW w:w="6230" w:type="dxa"/>
            <w:vMerge w:val="continue"/>
            <w:shd w:val="clear" w:color="auto" w:fill="auto"/>
            <w:vAlign w:val="center"/>
          </w:tcPr>
          <w:p w14:paraId="3103030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bl>
    <w:p w14:paraId="113626E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sectPr>
          <w:footerReference r:id="rId31" w:type="first"/>
          <w:footerReference r:id="rId30" w:type="default"/>
          <w:pgSz w:w="16839" w:h="11907" w:orient="landscape"/>
          <w:pgMar w:top="1361" w:right="1247" w:bottom="1361" w:left="1247" w:header="765" w:footer="765" w:gutter="0"/>
          <w:pgBorders>
            <w:top w:val="none" w:sz="0" w:space="0"/>
            <w:left w:val="none" w:sz="0" w:space="0"/>
            <w:bottom w:val="none" w:sz="0" w:space="0"/>
            <w:right w:val="none" w:sz="0" w:space="0"/>
          </w:pgBorders>
          <w:pgNumType w:fmt="decimal"/>
          <w:cols w:space="720" w:num="1"/>
          <w:titlePg/>
          <w:docGrid w:type="linesAndChars" w:linePitch="312" w:charSpace="0"/>
        </w:sectPr>
      </w:pPr>
    </w:p>
    <w:tbl>
      <w:tblPr>
        <w:tblStyle w:val="23"/>
        <w:tblW w:w="14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01"/>
        <w:gridCol w:w="1987"/>
        <w:gridCol w:w="5243"/>
        <w:gridCol w:w="6230"/>
      </w:tblGrid>
      <w:tr w14:paraId="1ACE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01" w:type="dxa"/>
            <w:vMerge w:val="restart"/>
            <w:shd w:val="clear" w:color="auto" w:fill="auto"/>
            <w:vAlign w:val="center"/>
          </w:tcPr>
          <w:p w14:paraId="0D31FA0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87" w:type="dxa"/>
            <w:shd w:val="clear" w:color="auto" w:fill="auto"/>
            <w:vAlign w:val="center"/>
          </w:tcPr>
          <w:p w14:paraId="114AFC0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隔油池废油脂</w:t>
            </w:r>
          </w:p>
        </w:tc>
        <w:tc>
          <w:tcPr>
            <w:tcW w:w="5243" w:type="dxa"/>
            <w:shd w:val="clear" w:color="auto" w:fill="auto"/>
            <w:vAlign w:val="center"/>
          </w:tcPr>
          <w:p w14:paraId="2DA3397C">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经密闭容器收集，委托有资质单位清运处置</w:t>
            </w:r>
          </w:p>
        </w:tc>
        <w:tc>
          <w:tcPr>
            <w:tcW w:w="6230" w:type="dxa"/>
            <w:vMerge w:val="restart"/>
            <w:shd w:val="clear" w:color="auto" w:fill="auto"/>
            <w:vAlign w:val="center"/>
          </w:tcPr>
          <w:p w14:paraId="6CD95CD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5455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shd w:val="clear" w:color="auto" w:fill="auto"/>
            <w:vAlign w:val="center"/>
          </w:tcPr>
          <w:p w14:paraId="05F0D29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87" w:type="dxa"/>
            <w:shd w:val="clear" w:color="auto" w:fill="auto"/>
            <w:vAlign w:val="center"/>
          </w:tcPr>
          <w:p w14:paraId="4160A48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厨房泔水</w:t>
            </w:r>
          </w:p>
        </w:tc>
        <w:tc>
          <w:tcPr>
            <w:tcW w:w="5243" w:type="dxa"/>
            <w:shd w:val="clear" w:color="auto" w:fill="auto"/>
            <w:vAlign w:val="center"/>
          </w:tcPr>
          <w:p w14:paraId="2BFDE208">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经密闭泔水桶收集后，按照住建部门的相关规定处置</w:t>
            </w:r>
          </w:p>
        </w:tc>
        <w:tc>
          <w:tcPr>
            <w:tcW w:w="6230" w:type="dxa"/>
            <w:vMerge w:val="continue"/>
            <w:shd w:val="clear" w:color="auto" w:fill="auto"/>
            <w:vAlign w:val="center"/>
          </w:tcPr>
          <w:p w14:paraId="5A5454D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7EDD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shd w:val="clear" w:color="auto" w:fill="auto"/>
            <w:vAlign w:val="center"/>
          </w:tcPr>
          <w:p w14:paraId="13E6598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87" w:type="dxa"/>
            <w:shd w:val="clear" w:color="auto" w:fill="auto"/>
            <w:vAlign w:val="center"/>
          </w:tcPr>
          <w:p w14:paraId="299177BF">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化粪池污泥</w:t>
            </w:r>
          </w:p>
        </w:tc>
        <w:tc>
          <w:tcPr>
            <w:tcW w:w="5243" w:type="dxa"/>
            <w:shd w:val="clear" w:color="auto" w:fill="auto"/>
            <w:vAlign w:val="center"/>
          </w:tcPr>
          <w:p w14:paraId="1F1B085E">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定期清掏后作为绿化施肥及农田施肥使用</w:t>
            </w:r>
          </w:p>
        </w:tc>
        <w:tc>
          <w:tcPr>
            <w:tcW w:w="6230" w:type="dxa"/>
            <w:vMerge w:val="continue"/>
            <w:shd w:val="clear" w:color="auto" w:fill="auto"/>
            <w:vAlign w:val="center"/>
          </w:tcPr>
          <w:p w14:paraId="31B1C33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60F0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101" w:type="dxa"/>
            <w:vMerge w:val="continue"/>
            <w:shd w:val="clear" w:color="auto" w:fill="auto"/>
            <w:vAlign w:val="center"/>
          </w:tcPr>
          <w:p w14:paraId="3B08FDB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87" w:type="dxa"/>
            <w:shd w:val="clear" w:color="auto" w:fill="auto"/>
            <w:vAlign w:val="center"/>
          </w:tcPr>
          <w:p w14:paraId="10FE6AB9">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生活垃圾</w:t>
            </w:r>
          </w:p>
        </w:tc>
        <w:tc>
          <w:tcPr>
            <w:tcW w:w="5243" w:type="dxa"/>
            <w:shd w:val="clear" w:color="auto" w:fill="auto"/>
            <w:vAlign w:val="center"/>
          </w:tcPr>
          <w:p w14:paraId="0D6D0AEF">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垃圾桶统一收集后，并运至</w:t>
            </w:r>
            <w:r>
              <w:rPr>
                <w:rFonts w:hint="default" w:ascii="Times New Roman" w:hAnsi="Times New Roman" w:cs="Times New Roman"/>
                <w:bCs/>
                <w:color w:val="auto"/>
                <w:sz w:val="18"/>
                <w:szCs w:val="18"/>
                <w:highlight w:val="none"/>
                <w:lang w:eastAsia="zh-CN"/>
              </w:rPr>
              <w:t>猴街村</w:t>
            </w:r>
            <w:r>
              <w:rPr>
                <w:rFonts w:hint="default" w:ascii="Times New Roman" w:hAnsi="Times New Roman" w:cs="Times New Roman"/>
                <w:bCs/>
                <w:color w:val="auto"/>
                <w:sz w:val="18"/>
                <w:szCs w:val="18"/>
                <w:highlight w:val="none"/>
              </w:rPr>
              <w:t>统一的垃圾收集点堆放</w:t>
            </w:r>
          </w:p>
        </w:tc>
        <w:tc>
          <w:tcPr>
            <w:tcW w:w="6230" w:type="dxa"/>
            <w:vMerge w:val="continue"/>
            <w:shd w:val="clear" w:color="auto" w:fill="auto"/>
            <w:vAlign w:val="center"/>
          </w:tcPr>
          <w:p w14:paraId="21947A9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09DC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101" w:type="dxa"/>
            <w:vMerge w:val="continue"/>
            <w:shd w:val="clear" w:color="auto" w:fill="auto"/>
            <w:vAlign w:val="center"/>
          </w:tcPr>
          <w:p w14:paraId="6E8C2A8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87" w:type="dxa"/>
            <w:shd w:val="clear" w:color="auto" w:fill="auto"/>
            <w:vAlign w:val="center"/>
          </w:tcPr>
          <w:p w14:paraId="7EC7C0B2">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废机油</w:t>
            </w:r>
          </w:p>
        </w:tc>
        <w:tc>
          <w:tcPr>
            <w:tcW w:w="5243" w:type="dxa"/>
            <w:shd w:val="clear" w:color="auto" w:fill="auto"/>
            <w:vAlign w:val="center"/>
          </w:tcPr>
          <w:p w14:paraId="564A6E2A">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bCs/>
                <w:color w:val="auto"/>
                <w:sz w:val="18"/>
                <w:szCs w:val="18"/>
                <w:highlight w:val="none"/>
              </w:rPr>
              <w:t>设专用密闭容器收集后，暂存至危废暂存间，委托相关资质单位处置。</w:t>
            </w:r>
            <w:r>
              <w:rPr>
                <w:rFonts w:hint="default" w:ascii="Times New Roman" w:hAnsi="Times New Roman" w:cs="Times New Roman"/>
                <w:bCs/>
                <w:color w:val="auto"/>
                <w:sz w:val="18"/>
                <w:szCs w:val="18"/>
                <w:highlight w:val="none"/>
                <w:lang w:eastAsia="zh-CN"/>
              </w:rPr>
              <w:t>收集容器下方设置托盘进行泄漏堵截</w:t>
            </w:r>
          </w:p>
        </w:tc>
        <w:tc>
          <w:tcPr>
            <w:tcW w:w="6230" w:type="dxa"/>
            <w:vMerge w:val="restart"/>
            <w:shd w:val="clear" w:color="auto" w:fill="auto"/>
            <w:vAlign w:val="center"/>
          </w:tcPr>
          <w:p w14:paraId="6BF952B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收集容器、暂存间设置满足</w:t>
            </w:r>
            <w:r>
              <w:rPr>
                <w:rFonts w:hint="default" w:ascii="Times New Roman" w:hAnsi="Times New Roman" w:cs="Times New Roman"/>
                <w:bCs/>
                <w:color w:val="auto"/>
                <w:sz w:val="18"/>
                <w:szCs w:val="18"/>
                <w:highlight w:val="none"/>
              </w:rPr>
              <w:t>《危险废物贮存污染控制标准》（GB18597-2023）相关要求</w:t>
            </w:r>
          </w:p>
        </w:tc>
      </w:tr>
      <w:tr w14:paraId="201D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1" w:type="dxa"/>
            <w:vMerge w:val="continue"/>
            <w:shd w:val="clear" w:color="auto" w:fill="auto"/>
            <w:vAlign w:val="center"/>
          </w:tcPr>
          <w:p w14:paraId="5F16C34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87" w:type="dxa"/>
            <w:shd w:val="clear" w:color="auto" w:fill="auto"/>
            <w:vAlign w:val="center"/>
          </w:tcPr>
          <w:p w14:paraId="26B33568">
            <w:pPr>
              <w:pStyle w:val="12"/>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危废暂存间</w:t>
            </w:r>
          </w:p>
        </w:tc>
        <w:tc>
          <w:tcPr>
            <w:tcW w:w="5243" w:type="dxa"/>
            <w:shd w:val="clear" w:color="auto" w:fill="auto"/>
            <w:vAlign w:val="center"/>
          </w:tcPr>
          <w:p w14:paraId="7F817333">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设1个</w:t>
            </w:r>
            <w:r>
              <w:rPr>
                <w:rFonts w:hint="default" w:ascii="Times New Roman" w:hAnsi="Times New Roman" w:cs="Times New Roman"/>
                <w:color w:val="auto"/>
                <w:sz w:val="18"/>
                <w:szCs w:val="18"/>
                <w:highlight w:val="none"/>
                <w:lang w:val="en-US" w:eastAsia="zh-CN"/>
              </w:rPr>
              <w:t>5</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2</w:t>
            </w:r>
            <w:r>
              <w:rPr>
                <w:rFonts w:hint="default" w:ascii="Times New Roman" w:hAnsi="Times New Roman" w:cs="Times New Roman"/>
                <w:color w:val="auto"/>
                <w:sz w:val="18"/>
                <w:szCs w:val="18"/>
                <w:highlight w:val="none"/>
              </w:rPr>
              <w:t>的危废暂存间</w:t>
            </w:r>
          </w:p>
        </w:tc>
        <w:tc>
          <w:tcPr>
            <w:tcW w:w="6230" w:type="dxa"/>
            <w:vMerge w:val="continue"/>
            <w:shd w:val="clear" w:color="auto" w:fill="auto"/>
            <w:vAlign w:val="center"/>
          </w:tcPr>
          <w:p w14:paraId="46C526E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0C6C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shd w:val="clear" w:color="auto" w:fill="auto"/>
            <w:vAlign w:val="center"/>
          </w:tcPr>
          <w:p w14:paraId="3FB1973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地下水、土壤防渗</w:t>
            </w:r>
          </w:p>
        </w:tc>
        <w:tc>
          <w:tcPr>
            <w:tcW w:w="1987" w:type="dxa"/>
            <w:shd w:val="clear" w:color="auto" w:fill="auto"/>
            <w:vAlign w:val="center"/>
          </w:tcPr>
          <w:p w14:paraId="5EE4BE57">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重点防渗区</w:t>
            </w:r>
          </w:p>
        </w:tc>
        <w:tc>
          <w:tcPr>
            <w:tcW w:w="5243" w:type="dxa"/>
            <w:shd w:val="clear" w:color="auto" w:fill="auto"/>
            <w:vAlign w:val="center"/>
          </w:tcPr>
          <w:p w14:paraId="24C2D215">
            <w:pP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粪尿收集池</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废水收集</w:t>
            </w:r>
            <w:r>
              <w:rPr>
                <w:rFonts w:hint="default" w:ascii="Times New Roman" w:hAnsi="Times New Roman" w:cs="Times New Roman"/>
                <w:color w:val="auto"/>
                <w:sz w:val="18"/>
                <w:szCs w:val="18"/>
              </w:rPr>
              <w:t>池、</w:t>
            </w:r>
            <w:r>
              <w:rPr>
                <w:rFonts w:hint="default" w:ascii="Times New Roman" w:hAnsi="Times New Roman" w:cs="Times New Roman"/>
                <w:color w:val="auto"/>
                <w:sz w:val="18"/>
                <w:szCs w:val="18"/>
                <w:lang w:eastAsia="zh-CN"/>
              </w:rPr>
              <w:t>堆粪棚、</w:t>
            </w:r>
            <w:r>
              <w:rPr>
                <w:rFonts w:hint="default" w:ascii="Times New Roman" w:hAnsi="Times New Roman" w:cs="Times New Roman"/>
                <w:color w:val="auto"/>
                <w:sz w:val="18"/>
                <w:szCs w:val="18"/>
                <w:lang w:val="en-US" w:eastAsia="zh-CN"/>
              </w:rPr>
              <w:t>固液分离区、</w:t>
            </w:r>
            <w:r>
              <w:rPr>
                <w:rFonts w:hint="default" w:ascii="Times New Roman" w:hAnsi="Times New Roman" w:cs="Times New Roman"/>
                <w:color w:val="auto"/>
                <w:sz w:val="18"/>
                <w:szCs w:val="18"/>
              </w:rPr>
              <w:t>危废暂存间</w:t>
            </w:r>
          </w:p>
        </w:tc>
        <w:tc>
          <w:tcPr>
            <w:tcW w:w="6230" w:type="dxa"/>
            <w:shd w:val="clear" w:color="auto" w:fill="auto"/>
            <w:vAlign w:val="center"/>
          </w:tcPr>
          <w:p w14:paraId="5188EFA8">
            <w:pPr>
              <w:keepNext w:val="0"/>
              <w:keepLines w:val="0"/>
              <w:suppressLineNumbers w:val="0"/>
              <w:adjustRightInd w:val="0"/>
              <w:spacing w:before="0" w:beforeAutospacing="0" w:after="0" w:afterAutospacing="0"/>
              <w:ind w:left="0" w:right="25" w:rightChars="12"/>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bCs/>
                <w:color w:val="auto"/>
                <w:sz w:val="18"/>
                <w:szCs w:val="18"/>
                <w:highlight w:val="none"/>
              </w:rPr>
              <w:t>等效黏土防渗层厚度Mb≥6m，渗透系数K≤1.0×10</w:t>
            </w:r>
            <w:r>
              <w:rPr>
                <w:rFonts w:hint="default" w:ascii="Times New Roman" w:hAnsi="Times New Roman" w:cs="Times New Roman"/>
                <w:bCs/>
                <w:color w:val="auto"/>
                <w:sz w:val="18"/>
                <w:szCs w:val="18"/>
                <w:highlight w:val="none"/>
                <w:vertAlign w:val="superscript"/>
              </w:rPr>
              <w:t>-7</w:t>
            </w:r>
            <w:r>
              <w:rPr>
                <w:rFonts w:hint="default" w:ascii="Times New Roman" w:hAnsi="Times New Roman" w:cs="Times New Roman"/>
                <w:bCs/>
                <w:color w:val="auto"/>
                <w:sz w:val="18"/>
                <w:szCs w:val="18"/>
                <w:highlight w:val="none"/>
              </w:rPr>
              <w:t>cm/s；或参照GB18598执行，防渗系数K≤1.0×10</w:t>
            </w:r>
            <w:r>
              <w:rPr>
                <w:rFonts w:hint="default" w:ascii="Times New Roman" w:hAnsi="Times New Roman" w:cs="Times New Roman"/>
                <w:bCs/>
                <w:color w:val="auto"/>
                <w:sz w:val="18"/>
                <w:szCs w:val="18"/>
                <w:highlight w:val="none"/>
                <w:vertAlign w:val="superscript"/>
              </w:rPr>
              <w:t>-10</w:t>
            </w:r>
            <w:r>
              <w:rPr>
                <w:rFonts w:hint="default" w:ascii="Times New Roman" w:hAnsi="Times New Roman" w:cs="Times New Roman"/>
                <w:bCs/>
                <w:color w:val="auto"/>
                <w:sz w:val="18"/>
                <w:szCs w:val="18"/>
                <w:highlight w:val="none"/>
              </w:rPr>
              <w:t>cm/s</w:t>
            </w:r>
            <w:r>
              <w:rPr>
                <w:rFonts w:hint="default" w:ascii="Times New Roman" w:hAnsi="Times New Roman" w:cs="Times New Roman"/>
                <w:bCs/>
                <w:color w:val="auto"/>
                <w:sz w:val="18"/>
                <w:szCs w:val="18"/>
                <w:highlight w:val="none"/>
                <w:lang w:eastAsia="zh-CN"/>
              </w:rPr>
              <w:t>；</w:t>
            </w:r>
          </w:p>
        </w:tc>
      </w:tr>
      <w:tr w14:paraId="4EC4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shd w:val="clear" w:color="auto" w:fill="auto"/>
            <w:vAlign w:val="center"/>
          </w:tcPr>
          <w:p w14:paraId="64AFDDC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87" w:type="dxa"/>
            <w:shd w:val="clear" w:color="auto" w:fill="auto"/>
            <w:vAlign w:val="center"/>
          </w:tcPr>
          <w:p w14:paraId="77962ED7">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一般防渗区</w:t>
            </w:r>
          </w:p>
        </w:tc>
        <w:tc>
          <w:tcPr>
            <w:tcW w:w="5243" w:type="dxa"/>
            <w:shd w:val="clear" w:color="auto" w:fill="auto"/>
            <w:vAlign w:val="center"/>
          </w:tcPr>
          <w:p w14:paraId="18B4A3D7">
            <w:pPr>
              <w:rPr>
                <w:rFonts w:hint="default" w:ascii="Times New Roman" w:hAnsi="Times New Roman" w:cs="Times New Roman"/>
                <w:color w:val="auto"/>
                <w:sz w:val="18"/>
                <w:szCs w:val="18"/>
                <w:lang w:eastAsia="zh-CN"/>
              </w:rPr>
            </w:pPr>
            <w:r>
              <w:rPr>
                <w:rFonts w:hint="default" w:ascii="Times New Roman" w:hAnsi="Times New Roman" w:cs="Times New Roman"/>
                <w:color w:val="auto"/>
                <w:sz w:val="21"/>
                <w:szCs w:val="21"/>
              </w:rPr>
              <w:t>隔油池、化粪池、初期雨水收集池、</w:t>
            </w:r>
            <w:r>
              <w:rPr>
                <w:rFonts w:hint="default" w:ascii="Times New Roman" w:hAnsi="Times New Roman" w:cs="Times New Roman"/>
                <w:color w:val="auto"/>
                <w:sz w:val="21"/>
                <w:szCs w:val="21"/>
                <w:lang w:val="en-US" w:eastAsia="zh-CN"/>
              </w:rPr>
              <w:t>车辆洗消棚沉淀池</w:t>
            </w:r>
            <w:r>
              <w:rPr>
                <w:rFonts w:hint="default" w:ascii="Times New Roman" w:hAnsi="Times New Roman" w:cs="Times New Roman"/>
                <w:bCs/>
                <w:color w:val="auto"/>
                <w:sz w:val="21"/>
                <w:szCs w:val="21"/>
                <w:lang w:val="en-US" w:eastAsia="zh-CN"/>
              </w:rPr>
              <w:t>、</w:t>
            </w:r>
            <w:r>
              <w:rPr>
                <w:rFonts w:hint="default" w:ascii="Times New Roman" w:hAnsi="Times New Roman" w:cs="Times New Roman"/>
                <w:bCs/>
                <w:color w:val="auto"/>
                <w:sz w:val="21"/>
                <w:szCs w:val="21"/>
              </w:rPr>
              <w:t>柴油发电室</w:t>
            </w:r>
            <w:r>
              <w:rPr>
                <w:rFonts w:hint="default" w:ascii="Times New Roman" w:hAnsi="Times New Roman" w:cs="Times New Roman"/>
                <w:bCs/>
                <w:color w:val="auto"/>
                <w:sz w:val="21"/>
                <w:szCs w:val="21"/>
                <w:lang w:eastAsia="zh-CN"/>
              </w:rPr>
              <w:t>、</w:t>
            </w:r>
            <w:r>
              <w:rPr>
                <w:rFonts w:hint="default" w:ascii="Times New Roman" w:hAnsi="Times New Roman" w:cs="Times New Roman"/>
                <w:color w:val="auto"/>
                <w:sz w:val="21"/>
                <w:szCs w:val="21"/>
                <w:lang w:val="en-US" w:eastAsia="zh-CN"/>
              </w:rPr>
              <w:t>冷库、防疫固废暂存间</w:t>
            </w:r>
          </w:p>
        </w:tc>
        <w:tc>
          <w:tcPr>
            <w:tcW w:w="6230" w:type="dxa"/>
            <w:shd w:val="clear" w:color="auto" w:fill="auto"/>
            <w:vAlign w:val="center"/>
          </w:tcPr>
          <w:p w14:paraId="791D8520">
            <w:pPr>
              <w:keepNext w:val="0"/>
              <w:keepLines w:val="0"/>
              <w:suppressLineNumbers w:val="0"/>
              <w:adjustRightInd w:val="0"/>
              <w:spacing w:before="0" w:beforeAutospacing="0" w:after="0" w:afterAutospacing="0"/>
              <w:ind w:left="0" w:right="25" w:rightChars="12"/>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等效黏土防渗层厚度Mb≥1.5m，渗透系数K≤1.0×10</w:t>
            </w:r>
            <w:r>
              <w:rPr>
                <w:rFonts w:hint="default" w:ascii="Times New Roman" w:hAnsi="Times New Roman" w:cs="Times New Roman"/>
                <w:bCs/>
                <w:color w:val="auto"/>
                <w:sz w:val="18"/>
                <w:szCs w:val="18"/>
                <w:highlight w:val="none"/>
                <w:vertAlign w:val="superscript"/>
              </w:rPr>
              <w:t>-7</w:t>
            </w:r>
            <w:r>
              <w:rPr>
                <w:rFonts w:hint="default" w:ascii="Times New Roman" w:hAnsi="Times New Roman" w:cs="Times New Roman"/>
                <w:bCs/>
                <w:color w:val="auto"/>
                <w:sz w:val="18"/>
                <w:szCs w:val="18"/>
                <w:highlight w:val="none"/>
              </w:rPr>
              <w:t>cm/s；或参照16889执行。</w:t>
            </w:r>
          </w:p>
        </w:tc>
      </w:tr>
      <w:tr w14:paraId="7AC48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shd w:val="clear" w:color="auto" w:fill="auto"/>
            <w:vAlign w:val="center"/>
          </w:tcPr>
          <w:p w14:paraId="6EC280F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87" w:type="dxa"/>
            <w:shd w:val="clear" w:color="auto" w:fill="auto"/>
            <w:vAlign w:val="center"/>
          </w:tcPr>
          <w:p w14:paraId="57AE6CE0">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简单防渗区</w:t>
            </w:r>
          </w:p>
        </w:tc>
        <w:tc>
          <w:tcPr>
            <w:tcW w:w="5243" w:type="dxa"/>
            <w:shd w:val="clear" w:color="auto" w:fill="auto"/>
            <w:vAlign w:val="center"/>
          </w:tcPr>
          <w:p w14:paraId="6A3D3381">
            <w:pP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物资消毒仓库</w:t>
            </w:r>
            <w:r>
              <w:rPr>
                <w:rFonts w:hint="default" w:ascii="Times New Roman" w:hAnsi="Times New Roman" w:cs="Times New Roman"/>
                <w:color w:val="auto"/>
                <w:sz w:val="18"/>
                <w:szCs w:val="18"/>
              </w:rPr>
              <w:t>、配电房、料塔区、办公生活区、厂区道路</w:t>
            </w:r>
          </w:p>
        </w:tc>
        <w:tc>
          <w:tcPr>
            <w:tcW w:w="6230" w:type="dxa"/>
            <w:shd w:val="clear" w:color="auto" w:fill="auto"/>
            <w:vAlign w:val="center"/>
          </w:tcPr>
          <w:p w14:paraId="3F738F5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采取一般水泥地面硬化</w:t>
            </w:r>
          </w:p>
        </w:tc>
      </w:tr>
      <w:tr w14:paraId="5557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shd w:val="clear" w:color="auto" w:fill="auto"/>
            <w:vAlign w:val="center"/>
          </w:tcPr>
          <w:p w14:paraId="40C4728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987" w:type="dxa"/>
            <w:shd w:val="clear" w:color="auto" w:fill="auto"/>
            <w:vAlign w:val="center"/>
          </w:tcPr>
          <w:p w14:paraId="3AF3F46B">
            <w:pPr>
              <w:pStyle w:val="12"/>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跟踪监测井</w:t>
            </w:r>
          </w:p>
        </w:tc>
        <w:tc>
          <w:tcPr>
            <w:tcW w:w="5243" w:type="dxa"/>
            <w:shd w:val="clear" w:color="auto" w:fill="auto"/>
            <w:vAlign w:val="center"/>
          </w:tcPr>
          <w:p w14:paraId="71089D7E">
            <w:pP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废水收集</w:t>
            </w:r>
            <w:r>
              <w:rPr>
                <w:rFonts w:hint="default" w:ascii="Times New Roman" w:hAnsi="Times New Roman" w:cs="Times New Roman"/>
                <w:color w:val="auto"/>
                <w:sz w:val="18"/>
                <w:szCs w:val="18"/>
              </w:rPr>
              <w:t>池下游</w:t>
            </w:r>
            <w:r>
              <w:rPr>
                <w:rFonts w:hint="eastAsia" w:cs="Times New Roman"/>
                <w:color w:val="auto"/>
                <w:sz w:val="18"/>
                <w:szCs w:val="18"/>
                <w:lang w:val="en-US" w:eastAsia="zh-CN"/>
              </w:rPr>
              <w:t>25</w:t>
            </w:r>
            <w:r>
              <w:rPr>
                <w:rFonts w:hint="default" w:ascii="Times New Roman" w:hAnsi="Times New Roman" w:cs="Times New Roman"/>
                <w:color w:val="auto"/>
                <w:sz w:val="18"/>
                <w:szCs w:val="18"/>
              </w:rPr>
              <w:t>m范围内设置1个</w:t>
            </w:r>
            <w:r>
              <w:rPr>
                <w:rFonts w:hint="default" w:ascii="Times New Roman" w:hAnsi="Times New Roman" w:cs="Times New Roman"/>
                <w:color w:val="auto"/>
                <w:sz w:val="18"/>
                <w:szCs w:val="18"/>
                <w:lang w:val="en-US" w:eastAsia="zh-CN"/>
              </w:rPr>
              <w:t>地下水</w:t>
            </w:r>
            <w:r>
              <w:rPr>
                <w:rFonts w:hint="default" w:ascii="Times New Roman" w:hAnsi="Times New Roman" w:cs="Times New Roman"/>
                <w:color w:val="auto"/>
                <w:sz w:val="18"/>
                <w:szCs w:val="18"/>
              </w:rPr>
              <w:t>跟踪监测井</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rPr>
              <w:t>各粪污消纳区设1个土壤跟踪监测点，共2个点</w:t>
            </w:r>
          </w:p>
        </w:tc>
        <w:tc>
          <w:tcPr>
            <w:tcW w:w="6230" w:type="dxa"/>
            <w:shd w:val="clear" w:color="auto" w:fill="auto"/>
            <w:vAlign w:val="center"/>
          </w:tcPr>
          <w:p w14:paraId="20F4BACB">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按照自行监测计划，定期委托有资质的单位开展监测</w:t>
            </w:r>
          </w:p>
        </w:tc>
      </w:tr>
      <w:tr w14:paraId="3F1E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gridSpan w:val="2"/>
            <w:vMerge w:val="restart"/>
            <w:shd w:val="clear" w:color="auto" w:fill="auto"/>
            <w:vAlign w:val="center"/>
          </w:tcPr>
          <w:p w14:paraId="417F524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其他</w:t>
            </w:r>
          </w:p>
        </w:tc>
        <w:tc>
          <w:tcPr>
            <w:tcW w:w="5243" w:type="dxa"/>
            <w:shd w:val="clear" w:color="auto" w:fill="auto"/>
            <w:vAlign w:val="center"/>
          </w:tcPr>
          <w:p w14:paraId="5A734DC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标识标牌10块</w:t>
            </w:r>
          </w:p>
        </w:tc>
        <w:tc>
          <w:tcPr>
            <w:tcW w:w="6230" w:type="dxa"/>
            <w:shd w:val="clear" w:color="auto" w:fill="auto"/>
            <w:vAlign w:val="center"/>
          </w:tcPr>
          <w:p w14:paraId="4B3842D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危废暂存间、隔油池、化粪池、</w:t>
            </w:r>
            <w:r>
              <w:rPr>
                <w:rFonts w:hint="default" w:ascii="Times New Roman" w:hAnsi="Times New Roman" w:cs="Times New Roman"/>
                <w:color w:val="auto"/>
                <w:sz w:val="18"/>
                <w:szCs w:val="18"/>
                <w:highlight w:val="none"/>
                <w:lang w:eastAsia="zh-CN"/>
              </w:rPr>
              <w:t>粪尿收集池</w:t>
            </w:r>
            <w:r>
              <w:rPr>
                <w:rFonts w:hint="default" w:ascii="Times New Roman" w:hAnsi="Times New Roman" w:cs="Times New Roman"/>
                <w:color w:val="auto"/>
                <w:sz w:val="18"/>
                <w:szCs w:val="18"/>
                <w:highlight w:val="none"/>
              </w:rPr>
              <w:t>、固液分离区、</w:t>
            </w:r>
            <w:r>
              <w:rPr>
                <w:rFonts w:hint="default" w:ascii="Times New Roman" w:hAnsi="Times New Roman" w:cs="Times New Roman"/>
                <w:color w:val="auto"/>
                <w:sz w:val="18"/>
                <w:szCs w:val="18"/>
                <w:highlight w:val="none"/>
                <w:lang w:val="en-US" w:eastAsia="zh-CN"/>
              </w:rPr>
              <w:t>废水收集</w:t>
            </w:r>
            <w:r>
              <w:rPr>
                <w:rFonts w:hint="default" w:ascii="Times New Roman" w:hAnsi="Times New Roman" w:cs="Times New Roman"/>
                <w:color w:val="auto"/>
                <w:sz w:val="18"/>
                <w:szCs w:val="18"/>
                <w:highlight w:val="none"/>
              </w:rPr>
              <w:t>池、</w:t>
            </w:r>
            <w:r>
              <w:rPr>
                <w:rFonts w:hint="default" w:ascii="Times New Roman" w:hAnsi="Times New Roman" w:cs="Times New Roman"/>
                <w:color w:val="auto"/>
                <w:sz w:val="18"/>
                <w:szCs w:val="18"/>
                <w:highlight w:val="none"/>
                <w:lang w:eastAsia="zh-CN"/>
              </w:rPr>
              <w:t>堆粪棚</w:t>
            </w:r>
            <w:r>
              <w:rPr>
                <w:rFonts w:hint="default" w:ascii="Times New Roman" w:hAnsi="Times New Roman" w:cs="Times New Roman"/>
                <w:color w:val="auto"/>
                <w:sz w:val="18"/>
                <w:szCs w:val="18"/>
                <w:highlight w:val="none"/>
              </w:rPr>
              <w:t>、</w:t>
            </w:r>
            <w:r>
              <w:rPr>
                <w:rFonts w:hint="default" w:ascii="Times New Roman" w:hAnsi="Times New Roman" w:cs="Times New Roman"/>
                <w:bCs/>
                <w:color w:val="auto"/>
                <w:sz w:val="18"/>
                <w:szCs w:val="18"/>
                <w:highlight w:val="none"/>
              </w:rPr>
              <w:t>病死猪冷库</w:t>
            </w:r>
            <w:r>
              <w:rPr>
                <w:rFonts w:hint="default" w:ascii="Times New Roman" w:hAnsi="Times New Roman" w:cs="Times New Roman"/>
                <w:color w:val="auto"/>
                <w:sz w:val="18"/>
                <w:szCs w:val="18"/>
                <w:highlight w:val="none"/>
              </w:rPr>
              <w:t>等环保设施处设置标识标牌</w:t>
            </w:r>
          </w:p>
        </w:tc>
      </w:tr>
      <w:tr w14:paraId="683C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gridSpan w:val="2"/>
            <w:vMerge w:val="continue"/>
            <w:shd w:val="clear" w:color="auto" w:fill="auto"/>
            <w:vAlign w:val="center"/>
          </w:tcPr>
          <w:p w14:paraId="4099107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5243" w:type="dxa"/>
            <w:shd w:val="clear" w:color="auto" w:fill="auto"/>
            <w:vAlign w:val="center"/>
          </w:tcPr>
          <w:p w14:paraId="2495D73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绿化面积</w:t>
            </w:r>
            <w:r>
              <w:rPr>
                <w:rFonts w:hint="default" w:ascii="Times New Roman" w:hAnsi="Times New Roman" w:cs="Times New Roman"/>
                <w:color w:val="auto"/>
                <w:sz w:val="18"/>
                <w:szCs w:val="18"/>
                <w:highlight w:val="none"/>
                <w:lang w:val="en-US" w:eastAsia="zh-CN"/>
              </w:rPr>
              <w:t>1000</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2</w:t>
            </w:r>
          </w:p>
        </w:tc>
        <w:tc>
          <w:tcPr>
            <w:tcW w:w="6230" w:type="dxa"/>
            <w:shd w:val="clear" w:color="auto" w:fill="auto"/>
            <w:vAlign w:val="center"/>
          </w:tcPr>
          <w:p w14:paraId="35CE347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乔、灌、草结合，选用当地常见种</w:t>
            </w:r>
          </w:p>
        </w:tc>
      </w:tr>
    </w:tbl>
    <w:p w14:paraId="38A84F0F">
      <w:pPr>
        <w:snapToGrid w:val="0"/>
        <w:spacing w:line="360" w:lineRule="auto"/>
        <w:ind w:firstLine="482"/>
        <w:rPr>
          <w:rFonts w:hint="default" w:ascii="Times New Roman" w:hAnsi="Times New Roman" w:cs="Times New Roman"/>
          <w:color w:val="auto"/>
          <w:sz w:val="24"/>
          <w:highlight w:val="none"/>
        </w:rPr>
      </w:pPr>
    </w:p>
    <w:p w14:paraId="2D64F2CF">
      <w:pPr>
        <w:pStyle w:val="2"/>
        <w:snapToGrid w:val="0"/>
        <w:spacing w:after="0" w:afterLines="0"/>
        <w:rPr>
          <w:rFonts w:hint="default" w:ascii="Times New Roman" w:hAnsi="Times New Roman" w:cs="Times New Roman"/>
          <w:color w:val="auto"/>
          <w:sz w:val="28"/>
          <w:szCs w:val="28"/>
          <w:highlight w:val="none"/>
        </w:rPr>
        <w:sectPr>
          <w:footerReference r:id="rId33" w:type="first"/>
          <w:footerReference r:id="rId32" w:type="default"/>
          <w:pgSz w:w="16839" w:h="11907" w:orient="landscape"/>
          <w:pgMar w:top="1361" w:right="1247" w:bottom="1361" w:left="1247" w:header="765" w:footer="765" w:gutter="0"/>
          <w:pgBorders>
            <w:top w:val="none" w:sz="0" w:space="0"/>
            <w:left w:val="none" w:sz="0" w:space="0"/>
            <w:bottom w:val="none" w:sz="0" w:space="0"/>
            <w:right w:val="none" w:sz="0" w:space="0"/>
          </w:pgBorders>
          <w:pgNumType w:fmt="decimal"/>
          <w:cols w:space="720" w:num="1"/>
          <w:docGrid w:type="linesAndChars" w:linePitch="312" w:charSpace="0"/>
        </w:sectPr>
      </w:pPr>
      <w:bookmarkStart w:id="457" w:name="_Toc390094641"/>
      <w:bookmarkStart w:id="458" w:name="_Toc415152582"/>
      <w:bookmarkStart w:id="459" w:name="_Toc358809389"/>
    </w:p>
    <w:p w14:paraId="0D237C95">
      <w:pPr>
        <w:pStyle w:val="2"/>
        <w:keepNext/>
        <w:keepLines/>
        <w:pageBreakBefore/>
        <w:widowControl w:val="0"/>
        <w:kinsoku/>
        <w:wordWrap/>
        <w:overflowPunct/>
        <w:topLinePunct w:val="0"/>
        <w:autoSpaceDE/>
        <w:autoSpaceDN/>
        <w:bidi w:val="0"/>
        <w:adjustRightInd/>
        <w:snapToGrid w:val="0"/>
        <w:spacing w:before="0" w:after="0" w:afterLines="0" w:line="360" w:lineRule="auto"/>
        <w:textAlignment w:val="auto"/>
        <w:rPr>
          <w:rFonts w:hint="default" w:ascii="Times New Roman" w:hAnsi="Times New Roman" w:cs="Times New Roman"/>
          <w:color w:val="auto"/>
          <w:sz w:val="28"/>
          <w:szCs w:val="28"/>
          <w:highlight w:val="none"/>
        </w:rPr>
      </w:pPr>
      <w:bookmarkStart w:id="460" w:name="_Toc18005"/>
      <w:bookmarkStart w:id="461" w:name="_Toc23330"/>
      <w:bookmarkStart w:id="462" w:name="_Toc20102"/>
      <w:bookmarkStart w:id="463" w:name="_Toc3181"/>
      <w:r>
        <w:rPr>
          <w:rFonts w:hint="default" w:ascii="Times New Roman" w:hAnsi="Times New Roman" w:cs="Times New Roman"/>
          <w:color w:val="auto"/>
          <w:sz w:val="28"/>
          <w:szCs w:val="28"/>
          <w:highlight w:val="none"/>
        </w:rPr>
        <w:t>10环境影响评价结论</w:t>
      </w:r>
      <w:bookmarkEnd w:id="457"/>
      <w:bookmarkEnd w:id="458"/>
      <w:bookmarkEnd w:id="459"/>
      <w:bookmarkEnd w:id="460"/>
      <w:bookmarkEnd w:id="461"/>
      <w:bookmarkEnd w:id="462"/>
      <w:bookmarkEnd w:id="463"/>
    </w:p>
    <w:p w14:paraId="7DA1B1F4">
      <w:pPr>
        <w:pStyle w:val="3"/>
        <w:tabs>
          <w:tab w:val="left" w:pos="420"/>
        </w:tabs>
        <w:spacing w:before="0" w:after="0"/>
        <w:rPr>
          <w:rStyle w:val="34"/>
          <w:rFonts w:hint="default" w:ascii="Times New Roman" w:hAnsi="Times New Roman" w:cs="Times New Roman"/>
          <w:b w:val="0"/>
          <w:bCs w:val="0"/>
          <w:color w:val="auto"/>
          <w:sz w:val="24"/>
          <w:highlight w:val="none"/>
        </w:rPr>
      </w:pPr>
      <w:bookmarkStart w:id="464" w:name="_Toc358809390"/>
      <w:bookmarkStart w:id="465" w:name="_Toc13730"/>
      <w:bookmarkStart w:id="466" w:name="_Toc390094642"/>
      <w:bookmarkStart w:id="467" w:name="_Toc27842"/>
      <w:bookmarkStart w:id="468" w:name="_Toc3818"/>
      <w:bookmarkStart w:id="469" w:name="_Toc5558"/>
      <w:bookmarkStart w:id="470" w:name="_Toc415152583"/>
      <w:r>
        <w:rPr>
          <w:rStyle w:val="34"/>
          <w:rFonts w:hint="default" w:ascii="Times New Roman" w:hAnsi="Times New Roman" w:cs="Times New Roman"/>
          <w:b w:val="0"/>
          <w:bCs w:val="0"/>
          <w:color w:val="auto"/>
          <w:sz w:val="24"/>
          <w:highlight w:val="none"/>
        </w:rPr>
        <w:t>10.1项目概况</w:t>
      </w:r>
      <w:bookmarkEnd w:id="464"/>
      <w:bookmarkEnd w:id="465"/>
      <w:bookmarkEnd w:id="466"/>
      <w:bookmarkEnd w:id="467"/>
      <w:bookmarkEnd w:id="468"/>
      <w:bookmarkEnd w:id="469"/>
      <w:bookmarkEnd w:id="470"/>
    </w:p>
    <w:p w14:paraId="0C2846B8">
      <w:pPr>
        <w:pStyle w:val="43"/>
        <w:snapToGrid w:val="0"/>
        <w:rPr>
          <w:rFonts w:hint="default" w:ascii="Times New Roman" w:hAnsi="Times New Roman" w:cs="Times New Roman"/>
          <w:bCs/>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bCs/>
          <w:color w:val="auto"/>
          <w:highlight w:val="none"/>
          <w:lang w:eastAsia="zh-CN"/>
        </w:rPr>
        <w:t>弥勒温氏畜牧有限公司新哨二区后备猪培育基地</w:t>
      </w:r>
      <w:r>
        <w:rPr>
          <w:rFonts w:hint="default" w:ascii="Times New Roman" w:hAnsi="Times New Roman" w:cs="Times New Roman"/>
          <w:color w:val="auto"/>
          <w:highlight w:val="none"/>
        </w:rPr>
        <w:t>”位于</w:t>
      </w:r>
      <w:r>
        <w:rPr>
          <w:rFonts w:hint="default" w:ascii="Times New Roman" w:hAnsi="Times New Roman" w:cs="Times New Roman"/>
          <w:bCs/>
          <w:color w:val="auto"/>
          <w:highlight w:val="none"/>
          <w:lang w:eastAsia="zh-CN"/>
        </w:rPr>
        <w:t>弥勒市新哨镇猴街居委会猴街二组东北方向横山脚</w:t>
      </w:r>
      <w:r>
        <w:rPr>
          <w:rFonts w:hint="default" w:ascii="Times New Roman" w:hAnsi="Times New Roman" w:cs="Times New Roman"/>
          <w:bCs/>
          <w:color w:val="auto"/>
          <w:highlight w:val="none"/>
        </w:rPr>
        <w:t>，项目占地面积为</w:t>
      </w:r>
      <w:r>
        <w:rPr>
          <w:rFonts w:hint="default" w:ascii="Times New Roman" w:hAnsi="Times New Roman" w:cs="Times New Roman"/>
          <w:bCs/>
          <w:color w:val="auto"/>
          <w:sz w:val="24"/>
          <w:highlight w:val="none"/>
          <w:lang w:val="en-US" w:eastAsia="zh-CN"/>
        </w:rPr>
        <w:t>58665.09</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2</w:t>
      </w:r>
      <w:r>
        <w:rPr>
          <w:rFonts w:hint="default" w:ascii="Times New Roman" w:hAnsi="Times New Roman" w:cs="Times New Roman"/>
          <w:bCs/>
          <w:color w:val="auto"/>
          <w:highlight w:val="none"/>
        </w:rPr>
        <w:t>，建筑面积为</w:t>
      </w:r>
      <w:r>
        <w:rPr>
          <w:rFonts w:hint="default" w:ascii="Times New Roman" w:hAnsi="Times New Roman" w:cs="Times New Roman"/>
          <w:bCs/>
          <w:color w:val="auto"/>
          <w:highlight w:val="none"/>
          <w:lang w:val="en-US" w:eastAsia="zh-CN"/>
        </w:rPr>
        <w:t>7278</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2</w:t>
      </w:r>
      <w:r>
        <w:rPr>
          <w:rFonts w:hint="default" w:ascii="Times New Roman" w:hAnsi="Times New Roman" w:cs="Times New Roman"/>
          <w:bCs/>
          <w:color w:val="auto"/>
          <w:highlight w:val="none"/>
        </w:rPr>
        <w:t>。项目建设内容主要包括标准化猪舍</w:t>
      </w:r>
      <w:r>
        <w:rPr>
          <w:rFonts w:hint="default" w:ascii="Times New Roman" w:hAnsi="Times New Roman" w:cs="Times New Roman"/>
          <w:bCs/>
          <w:color w:val="auto"/>
          <w:highlight w:val="none"/>
          <w:lang w:val="en-US" w:eastAsia="zh-CN"/>
        </w:rPr>
        <w:t>2</w:t>
      </w:r>
      <w:r>
        <w:rPr>
          <w:rFonts w:hint="default" w:ascii="Times New Roman" w:hAnsi="Times New Roman" w:cs="Times New Roman"/>
          <w:bCs/>
          <w:color w:val="auto"/>
          <w:highlight w:val="none"/>
        </w:rPr>
        <w:t>幢、保育舍1幢、饲料塔3个，配套</w:t>
      </w:r>
      <w:r>
        <w:rPr>
          <w:rFonts w:hint="default" w:ascii="Times New Roman" w:hAnsi="Times New Roman" w:cs="Times New Roman"/>
          <w:bCs/>
          <w:color w:val="auto"/>
          <w:highlight w:val="none"/>
          <w:lang w:eastAsia="zh-CN"/>
        </w:rPr>
        <w:t>粪尿收集池</w:t>
      </w:r>
      <w:r>
        <w:rPr>
          <w:rFonts w:hint="default" w:ascii="Times New Roman" w:hAnsi="Times New Roman" w:cs="Times New Roman"/>
          <w:bCs/>
          <w:color w:val="auto"/>
          <w:highlight w:val="none"/>
        </w:rPr>
        <w:t>、堆粪棚、管理用房、配电房、值班室等；公用工程包括养殖相关设施设备、电力设施、给水排水、道路、围墙大门、绿化隔离带等。</w:t>
      </w:r>
      <w:r>
        <w:rPr>
          <w:rFonts w:hint="default" w:ascii="Times New Roman" w:hAnsi="Times New Roman" w:cs="Times New Roman"/>
          <w:bCs/>
          <w:color w:val="auto"/>
          <w:highlight w:val="none"/>
          <w:lang w:bidi="zh-CN"/>
        </w:rPr>
        <w:t>项目建成达产后，饲养规模为年存栏量</w:t>
      </w:r>
      <w:r>
        <w:rPr>
          <w:rFonts w:hint="default" w:ascii="Times New Roman" w:hAnsi="Times New Roman" w:cs="Times New Roman"/>
          <w:bCs/>
          <w:color w:val="auto"/>
          <w:highlight w:val="none"/>
          <w:lang w:val="en-US" w:bidi="zh-CN"/>
        </w:rPr>
        <w:t>4</w:t>
      </w:r>
      <w:r>
        <w:rPr>
          <w:rFonts w:hint="default" w:ascii="Times New Roman" w:hAnsi="Times New Roman" w:cs="Times New Roman"/>
          <w:bCs/>
          <w:color w:val="auto"/>
          <w:highlight w:val="none"/>
          <w:lang w:bidi="zh-CN"/>
        </w:rPr>
        <w:t>000头生猪，年出栏生猪</w:t>
      </w:r>
      <w:r>
        <w:rPr>
          <w:rFonts w:hint="default" w:ascii="Times New Roman" w:hAnsi="Times New Roman" w:cs="Times New Roman"/>
          <w:bCs/>
          <w:color w:val="auto"/>
          <w:highlight w:val="none"/>
          <w:lang w:val="en-US" w:bidi="zh-CN"/>
        </w:rPr>
        <w:t>8000</w:t>
      </w:r>
      <w:r>
        <w:rPr>
          <w:rFonts w:hint="default" w:ascii="Times New Roman" w:hAnsi="Times New Roman" w:cs="Times New Roman"/>
          <w:bCs/>
          <w:color w:val="auto"/>
          <w:highlight w:val="none"/>
          <w:lang w:bidi="zh-CN"/>
        </w:rPr>
        <w:t>头。</w:t>
      </w:r>
    </w:p>
    <w:p w14:paraId="445BCC42">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工程总投资为</w:t>
      </w:r>
      <w:r>
        <w:rPr>
          <w:rFonts w:hint="default" w:ascii="Times New Roman" w:hAnsi="Times New Roman" w:cs="Times New Roman"/>
          <w:bCs/>
          <w:color w:val="auto"/>
          <w:sz w:val="24"/>
          <w:highlight w:val="none"/>
          <w:lang w:val="en-US" w:eastAsia="zh-CN"/>
        </w:rPr>
        <w:t>1620</w:t>
      </w:r>
      <w:r>
        <w:rPr>
          <w:rFonts w:hint="default" w:ascii="Times New Roman" w:hAnsi="Times New Roman" w:cs="Times New Roman"/>
          <w:color w:val="auto"/>
          <w:sz w:val="24"/>
          <w:highlight w:val="none"/>
        </w:rPr>
        <w:t>万元，其中环保投资为</w:t>
      </w:r>
      <w:r>
        <w:rPr>
          <w:rFonts w:hint="default" w:ascii="Times New Roman" w:hAnsi="Times New Roman" w:cs="Times New Roman"/>
          <w:bCs/>
          <w:color w:val="auto"/>
          <w:sz w:val="24"/>
          <w:highlight w:val="none"/>
          <w:lang w:val="en-US" w:eastAsia="zh-CN"/>
        </w:rPr>
        <w:t>82.93</w:t>
      </w:r>
      <w:r>
        <w:rPr>
          <w:rFonts w:hint="default" w:ascii="Times New Roman" w:hAnsi="Times New Roman" w:cs="Times New Roman"/>
          <w:color w:val="auto"/>
          <w:sz w:val="24"/>
          <w:highlight w:val="none"/>
        </w:rPr>
        <w:t>万元，占项目总投资的</w:t>
      </w:r>
      <w:r>
        <w:rPr>
          <w:rFonts w:hint="default" w:ascii="Times New Roman" w:hAnsi="Times New Roman" w:cs="Times New Roman"/>
          <w:color w:val="auto"/>
          <w:sz w:val="24"/>
          <w:highlight w:val="none"/>
          <w:lang w:val="en-US" w:eastAsia="zh-CN"/>
        </w:rPr>
        <w:t>5.12</w:t>
      </w:r>
      <w:r>
        <w:rPr>
          <w:rFonts w:hint="default" w:ascii="Times New Roman" w:hAnsi="Times New Roman" w:cs="Times New Roman"/>
          <w:color w:val="auto"/>
          <w:sz w:val="24"/>
          <w:highlight w:val="none"/>
        </w:rPr>
        <w:t>%。</w:t>
      </w:r>
    </w:p>
    <w:p w14:paraId="5D45DA4F">
      <w:pPr>
        <w:pStyle w:val="3"/>
        <w:tabs>
          <w:tab w:val="left" w:pos="420"/>
        </w:tabs>
        <w:spacing w:before="0" w:after="0"/>
        <w:rPr>
          <w:rStyle w:val="34"/>
          <w:rFonts w:hint="default" w:ascii="Times New Roman" w:hAnsi="Times New Roman" w:cs="Times New Roman"/>
          <w:b w:val="0"/>
          <w:bCs w:val="0"/>
          <w:color w:val="auto"/>
          <w:sz w:val="24"/>
          <w:highlight w:val="none"/>
        </w:rPr>
      </w:pPr>
      <w:bookmarkStart w:id="471" w:name="_Toc415152584"/>
      <w:bookmarkStart w:id="472" w:name="_Toc390094643"/>
      <w:bookmarkStart w:id="473" w:name="_Toc358809391"/>
      <w:bookmarkStart w:id="474" w:name="_Toc11847"/>
      <w:bookmarkStart w:id="475" w:name="_Toc23027"/>
      <w:bookmarkStart w:id="476" w:name="_Toc25171"/>
      <w:bookmarkStart w:id="477" w:name="_Toc2303"/>
      <w:r>
        <w:rPr>
          <w:rStyle w:val="34"/>
          <w:rFonts w:hint="default" w:ascii="Times New Roman" w:hAnsi="Times New Roman" w:cs="Times New Roman"/>
          <w:b w:val="0"/>
          <w:bCs w:val="0"/>
          <w:color w:val="auto"/>
          <w:sz w:val="24"/>
          <w:highlight w:val="none"/>
        </w:rPr>
        <w:t>10.2</w:t>
      </w:r>
      <w:bookmarkEnd w:id="471"/>
      <w:bookmarkEnd w:id="472"/>
      <w:bookmarkEnd w:id="473"/>
      <w:r>
        <w:rPr>
          <w:rStyle w:val="34"/>
          <w:rFonts w:hint="default" w:ascii="Times New Roman" w:hAnsi="Times New Roman" w:cs="Times New Roman"/>
          <w:b w:val="0"/>
          <w:bCs w:val="0"/>
          <w:color w:val="auto"/>
          <w:sz w:val="24"/>
          <w:highlight w:val="none"/>
        </w:rPr>
        <w:t>环境质量现状</w:t>
      </w:r>
      <w:bookmarkEnd w:id="474"/>
      <w:bookmarkEnd w:id="475"/>
      <w:bookmarkEnd w:id="476"/>
      <w:bookmarkEnd w:id="477"/>
    </w:p>
    <w:p w14:paraId="1859CB1C">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478" w:name="_Toc22454"/>
      <w:r>
        <w:rPr>
          <w:rStyle w:val="35"/>
          <w:rFonts w:hint="default" w:ascii="Times New Roman" w:hAnsi="Times New Roman" w:eastAsia="宋体" w:cs="Times New Roman"/>
          <w:color w:val="auto"/>
          <w:sz w:val="24"/>
          <w:szCs w:val="24"/>
          <w:highlight w:val="none"/>
        </w:rPr>
        <w:t>10.2.1地表水环境质量现状</w:t>
      </w:r>
      <w:bookmarkEnd w:id="478"/>
    </w:p>
    <w:p w14:paraId="6B7469B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pacing w:val="0"/>
          <w:w w:val="100"/>
          <w:kern w:val="0"/>
          <w:position w:val="0"/>
          <w:sz w:val="24"/>
          <w:szCs w:val="24"/>
          <w:highlight w:val="none"/>
          <w:lang w:val="en-US" w:eastAsia="zh-CN"/>
        </w:rPr>
      </w:pPr>
      <w:r>
        <w:rPr>
          <w:rFonts w:hint="default" w:ascii="Times New Roman" w:hAnsi="Times New Roman" w:eastAsia="宋体" w:cs="Times New Roman"/>
          <w:color w:val="auto"/>
          <w:spacing w:val="0"/>
          <w:w w:val="100"/>
          <w:kern w:val="0"/>
          <w:position w:val="0"/>
          <w:sz w:val="24"/>
          <w:szCs w:val="24"/>
          <w:highlight w:val="none"/>
        </w:rPr>
        <w:t>根据</w:t>
      </w:r>
      <w:r>
        <w:rPr>
          <w:rFonts w:hint="default" w:ascii="Times New Roman" w:hAnsi="Times New Roman" w:eastAsia="宋体" w:cs="Times New Roman"/>
          <w:color w:val="auto"/>
          <w:spacing w:val="0"/>
          <w:w w:val="100"/>
          <w:kern w:val="0"/>
          <w:position w:val="0"/>
          <w:sz w:val="24"/>
          <w:szCs w:val="24"/>
        </w:rPr>
        <w:t>202</w:t>
      </w:r>
      <w:r>
        <w:rPr>
          <w:rFonts w:hint="default" w:ascii="Times New Roman" w:hAnsi="Times New Roman" w:eastAsia="宋体" w:cs="Times New Roman"/>
          <w:color w:val="auto"/>
          <w:spacing w:val="0"/>
          <w:w w:val="100"/>
          <w:kern w:val="0"/>
          <w:position w:val="0"/>
          <w:sz w:val="24"/>
          <w:szCs w:val="24"/>
          <w:lang w:val="en-US" w:eastAsia="zh-CN"/>
        </w:rPr>
        <w:t>5</w:t>
      </w:r>
      <w:r>
        <w:rPr>
          <w:rFonts w:hint="default" w:ascii="Times New Roman" w:hAnsi="Times New Roman" w:eastAsia="宋体" w:cs="Times New Roman"/>
          <w:color w:val="auto"/>
          <w:spacing w:val="0"/>
          <w:w w:val="100"/>
          <w:kern w:val="0"/>
          <w:position w:val="0"/>
          <w:sz w:val="24"/>
          <w:szCs w:val="24"/>
        </w:rPr>
        <w:t>年</w:t>
      </w:r>
      <w:r>
        <w:rPr>
          <w:rFonts w:hint="default" w:ascii="Times New Roman" w:hAnsi="Times New Roman" w:eastAsia="宋体" w:cs="Times New Roman"/>
          <w:color w:val="auto"/>
          <w:spacing w:val="0"/>
          <w:w w:val="100"/>
          <w:kern w:val="0"/>
          <w:position w:val="0"/>
          <w:sz w:val="24"/>
          <w:szCs w:val="24"/>
          <w:lang w:val="en-US" w:eastAsia="zh-CN"/>
        </w:rPr>
        <w:t>1</w:t>
      </w:r>
      <w:r>
        <w:rPr>
          <w:rFonts w:hint="default" w:ascii="Times New Roman" w:hAnsi="Times New Roman" w:eastAsia="宋体" w:cs="Times New Roman"/>
          <w:color w:val="auto"/>
          <w:spacing w:val="0"/>
          <w:w w:val="100"/>
          <w:kern w:val="0"/>
          <w:position w:val="0"/>
          <w:sz w:val="24"/>
          <w:szCs w:val="24"/>
        </w:rPr>
        <w:t>月</w:t>
      </w:r>
      <w:r>
        <w:rPr>
          <w:rFonts w:hint="default" w:ascii="Times New Roman" w:hAnsi="Times New Roman" w:eastAsia="宋体" w:cs="Times New Roman"/>
          <w:color w:val="auto"/>
          <w:spacing w:val="0"/>
          <w:w w:val="100"/>
          <w:kern w:val="0"/>
          <w:position w:val="0"/>
          <w:sz w:val="24"/>
          <w:szCs w:val="24"/>
          <w:lang w:val="en-US" w:eastAsia="zh-CN"/>
        </w:rPr>
        <w:t>7</w:t>
      </w:r>
      <w:r>
        <w:rPr>
          <w:rFonts w:hint="default" w:ascii="Times New Roman" w:hAnsi="Times New Roman" w:eastAsia="宋体" w:cs="Times New Roman"/>
          <w:color w:val="auto"/>
          <w:spacing w:val="0"/>
          <w:w w:val="100"/>
          <w:kern w:val="0"/>
          <w:position w:val="0"/>
          <w:sz w:val="24"/>
          <w:szCs w:val="24"/>
        </w:rPr>
        <w:t>日红河州生态环境局弥勒分局公布的《弥勒市202</w:t>
      </w:r>
      <w:r>
        <w:rPr>
          <w:rFonts w:hint="default" w:ascii="Times New Roman" w:hAnsi="Times New Roman" w:eastAsia="宋体" w:cs="Times New Roman"/>
          <w:color w:val="auto"/>
          <w:spacing w:val="0"/>
          <w:w w:val="100"/>
          <w:kern w:val="0"/>
          <w:position w:val="0"/>
          <w:sz w:val="24"/>
          <w:szCs w:val="24"/>
          <w:lang w:val="en-US" w:eastAsia="zh-CN"/>
        </w:rPr>
        <w:t>4</w:t>
      </w:r>
      <w:r>
        <w:rPr>
          <w:rFonts w:hint="default" w:ascii="Times New Roman" w:hAnsi="Times New Roman" w:eastAsia="宋体" w:cs="Times New Roman"/>
          <w:color w:val="auto"/>
          <w:spacing w:val="0"/>
          <w:w w:val="100"/>
          <w:kern w:val="0"/>
          <w:position w:val="0"/>
          <w:sz w:val="24"/>
          <w:szCs w:val="24"/>
        </w:rPr>
        <w:t>年</w:t>
      </w:r>
      <w:r>
        <w:rPr>
          <w:rFonts w:hint="default" w:ascii="Times New Roman" w:hAnsi="Times New Roman" w:eastAsia="宋体" w:cs="Times New Roman"/>
          <w:color w:val="auto"/>
          <w:spacing w:val="0"/>
          <w:w w:val="100"/>
          <w:kern w:val="0"/>
          <w:position w:val="0"/>
          <w:sz w:val="24"/>
          <w:szCs w:val="24"/>
          <w:lang w:val="en-US" w:eastAsia="zh-CN"/>
        </w:rPr>
        <w:t>12</w:t>
      </w:r>
      <w:r>
        <w:rPr>
          <w:rFonts w:hint="default" w:ascii="Times New Roman" w:hAnsi="Times New Roman" w:eastAsia="宋体" w:cs="Times New Roman"/>
          <w:color w:val="auto"/>
          <w:spacing w:val="0"/>
          <w:w w:val="100"/>
          <w:kern w:val="0"/>
          <w:position w:val="0"/>
          <w:sz w:val="24"/>
          <w:szCs w:val="24"/>
        </w:rPr>
        <w:t>月</w:t>
      </w:r>
      <w:r>
        <w:rPr>
          <w:rFonts w:hint="default" w:ascii="Times New Roman" w:hAnsi="Times New Roman" w:eastAsia="宋体" w:cs="Times New Roman"/>
          <w:color w:val="auto"/>
          <w:spacing w:val="0"/>
          <w:w w:val="100"/>
          <w:kern w:val="0"/>
          <w:position w:val="0"/>
          <w:sz w:val="24"/>
          <w:szCs w:val="24"/>
          <w:lang w:val="en-US" w:eastAsia="zh-CN"/>
        </w:rPr>
        <w:t>水环境质量</w:t>
      </w:r>
      <w:r>
        <w:rPr>
          <w:rFonts w:hint="default" w:ascii="Times New Roman" w:hAnsi="Times New Roman" w:eastAsia="宋体" w:cs="Times New Roman"/>
          <w:color w:val="auto"/>
          <w:spacing w:val="0"/>
          <w:w w:val="100"/>
          <w:kern w:val="0"/>
          <w:position w:val="0"/>
          <w:sz w:val="24"/>
          <w:szCs w:val="24"/>
        </w:rPr>
        <w:t>监测情况》</w:t>
      </w:r>
      <w:r>
        <w:rPr>
          <w:rFonts w:hint="default" w:ascii="Times New Roman" w:hAnsi="Times New Roman" w:eastAsia="宋体" w:cs="Times New Roman"/>
          <w:color w:val="auto"/>
          <w:spacing w:val="0"/>
          <w:w w:val="100"/>
          <w:kern w:val="0"/>
          <w:position w:val="0"/>
          <w:sz w:val="24"/>
          <w:szCs w:val="24"/>
          <w:highlight w:val="none"/>
        </w:rPr>
        <w:t>，甸溪河省控断面（扯龙桥断面）水质</w:t>
      </w:r>
      <w:r>
        <w:rPr>
          <w:rFonts w:hint="default" w:ascii="Times New Roman" w:hAnsi="Times New Roman" w:eastAsia="宋体" w:cs="Times New Roman"/>
          <w:color w:val="auto"/>
          <w:spacing w:val="0"/>
          <w:w w:val="100"/>
          <w:kern w:val="0"/>
          <w:position w:val="0"/>
          <w:sz w:val="24"/>
          <w:szCs w:val="24"/>
          <w:highlight w:val="none"/>
          <w:lang w:val="en-US" w:eastAsia="zh-CN"/>
        </w:rPr>
        <w:t>为</w:t>
      </w:r>
      <w:r>
        <w:rPr>
          <w:rFonts w:hint="default" w:ascii="Times New Roman" w:hAnsi="Times New Roman" w:eastAsia="宋体" w:cs="Times New Roman"/>
          <w:color w:val="auto"/>
          <w:spacing w:val="0"/>
          <w:w w:val="100"/>
          <w:kern w:val="0"/>
          <w:position w:val="0"/>
          <w:sz w:val="24"/>
          <w:szCs w:val="24"/>
          <w:highlight w:val="none"/>
        </w:rPr>
        <w:t>《地表水环境质量标准》（GB3838-2002）</w:t>
      </w:r>
      <w:r>
        <w:rPr>
          <w:rFonts w:hint="default" w:ascii="Times New Roman" w:hAnsi="Times New Roman" w:eastAsia="宋体" w:cs="Times New Roman"/>
          <w:color w:val="auto"/>
          <w:spacing w:val="0"/>
          <w:w w:val="100"/>
          <w:kern w:val="0"/>
          <w:position w:val="0"/>
          <w:sz w:val="24"/>
          <w:szCs w:val="24"/>
          <w:lang w:eastAsia="zh-CN"/>
        </w:rPr>
        <w:t>Ⅲ</w:t>
      </w:r>
      <w:r>
        <w:rPr>
          <w:rFonts w:hint="default" w:ascii="Times New Roman" w:hAnsi="Times New Roman" w:eastAsia="宋体" w:cs="Times New Roman"/>
          <w:color w:val="auto"/>
          <w:spacing w:val="0"/>
          <w:w w:val="100"/>
          <w:kern w:val="0"/>
          <w:position w:val="0"/>
          <w:sz w:val="24"/>
          <w:szCs w:val="24"/>
          <w:highlight w:val="none"/>
        </w:rPr>
        <w:t>类，能满足《地表水环境质量标准》（GB3838-2002）Ⅲ类标准水质要求。</w:t>
      </w:r>
    </w:p>
    <w:p w14:paraId="700360AC">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479" w:name="_Toc19296"/>
      <w:r>
        <w:rPr>
          <w:rStyle w:val="35"/>
          <w:rFonts w:hint="default" w:ascii="Times New Roman" w:hAnsi="Times New Roman" w:eastAsia="宋体" w:cs="Times New Roman"/>
          <w:color w:val="auto"/>
          <w:sz w:val="24"/>
          <w:szCs w:val="24"/>
          <w:highlight w:val="none"/>
        </w:rPr>
        <w:t>10.2.2地下水环境质量现状</w:t>
      </w:r>
      <w:bookmarkEnd w:id="479"/>
    </w:p>
    <w:p w14:paraId="00A850BC">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w:t>
      </w:r>
      <w:r>
        <w:rPr>
          <w:rFonts w:hint="default" w:ascii="Times New Roman" w:hAnsi="Times New Roman" w:cs="Times New Roman"/>
          <w:color w:val="auto"/>
          <w:sz w:val="24"/>
          <w:highlight w:val="none"/>
          <w:lang w:eastAsia="zh-CN"/>
        </w:rPr>
        <w:t>引用监测数据</w:t>
      </w:r>
      <w:r>
        <w:rPr>
          <w:rFonts w:hint="default" w:ascii="Times New Roman" w:hAnsi="Times New Roman" w:cs="Times New Roman"/>
          <w:color w:val="auto"/>
          <w:sz w:val="24"/>
          <w:highlight w:val="none"/>
        </w:rPr>
        <w:t>，项目区地下水监测指标均满足《地下水质量标准》（GB/T14848-2017）中Ⅲ类水质标准。</w:t>
      </w:r>
    </w:p>
    <w:p w14:paraId="7F734F0A">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480" w:name="_Toc19687"/>
      <w:r>
        <w:rPr>
          <w:rStyle w:val="35"/>
          <w:rFonts w:hint="default" w:ascii="Times New Roman" w:hAnsi="Times New Roman" w:eastAsia="宋体" w:cs="Times New Roman"/>
          <w:color w:val="auto"/>
          <w:sz w:val="24"/>
          <w:szCs w:val="24"/>
          <w:highlight w:val="none"/>
        </w:rPr>
        <w:t>10.2.3环境空气质量现状</w:t>
      </w:r>
      <w:bookmarkEnd w:id="480"/>
    </w:p>
    <w:p w14:paraId="7395ED1E">
      <w:pPr>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根据红河州生态环境局发布的《202</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eastAsia="zh-CN"/>
        </w:rPr>
        <w:t>红河州</w:t>
      </w:r>
      <w:r>
        <w:rPr>
          <w:rFonts w:hint="default" w:ascii="Times New Roman" w:hAnsi="Times New Roman" w:cs="Times New Roman"/>
          <w:color w:val="auto"/>
          <w:sz w:val="24"/>
          <w:highlight w:val="none"/>
        </w:rPr>
        <w:t>生态环境状况公报》，</w:t>
      </w:r>
      <w:r>
        <w:rPr>
          <w:rFonts w:hint="default" w:ascii="Times New Roman" w:hAnsi="Times New Roman" w:cs="Times New Roman"/>
          <w:color w:val="auto"/>
          <w:sz w:val="24"/>
          <w:highlight w:val="none"/>
          <w:lang w:val="en-US" w:eastAsia="zh-CN"/>
        </w:rPr>
        <w:t>2023年，红河州二氧化硫、二氧化氮、可吸入颗粒物、细颗粒物年均浓度均达到环境空气质量二级标准。</w:t>
      </w:r>
    </w:p>
    <w:p w14:paraId="36B48E14">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kern w:val="0"/>
          <w:sz w:val="24"/>
          <w:highlight w:val="none"/>
        </w:rPr>
        <w:t>根据</w:t>
      </w:r>
      <w:r>
        <w:rPr>
          <w:rFonts w:hint="default" w:ascii="Times New Roman" w:hAnsi="Times New Roman" w:cs="Times New Roman"/>
          <w:color w:val="auto"/>
          <w:kern w:val="0"/>
          <w:sz w:val="24"/>
          <w:highlight w:val="none"/>
          <w:lang w:val="en-US" w:eastAsia="zh-CN"/>
        </w:rPr>
        <w:t>补充</w:t>
      </w:r>
      <w:r>
        <w:rPr>
          <w:rFonts w:hint="default" w:ascii="Times New Roman" w:hAnsi="Times New Roman" w:cs="Times New Roman"/>
          <w:color w:val="auto"/>
          <w:kern w:val="0"/>
          <w:sz w:val="24"/>
          <w:highlight w:val="none"/>
        </w:rPr>
        <w:t>监测数据可知，项目区所在区域内</w:t>
      </w:r>
      <w:r>
        <w:rPr>
          <w:rFonts w:hint="default" w:ascii="Times New Roman" w:hAnsi="Times New Roman" w:cs="Times New Roman"/>
          <w:color w:val="auto"/>
          <w:sz w:val="24"/>
          <w:highlight w:val="none"/>
        </w:rPr>
        <w:t>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w:t>
      </w:r>
      <w:r>
        <w:rPr>
          <w:rFonts w:hint="default" w:ascii="Times New Roman" w:hAnsi="Times New Roman" w:cs="Times New Roman"/>
          <w:color w:val="auto"/>
          <w:kern w:val="0"/>
          <w:sz w:val="24"/>
          <w:highlight w:val="none"/>
        </w:rPr>
        <w:t>小时均值</w:t>
      </w:r>
      <w:r>
        <w:rPr>
          <w:rFonts w:hint="default" w:ascii="Times New Roman" w:hAnsi="Times New Roman" w:cs="Times New Roman"/>
          <w:color w:val="auto"/>
          <w:sz w:val="24"/>
          <w:highlight w:val="none"/>
        </w:rPr>
        <w:t>浓度达到《环境影响评价技术导则 大气环境》（HJ2.2-2018）附录D其他污染物空气质量浓度参考限值要求，即NH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≤200</w:t>
      </w:r>
      <w:r>
        <w:rPr>
          <w:rFonts w:hint="eastAsia" w:ascii="Times New Roman" w:hAnsi="Times New Roman" w:cs="Times New Roman"/>
          <w:color w:val="auto"/>
          <w:sz w:val="24"/>
          <w:highlight w:val="none"/>
          <w:lang w:eastAsia="zh-CN"/>
        </w:rPr>
        <w:t>μg/m</w:t>
      </w:r>
      <w:r>
        <w:rPr>
          <w:rFonts w:hint="eastAsia"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S≤10</w:t>
      </w:r>
      <w:r>
        <w:rPr>
          <w:rFonts w:hint="eastAsia" w:ascii="Times New Roman" w:hAnsi="Times New Roman" w:cs="Times New Roman"/>
          <w:color w:val="auto"/>
          <w:sz w:val="24"/>
          <w:highlight w:val="none"/>
          <w:lang w:eastAsia="zh-CN"/>
        </w:rPr>
        <w:t>μg/m</w:t>
      </w:r>
      <w:r>
        <w:rPr>
          <w:rFonts w:hint="eastAsia"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rPr>
        <w:t>。</w:t>
      </w:r>
      <w:r>
        <w:rPr>
          <w:rFonts w:hint="default" w:ascii="Times New Roman" w:hAnsi="Times New Roman" w:eastAsia="宋体" w:cs="Times New Roman"/>
          <w:b w:val="0"/>
          <w:bCs w:val="0"/>
          <w:color w:val="auto"/>
          <w:kern w:val="0"/>
          <w:sz w:val="24"/>
          <w:szCs w:val="24"/>
        </w:rPr>
        <w:t>TSP日均浓度满足《环境空气质量标准》（GB3095-2012）二级标准要求</w:t>
      </w:r>
      <w:r>
        <w:rPr>
          <w:rFonts w:hint="default" w:ascii="Times New Roman" w:hAnsi="Times New Roman" w:eastAsia="宋体" w:cs="Times New Roman"/>
          <w:b w:val="0"/>
          <w:bCs w:val="0"/>
          <w:color w:val="auto"/>
          <w:kern w:val="0"/>
          <w:sz w:val="24"/>
          <w:szCs w:val="24"/>
          <w:lang w:val="en-US" w:eastAsia="zh-CN"/>
        </w:rPr>
        <w:t>,</w:t>
      </w:r>
      <w:r>
        <w:rPr>
          <w:rFonts w:hint="default" w:ascii="Times New Roman" w:hAnsi="Times New Roman" w:cs="Times New Roman"/>
          <w:color w:val="auto"/>
          <w:sz w:val="24"/>
          <w:highlight w:val="none"/>
        </w:rPr>
        <w:t>即</w:t>
      </w:r>
      <w:r>
        <w:rPr>
          <w:rFonts w:hint="default" w:ascii="Times New Roman" w:hAnsi="Times New Roman" w:eastAsia="宋体" w:cs="Times New Roman"/>
          <w:b w:val="0"/>
          <w:bCs w:val="0"/>
          <w:color w:val="auto"/>
          <w:kern w:val="0"/>
          <w:sz w:val="24"/>
          <w:szCs w:val="24"/>
        </w:rPr>
        <w:t>TSP</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00</w:t>
      </w:r>
      <w:r>
        <w:rPr>
          <w:rFonts w:hint="eastAsia" w:ascii="Times New Roman" w:hAnsi="Times New Roman" w:cs="Times New Roman"/>
          <w:color w:val="auto"/>
          <w:sz w:val="24"/>
          <w:highlight w:val="none"/>
          <w:lang w:eastAsia="zh-CN"/>
        </w:rPr>
        <w:t>μg/m3</w:t>
      </w:r>
      <w:r>
        <w:rPr>
          <w:rFonts w:hint="default" w:ascii="Times New Roman" w:hAnsi="Times New Roman" w:cs="Times New Roman"/>
          <w:color w:val="auto"/>
          <w:sz w:val="24"/>
          <w:highlight w:val="none"/>
          <w:vertAlign w:val="baseline"/>
          <w:lang w:eastAsia="zh-CN"/>
        </w:rPr>
        <w:t>。</w:t>
      </w:r>
    </w:p>
    <w:p w14:paraId="2C0333B1">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481" w:name="_Toc32497"/>
      <w:r>
        <w:rPr>
          <w:rStyle w:val="35"/>
          <w:rFonts w:hint="default" w:ascii="Times New Roman" w:hAnsi="Times New Roman" w:eastAsia="宋体" w:cs="Times New Roman"/>
          <w:color w:val="auto"/>
          <w:sz w:val="24"/>
          <w:szCs w:val="24"/>
          <w:highlight w:val="none"/>
        </w:rPr>
        <w:t>10.2.4声环境质量现状</w:t>
      </w:r>
      <w:bookmarkEnd w:id="481"/>
    </w:p>
    <w:p w14:paraId="67723CDE">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sz w:val="24"/>
          <w:highlight w:val="none"/>
        </w:rPr>
        <w:t>根据监测结果，</w:t>
      </w:r>
      <w:r>
        <w:rPr>
          <w:rFonts w:hint="default" w:ascii="Times New Roman" w:hAnsi="Times New Roman" w:cs="Times New Roman"/>
          <w:color w:val="auto"/>
          <w:kern w:val="0"/>
          <w:sz w:val="24"/>
          <w:highlight w:val="none"/>
        </w:rPr>
        <w:t>现有项目厂界噪声满足《工业企业厂界环境噪声排放标准》（GB12348-2008）2类标准要求</w:t>
      </w:r>
      <w:r>
        <w:rPr>
          <w:rFonts w:hint="default" w:ascii="Times New Roman" w:hAnsi="Times New Roman" w:cs="Times New Roman"/>
          <w:color w:val="auto"/>
          <w:kern w:val="0"/>
          <w:sz w:val="24"/>
          <w:highlight w:val="none"/>
          <w:lang w:eastAsia="zh-CN"/>
        </w:rPr>
        <w:t>。</w:t>
      </w:r>
    </w:p>
    <w:p w14:paraId="7D8F38A7">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482" w:name="_Toc8292"/>
      <w:r>
        <w:rPr>
          <w:rStyle w:val="35"/>
          <w:rFonts w:hint="default" w:ascii="Times New Roman" w:hAnsi="Times New Roman" w:eastAsia="宋体" w:cs="Times New Roman"/>
          <w:color w:val="auto"/>
          <w:sz w:val="24"/>
          <w:szCs w:val="24"/>
          <w:highlight w:val="none"/>
        </w:rPr>
        <w:t>10.2.5生态环境质量现状</w:t>
      </w:r>
      <w:bookmarkEnd w:id="482"/>
    </w:p>
    <w:p w14:paraId="177E488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长期受到人类活动的干扰，评价区原生植被目前已全部遭破坏，均为次生植被，由于近年来封山育林，森林植被有所恢复，主要分布在人类活动少的地方。而平缓地带受人类长期耕种和放牧，原生植被基本消失，区内水土流失以中度水力侵蚀为主。</w:t>
      </w:r>
    </w:p>
    <w:p w14:paraId="232903B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评价范围内，未发现国家级和省级重点保护野生植物，也未发现珍稀濒危植物、古树名木、地方狭隘物种分布；未发现国家和省级重点保护野生动物分布；项目占地不涉及永久基本农田；不涉及天然林，也不涉及国家级、省级公益林。</w:t>
      </w:r>
    </w:p>
    <w:p w14:paraId="2AA34772">
      <w:pPr>
        <w:pStyle w:val="3"/>
        <w:tabs>
          <w:tab w:val="left" w:pos="420"/>
        </w:tabs>
        <w:spacing w:before="0" w:after="0"/>
        <w:rPr>
          <w:rStyle w:val="34"/>
          <w:rFonts w:hint="default" w:ascii="Times New Roman" w:hAnsi="Times New Roman" w:cs="Times New Roman"/>
          <w:b w:val="0"/>
          <w:bCs w:val="0"/>
          <w:color w:val="auto"/>
          <w:sz w:val="24"/>
          <w:highlight w:val="none"/>
        </w:rPr>
      </w:pPr>
      <w:bookmarkStart w:id="483" w:name="_Toc17163"/>
      <w:bookmarkStart w:id="484" w:name="_Toc390094645"/>
      <w:bookmarkStart w:id="485" w:name="_Toc13508"/>
      <w:bookmarkStart w:id="486" w:name="_Toc358809393"/>
      <w:bookmarkStart w:id="487" w:name="_Toc16671"/>
      <w:bookmarkStart w:id="488" w:name="_Toc415152586"/>
      <w:bookmarkStart w:id="489" w:name="_Toc7960"/>
      <w:r>
        <w:rPr>
          <w:rStyle w:val="34"/>
          <w:rFonts w:hint="default" w:ascii="Times New Roman" w:hAnsi="Times New Roman" w:cs="Times New Roman"/>
          <w:b w:val="0"/>
          <w:bCs w:val="0"/>
          <w:color w:val="auto"/>
          <w:sz w:val="24"/>
          <w:highlight w:val="none"/>
        </w:rPr>
        <w:t>10.3环境影响分析结论</w:t>
      </w:r>
      <w:bookmarkEnd w:id="483"/>
      <w:bookmarkEnd w:id="484"/>
      <w:bookmarkEnd w:id="485"/>
      <w:bookmarkEnd w:id="486"/>
      <w:bookmarkEnd w:id="487"/>
      <w:bookmarkEnd w:id="488"/>
      <w:bookmarkEnd w:id="489"/>
    </w:p>
    <w:p w14:paraId="2D463B12">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490" w:name="_Toc32004"/>
      <w:r>
        <w:rPr>
          <w:rStyle w:val="35"/>
          <w:rFonts w:hint="default" w:ascii="Times New Roman" w:hAnsi="Times New Roman" w:eastAsia="宋体" w:cs="Times New Roman"/>
          <w:color w:val="auto"/>
          <w:sz w:val="24"/>
          <w:szCs w:val="24"/>
          <w:highlight w:val="none"/>
        </w:rPr>
        <w:t>10.3.1施工期环境影响分析结论</w:t>
      </w:r>
      <w:bookmarkEnd w:id="490"/>
    </w:p>
    <w:p w14:paraId="786F0F3E">
      <w:pPr>
        <w:spacing w:line="360" w:lineRule="auto"/>
        <w:ind w:left="-2" w:leftChars="-1" w:firstLine="537" w:firstLineChars="224"/>
        <w:rPr>
          <w:rFonts w:hint="default" w:ascii="Times New Roman" w:hAnsi="Times New Roman" w:cs="Times New Roman"/>
          <w:color w:val="auto"/>
          <w:sz w:val="24"/>
        </w:rPr>
      </w:pPr>
      <w:r>
        <w:rPr>
          <w:rFonts w:hint="default" w:ascii="Times New Roman" w:hAnsi="Times New Roman" w:cs="Times New Roman"/>
          <w:color w:val="auto"/>
          <w:sz w:val="24"/>
        </w:rPr>
        <w:t>项目施工期产生的扬尘及施工机械废气通过采取防治措施后对周围空气环境的总体影响范围小、影响程度可以接受，且这种影响在施工期结束后即随之消失。项目施工废水及生活污水可通过设置临时沉淀池进行沉淀处理后回用于洒水降尘，不外排，对周围地表水环境的影响不大。施工噪声排放能满足《建筑施工场界环境噪声排放标准》（GB12523-2011）的标准要求，且村庄与本项目的距离较远，评价范围内无声环境保护目标，施工噪声对周围环境的影响较小。项目土石方内部平衡，</w:t>
      </w:r>
      <w:r>
        <w:rPr>
          <w:rFonts w:hint="eastAsia" w:ascii="Times New Roman" w:hAnsi="Times New Roman" w:cs="Times New Roman"/>
          <w:color w:val="auto"/>
          <w:sz w:val="24"/>
          <w:lang w:eastAsia="zh-CN"/>
        </w:rPr>
        <w:t>无须设置</w:t>
      </w:r>
      <w:r>
        <w:rPr>
          <w:rFonts w:hint="default" w:ascii="Times New Roman" w:hAnsi="Times New Roman" w:cs="Times New Roman"/>
          <w:color w:val="auto"/>
          <w:sz w:val="24"/>
        </w:rPr>
        <w:t>弃土场；建筑垃圾的产生量较小，通过分类集中收集后，可回收利用部分的材料回收处理，不能回收利用的部分，由施工单位运至城市建设管理部门指定的堆放点处置，禁止与生活垃圾混合处置，禁止随意丢弃；生活垃圾收集后由施工单位定期清运至周边村庄的垃圾收集点；旱厕粪便委托周边农户清掏后</w:t>
      </w:r>
      <w:r>
        <w:rPr>
          <w:rFonts w:hint="eastAsia" w:ascii="Times New Roman" w:hAnsi="Times New Roman" w:cs="Times New Roman"/>
          <w:color w:val="auto"/>
          <w:sz w:val="24"/>
          <w:lang w:eastAsia="zh-CN"/>
        </w:rPr>
        <w:t>用作</w:t>
      </w:r>
      <w:r>
        <w:rPr>
          <w:rFonts w:hint="default" w:ascii="Times New Roman" w:hAnsi="Times New Roman" w:cs="Times New Roman"/>
          <w:color w:val="auto"/>
          <w:sz w:val="24"/>
        </w:rPr>
        <w:t>农家肥，施工期固废处置率为100%，对周围环境影响较小。</w:t>
      </w:r>
    </w:p>
    <w:p w14:paraId="1722C709">
      <w:pPr>
        <w:spacing w:line="360" w:lineRule="auto"/>
        <w:ind w:left="-2" w:leftChars="-1" w:firstLine="537" w:firstLineChars="224"/>
        <w:rPr>
          <w:rFonts w:hint="default" w:ascii="Times New Roman" w:hAnsi="Times New Roman" w:cs="Times New Roman"/>
          <w:color w:val="auto"/>
          <w:szCs w:val="21"/>
        </w:rPr>
      </w:pPr>
      <w:r>
        <w:rPr>
          <w:rFonts w:hint="default" w:ascii="Times New Roman" w:hAnsi="Times New Roman" w:cs="Times New Roman"/>
          <w:color w:val="auto"/>
          <w:sz w:val="24"/>
        </w:rPr>
        <w:t>总之，施工期对环境有一定的影响，通过采取适当的防治措施以减少施工对环境的影响。但项目工程量小，施工期对环境的影响是短暂的，施工期结束后，其影响也随之结束。</w:t>
      </w:r>
    </w:p>
    <w:p w14:paraId="3760FD34">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491" w:name="_Toc1153"/>
      <w:r>
        <w:rPr>
          <w:rStyle w:val="35"/>
          <w:rFonts w:hint="default" w:ascii="Times New Roman" w:hAnsi="Times New Roman" w:eastAsia="宋体" w:cs="Times New Roman"/>
          <w:color w:val="auto"/>
          <w:sz w:val="24"/>
          <w:szCs w:val="24"/>
          <w:highlight w:val="none"/>
        </w:rPr>
        <w:t>10.3.2运营期环境影响分析结论</w:t>
      </w:r>
      <w:bookmarkEnd w:id="491"/>
    </w:p>
    <w:p w14:paraId="7FB27EE2">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 xml:space="preserve">（1）大气环境 </w:t>
      </w:r>
    </w:p>
    <w:p w14:paraId="5B8B26AC">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项目污染物经过处理后，猪舍、</w:t>
      </w:r>
      <w:r>
        <w:rPr>
          <w:rFonts w:hint="default" w:ascii="Times New Roman" w:hAnsi="Times New Roman" w:cs="Times New Roman"/>
          <w:color w:val="auto"/>
          <w:sz w:val="24"/>
          <w:highlight w:val="none"/>
          <w:lang w:val="en-US" w:eastAsia="zh-CN"/>
        </w:rPr>
        <w:t>废水收集池</w:t>
      </w:r>
      <w:r>
        <w:rPr>
          <w:rFonts w:hint="default" w:ascii="Times New Roman" w:hAnsi="Times New Roman" w:eastAsia="宋体" w:cs="Times New Roman"/>
          <w:color w:val="auto"/>
          <w:sz w:val="24"/>
          <w:highlight w:val="none"/>
        </w:rPr>
        <w:t>、堆粪棚无组织排放的NH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、H</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S浓度均能满足《恶臭污染物排放标准》（GB14554-93）表1中恶臭污染物厂界二级标准；此外，项目采取日粮中投放益生菌、EM活菌剂等，日粮充分混合均匀后喂养；猪舍周边种植绿化树；定期喷洒微生物除臭剂</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万洁芬</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等措施，经过除臭后，臭气浓度满足《畜禽养殖业污染物排放标准》（GB18596-2001）表7中的要求：臭气浓度（无量纲）＜70。</w:t>
      </w:r>
    </w:p>
    <w:p w14:paraId="51FB3B9B">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天然气燃烧器燃烧废气</w:t>
      </w:r>
      <w:r>
        <w:rPr>
          <w:rFonts w:hint="default" w:ascii="Times New Roman" w:hAnsi="Times New Roman" w:eastAsia="宋体" w:cs="Times New Roman"/>
          <w:color w:val="auto"/>
          <w:sz w:val="24"/>
          <w:highlight w:val="none"/>
        </w:rPr>
        <w:t>排放满足《大气污染物综合排放标准》（GB16297-1996）表2中无组织排放标准。</w:t>
      </w:r>
    </w:p>
    <w:p w14:paraId="288CE4FE">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食堂餐饮油烟经抽油烟机处理后，能够达到《饮食业油烟排放标准（试行）》（GB18483-2001）中“小型”规模标准允许排放的浓度，即油烟排放浓度≤2mg/m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，对周围环境影响小。</w:t>
      </w:r>
    </w:p>
    <w:p w14:paraId="5602E941">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项目区无需设置大气环境防护距离，卫生防护距离为</w:t>
      </w:r>
      <w:r>
        <w:rPr>
          <w:rFonts w:hint="default" w:ascii="Times New Roman" w:hAnsi="Times New Roman" w:eastAsia="宋体" w:cs="Times New Roman"/>
          <w:color w:val="auto"/>
          <w:sz w:val="24"/>
          <w:highlight w:val="none"/>
          <w:lang w:val="en-US" w:eastAsia="zh-CN"/>
        </w:rPr>
        <w:t>养殖猪舍、废水收集池、堆粪棚边界外50m</w:t>
      </w:r>
      <w:r>
        <w:rPr>
          <w:rFonts w:hint="default" w:ascii="Times New Roman" w:hAnsi="Times New Roman" w:eastAsia="宋体" w:cs="Times New Roman"/>
          <w:color w:val="auto"/>
          <w:sz w:val="24"/>
          <w:highlight w:val="none"/>
        </w:rPr>
        <w:t>，卫生防护距离内无敏感点。</w:t>
      </w:r>
    </w:p>
    <w:p w14:paraId="6806BBBF">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综上所述，在采取各项环评提出的措施后，项目正常排放的大气污染物对周围环境空气质量影响小。</w:t>
      </w:r>
    </w:p>
    <w:p w14:paraId="6271E00B">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（2）地表水环境</w:t>
      </w:r>
    </w:p>
    <w:p w14:paraId="07B02541">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cs="Times New Roman"/>
          <w:color w:val="auto"/>
          <w:lang w:bidi="en-US"/>
        </w:rPr>
      </w:pPr>
      <w:r>
        <w:rPr>
          <w:rFonts w:hint="default" w:ascii="Times New Roman" w:hAnsi="Times New Roman" w:cs="Times New Roman"/>
          <w:color w:val="auto"/>
          <w:lang w:bidi="en-US"/>
        </w:rPr>
        <w:t>项目食堂废水经隔油池处理后，与生活污水一起进入化粪池处理，再与养殖废水一起进入</w:t>
      </w:r>
      <w:r>
        <w:rPr>
          <w:rFonts w:hint="default" w:ascii="Times New Roman" w:hAnsi="Times New Roman" w:eastAsia="宋体" w:cs="Times New Roman"/>
          <w:color w:val="auto"/>
          <w:lang w:val="en-US" w:eastAsia="zh-CN" w:bidi="en-US"/>
        </w:rPr>
        <w:t>废水收集池</w:t>
      </w:r>
      <w:r>
        <w:rPr>
          <w:rFonts w:hint="default" w:ascii="Times New Roman" w:hAnsi="Times New Roman" w:cs="Times New Roman"/>
          <w:color w:val="auto"/>
          <w:lang w:bidi="en-US"/>
        </w:rPr>
        <w:t>，</w:t>
      </w:r>
      <w:r>
        <w:rPr>
          <w:rFonts w:hint="default" w:ascii="Times New Roman" w:hAnsi="Times New Roman" w:eastAsia="宋体" w:cs="Times New Roman"/>
          <w:color w:val="auto"/>
          <w:sz w:val="24"/>
          <w:highlight w:val="none"/>
          <w:lang w:val="en-US" w:eastAsia="zh-CN"/>
        </w:rPr>
        <w:t>依托弥勒温氏畜牧有限公司新哨种猪场建设项目污水处理站处理后用于绿化及农田灌溉。依托污水处理站处理能力能够满足本项目处理要求，出水水质稳定达标。</w:t>
      </w:r>
      <w:r>
        <w:rPr>
          <w:rFonts w:hint="default" w:ascii="Times New Roman" w:hAnsi="Times New Roman" w:cs="Times New Roman"/>
          <w:color w:val="auto"/>
          <w:lang w:val="en-US" w:eastAsia="zh-CN" w:bidi="en-US"/>
        </w:rPr>
        <w:t>同时，</w:t>
      </w:r>
      <w:r>
        <w:rPr>
          <w:rFonts w:hint="default" w:ascii="Times New Roman" w:hAnsi="Times New Roman" w:eastAsia="宋体" w:cs="Times New Roman"/>
          <w:color w:val="auto"/>
          <w:sz w:val="24"/>
          <w:szCs w:val="24"/>
          <w:lang w:val="en-US" w:eastAsia="zh-CN"/>
        </w:rPr>
        <w:t>消纳区可完全消纳本项目及弥勒温氏畜牧有限公司新哨种猪场建设项目产生的废水。</w:t>
      </w:r>
      <w:r>
        <w:rPr>
          <w:rFonts w:hint="default" w:ascii="Times New Roman" w:hAnsi="Times New Roman" w:cs="Times New Roman"/>
          <w:color w:val="auto"/>
          <w:lang w:val="en-US" w:eastAsia="zh-CN" w:bidi="en-US"/>
        </w:rPr>
        <w:t>清水池容积可满足废水</w:t>
      </w:r>
      <w:r>
        <w:rPr>
          <w:rFonts w:hint="default" w:ascii="Times New Roman" w:hAnsi="Times New Roman" w:cs="Times New Roman"/>
          <w:color w:val="auto"/>
          <w:sz w:val="24"/>
          <w:szCs w:val="24"/>
          <w:lang w:val="en-US" w:eastAsia="zh-CN"/>
        </w:rPr>
        <w:t>可储存13天的废水，</w:t>
      </w:r>
      <w:r>
        <w:rPr>
          <w:rFonts w:hint="default" w:ascii="Times New Roman" w:hAnsi="Times New Roman" w:cs="Times New Roman"/>
          <w:color w:val="auto"/>
          <w:sz w:val="24"/>
        </w:rPr>
        <w:t>如遇到连续多天降雨情况下，</w:t>
      </w:r>
      <w:r>
        <w:rPr>
          <w:rFonts w:hint="default" w:ascii="Times New Roman" w:hAnsi="Times New Roman" w:cs="Times New Roman"/>
          <w:color w:val="auto"/>
          <w:sz w:val="24"/>
          <w:lang w:val="en-US" w:eastAsia="zh-CN"/>
        </w:rPr>
        <w:t>可将废水</w:t>
      </w:r>
      <w:r>
        <w:rPr>
          <w:rFonts w:hint="default" w:ascii="Times New Roman" w:hAnsi="Times New Roman" w:cs="Times New Roman"/>
          <w:bCs/>
          <w:color w:val="auto"/>
          <w:sz w:val="24"/>
        </w:rPr>
        <w:t>送至周边农田</w:t>
      </w:r>
      <w:r>
        <w:rPr>
          <w:rFonts w:hint="default" w:ascii="Times New Roman" w:hAnsi="Times New Roman" w:cs="Times New Roman"/>
          <w:color w:val="auto"/>
          <w:sz w:val="24"/>
        </w:rPr>
        <w:t>旱地内农户已建有的蓄水设施内暂存</w:t>
      </w:r>
      <w:r>
        <w:rPr>
          <w:rFonts w:hint="default" w:ascii="Times New Roman" w:hAnsi="Times New Roman" w:cs="Times New Roman"/>
          <w:color w:val="auto"/>
          <w:lang w:val="en-US" w:bidi="zh-CN"/>
        </w:rPr>
        <w:t>，</w:t>
      </w:r>
      <w:r>
        <w:rPr>
          <w:rFonts w:hint="default" w:ascii="Times New Roman" w:hAnsi="Times New Roman" w:cs="Times New Roman"/>
          <w:color w:val="auto"/>
          <w:lang w:val="en-US" w:eastAsia="zh-CN" w:bidi="en-US"/>
        </w:rPr>
        <w:t>可满足</w:t>
      </w:r>
      <w:r>
        <w:rPr>
          <w:rFonts w:hint="default" w:ascii="Times New Roman" w:hAnsi="Times New Roman" w:cs="Times New Roman"/>
          <w:color w:val="auto"/>
          <w:lang w:val="en-US" w:bidi="zh-CN"/>
        </w:rPr>
        <w:t>消纳区农田灌溉间隔周期需求。</w:t>
      </w:r>
      <w:r>
        <w:rPr>
          <w:rFonts w:hint="default" w:ascii="Times New Roman" w:hAnsi="Times New Roman" w:cs="Times New Roman"/>
          <w:color w:val="auto"/>
          <w:lang w:bidi="en-US"/>
        </w:rPr>
        <w:t>项目无废水直接外排至地表水体，</w:t>
      </w:r>
      <w:r>
        <w:rPr>
          <w:rFonts w:hint="default" w:ascii="Times New Roman" w:hAnsi="Times New Roman" w:cs="Times New Roman"/>
          <w:bCs/>
          <w:color w:val="auto"/>
          <w:kern w:val="2"/>
          <w:szCs w:val="24"/>
          <w:lang w:val="en-US" w:eastAsia="zh-CN"/>
        </w:rPr>
        <w:t>当污水处理站发生故障时，可将废水暂存于本项目1000m³废水收集池，待污水处理站事故解除后再进行污水处理</w:t>
      </w:r>
      <w:r>
        <w:rPr>
          <w:rFonts w:hint="default" w:ascii="Times New Roman" w:hAnsi="Times New Roman" w:cs="Times New Roman"/>
          <w:color w:val="auto"/>
          <w:sz w:val="24"/>
          <w:szCs w:val="24"/>
          <w:lang w:val="en-US" w:bidi="zh-CN"/>
        </w:rPr>
        <w:t>。</w:t>
      </w:r>
      <w:r>
        <w:rPr>
          <w:rFonts w:hint="default" w:ascii="Times New Roman" w:hAnsi="Times New Roman" w:cs="Times New Roman"/>
          <w:color w:val="auto"/>
          <w:lang w:bidi="en-US"/>
        </w:rPr>
        <w:t>项目运营</w:t>
      </w:r>
      <w:r>
        <w:rPr>
          <w:rFonts w:hint="default" w:ascii="Times New Roman" w:hAnsi="Times New Roman" w:cs="Times New Roman"/>
          <w:color w:val="auto"/>
          <w:lang w:val="en-US" w:eastAsia="zh-CN" w:bidi="en-US"/>
        </w:rPr>
        <w:t>期间不会有废水排放至周边地表水体，</w:t>
      </w:r>
      <w:r>
        <w:rPr>
          <w:rFonts w:hint="default" w:ascii="Times New Roman" w:hAnsi="Times New Roman" w:cs="Times New Roman"/>
          <w:color w:val="auto"/>
          <w:lang w:bidi="en-US"/>
        </w:rPr>
        <w:t>对周边地表水体影响较小。</w:t>
      </w:r>
    </w:p>
    <w:p w14:paraId="2BA6425C">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（3）地下水环境</w:t>
      </w:r>
    </w:p>
    <w:p w14:paraId="49B1CC90">
      <w:pPr>
        <w:snapToGrid w:val="0"/>
        <w:spacing w:line="360" w:lineRule="auto"/>
        <w:ind w:firstLine="480" w:firstLineChars="200"/>
        <w:rPr>
          <w:rFonts w:hint="default" w:ascii="Times New Roman" w:hAnsi="Times New Roman" w:cs="Times New Roman"/>
          <w:color w:val="auto"/>
          <w:sz w:val="24"/>
          <w:highlight w:val="none"/>
          <w:lang w:bidi="zh-CN"/>
        </w:rPr>
      </w:pPr>
      <w:r>
        <w:rPr>
          <w:rFonts w:hint="default" w:ascii="Times New Roman" w:hAnsi="Times New Roman" w:cs="Times New Roman"/>
          <w:color w:val="auto"/>
          <w:sz w:val="24"/>
          <w:highlight w:val="none"/>
        </w:rPr>
        <w:t>项目废水</w:t>
      </w:r>
      <w:r>
        <w:rPr>
          <w:rFonts w:hint="default" w:ascii="Times New Roman" w:hAnsi="Times New Roman" w:eastAsia="宋体" w:cs="Times New Roman"/>
          <w:color w:val="auto"/>
          <w:sz w:val="24"/>
          <w:highlight w:val="none"/>
          <w:lang w:val="en-US" w:eastAsia="zh-CN"/>
        </w:rPr>
        <w:t>依托弥勒温氏畜牧有限公司新哨种猪场建设项目污水处理站处理后用于绿化及农田灌溉</w:t>
      </w:r>
      <w:r>
        <w:rPr>
          <w:rFonts w:hint="default" w:ascii="Times New Roman" w:hAnsi="Times New Roman" w:cs="Times New Roman"/>
          <w:color w:val="auto"/>
          <w:sz w:val="24"/>
          <w:highlight w:val="none"/>
        </w:rPr>
        <w:t>。项目区按照《环境影响评价技术导则 地下水环境》（HJ610-2016）中的防渗要求进行分区防渗设计，落实防渗措施的情况下，项目正常运行过程中发生渗漏的可能性小。非正常情况，若</w:t>
      </w:r>
      <w:r>
        <w:rPr>
          <w:rFonts w:hint="default" w:ascii="Times New Roman" w:hAnsi="Times New Roman" w:cs="Times New Roman"/>
          <w:color w:val="auto"/>
          <w:sz w:val="24"/>
          <w:highlight w:val="none"/>
          <w:lang w:bidi="zh-CN"/>
        </w:rPr>
        <w:t>防渗层发生破损废水下渗会对地下水水质产生一定程度的影响，影响范围为下游</w:t>
      </w:r>
      <w:r>
        <w:rPr>
          <w:rFonts w:hint="default" w:ascii="Times New Roman" w:hAnsi="Times New Roman" w:cs="Times New Roman"/>
          <w:color w:val="auto"/>
          <w:sz w:val="24"/>
          <w:highlight w:val="none"/>
          <w:lang w:val="en-US" w:bidi="zh-CN"/>
        </w:rPr>
        <w:t>660m</w:t>
      </w:r>
      <w:r>
        <w:rPr>
          <w:rFonts w:hint="default" w:ascii="Times New Roman" w:hAnsi="Times New Roman" w:cs="Times New Roman"/>
          <w:color w:val="auto"/>
          <w:sz w:val="24"/>
          <w:highlight w:val="none"/>
          <w:lang w:bidi="zh-CN"/>
        </w:rPr>
        <w:t>，影响范围内无地下水饮用水点。考虑地层的吸附和过滤作用，</w:t>
      </w:r>
      <w:r>
        <w:rPr>
          <w:rFonts w:hint="default" w:ascii="Times New Roman" w:hAnsi="Times New Roman" w:cs="Times New Roman"/>
          <w:color w:val="auto"/>
          <w:sz w:val="24"/>
          <w:szCs w:val="24"/>
          <w:highlight w:val="none"/>
          <w:lang w:val="zh-CN" w:eastAsia="zh-CN" w:bidi="ar"/>
        </w:rPr>
        <w:t>在落实防渗措施进行源头防治，运营期通过跟踪监测及时发现问题，及时修复防渗层等情况下，项目对</w:t>
      </w:r>
      <w:r>
        <w:rPr>
          <w:rFonts w:hint="default" w:ascii="Times New Roman" w:hAnsi="Times New Roman" w:cs="Times New Roman"/>
          <w:color w:val="auto"/>
          <w:sz w:val="24"/>
          <w:highlight w:val="none"/>
          <w:lang w:val="en-US" w:eastAsia="zh-CN"/>
        </w:rPr>
        <w:t>地下水</w:t>
      </w:r>
      <w:r>
        <w:rPr>
          <w:rFonts w:hint="default" w:ascii="Times New Roman" w:hAnsi="Times New Roman" w:cs="Times New Roman"/>
          <w:color w:val="auto"/>
          <w:sz w:val="24"/>
          <w:highlight w:val="none"/>
          <w:lang w:eastAsia="zh-CN"/>
        </w:rPr>
        <w:t>影响可控，可以及时将污染物控制在厂区范围内。</w:t>
      </w:r>
    </w:p>
    <w:p w14:paraId="1C4E4D4B">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bidi="zh-CN"/>
        </w:rPr>
        <w:t>当地下水污染后治理、修复的技术难度较大，投入的治理、修复资金较大，且治理效果难于达到原有环境水平，因此，本项目应切实做好有效的防污、防渗措施，杜绝废水渗漏等污染事故。</w:t>
      </w:r>
    </w:p>
    <w:p w14:paraId="5AFB87D9">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（4）声环境</w:t>
      </w:r>
    </w:p>
    <w:p w14:paraId="565FA9EE">
      <w:pPr>
        <w:autoSpaceDE w:val="0"/>
        <w:autoSpaceDN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根据预测，项目生产设备噪声至厂界时，</w:t>
      </w:r>
      <w:r>
        <w:rPr>
          <w:rFonts w:hint="default" w:ascii="Times New Roman" w:hAnsi="Times New Roman" w:cs="Times New Roman"/>
          <w:color w:val="auto"/>
          <w:kern w:val="0"/>
          <w:sz w:val="24"/>
          <w:highlight w:val="none"/>
        </w:rPr>
        <w:t>昼间、夜间满足《工业企业厂界环境噪声排放标准》（GB12348-2008）2 类标准要求</w:t>
      </w:r>
      <w:r>
        <w:rPr>
          <w:rFonts w:hint="default" w:ascii="Times New Roman" w:hAnsi="Times New Roman" w:cs="Times New Roman"/>
          <w:color w:val="auto"/>
          <w:sz w:val="24"/>
          <w:highlight w:val="none"/>
        </w:rPr>
        <w:t>。项目运营期生产设备噪声对声环境造成影响较小。</w:t>
      </w:r>
    </w:p>
    <w:p w14:paraId="4B296317">
      <w:pPr>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（5）固体废弃物</w:t>
      </w:r>
    </w:p>
    <w:p w14:paraId="189A0967">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项目运营产生的猪粪、饲料残渣清运至</w:t>
      </w:r>
      <w:r>
        <w:rPr>
          <w:rFonts w:hint="default" w:ascii="Times New Roman" w:hAnsi="Times New Roman" w:cs="Times New Roman"/>
          <w:bCs/>
          <w:color w:val="auto"/>
          <w:sz w:val="24"/>
          <w:highlight w:val="none"/>
          <w:lang w:eastAsia="zh-CN"/>
        </w:rPr>
        <w:t>堆粪棚</w:t>
      </w:r>
      <w:r>
        <w:rPr>
          <w:rFonts w:hint="default" w:ascii="Times New Roman" w:hAnsi="Times New Roman" w:cs="Times New Roman"/>
          <w:bCs/>
          <w:color w:val="auto"/>
          <w:sz w:val="24"/>
          <w:highlight w:val="none"/>
        </w:rPr>
        <w:t>进行发酵堆肥，施用周边农田；病死猪委托弥勒市北斗星生物科技有限公司进场清运处置；</w:t>
      </w:r>
      <w:r>
        <w:rPr>
          <w:rFonts w:hint="default" w:ascii="Times New Roman" w:hAnsi="Times New Roman" w:cs="Times New Roman"/>
          <w:bCs/>
          <w:color w:val="auto"/>
          <w:sz w:val="24"/>
          <w:highlight w:val="none"/>
          <w:lang w:val="en-US" w:eastAsia="zh-CN"/>
        </w:rPr>
        <w:t>防疫固废建设暂存间，按照当地农业主管部门要求处置</w:t>
      </w:r>
      <w:r>
        <w:rPr>
          <w:rFonts w:hint="default" w:ascii="Times New Roman" w:hAnsi="Times New Roman" w:cs="Times New Roman"/>
          <w:bCs/>
          <w:color w:val="auto"/>
          <w:sz w:val="24"/>
          <w:highlight w:val="none"/>
        </w:rPr>
        <w:t>；废弃包装材料统一收集定期外卖给废品站；生活垃圾经垃圾桶统一收集后，集中收集后定期清运至当地生活垃圾收集点，由环卫部门处置；废机油采用专用容器密闭盛装，暂存在危废暂存间，委托相关资质单位处置。</w:t>
      </w:r>
    </w:p>
    <w:p w14:paraId="247C0931">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综上，本项目产生的固体废物均得到了合理处置，对周围环境影响小。</w:t>
      </w:r>
    </w:p>
    <w:p w14:paraId="54806708">
      <w:pPr>
        <w:pStyle w:val="4"/>
        <w:adjustRightInd w:val="0"/>
        <w:snapToGrid w:val="0"/>
        <w:spacing w:before="0" w:beforeLines="0" w:after="0" w:afterLines="0" w:line="360" w:lineRule="auto"/>
        <w:ind w:firstLine="0" w:firstLineChars="0"/>
        <w:rPr>
          <w:rStyle w:val="35"/>
          <w:rFonts w:hint="default" w:ascii="Times New Roman" w:hAnsi="Times New Roman" w:eastAsia="宋体" w:cs="Times New Roman"/>
          <w:color w:val="auto"/>
          <w:sz w:val="24"/>
          <w:szCs w:val="24"/>
          <w:highlight w:val="none"/>
        </w:rPr>
      </w:pPr>
      <w:bookmarkStart w:id="492" w:name="_Toc15423"/>
      <w:r>
        <w:rPr>
          <w:rStyle w:val="35"/>
          <w:rFonts w:hint="default" w:ascii="Times New Roman" w:hAnsi="Times New Roman" w:eastAsia="宋体" w:cs="Times New Roman"/>
          <w:color w:val="auto"/>
          <w:sz w:val="24"/>
          <w:szCs w:val="24"/>
          <w:highlight w:val="none"/>
        </w:rPr>
        <w:t>10.3.3环境风险分析结论</w:t>
      </w:r>
      <w:bookmarkEnd w:id="492"/>
    </w:p>
    <w:p w14:paraId="475B366E">
      <w:pPr>
        <w:adjustRightInd w:val="0"/>
        <w:snapToGrid w:val="0"/>
        <w:spacing w:line="360" w:lineRule="auto"/>
        <w:ind w:firstLine="482"/>
        <w:rPr>
          <w:rFonts w:hint="default" w:ascii="Times New Roman" w:hAnsi="Times New Roman" w:cs="Times New Roman"/>
          <w:color w:val="auto"/>
          <w:kern w:val="0"/>
          <w:sz w:val="24"/>
          <w:highlight w:val="none"/>
          <w:lang w:bidi="ar"/>
        </w:rPr>
      </w:pPr>
      <w:bookmarkStart w:id="493" w:name="_Toc5716"/>
      <w:r>
        <w:rPr>
          <w:rFonts w:hint="default" w:ascii="Times New Roman" w:hAnsi="Times New Roman" w:eastAsia="宋体" w:cs="Times New Roman"/>
          <w:color w:val="auto"/>
          <w:sz w:val="24"/>
          <w:szCs w:val="24"/>
          <w:lang w:val="en-US" w:eastAsia="zh-CN" w:bidi="ar"/>
        </w:rPr>
        <w:t>本项目可能发生的风险事件主要有</w:t>
      </w:r>
      <w:r>
        <w:rPr>
          <w:rFonts w:hint="default" w:ascii="Times New Roman" w:hAnsi="Times New Roman" w:cs="Times New Roman"/>
          <w:color w:val="auto"/>
          <w:sz w:val="24"/>
          <w:szCs w:val="24"/>
          <w:lang w:val="en-US" w:eastAsia="zh-CN" w:bidi="ar"/>
        </w:rPr>
        <w:t>柴油</w:t>
      </w:r>
      <w:r>
        <w:rPr>
          <w:rFonts w:hint="default" w:ascii="Times New Roman" w:hAnsi="Times New Roman" w:eastAsia="宋体" w:cs="Times New Roman"/>
          <w:color w:val="auto"/>
          <w:sz w:val="24"/>
          <w:szCs w:val="24"/>
          <w:lang w:val="en-US" w:eastAsia="zh-CN" w:bidi="ar"/>
        </w:rPr>
        <w:t>及废机油发生泄漏、火灾、爆炸风险事故。根据分析，项目废机油、备用发电机柴油等危险物质储存量Q值为0.000052，项目环境风险趋势为Ⅰ。</w:t>
      </w:r>
      <w:r>
        <w:rPr>
          <w:rFonts w:hint="default" w:ascii="Times New Roman" w:hAnsi="Times New Roman" w:cs="Times New Roman"/>
          <w:color w:val="auto"/>
          <w:kern w:val="0"/>
          <w:sz w:val="24"/>
          <w:highlight w:val="none"/>
          <w:lang w:bidi="ar"/>
        </w:rPr>
        <w:t>为防止风险事故的发生，造成严重的社会影响和经济损失，应在日常生产过程中加强风险防范措施的管理，建立完善的风险防范应急预案，并保证其有效运行，将环境风险事故危害降低到最低程度。</w:t>
      </w:r>
    </w:p>
    <w:p w14:paraId="7F11417E">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通过采取本评价提出的环境风险防范措施后，可降低环境风险事故的发生概率，降低对周围环境的影响，环境风险在可接受范围内。</w:t>
      </w:r>
    </w:p>
    <w:p w14:paraId="29E8E56E">
      <w:pPr>
        <w:pStyle w:val="3"/>
        <w:tabs>
          <w:tab w:val="left" w:pos="420"/>
        </w:tabs>
        <w:spacing w:before="0" w:after="0"/>
        <w:rPr>
          <w:rStyle w:val="34"/>
          <w:rFonts w:hint="default" w:ascii="Times New Roman" w:hAnsi="Times New Roman" w:cs="Times New Roman"/>
          <w:b w:val="0"/>
          <w:bCs w:val="0"/>
          <w:color w:val="auto"/>
          <w:sz w:val="24"/>
          <w:highlight w:val="none"/>
        </w:rPr>
      </w:pPr>
      <w:bookmarkStart w:id="494" w:name="_Toc8901"/>
      <w:bookmarkStart w:id="495" w:name="_Toc7958"/>
      <w:bookmarkStart w:id="496" w:name="_Toc5457"/>
      <w:r>
        <w:rPr>
          <w:rStyle w:val="34"/>
          <w:rFonts w:hint="default" w:ascii="Times New Roman" w:hAnsi="Times New Roman" w:cs="Times New Roman"/>
          <w:b w:val="0"/>
          <w:bCs w:val="0"/>
          <w:color w:val="auto"/>
          <w:sz w:val="24"/>
          <w:highlight w:val="none"/>
        </w:rPr>
        <w:t>10.4环境经济损益分析</w:t>
      </w:r>
      <w:bookmarkEnd w:id="493"/>
      <w:bookmarkEnd w:id="494"/>
      <w:bookmarkEnd w:id="495"/>
      <w:bookmarkEnd w:id="496"/>
    </w:p>
    <w:p w14:paraId="3AD7E693">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本项目总投资</w:t>
      </w:r>
      <w:r>
        <w:rPr>
          <w:rFonts w:hint="default" w:ascii="Times New Roman" w:hAnsi="Times New Roman" w:cs="Times New Roman"/>
          <w:bCs/>
          <w:color w:val="auto"/>
          <w:sz w:val="24"/>
          <w:highlight w:val="none"/>
          <w:lang w:val="en-US" w:eastAsia="zh-CN"/>
        </w:rPr>
        <w:t>1620</w:t>
      </w:r>
      <w:r>
        <w:rPr>
          <w:rFonts w:hint="default" w:ascii="Times New Roman" w:hAnsi="Times New Roman" w:cs="Times New Roman"/>
          <w:bCs/>
          <w:color w:val="auto"/>
          <w:sz w:val="24"/>
          <w:highlight w:val="none"/>
        </w:rPr>
        <w:t>万元，其中环保投资为</w:t>
      </w:r>
      <w:r>
        <w:rPr>
          <w:rFonts w:hint="default" w:ascii="Times New Roman" w:hAnsi="Times New Roman" w:cs="Times New Roman"/>
          <w:bCs/>
          <w:color w:val="auto"/>
          <w:sz w:val="24"/>
          <w:highlight w:val="none"/>
          <w:lang w:val="en-US" w:eastAsia="zh-CN"/>
        </w:rPr>
        <w:t>82.93</w:t>
      </w:r>
      <w:r>
        <w:rPr>
          <w:rFonts w:hint="default" w:ascii="Times New Roman" w:hAnsi="Times New Roman" w:cs="Times New Roman"/>
          <w:bCs/>
          <w:color w:val="auto"/>
          <w:sz w:val="24"/>
          <w:highlight w:val="none"/>
        </w:rPr>
        <w:t>万元</w:t>
      </w:r>
      <w:r>
        <w:rPr>
          <w:rFonts w:hint="default" w:ascii="Times New Roman" w:hAnsi="Times New Roman" w:cs="Times New Roman"/>
          <w:color w:val="auto"/>
          <w:sz w:val="24"/>
          <w:highlight w:val="none"/>
        </w:rPr>
        <w:t>，环保投资占总投资的</w:t>
      </w:r>
      <w:r>
        <w:rPr>
          <w:rFonts w:hint="default" w:ascii="Times New Roman" w:hAnsi="Times New Roman" w:cs="Times New Roman"/>
          <w:color w:val="auto"/>
          <w:sz w:val="24"/>
          <w:highlight w:val="none"/>
          <w:lang w:val="en-US" w:eastAsia="zh-CN"/>
        </w:rPr>
        <w:t>5.12</w:t>
      </w:r>
      <w:r>
        <w:rPr>
          <w:rFonts w:hint="default" w:ascii="Times New Roman" w:hAnsi="Times New Roman" w:cs="Times New Roman"/>
          <w:color w:val="auto"/>
          <w:sz w:val="24"/>
          <w:highlight w:val="none"/>
        </w:rPr>
        <w:t>%。通过对本项目的直接经济效益、社会效益、环境效益分析，本项目建设过程中只要严格执行国家规定的“三同时”制度，建成严格进行管理，保证相应环保设施的正常运行，本项目在进行污染防治、保证环境投资和治理效果的情况下，对区域的环境影响将得到有限的减缓，能取得社会效益、经济效益和环境效益的统一、协调发展。</w:t>
      </w:r>
    </w:p>
    <w:p w14:paraId="5647D0E1">
      <w:pPr>
        <w:pStyle w:val="3"/>
        <w:tabs>
          <w:tab w:val="left" w:pos="420"/>
        </w:tabs>
        <w:spacing w:before="0" w:after="0"/>
        <w:rPr>
          <w:rStyle w:val="34"/>
          <w:rFonts w:hint="default" w:ascii="Times New Roman" w:hAnsi="Times New Roman" w:cs="Times New Roman"/>
          <w:b w:val="0"/>
          <w:bCs w:val="0"/>
          <w:color w:val="auto"/>
          <w:sz w:val="24"/>
          <w:highlight w:val="none"/>
        </w:rPr>
      </w:pPr>
      <w:bookmarkStart w:id="497" w:name="_Toc14928"/>
      <w:bookmarkStart w:id="498" w:name="_Toc10602"/>
      <w:bookmarkStart w:id="499" w:name="_Toc17489"/>
      <w:bookmarkStart w:id="500" w:name="_Toc20491"/>
      <w:r>
        <w:rPr>
          <w:rStyle w:val="34"/>
          <w:rFonts w:hint="default" w:ascii="Times New Roman" w:hAnsi="Times New Roman" w:cs="Times New Roman"/>
          <w:b w:val="0"/>
          <w:bCs w:val="0"/>
          <w:color w:val="auto"/>
          <w:sz w:val="24"/>
          <w:highlight w:val="none"/>
        </w:rPr>
        <w:t>10.5总量控制结论</w:t>
      </w:r>
      <w:bookmarkEnd w:id="497"/>
      <w:bookmarkEnd w:id="498"/>
      <w:bookmarkEnd w:id="499"/>
      <w:bookmarkEnd w:id="500"/>
    </w:p>
    <w:p w14:paraId="0A05738C">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项目养殖过程中产生的NH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S呈无组织排放。</w:t>
      </w:r>
      <w:r>
        <w:rPr>
          <w:rFonts w:hint="default" w:ascii="Times New Roman" w:hAnsi="Times New Roman" w:cs="Times New Roman"/>
          <w:color w:val="auto"/>
          <w:sz w:val="24"/>
          <w:highlight w:val="none"/>
          <w:lang w:bidi="zh-CN"/>
        </w:rPr>
        <w:t>因此</w:t>
      </w:r>
      <w:r>
        <w:rPr>
          <w:rFonts w:hint="default" w:ascii="Times New Roman" w:hAnsi="Times New Roman" w:cs="Times New Roman"/>
          <w:color w:val="auto"/>
          <w:sz w:val="24"/>
          <w:highlight w:val="none"/>
        </w:rPr>
        <w:t>本项目不设大气总量控制指标。</w:t>
      </w:r>
    </w:p>
    <w:p w14:paraId="504E3AD0">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项目运营期养殖废水和</w:t>
      </w:r>
      <w:r>
        <w:rPr>
          <w:rFonts w:hint="eastAsia" w:ascii="Times New Roman" w:hAnsi="Times New Roman" w:cs="Times New Roman"/>
          <w:color w:val="auto"/>
          <w:sz w:val="24"/>
          <w:highlight w:val="none"/>
          <w:lang w:eastAsia="zh-CN"/>
        </w:rPr>
        <w:t>生活污水</w:t>
      </w:r>
      <w:r>
        <w:rPr>
          <w:rFonts w:hint="default" w:ascii="Times New Roman" w:hAnsi="Times New Roman" w:cs="Times New Roman"/>
          <w:color w:val="auto"/>
          <w:sz w:val="24"/>
          <w:highlight w:val="none"/>
          <w:lang w:val="en-US" w:eastAsia="zh-CN"/>
        </w:rPr>
        <w:t>依托</w:t>
      </w:r>
      <w:r>
        <w:rPr>
          <w:rFonts w:hint="default" w:ascii="Times New Roman" w:hAnsi="Times New Roman" w:eastAsia="宋体" w:cs="Times New Roman"/>
          <w:color w:val="auto"/>
          <w:sz w:val="24"/>
          <w:highlight w:val="none"/>
          <w:lang w:val="en-US" w:eastAsia="zh-CN"/>
        </w:rPr>
        <w:t>弥勒温氏畜牧有限公司新哨种猪场建设项目污水处理站处理后用于绿化及农田灌溉</w:t>
      </w:r>
      <w:r>
        <w:rPr>
          <w:rFonts w:hint="default" w:ascii="Times New Roman" w:hAnsi="Times New Roman" w:cs="Times New Roman"/>
          <w:color w:val="auto"/>
          <w:sz w:val="24"/>
          <w:highlight w:val="none"/>
        </w:rPr>
        <w:t>，不设废水总量控制指标。</w:t>
      </w:r>
    </w:p>
    <w:p w14:paraId="3E7755FF">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固体废物处置率100%，不设总量控制指标。</w:t>
      </w:r>
    </w:p>
    <w:p w14:paraId="5838E4AF">
      <w:pPr>
        <w:pStyle w:val="3"/>
        <w:tabs>
          <w:tab w:val="left" w:pos="420"/>
        </w:tabs>
        <w:spacing w:before="0" w:after="0"/>
        <w:rPr>
          <w:rStyle w:val="34"/>
          <w:rFonts w:hint="default" w:ascii="Times New Roman" w:hAnsi="Times New Roman" w:cs="Times New Roman"/>
          <w:b w:val="0"/>
          <w:bCs w:val="0"/>
          <w:color w:val="auto"/>
          <w:sz w:val="24"/>
          <w:highlight w:val="none"/>
        </w:rPr>
      </w:pPr>
      <w:bookmarkStart w:id="501" w:name="_Toc10845"/>
      <w:bookmarkStart w:id="502" w:name="_Toc3364"/>
      <w:bookmarkStart w:id="503" w:name="_Toc21442"/>
      <w:bookmarkStart w:id="504" w:name="_Toc14223"/>
      <w:r>
        <w:rPr>
          <w:rStyle w:val="34"/>
          <w:rFonts w:hint="default" w:ascii="Times New Roman" w:hAnsi="Times New Roman" w:cs="Times New Roman"/>
          <w:b w:val="0"/>
          <w:bCs w:val="0"/>
          <w:color w:val="auto"/>
          <w:sz w:val="24"/>
          <w:highlight w:val="none"/>
        </w:rPr>
        <w:t>10.6公众参与采纳情况</w:t>
      </w:r>
      <w:bookmarkEnd w:id="501"/>
      <w:bookmarkEnd w:id="502"/>
      <w:bookmarkEnd w:id="503"/>
      <w:bookmarkEnd w:id="504"/>
    </w:p>
    <w:p w14:paraId="4D1C353D">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rPr>
        <w:t>日，建设单位在“弥勒市人民政府”网站进行了第一次公示，公示时间为202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rPr>
        <w:t>日~202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月2</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日，共10个工作日。公示期间未收到</w:t>
      </w:r>
      <w:r>
        <w:rPr>
          <w:rFonts w:hint="default" w:ascii="Times New Roman" w:hAnsi="Times New Roman" w:cs="Times New Roman"/>
          <w:color w:val="auto"/>
          <w:sz w:val="24"/>
          <w:highlight w:val="none"/>
          <w:lang w:eastAsia="zh-CN"/>
        </w:rPr>
        <w:t>反馈</w:t>
      </w:r>
      <w:r>
        <w:rPr>
          <w:rFonts w:hint="default" w:ascii="Times New Roman" w:hAnsi="Times New Roman" w:cs="Times New Roman"/>
          <w:color w:val="auto"/>
          <w:sz w:val="24"/>
          <w:highlight w:val="none"/>
        </w:rPr>
        <w:t>意见。</w:t>
      </w:r>
    </w:p>
    <w:p w14:paraId="3ECE691C">
      <w:pPr>
        <w:snapToGri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在报告书征求意见稿编制完成后，</w:t>
      </w:r>
      <w:r>
        <w:rPr>
          <w:rFonts w:hint="default" w:ascii="Times New Roman" w:hAnsi="Times New Roman" w:cs="Times New Roman"/>
          <w:color w:val="auto"/>
          <w:sz w:val="24"/>
          <w:highlight w:val="none"/>
        </w:rPr>
        <w:t>于202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29</w:t>
      </w:r>
      <w:r>
        <w:rPr>
          <w:rFonts w:hint="default" w:ascii="Times New Roman" w:hAnsi="Times New Roman" w:cs="Times New Roman"/>
          <w:color w:val="auto"/>
          <w:sz w:val="24"/>
          <w:highlight w:val="none"/>
        </w:rPr>
        <w:t>日在“弥勒市人民政府”网站进行了征求意见稿公示，公示时间为</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日</w:t>
      </w:r>
      <w:r>
        <w:rPr>
          <w:rFonts w:hint="default" w:ascii="Times New Roman" w:hAnsi="Times New Roman" w:cs="Times New Roman"/>
          <w:color w:val="auto"/>
          <w:sz w:val="24"/>
          <w:highlight w:val="none"/>
        </w:rPr>
        <w:t>，共10个工作日，并附建设项目公众参与意见表；</w:t>
      </w:r>
      <w:r>
        <w:rPr>
          <w:rFonts w:hint="default" w:ascii="Times New Roman" w:hAnsi="Times New Roman" w:cs="Times New Roman"/>
          <w:color w:val="auto"/>
          <w:sz w:val="24"/>
          <w:highlight w:val="none"/>
          <w:lang w:val="en-US" w:eastAsia="zh-CN"/>
        </w:rPr>
        <w:t>公</w:t>
      </w:r>
      <w:r>
        <w:rPr>
          <w:rFonts w:hint="default" w:ascii="Times New Roman" w:hAnsi="Times New Roman" w:cs="Times New Roman"/>
          <w:color w:val="auto"/>
          <w:sz w:val="24"/>
          <w:highlight w:val="none"/>
        </w:rPr>
        <w:t>示期间均未收到团体和群众的反馈意见。在网站公示期间，同步在</w:t>
      </w:r>
      <w:r>
        <w:rPr>
          <w:rFonts w:hint="default" w:ascii="Times New Roman" w:hAnsi="Times New Roman" w:eastAsia="宋体" w:cs="Times New Roman"/>
          <w:color w:val="auto"/>
          <w:sz w:val="24"/>
          <w:szCs w:val="24"/>
          <w:highlight w:val="none"/>
          <w:lang w:val="en-US" w:eastAsia="zh-CN"/>
        </w:rPr>
        <w:t>红河日报</w:t>
      </w:r>
      <w:r>
        <w:rPr>
          <w:rFonts w:hint="default" w:ascii="Times New Roman" w:hAnsi="Times New Roman" w:eastAsia="宋体" w:cs="Times New Roman"/>
          <w:color w:val="auto"/>
          <w:sz w:val="24"/>
          <w:szCs w:val="24"/>
          <w:highlight w:val="none"/>
        </w:rPr>
        <w:t>进行2次登报公示，具体时间为202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rPr>
        <w:t>日（总第</w:t>
      </w:r>
      <w:r>
        <w:rPr>
          <w:rFonts w:hint="default" w:ascii="Times New Roman" w:hAnsi="Times New Roman" w:eastAsia="宋体" w:cs="Times New Roman"/>
          <w:color w:val="auto"/>
          <w:sz w:val="24"/>
          <w:szCs w:val="24"/>
          <w:highlight w:val="none"/>
          <w:lang w:val="en-US" w:eastAsia="zh-CN"/>
        </w:rPr>
        <w:t>11876</w:t>
      </w:r>
      <w:r>
        <w:rPr>
          <w:rFonts w:hint="default" w:ascii="Times New Roman" w:hAnsi="Times New Roman" w:eastAsia="宋体" w:cs="Times New Roman"/>
          <w:color w:val="auto"/>
          <w:sz w:val="24"/>
          <w:szCs w:val="24"/>
          <w:highlight w:val="none"/>
        </w:rPr>
        <w:t>期</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版）、202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9日（总第</w:t>
      </w:r>
      <w:r>
        <w:rPr>
          <w:rFonts w:hint="default" w:ascii="Times New Roman" w:hAnsi="Times New Roman" w:eastAsia="宋体" w:cs="Times New Roman"/>
          <w:color w:val="auto"/>
          <w:sz w:val="24"/>
          <w:szCs w:val="24"/>
          <w:highlight w:val="none"/>
          <w:lang w:val="en-US" w:eastAsia="zh-CN"/>
        </w:rPr>
        <w:t>11877</w:t>
      </w:r>
      <w:r>
        <w:rPr>
          <w:rFonts w:hint="default" w:ascii="Times New Roman" w:hAnsi="Times New Roman" w:eastAsia="宋体" w:cs="Times New Roman"/>
          <w:color w:val="auto"/>
          <w:sz w:val="24"/>
          <w:szCs w:val="24"/>
          <w:highlight w:val="none"/>
        </w:rPr>
        <w:t>期</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版）</w:t>
      </w:r>
      <w:r>
        <w:rPr>
          <w:rFonts w:hint="default" w:ascii="Times New Roman" w:hAnsi="Times New Roman" w:cs="Times New Roman"/>
          <w:color w:val="auto"/>
          <w:sz w:val="24"/>
          <w:highlight w:val="none"/>
        </w:rPr>
        <w:t>；在两次公示期间均未收到团体和群众的反馈意见。在项目区所属地</w:t>
      </w:r>
      <w:r>
        <w:rPr>
          <w:rFonts w:hint="default" w:ascii="Times New Roman" w:hAnsi="Times New Roman" w:eastAsia="宋体" w:cs="Times New Roman"/>
          <w:color w:val="auto"/>
          <w:sz w:val="24"/>
          <w:szCs w:val="24"/>
          <w:lang w:val="en-US" w:eastAsia="zh-CN"/>
        </w:rPr>
        <w:t>新哨镇</w:t>
      </w:r>
      <w:r>
        <w:rPr>
          <w:rFonts w:hint="default" w:ascii="Times New Roman" w:hAnsi="Times New Roman" w:eastAsia="宋体" w:cs="Times New Roman"/>
          <w:color w:val="auto"/>
          <w:sz w:val="24"/>
          <w:szCs w:val="24"/>
        </w:rPr>
        <w:t>人民政府、</w:t>
      </w:r>
      <w:r>
        <w:rPr>
          <w:rFonts w:hint="default" w:ascii="Times New Roman" w:hAnsi="Times New Roman" w:eastAsia="宋体" w:cs="Times New Roman"/>
          <w:color w:val="auto"/>
          <w:sz w:val="24"/>
          <w:szCs w:val="24"/>
          <w:lang w:val="en-US" w:eastAsia="zh-CN"/>
        </w:rPr>
        <w:t>猴街村</w:t>
      </w:r>
      <w:r>
        <w:rPr>
          <w:rFonts w:hint="default" w:ascii="Times New Roman" w:hAnsi="Times New Roman" w:eastAsia="宋体" w:cs="Times New Roman"/>
          <w:color w:val="auto"/>
          <w:sz w:val="24"/>
          <w:szCs w:val="24"/>
        </w:rPr>
        <w:t>委会</w:t>
      </w:r>
      <w:r>
        <w:rPr>
          <w:rFonts w:hint="default" w:ascii="Times New Roman" w:hAnsi="Times New Roman" w:cs="Times New Roman"/>
          <w:color w:val="auto"/>
          <w:sz w:val="24"/>
          <w:highlight w:val="none"/>
        </w:rPr>
        <w:t>公告栏进行公告张贴，公告张贴时间为</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日</w:t>
      </w:r>
      <w:r>
        <w:rPr>
          <w:rFonts w:hint="default" w:ascii="Times New Roman" w:hAnsi="Times New Roman" w:cs="Times New Roman"/>
          <w:color w:val="auto"/>
          <w:sz w:val="24"/>
          <w:highlight w:val="none"/>
        </w:rPr>
        <w:t>，共10个工作日；粘贴公示期间均未收到团体和群众的反馈意见。</w:t>
      </w:r>
    </w:p>
    <w:p w14:paraId="597FA490">
      <w:pPr>
        <w:pStyle w:val="9"/>
        <w:spacing w:line="360" w:lineRule="auto"/>
        <w:ind w:firstLine="480" w:firstLineChars="200"/>
        <w:rPr>
          <w:rFonts w:hint="default" w:ascii="Times New Roman" w:hAnsi="Times New Roman" w:eastAsia="宋体" w:cs="Times New Roman"/>
          <w:color w:val="auto"/>
          <w:sz w:val="24"/>
          <w:szCs w:val="24"/>
        </w:rPr>
      </w:pPr>
      <w:bookmarkStart w:id="505" w:name="_Toc5820"/>
      <w:bookmarkStart w:id="506" w:name="_Toc17530"/>
      <w:bookmarkStart w:id="507" w:name="_Toc23800"/>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日，建</w:t>
      </w:r>
      <w:r>
        <w:rPr>
          <w:rFonts w:hint="default" w:ascii="Times New Roman" w:hAnsi="Times New Roman" w:eastAsia="宋体" w:cs="Times New Roman"/>
          <w:snapToGrid w:val="0"/>
          <w:color w:val="auto"/>
          <w:sz w:val="24"/>
          <w:szCs w:val="24"/>
        </w:rPr>
        <w:t>设单位</w:t>
      </w:r>
      <w:r>
        <w:rPr>
          <w:rFonts w:hint="default" w:ascii="Times New Roman" w:hAnsi="Times New Roman" w:eastAsia="宋体" w:cs="Times New Roman"/>
          <w:color w:val="auto"/>
          <w:sz w:val="24"/>
          <w:szCs w:val="24"/>
          <w:lang w:eastAsia="zh-CN"/>
        </w:rPr>
        <w:t>向周边影响范围内居民</w:t>
      </w:r>
      <w:r>
        <w:rPr>
          <w:rFonts w:hint="default" w:ascii="Times New Roman" w:hAnsi="Times New Roman" w:eastAsia="宋体" w:cs="Times New Roman"/>
          <w:color w:val="auto"/>
          <w:sz w:val="24"/>
          <w:szCs w:val="24"/>
          <w:lang w:val="en-US" w:eastAsia="zh-CN"/>
        </w:rPr>
        <w:t>及公众团体</w:t>
      </w:r>
      <w:r>
        <w:rPr>
          <w:rFonts w:hint="default" w:ascii="Times New Roman" w:hAnsi="Times New Roman" w:eastAsia="宋体" w:cs="Times New Roman"/>
          <w:color w:val="auto"/>
          <w:sz w:val="24"/>
          <w:szCs w:val="24"/>
          <w:lang w:eastAsia="zh-CN"/>
        </w:rPr>
        <w:t>发放公众意见调查表，</w:t>
      </w:r>
      <w:r>
        <w:rPr>
          <w:rFonts w:hint="default" w:ascii="Times New Roman" w:hAnsi="Times New Roman" w:eastAsia="宋体" w:cs="Times New Roman"/>
          <w:snapToGrid w:val="0"/>
          <w:color w:val="auto"/>
          <w:sz w:val="24"/>
          <w:szCs w:val="24"/>
        </w:rPr>
        <w:t>主要调查对象为项目所属的</w:t>
      </w:r>
      <w:r>
        <w:rPr>
          <w:rFonts w:hint="default" w:ascii="Times New Roman" w:hAnsi="Times New Roman" w:eastAsia="宋体" w:cs="Times New Roman"/>
          <w:snapToGrid w:val="0"/>
          <w:color w:val="auto"/>
          <w:sz w:val="24"/>
          <w:szCs w:val="24"/>
          <w:lang w:val="en-US" w:eastAsia="zh-CN"/>
        </w:rPr>
        <w:t>猴街村委会</w:t>
      </w:r>
      <w:r>
        <w:rPr>
          <w:rFonts w:hint="default" w:ascii="Times New Roman" w:hAnsi="Times New Roman" w:eastAsia="宋体" w:cs="Times New Roman"/>
          <w:snapToGrid w:val="0"/>
          <w:color w:val="auto"/>
          <w:sz w:val="24"/>
          <w:szCs w:val="24"/>
        </w:rPr>
        <w:t>距离项目区较近的</w:t>
      </w:r>
      <w:r>
        <w:rPr>
          <w:rFonts w:hint="default" w:ascii="Times New Roman" w:hAnsi="Times New Roman" w:eastAsia="宋体" w:cs="Times New Roman"/>
          <w:snapToGrid w:val="0"/>
          <w:color w:val="auto"/>
          <w:sz w:val="24"/>
          <w:szCs w:val="24"/>
          <w:lang w:val="en-US" w:eastAsia="zh-CN"/>
        </w:rPr>
        <w:t>居民，</w:t>
      </w:r>
      <w:r>
        <w:rPr>
          <w:rFonts w:hint="default" w:ascii="Times New Roman" w:hAnsi="Times New Roman" w:eastAsia="宋体" w:cs="Times New Roman"/>
          <w:color w:val="auto"/>
          <w:sz w:val="24"/>
          <w:szCs w:val="24"/>
          <w:highlight w:val="none"/>
        </w:rPr>
        <w:t>建设单位总共发放公众意见表</w:t>
      </w:r>
      <w:r>
        <w:rPr>
          <w:rFonts w:hint="default"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份，共回收</w:t>
      </w:r>
      <w:r>
        <w:rPr>
          <w:rFonts w:hint="default"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份，均无反对意见。</w:t>
      </w:r>
    </w:p>
    <w:p w14:paraId="279BA5AB">
      <w:pPr>
        <w:pStyle w:val="3"/>
        <w:tabs>
          <w:tab w:val="left" w:pos="420"/>
        </w:tabs>
        <w:spacing w:before="0" w:after="0"/>
        <w:rPr>
          <w:rStyle w:val="34"/>
          <w:rFonts w:hint="default" w:ascii="Times New Roman" w:hAnsi="Times New Roman" w:cs="Times New Roman"/>
          <w:b w:val="0"/>
          <w:bCs w:val="0"/>
          <w:color w:val="auto"/>
          <w:sz w:val="24"/>
          <w:highlight w:val="none"/>
        </w:rPr>
      </w:pPr>
      <w:bookmarkStart w:id="508" w:name="_Toc20662"/>
      <w:r>
        <w:rPr>
          <w:rStyle w:val="34"/>
          <w:rFonts w:hint="default" w:ascii="Times New Roman" w:hAnsi="Times New Roman" w:cs="Times New Roman"/>
          <w:b w:val="0"/>
          <w:bCs w:val="0"/>
          <w:color w:val="auto"/>
          <w:sz w:val="24"/>
          <w:highlight w:val="none"/>
        </w:rPr>
        <w:t>10.7评价总结论</w:t>
      </w:r>
      <w:bookmarkEnd w:id="505"/>
      <w:bookmarkEnd w:id="506"/>
      <w:bookmarkEnd w:id="507"/>
      <w:bookmarkEnd w:id="508"/>
    </w:p>
    <w:p w14:paraId="4C51556F">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弥勒温氏畜牧有限公司新哨二区后备猪培育基地</w:t>
      </w:r>
      <w:r>
        <w:rPr>
          <w:rFonts w:hint="default" w:ascii="Times New Roman" w:hAnsi="Times New Roman" w:cs="Times New Roman"/>
          <w:color w:val="auto"/>
          <w:sz w:val="24"/>
          <w:highlight w:val="none"/>
        </w:rPr>
        <w:t>”符合国家及云南省产业政策，符合国家及地方相关规划。项目不涉及生态保护红线，不涉及畜禽养殖禁养区和</w:t>
      </w:r>
      <w:r>
        <w:rPr>
          <w:rFonts w:hint="default" w:ascii="Times New Roman" w:hAnsi="Times New Roman" w:cs="Times New Roman"/>
          <w:color w:val="auto"/>
          <w:kern w:val="0"/>
          <w:sz w:val="24"/>
          <w:highlight w:val="none"/>
          <w:lang w:bidi="ar"/>
        </w:rPr>
        <w:t>限养区，不占用基本农田，选址合理。项目运营期过程中产生的污染物，经采取本次环评提出的污染防治措施后，废气及噪声达标排放，废水经收集、处理后全部回用于农田</w:t>
      </w:r>
      <w:r>
        <w:rPr>
          <w:rFonts w:hint="eastAsia" w:cs="Times New Roman"/>
          <w:color w:val="auto"/>
          <w:kern w:val="0"/>
          <w:sz w:val="24"/>
          <w:highlight w:val="none"/>
          <w:lang w:val="en-US" w:eastAsia="zh-CN" w:bidi="ar"/>
        </w:rPr>
        <w:t>灌溉及绿化浇洒</w:t>
      </w:r>
      <w:r>
        <w:rPr>
          <w:rFonts w:hint="default" w:ascii="Times New Roman" w:hAnsi="Times New Roman" w:cs="Times New Roman"/>
          <w:color w:val="auto"/>
          <w:kern w:val="0"/>
          <w:sz w:val="24"/>
          <w:highlight w:val="none"/>
          <w:lang w:bidi="ar"/>
        </w:rPr>
        <w:t>，固体废物</w:t>
      </w:r>
      <w:r>
        <w:rPr>
          <w:rFonts w:hint="default" w:ascii="Times New Roman" w:hAnsi="Times New Roman" w:cs="Times New Roman"/>
          <w:color w:val="auto"/>
          <w:sz w:val="24"/>
          <w:highlight w:val="none"/>
        </w:rPr>
        <w:t>处置率达100%，对周围环境影响较小，项目建设不会改变区域环境功能。本次评价认为，建设单位在认真落实环评报告书中提出的各项环保措施的前提下，工程建设对环境的不利影响可得到有效控制或缓解，为环境所接受。从环境角度分析，项目建设可行。</w:t>
      </w:r>
    </w:p>
    <w:p w14:paraId="045EC3C2">
      <w:pPr>
        <w:rPr>
          <w:rFonts w:hint="default" w:ascii="Times New Roman" w:hAnsi="Times New Roman" w:cs="Times New Roman"/>
          <w:color w:val="auto"/>
        </w:rPr>
      </w:pPr>
    </w:p>
    <w:sectPr>
      <w:footerReference r:id="rId35" w:type="first"/>
      <w:footerReference r:id="rId34" w:type="default"/>
      <w:pgSz w:w="11907" w:h="16839"/>
      <w:pgMar w:top="1247" w:right="1361" w:bottom="1247" w:left="1361" w:header="765" w:footer="765" w:gutter="0"/>
      <w:pgBorders>
        <w:top w:val="none" w:sz="0" w:space="0"/>
        <w:left w:val="none" w:sz="0" w:space="0"/>
        <w:bottom w:val="none" w:sz="0" w:space="0"/>
        <w:right w:val="none" w:sz="0" w:space="0"/>
      </w:pgBorders>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 w:name="TimesNewRomanPSMT">
    <w:altName w:val="MS Gothic"/>
    <w:panose1 w:val="00000000000000000000"/>
    <w:charset w:val="80"/>
    <w:family w:val="auto"/>
    <w:pitch w:val="default"/>
    <w:sig w:usb0="00000000" w:usb1="00000000" w:usb2="00000010" w:usb3="00000000" w:csb0="00060000" w:csb1="00000000"/>
  </w:font>
  <w:font w:name="MS Gothic">
    <w:panose1 w:val="020B0609070205080204"/>
    <w:charset w:val="80"/>
    <w:family w:val="auto"/>
    <w:pitch w:val="default"/>
    <w:sig w:usb0="E00002FF" w:usb1="6AC7FDFB" w:usb2="08000012" w:usb3="00000000" w:csb0="4002009F" w:csb1="DFD70000"/>
  </w:font>
  <w:font w:name="MS PGothic">
    <w:panose1 w:val="020B0600070205080204"/>
    <w:charset w:val="80"/>
    <w:family w:val="swiss"/>
    <w:pitch w:val="default"/>
    <w:sig w:usb0="E00002FF" w:usb1="6AC7FDFB" w:usb2="08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9BF86">
    <w:pPr>
      <w:pStyle w:val="16"/>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align>top</wp:align>
              </wp:positionV>
              <wp:extent cx="217170" cy="131445"/>
              <wp:effectExtent l="0" t="0" r="0" b="0"/>
              <wp:wrapNone/>
              <wp:docPr id="1" name="文本框 1169"/>
              <wp:cNvGraphicFramePr/>
              <a:graphic xmlns:a="http://schemas.openxmlformats.org/drawingml/2006/main">
                <a:graphicData uri="http://schemas.microsoft.com/office/word/2010/wordprocessingShape">
                  <wps:wsp>
                    <wps:cNvSpPr txBox="1">
                      <a:spLocks noChangeArrowheads="1"/>
                    </wps:cNvSpPr>
                    <wps:spPr bwMode="auto">
                      <a:xfrm>
                        <a:off x="0" y="0"/>
                        <a:ext cx="217170" cy="131445"/>
                      </a:xfrm>
                      <a:prstGeom prst="rect">
                        <a:avLst/>
                      </a:prstGeom>
                      <a:noFill/>
                      <a:ln>
                        <a:noFill/>
                      </a:ln>
                    </wps:spPr>
                    <wps:txbx>
                      <w:txbxContent>
                        <w:p w14:paraId="5CA4E0F0">
                          <w:pPr>
                            <w:pStyle w:val="16"/>
                          </w:pPr>
                        </w:p>
                      </w:txbxContent>
                    </wps:txbx>
                    <wps:bodyPr rot="0" vert="horz" wrap="square" lIns="0" tIns="0" rIns="0" bIns="0" anchor="t" anchorCtr="0" upright="1">
                      <a:spAutoFit/>
                    </wps:bodyPr>
                  </wps:wsp>
                </a:graphicData>
              </a:graphic>
            </wp:anchor>
          </w:drawing>
        </mc:Choice>
        <mc:Fallback>
          <w:pict>
            <v:shape id="文本框 1169" o:spid="_x0000_s1026" o:spt="202" type="#_x0000_t202" style="position:absolute;left:0pt;height:10.35pt;width:17.1pt;mso-position-horizontal:center;mso-position-horizontal-relative:margin;mso-position-vertical:top;z-index:251659264;mso-width-relative:page;mso-height-relative:page;" filled="f" stroked="f" coordsize="21600,21600" o:gfxdata="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Hre9IAAAADAQAADwAAAAAAAAABACAAAAAiAAAA&#10;ZHJzL2Rvd25yZXYueG1sUEsBAhQAFAAAAAgAh07iQEf5mboNAgAABwQAAA4AAAAAAAAAAQAgAAAA&#10;IQEAAGRycy9lMm9Eb2MueG1sUEsFBgAAAAAGAAYAWQEAAKAFAAAAAA==&#10;">
              <v:fill on="f" focussize="0,0"/>
              <v:stroke on="f"/>
              <v:imagedata o:title=""/>
              <o:lock v:ext="edit" aspectratio="f"/>
              <v:textbox inset="0mm,0mm,0mm,0mm" style="mso-fit-shape-to-text:t;">
                <w:txbxContent>
                  <w:p w14:paraId="5CA4E0F0">
                    <w:pPr>
                      <w:pStyle w:val="16"/>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9D29E">
    <w:pPr>
      <w:pStyle w:val="16"/>
      <w:ind w:firstLine="36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3E8DE2D">
                          <w:pPr>
                            <w:pStyle w:val="16"/>
                            <w:ind w:firstLine="360"/>
                            <w:jc w:val="center"/>
                          </w:pPr>
                          <w:r>
                            <w:fldChar w:fldCharType="begin"/>
                          </w:r>
                          <w:r>
                            <w:instrText xml:space="preserve">PAGE   \* MERGEFORMAT</w:instrText>
                          </w:r>
                          <w:r>
                            <w:fldChar w:fldCharType="separate"/>
                          </w:r>
                          <w:r>
                            <w:rPr>
                              <w:lang w:val="zh-CN"/>
                            </w:rPr>
                            <w:t>-</w:t>
                          </w:r>
                          <w:r>
                            <w:t xml:space="preserve"> 193 -</w:t>
                          </w:r>
                          <w:r>
                            <w:fldChar w:fldCharType="end"/>
                          </w:r>
                        </w:p>
                        <w:p w14:paraId="04D09834">
                          <w:pPr>
                            <w:ind w:firstLine="480"/>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Y7bp4tIBAACkAwAADgAAAAAAAAABACAAAAAfAQAA&#10;ZHJzL2Uyb0RvYy54bWxQSwUGAAAAAAYABgBZAQAAYwUAAAAA&#10;">
              <v:fill on="f" focussize="0,0"/>
              <v:stroke on="f" weight="0.5pt"/>
              <v:imagedata o:title=""/>
              <o:lock v:ext="edit" aspectratio="f"/>
              <v:textbox inset="0mm,0mm,0mm,0mm" style="mso-fit-shape-to-text:t;">
                <w:txbxContent>
                  <w:p w14:paraId="03E8DE2D">
                    <w:pPr>
                      <w:pStyle w:val="16"/>
                      <w:ind w:firstLine="360"/>
                      <w:jc w:val="center"/>
                    </w:pPr>
                    <w:r>
                      <w:fldChar w:fldCharType="begin"/>
                    </w:r>
                    <w:r>
                      <w:instrText xml:space="preserve">PAGE   \* MERGEFORMAT</w:instrText>
                    </w:r>
                    <w:r>
                      <w:fldChar w:fldCharType="separate"/>
                    </w:r>
                    <w:r>
                      <w:rPr>
                        <w:lang w:val="zh-CN"/>
                      </w:rPr>
                      <w:t>-</w:t>
                    </w:r>
                    <w:r>
                      <w:t xml:space="preserve"> 193 -</w:t>
                    </w:r>
                    <w:r>
                      <w:fldChar w:fldCharType="end"/>
                    </w:r>
                  </w:p>
                  <w:p w14:paraId="04D09834">
                    <w:pPr>
                      <w:ind w:firstLine="480"/>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B6748">
    <w:pPr>
      <w:pStyle w:val="11"/>
      <w:spacing w:line="174" w:lineRule="auto"/>
      <w:ind w:left="4370"/>
      <w:rPr>
        <w:rFonts w:hint="default" w:eastAsia="宋体"/>
        <w:sz w:val="18"/>
        <w:szCs w:val="18"/>
        <w:lang w:val="en-US" w:eastAsia="zh-CN"/>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7225BA">
                          <w:pPr>
                            <w:pStyle w:val="16"/>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367225BA">
                    <w:pPr>
                      <w:pStyle w:val="16"/>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F68FF">
    <w:pPr>
      <w:pStyle w:val="11"/>
      <w:spacing w:line="174" w:lineRule="auto"/>
      <w:ind w:left="4370"/>
      <w:rPr>
        <w:rFonts w:hint="default" w:eastAsia="宋体"/>
        <w:sz w:val="18"/>
        <w:szCs w:val="18"/>
        <w:lang w:val="en-US" w:eastAsia="zh-CN"/>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581F84">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41581F84">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A5B3F">
    <w:pPr>
      <w:pStyle w:val="16"/>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D5888">
                          <w:pPr>
                            <w:pStyle w:val="16"/>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08ED5888">
                    <w:pPr>
                      <w:pStyle w:val="16"/>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33EA2">
    <w:pPr>
      <w:pStyle w:val="11"/>
      <w:spacing w:line="174" w:lineRule="auto"/>
      <w:ind w:left="4370"/>
      <w:rPr>
        <w:rFonts w:hint="default" w:eastAsia="宋体"/>
        <w:sz w:val="18"/>
        <w:szCs w:val="18"/>
        <w:lang w:val="en-US" w:eastAsia="zh-CN"/>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FF6973">
                          <w:pPr>
                            <w:pStyle w:val="16"/>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69FF6973">
                    <w:pPr>
                      <w:pStyle w:val="16"/>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E06FD">
    <w:pPr>
      <w:pStyle w:val="16"/>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9CF3A">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1E09CF3A">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704B1">
    <w:pPr>
      <w:pStyle w:val="11"/>
      <w:spacing w:line="174" w:lineRule="auto"/>
      <w:ind w:left="4370"/>
      <w:rPr>
        <w:rFonts w:hint="default" w:eastAsia="宋体"/>
        <w:sz w:val="18"/>
        <w:szCs w:val="18"/>
        <w:lang w:val="en-US" w:eastAsia="zh-CN"/>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352B8">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240352B8">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93ED6">
    <w:pPr>
      <w:pStyle w:val="16"/>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3EA37">
                          <w:pPr>
                            <w:pStyle w:val="16"/>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0B53EA37">
                    <w:pPr>
                      <w:pStyle w:val="16"/>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7B239">
    <w:pPr>
      <w:pStyle w:val="11"/>
      <w:spacing w:line="174" w:lineRule="auto"/>
      <w:ind w:left="4370"/>
      <w:rPr>
        <w:rFonts w:hint="default" w:eastAsia="宋体"/>
        <w:sz w:val="18"/>
        <w:szCs w:val="18"/>
        <w:lang w:val="en-US" w:eastAsia="zh-CN"/>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50285">
                          <w:pPr>
                            <w:pStyle w:val="16"/>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50A50285">
                    <w:pPr>
                      <w:pStyle w:val="16"/>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7BC81">
    <w:pPr>
      <w:pStyle w:val="16"/>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78A60">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14B78A60">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38435">
    <w:pPr>
      <w:pStyle w:val="16"/>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BEF16">
    <w:pPr>
      <w:pStyle w:val="11"/>
      <w:spacing w:line="174" w:lineRule="auto"/>
      <w:ind w:left="4370"/>
      <w:rPr>
        <w:rFonts w:hint="default" w:eastAsia="宋体"/>
        <w:sz w:val="18"/>
        <w:szCs w:val="18"/>
        <w:lang w:val="en-US" w:eastAsia="zh-CN"/>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41BC5">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4C741BC5">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827DC">
    <w:pPr>
      <w:pStyle w:val="16"/>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B13C45">
                          <w:pPr>
                            <w:pStyle w:val="16"/>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53B13C45">
                    <w:pPr>
                      <w:pStyle w:val="16"/>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15544">
    <w:pPr>
      <w:pStyle w:val="11"/>
      <w:spacing w:line="174" w:lineRule="auto"/>
      <w:ind w:left="4370"/>
      <w:rPr>
        <w:rFonts w:hint="default" w:eastAsia="宋体"/>
        <w:sz w:val="18"/>
        <w:szCs w:val="18"/>
        <w:lang w:val="en-US" w:eastAsia="zh-CN"/>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02CF0">
                          <w:pPr>
                            <w:pStyle w:val="16"/>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0D202CF0">
                    <w:pPr>
                      <w:pStyle w:val="16"/>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81E9B">
    <w:pPr>
      <w:pStyle w:val="1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58375">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4B658375">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FE4B5">
    <w:pPr>
      <w:pStyle w:val="11"/>
      <w:spacing w:line="174" w:lineRule="auto"/>
      <w:ind w:left="4370"/>
      <w:rPr>
        <w:rFonts w:hint="default" w:eastAsia="宋体"/>
        <w:sz w:val="18"/>
        <w:szCs w:val="18"/>
        <w:lang w:val="en-US" w:eastAsia="zh-CN"/>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D2000">
                          <w:pPr>
                            <w:pStyle w:val="16"/>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7F2D2000">
                    <w:pPr>
                      <w:pStyle w:val="16"/>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2AD50">
    <w:pPr>
      <w:pStyle w:val="16"/>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D7358C">
                          <w:pPr>
                            <w:pStyle w:val="16"/>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0BD7358C">
                    <w:pPr>
                      <w:pStyle w:val="16"/>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3355B">
    <w:pPr>
      <w:pStyle w:val="16"/>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align>top</wp:align>
              </wp:positionV>
              <wp:extent cx="217170" cy="131445"/>
              <wp:effectExtent l="0" t="0" r="0" b="0"/>
              <wp:wrapNone/>
              <wp:docPr id="13" name="文本框 1169"/>
              <wp:cNvGraphicFramePr/>
              <a:graphic xmlns:a="http://schemas.openxmlformats.org/drawingml/2006/main">
                <a:graphicData uri="http://schemas.microsoft.com/office/word/2010/wordprocessingShape">
                  <wps:wsp>
                    <wps:cNvSpPr txBox="1">
                      <a:spLocks noChangeArrowheads="1"/>
                    </wps:cNvSpPr>
                    <wps:spPr bwMode="auto">
                      <a:xfrm>
                        <a:off x="0" y="0"/>
                        <a:ext cx="217170" cy="131445"/>
                      </a:xfrm>
                      <a:prstGeom prst="rect">
                        <a:avLst/>
                      </a:prstGeom>
                      <a:noFill/>
                      <a:ln>
                        <a:noFill/>
                      </a:ln>
                    </wps:spPr>
                    <wps:txbx>
                      <w:txbxContent>
                        <w:p w14:paraId="225F75B3">
                          <w:pPr>
                            <w:pStyle w:val="16"/>
                          </w:pPr>
                        </w:p>
                      </w:txbxContent>
                    </wps:txbx>
                    <wps:bodyPr rot="0" vert="horz" wrap="square" lIns="0" tIns="0" rIns="0" bIns="0" anchor="t" anchorCtr="0" upright="1">
                      <a:spAutoFit/>
                    </wps:bodyPr>
                  </wps:wsp>
                </a:graphicData>
              </a:graphic>
            </wp:anchor>
          </w:drawing>
        </mc:Choice>
        <mc:Fallback>
          <w:pict>
            <v:shape id="文本框 1169" o:spid="_x0000_s1026" o:spt="202" type="#_x0000_t202" style="position:absolute;left:0pt;height:10.35pt;width:17.1pt;mso-position-horizontal:center;mso-position-horizontal-relative:margin;mso-position-vertical:top;z-index:251674624;mso-width-relative:page;mso-height-relative:page;" filled="f" stroked="f" coordsize="21600,21600" o:gfxdata="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et70gAAAAMBAAAPAAAAAAAAAAEAIAAAACIA&#10;AABkcnMvZG93bnJldi54bWxQSwECFAAUAAAACACHTuJAbVuyoA8CAAAIBAAADgAAAAAAAAABACAA&#10;AAAhAQAAZHJzL2Uyb0RvYy54bWxQSwUGAAAAAAYABgBZAQAAogUAAAAA&#10;">
              <v:fill on="f" focussize="0,0"/>
              <v:stroke on="f"/>
              <v:imagedata o:title=""/>
              <o:lock v:ext="edit" aspectratio="f"/>
              <v:textbox inset="0mm,0mm,0mm,0mm" style="mso-fit-shape-to-text:t;">
                <w:txbxContent>
                  <w:p w14:paraId="225F75B3">
                    <w:pPr>
                      <w:pStyle w:val="16"/>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7A6A6">
    <w:pPr>
      <w:pStyle w:val="16"/>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DFC7C">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7FDFC7C">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56A36">
    <w:pPr>
      <w:pStyle w:val="16"/>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align>top</wp:align>
              </wp:positionV>
              <wp:extent cx="217170" cy="131445"/>
              <wp:effectExtent l="0" t="0" r="0" b="0"/>
              <wp:wrapNone/>
              <wp:docPr id="72" name="文本框 1169"/>
              <wp:cNvGraphicFramePr/>
              <a:graphic xmlns:a="http://schemas.openxmlformats.org/drawingml/2006/main">
                <a:graphicData uri="http://schemas.microsoft.com/office/word/2010/wordprocessingShape">
                  <wps:wsp>
                    <wps:cNvSpPr txBox="1">
                      <a:spLocks noChangeArrowheads="1"/>
                    </wps:cNvSpPr>
                    <wps:spPr bwMode="auto">
                      <a:xfrm>
                        <a:off x="0" y="0"/>
                        <a:ext cx="217170" cy="131445"/>
                      </a:xfrm>
                      <a:prstGeom prst="rect">
                        <a:avLst/>
                      </a:prstGeom>
                      <a:noFill/>
                      <a:ln>
                        <a:noFill/>
                      </a:ln>
                    </wps:spPr>
                    <wps:txbx>
                      <w:txbxContent>
                        <w:p w14:paraId="7D557C8B">
                          <w:pPr>
                            <w:pStyle w:val="16"/>
                          </w:pPr>
                        </w:p>
                      </w:txbxContent>
                    </wps:txbx>
                    <wps:bodyPr rot="0" vert="horz" wrap="square" lIns="0" tIns="0" rIns="0" bIns="0" anchor="t" anchorCtr="0" upright="1">
                      <a:spAutoFit/>
                    </wps:bodyPr>
                  </wps:wsp>
                </a:graphicData>
              </a:graphic>
            </wp:anchor>
          </w:drawing>
        </mc:Choice>
        <mc:Fallback>
          <w:pict>
            <v:shape id="文本框 1169" o:spid="_x0000_s1026" o:spt="202" type="#_x0000_t202" style="position:absolute;left:0pt;height:10.35pt;width:17.1pt;mso-position-horizontal:center;mso-position-horizontal-relative:margin;mso-position-vertical:top;z-index:251671552;mso-width-relative:page;mso-height-relative:page;" filled="f" stroked="f" coordsize="21600,21600" o:gfxdata="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et70gAAAAMBAAAPAAAAAAAAAAEAIAAAACIA&#10;AABkcnMvZG93bnJldi54bWxQSwECFAAUAAAACACHTuJAuuMlrw8CAAAIBAAADgAAAAAAAAABACAA&#10;AAAhAQAAZHJzL2Uyb0RvYy54bWxQSwUGAAAAAAYABgBZAQAAogUAAAAA&#10;">
              <v:fill on="f" focussize="0,0"/>
              <v:stroke on="f"/>
              <v:imagedata o:title=""/>
              <o:lock v:ext="edit" aspectratio="f"/>
              <v:textbox inset="0mm,0mm,0mm,0mm" style="mso-fit-shape-to-text:t;">
                <w:txbxContent>
                  <w:p w14:paraId="7D557C8B">
                    <w:pPr>
                      <w:pStyle w:val="16"/>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502C">
    <w:pPr>
      <w:pStyle w:val="16"/>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4D044D">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3D4D044D">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A56E9">
    <w:pPr>
      <w:pStyle w:val="16"/>
      <w:rPr>
        <w:rFonts w:hint="eastAsia"/>
      </w:rPr>
    </w:pPr>
    <w: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align>top</wp:align>
              </wp:positionV>
              <wp:extent cx="217170" cy="131445"/>
              <wp:effectExtent l="0" t="0" r="0" b="0"/>
              <wp:wrapNone/>
              <wp:docPr id="15" name="文本框 1169"/>
              <wp:cNvGraphicFramePr/>
              <a:graphic xmlns:a="http://schemas.openxmlformats.org/drawingml/2006/main">
                <a:graphicData uri="http://schemas.microsoft.com/office/word/2010/wordprocessingShape">
                  <wps:wsp>
                    <wps:cNvSpPr txBox="1">
                      <a:spLocks noChangeArrowheads="1"/>
                    </wps:cNvSpPr>
                    <wps:spPr bwMode="auto">
                      <a:xfrm>
                        <a:off x="0" y="0"/>
                        <a:ext cx="217170" cy="131445"/>
                      </a:xfrm>
                      <a:prstGeom prst="rect">
                        <a:avLst/>
                      </a:prstGeom>
                      <a:noFill/>
                      <a:ln>
                        <a:noFill/>
                      </a:ln>
                    </wps:spPr>
                    <wps:txbx>
                      <w:txbxContent>
                        <w:p w14:paraId="3C166D10">
                          <w:pPr>
                            <w:pStyle w:val="16"/>
                          </w:pPr>
                        </w:p>
                      </w:txbxContent>
                    </wps:txbx>
                    <wps:bodyPr rot="0" vert="horz" wrap="square" lIns="0" tIns="0" rIns="0" bIns="0" anchor="t" anchorCtr="0" upright="1">
                      <a:spAutoFit/>
                    </wps:bodyPr>
                  </wps:wsp>
                </a:graphicData>
              </a:graphic>
            </wp:anchor>
          </w:drawing>
        </mc:Choice>
        <mc:Fallback>
          <w:pict>
            <v:shape id="文本框 1169" o:spid="_x0000_s1026" o:spt="202" type="#_x0000_t202" style="position:absolute;left:0pt;height:10.35pt;width:17.1pt;mso-position-horizontal:center;mso-position-horizontal-relative:margin;mso-position-vertical:top;z-index:251694080;mso-width-relative:page;mso-height-relative:page;" filled="f" stroked="f" coordsize="21600,21600" o:gfxdata="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et70gAAAAMBAAAPAAAAAAAAAAEAIAAAACIA&#10;AABkcnMvZG93bnJldi54bWxQSwECFAAUAAAACACHTuJArSPebg8CAAAIBAAADgAAAAAAAAABACAA&#10;AAAhAQAAZHJzL2Uyb0RvYy54bWxQSwUGAAAAAAYABgBZAQAAogUAAAAA&#10;">
              <v:fill on="f" focussize="0,0"/>
              <v:stroke on="f"/>
              <v:imagedata o:title=""/>
              <o:lock v:ext="edit" aspectratio="f"/>
              <v:textbox inset="0mm,0mm,0mm,0mm" style="mso-fit-shape-to-text:t;">
                <w:txbxContent>
                  <w:p w14:paraId="3C166D10">
                    <w:pPr>
                      <w:pStyle w:val="16"/>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F1412">
    <w:pPr>
      <w:pStyle w:val="16"/>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073D85">
                          <w:pPr>
                            <w:pStyle w:val="16"/>
                            <w:jc w:val="center"/>
                          </w:pPr>
                          <w:r>
                            <w:fldChar w:fldCharType="begin"/>
                          </w:r>
                          <w:r>
                            <w:instrText xml:space="preserve">PAGE   \* MERGEFORMAT</w:instrText>
                          </w:r>
                          <w:r>
                            <w:fldChar w:fldCharType="separate"/>
                          </w:r>
                          <w:r>
                            <w:rPr>
                              <w:lang w:val="zh-CN" w:eastAsia="zh-CN"/>
                            </w:rP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12073D85">
                    <w:pPr>
                      <w:pStyle w:val="16"/>
                      <w:jc w:val="center"/>
                    </w:pPr>
                    <w:r>
                      <w:fldChar w:fldCharType="begin"/>
                    </w:r>
                    <w:r>
                      <w:instrText xml:space="preserve">PAGE   \* MERGEFORMAT</w:instrText>
                    </w:r>
                    <w:r>
                      <w:fldChar w:fldCharType="separate"/>
                    </w:r>
                    <w:r>
                      <w:rPr>
                        <w:lang w:val="zh-CN" w:eastAsia="zh-CN"/>
                      </w:rPr>
                      <w:t>135</w:t>
                    </w:r>
                    <w:r>
                      <w:fldChar w:fldCharType="end"/>
                    </w:r>
                  </w:p>
                </w:txbxContent>
              </v:textbox>
            </v:shape>
          </w:pict>
        </mc:Fallback>
      </mc:AlternateContent>
    </w:r>
  </w:p>
  <w:p w14:paraId="73E70690">
    <w:pPr>
      <w:pStyle w:val="16"/>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BE717">
    <w:pPr>
      <w:pStyle w:val="11"/>
      <w:spacing w:line="174" w:lineRule="auto"/>
      <w:ind w:left="4412"/>
      <w:rPr>
        <w:rFonts w:hint="eastAsia" w:eastAsia="宋体"/>
        <w:sz w:val="18"/>
        <w:szCs w:val="18"/>
        <w:lang w:val="en-US"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95AA9">
                          <w:pPr>
                            <w:pStyle w:val="1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37295AA9">
                    <w:pPr>
                      <w:pStyle w:val="16"/>
                    </w:pPr>
                    <w:r>
                      <w:fldChar w:fldCharType="begin"/>
                    </w:r>
                    <w:r>
                      <w:instrText xml:space="preserve"> PAGE  \* MERGEFORMAT </w:instrText>
                    </w:r>
                    <w:r>
                      <w:fldChar w:fldCharType="separate"/>
                    </w:r>
                    <w:r>
                      <w:t>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C4660">
    <w:pPr>
      <w:pStyle w:val="17"/>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D30B6">
    <w:pPr>
      <w:pStyle w:val="1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DDBC0">
    <w:pPr>
      <w:pStyle w:val="17"/>
      <w:pBdr>
        <w:bottom w:val="none" w:color="auto" w:sz="0" w:space="1"/>
      </w:pBdr>
      <w:rPr>
        <w:rFonts w:hint="eastAsia" w:ascii="楷体" w:hAnsi="楷体" w:eastAsia="楷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38D18">
    <w:pPr>
      <w:pStyle w:val="17"/>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C0BD0">
    <w:pPr>
      <w:pStyle w:val="17"/>
      <w:bidi w:val="0"/>
      <w:rPr>
        <w:rFonts w:hint="eastAsia"/>
      </w:rPr>
    </w:pPr>
    <w:r>
      <w:rPr>
        <w:rFonts w:hint="eastAsia"/>
        <w:lang w:eastAsia="zh-CN"/>
      </w:rPr>
      <w:t>弥勒温氏畜牧有限公司新哨二区后备猪培育基地</w:t>
    </w:r>
    <w:r>
      <w:rPr>
        <w:rFonts w:hint="eastAsia"/>
      </w:rPr>
      <w:t>环境影响报告书</w:t>
    </w:r>
  </w:p>
  <w:p w14:paraId="1514D5F3">
    <w:pPr>
      <w:pStyle w:val="17"/>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2E9A0">
    <w:pPr>
      <w:pStyle w:val="17"/>
      <w:bidi w:val="0"/>
      <w:rPr>
        <w:rFonts w:hint="eastAsia"/>
      </w:rPr>
    </w:pPr>
    <w:r>
      <w:rPr>
        <w:rFonts w:hint="eastAsia"/>
        <w:lang w:eastAsia="zh-CN"/>
      </w:rPr>
      <w:t>弥勒温氏畜牧有限公司新哨二区后备猪培育基地</w:t>
    </w:r>
    <w:r>
      <w:rPr>
        <w:rFonts w:hint="eastAsia"/>
      </w:rPr>
      <w:t>环境影响报告书</w:t>
    </w:r>
  </w:p>
  <w:p w14:paraId="74AE3E98">
    <w:pPr>
      <w:pStyle w:val="1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C17FA">
    <w:pPr>
      <w:pStyle w:val="17"/>
      <w:bidi w:val="0"/>
    </w:pPr>
    <w:r>
      <w:rPr>
        <w:rFonts w:hint="eastAsia"/>
        <w:lang w:eastAsia="zh-CN"/>
      </w:rPr>
      <w:t>弥勒温氏畜牧有限公司新哨二区后备猪培育基地</w:t>
    </w:r>
    <w:r>
      <w:rPr>
        <w:rFonts w:hint="eastAsia"/>
      </w:rPr>
      <w:t>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86ACC">
    <w:pPr>
      <w:pStyle w:val="17"/>
      <w:bidi w:val="0"/>
    </w:pPr>
    <w:r>
      <w:rPr>
        <w:rFonts w:hint="eastAsia"/>
        <w:lang w:eastAsia="zh-CN"/>
      </w:rPr>
      <w:t>弥勒温氏畜牧有限公司新哨二区后备猪培育基地</w:t>
    </w:r>
    <w:r>
      <w:rPr>
        <w:rFonts w:hint="eastAsia"/>
      </w:rPr>
      <w:t>环境影响报告书</w:t>
    </w:r>
  </w:p>
  <w:p w14:paraId="74E8AD7B">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4BFB34"/>
    <w:multiLevelType w:val="multilevel"/>
    <w:tmpl w:val="904BFB34"/>
    <w:lvl w:ilvl="0" w:tentative="0">
      <w:start w:val="1"/>
      <w:numFmt w:val="decimal"/>
      <w:suff w:val="space"/>
      <w:lvlText w:val="%1"/>
      <w:lvlJc w:val="left"/>
      <w:pPr>
        <w:ind w:left="425" w:hanging="425"/>
      </w:pPr>
      <w:rPr>
        <w:rFonts w:hint="default" w:ascii="宋体" w:hAnsi="宋体" w:eastAsia="宋体" w:cs="宋体"/>
      </w:rPr>
    </w:lvl>
    <w:lvl w:ilvl="1" w:tentative="0">
      <w:start w:val="1"/>
      <w:numFmt w:val="decimal"/>
      <w:suff w:val="space"/>
      <w:lvlText w:val="%1.%2"/>
      <w:lvlJc w:val="left"/>
      <w:pPr>
        <w:tabs>
          <w:tab w:val="left" w:pos="0"/>
        </w:tabs>
        <w:ind w:left="567" w:hanging="567"/>
      </w:pPr>
      <w:rPr>
        <w:rFonts w:hint="default" w:ascii="宋体" w:hAnsi="宋体" w:eastAsia="宋体" w:cs="宋体"/>
      </w:rPr>
    </w:lvl>
    <w:lvl w:ilvl="2" w:tentative="0">
      <w:start w:val="1"/>
      <w:numFmt w:val="decimal"/>
      <w:suff w:val="space"/>
      <w:lvlText w:val="%1.%2.%3"/>
      <w:lvlJc w:val="left"/>
      <w:pPr>
        <w:ind w:left="709" w:hanging="709"/>
      </w:pPr>
      <w:rPr>
        <w:rFonts w:hint="default" w:ascii="宋体" w:hAnsi="宋体" w:eastAsia="宋体" w:cs="宋体"/>
      </w:rPr>
    </w:lvl>
    <w:lvl w:ilvl="3" w:tentative="0">
      <w:start w:val="1"/>
      <w:numFmt w:val="decimal"/>
      <w:pStyle w:val="5"/>
      <w:lvlText w:val="%1.%2.%3.%4"/>
      <w:lvlJc w:val="left"/>
      <w:pPr>
        <w:tabs>
          <w:tab w:val="left" w:pos="420"/>
        </w:tabs>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9F0B42CE"/>
    <w:multiLevelType w:val="singleLevel"/>
    <w:tmpl w:val="9F0B42CE"/>
    <w:lvl w:ilvl="0" w:tentative="0">
      <w:start w:val="1"/>
      <w:numFmt w:val="decimal"/>
      <w:suff w:val="nothing"/>
      <w:lvlText w:val="（%1）"/>
      <w:lvlJc w:val="left"/>
    </w:lvl>
  </w:abstractNum>
  <w:abstractNum w:abstractNumId="2">
    <w:nsid w:val="DC2CB945"/>
    <w:multiLevelType w:val="singleLevel"/>
    <w:tmpl w:val="DC2CB945"/>
    <w:lvl w:ilvl="0" w:tentative="0">
      <w:start w:val="6"/>
      <w:numFmt w:val="chineseCounting"/>
      <w:suff w:val="nothing"/>
      <w:lvlText w:val="%1、"/>
      <w:lvlJc w:val="left"/>
      <w:rPr>
        <w:rFonts w:hint="eastAsia"/>
      </w:rPr>
    </w:lvl>
  </w:abstractNum>
  <w:abstractNum w:abstractNumId="3">
    <w:nsid w:val="07548A78"/>
    <w:multiLevelType w:val="singleLevel"/>
    <w:tmpl w:val="07548A78"/>
    <w:lvl w:ilvl="0" w:tentative="0">
      <w:start w:val="1"/>
      <w:numFmt w:val="decimal"/>
      <w:suff w:val="nothing"/>
      <w:lvlText w:val="（%1）"/>
      <w:lvlJc w:val="left"/>
    </w:lvl>
  </w:abstractNum>
  <w:abstractNum w:abstractNumId="4">
    <w:nsid w:val="38062D35"/>
    <w:multiLevelType w:val="multilevel"/>
    <w:tmpl w:val="38062D35"/>
    <w:lvl w:ilvl="0" w:tentative="0">
      <w:start w:val="1"/>
      <w:numFmt w:val="decimal"/>
      <w:pStyle w:val="29"/>
      <w:suff w:val="space"/>
      <w:lvlText w:val="%1"/>
      <w:lvlJc w:val="left"/>
      <w:pPr>
        <w:ind w:left="425" w:hanging="425"/>
      </w:pPr>
      <w:rPr>
        <w:rFonts w:hint="default" w:ascii="宋体" w:hAnsi="宋体" w:eastAsia="宋体" w:cs="宋体"/>
      </w:rPr>
    </w:lvl>
    <w:lvl w:ilvl="1" w:tentative="0">
      <w:start w:val="1"/>
      <w:numFmt w:val="decimal"/>
      <w:suff w:val="space"/>
      <w:lvlText w:val="%1.%2"/>
      <w:lvlJc w:val="left"/>
      <w:pPr>
        <w:tabs>
          <w:tab w:val="left" w:pos="0"/>
        </w:tabs>
        <w:ind w:left="567" w:hanging="567"/>
      </w:pPr>
      <w:rPr>
        <w:rFonts w:hint="default" w:ascii="宋体" w:hAnsi="宋体" w:eastAsia="宋体" w:cs="宋体"/>
      </w:rPr>
    </w:lvl>
    <w:lvl w:ilvl="2" w:tentative="0">
      <w:start w:val="1"/>
      <w:numFmt w:val="decimal"/>
      <w:suff w:val="space"/>
      <w:lvlText w:val="%1.%2.%3"/>
      <w:lvlJc w:val="left"/>
      <w:pPr>
        <w:ind w:left="709" w:hanging="709"/>
      </w:pPr>
      <w:rPr>
        <w:rFonts w:hint="default" w:ascii="宋体" w:hAnsi="宋体" w:eastAsia="宋体" w:cs="宋体"/>
      </w:rPr>
    </w:lvl>
    <w:lvl w:ilvl="3" w:tentative="0">
      <w:start w:val="1"/>
      <w:numFmt w:val="decimal"/>
      <w:lvlText w:val="%1.%2.%3.%4"/>
      <w:lvlJc w:val="left"/>
      <w:pPr>
        <w:tabs>
          <w:tab w:val="left" w:pos="420"/>
        </w:tabs>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412930C2"/>
    <w:multiLevelType w:val="singleLevel"/>
    <w:tmpl w:val="412930C2"/>
    <w:lvl w:ilvl="0" w:tentative="0">
      <w:start w:val="1"/>
      <w:numFmt w:val="decimal"/>
      <w:suff w:val="nothing"/>
      <w:lvlText w:val="（%1）"/>
      <w:lvlJc w:val="left"/>
    </w:lvl>
  </w:abstractNum>
  <w:abstractNum w:abstractNumId="6">
    <w:nsid w:val="4237D019"/>
    <w:multiLevelType w:val="singleLevel"/>
    <w:tmpl w:val="4237D019"/>
    <w:lvl w:ilvl="0" w:tentative="0">
      <w:start w:val="1"/>
      <w:numFmt w:val="decimal"/>
      <w:suff w:val="nothing"/>
      <w:lvlText w:val="%1、"/>
      <w:lvlJc w:val="left"/>
    </w:lvl>
  </w:abstractNum>
  <w:abstractNum w:abstractNumId="7">
    <w:nsid w:val="59692901"/>
    <w:multiLevelType w:val="singleLevel"/>
    <w:tmpl w:val="59692901"/>
    <w:lvl w:ilvl="0" w:tentative="0">
      <w:start w:val="3"/>
      <w:numFmt w:val="decimal"/>
      <w:suff w:val="nothing"/>
      <w:lvlText w:val="（%1）"/>
      <w:lvlJc w:val="left"/>
    </w:lvl>
  </w:abstractNum>
  <w:num w:numId="1">
    <w:abstractNumId w:val="0"/>
  </w:num>
  <w:num w:numId="2">
    <w:abstractNumId w:val="4"/>
  </w:num>
  <w:num w:numId="3">
    <w:abstractNumId w:val="6"/>
  </w:num>
  <w:num w:numId="4">
    <w:abstractNumId w:val="7"/>
  </w:num>
  <w:num w:numId="5">
    <w:abstractNumId w:val="3"/>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0NjRjNjFiZmMwZjNhMmFiZTE1ZmUyNThiYjYxNTcifQ=="/>
    <w:docVar w:name="KSO_WPS_MARK_KEY" w:val="860ae773-2058-4870-8c9c-dc66b7855ded"/>
  </w:docVars>
  <w:rsids>
    <w:rsidRoot w:val="00000000"/>
    <w:rsid w:val="00983DFC"/>
    <w:rsid w:val="00A13420"/>
    <w:rsid w:val="00A40483"/>
    <w:rsid w:val="00AB11EF"/>
    <w:rsid w:val="01335189"/>
    <w:rsid w:val="0158588D"/>
    <w:rsid w:val="0187402D"/>
    <w:rsid w:val="01B04CA7"/>
    <w:rsid w:val="01E305B6"/>
    <w:rsid w:val="01EC2C36"/>
    <w:rsid w:val="02100EDC"/>
    <w:rsid w:val="02380F2B"/>
    <w:rsid w:val="02824E9A"/>
    <w:rsid w:val="029F5F1E"/>
    <w:rsid w:val="02B06B2C"/>
    <w:rsid w:val="02B229EB"/>
    <w:rsid w:val="02B836C8"/>
    <w:rsid w:val="02E41A68"/>
    <w:rsid w:val="036B58A0"/>
    <w:rsid w:val="03D64F23"/>
    <w:rsid w:val="04145B7C"/>
    <w:rsid w:val="04295E83"/>
    <w:rsid w:val="04600490"/>
    <w:rsid w:val="04BC20E2"/>
    <w:rsid w:val="04C10A4A"/>
    <w:rsid w:val="04D6493B"/>
    <w:rsid w:val="04F8473B"/>
    <w:rsid w:val="04FF037E"/>
    <w:rsid w:val="051D4DF6"/>
    <w:rsid w:val="05415823"/>
    <w:rsid w:val="0549091E"/>
    <w:rsid w:val="05906E48"/>
    <w:rsid w:val="05C416C0"/>
    <w:rsid w:val="05E16E60"/>
    <w:rsid w:val="05F20F73"/>
    <w:rsid w:val="05F35E11"/>
    <w:rsid w:val="060F225B"/>
    <w:rsid w:val="063F1112"/>
    <w:rsid w:val="064B5D63"/>
    <w:rsid w:val="06AB331B"/>
    <w:rsid w:val="06AC3F78"/>
    <w:rsid w:val="07031F60"/>
    <w:rsid w:val="070829EF"/>
    <w:rsid w:val="075D39D7"/>
    <w:rsid w:val="077A1F3E"/>
    <w:rsid w:val="07B00461"/>
    <w:rsid w:val="07B85A93"/>
    <w:rsid w:val="07C659E7"/>
    <w:rsid w:val="082B728B"/>
    <w:rsid w:val="082B759D"/>
    <w:rsid w:val="085A604F"/>
    <w:rsid w:val="08753DDF"/>
    <w:rsid w:val="08A8389B"/>
    <w:rsid w:val="09147296"/>
    <w:rsid w:val="091C4A6B"/>
    <w:rsid w:val="096658AE"/>
    <w:rsid w:val="099060D0"/>
    <w:rsid w:val="09CA1CEA"/>
    <w:rsid w:val="0A054458"/>
    <w:rsid w:val="0A0A6645"/>
    <w:rsid w:val="0A340135"/>
    <w:rsid w:val="0A4505E1"/>
    <w:rsid w:val="0A6E30B5"/>
    <w:rsid w:val="0A854A36"/>
    <w:rsid w:val="0A866F21"/>
    <w:rsid w:val="0AC83352"/>
    <w:rsid w:val="0ACE4A7B"/>
    <w:rsid w:val="0AD11DDC"/>
    <w:rsid w:val="0AE24082"/>
    <w:rsid w:val="0AEA5064"/>
    <w:rsid w:val="0AF24BB4"/>
    <w:rsid w:val="0B5435AA"/>
    <w:rsid w:val="0B705C98"/>
    <w:rsid w:val="0BDC3721"/>
    <w:rsid w:val="0BF0203D"/>
    <w:rsid w:val="0C0F2D90"/>
    <w:rsid w:val="0C27549A"/>
    <w:rsid w:val="0C3D01F1"/>
    <w:rsid w:val="0C482D03"/>
    <w:rsid w:val="0C830101"/>
    <w:rsid w:val="0CDC4EBC"/>
    <w:rsid w:val="0CF470E4"/>
    <w:rsid w:val="0CFF66CC"/>
    <w:rsid w:val="0D362046"/>
    <w:rsid w:val="0D8E6435"/>
    <w:rsid w:val="0DCE7D98"/>
    <w:rsid w:val="0DFB5D90"/>
    <w:rsid w:val="0E0D74EB"/>
    <w:rsid w:val="0E0E0460"/>
    <w:rsid w:val="0E370A4B"/>
    <w:rsid w:val="0E3735BB"/>
    <w:rsid w:val="0E3E1F7C"/>
    <w:rsid w:val="0E4F7062"/>
    <w:rsid w:val="0E6F3E7F"/>
    <w:rsid w:val="0E83792A"/>
    <w:rsid w:val="0E8C1492"/>
    <w:rsid w:val="0F485964"/>
    <w:rsid w:val="0F560A3C"/>
    <w:rsid w:val="0F59608B"/>
    <w:rsid w:val="0F816D14"/>
    <w:rsid w:val="0F865924"/>
    <w:rsid w:val="100E6D3D"/>
    <w:rsid w:val="10105A18"/>
    <w:rsid w:val="10120152"/>
    <w:rsid w:val="10141D45"/>
    <w:rsid w:val="103D79C9"/>
    <w:rsid w:val="1040319A"/>
    <w:rsid w:val="10464231"/>
    <w:rsid w:val="1049620E"/>
    <w:rsid w:val="10602B4E"/>
    <w:rsid w:val="10BC5AA5"/>
    <w:rsid w:val="10C63908"/>
    <w:rsid w:val="10CE29BB"/>
    <w:rsid w:val="10F04A51"/>
    <w:rsid w:val="110110FE"/>
    <w:rsid w:val="11182B40"/>
    <w:rsid w:val="111B02EE"/>
    <w:rsid w:val="11356B11"/>
    <w:rsid w:val="116E1CF5"/>
    <w:rsid w:val="11936674"/>
    <w:rsid w:val="11F45F8C"/>
    <w:rsid w:val="11FC590F"/>
    <w:rsid w:val="12472158"/>
    <w:rsid w:val="125C296C"/>
    <w:rsid w:val="12636A6E"/>
    <w:rsid w:val="126F5AA7"/>
    <w:rsid w:val="12795709"/>
    <w:rsid w:val="127C6B6A"/>
    <w:rsid w:val="12DC01D7"/>
    <w:rsid w:val="13592266"/>
    <w:rsid w:val="13971A1A"/>
    <w:rsid w:val="13B0739C"/>
    <w:rsid w:val="13B27760"/>
    <w:rsid w:val="13D46A77"/>
    <w:rsid w:val="13E470BD"/>
    <w:rsid w:val="13F11C23"/>
    <w:rsid w:val="13F41556"/>
    <w:rsid w:val="14162242"/>
    <w:rsid w:val="14223741"/>
    <w:rsid w:val="14523C21"/>
    <w:rsid w:val="148D166A"/>
    <w:rsid w:val="14995275"/>
    <w:rsid w:val="14A63CFF"/>
    <w:rsid w:val="14BB5F83"/>
    <w:rsid w:val="14E80B78"/>
    <w:rsid w:val="14F51BFA"/>
    <w:rsid w:val="15973A17"/>
    <w:rsid w:val="159C7209"/>
    <w:rsid w:val="15AB45E2"/>
    <w:rsid w:val="15D1450A"/>
    <w:rsid w:val="15FB36E6"/>
    <w:rsid w:val="160E1BAD"/>
    <w:rsid w:val="164F4B0E"/>
    <w:rsid w:val="1688653D"/>
    <w:rsid w:val="169200C2"/>
    <w:rsid w:val="16975FF3"/>
    <w:rsid w:val="16BF1359"/>
    <w:rsid w:val="16F20341"/>
    <w:rsid w:val="17006121"/>
    <w:rsid w:val="17342109"/>
    <w:rsid w:val="17491AE7"/>
    <w:rsid w:val="17547BD3"/>
    <w:rsid w:val="175C420C"/>
    <w:rsid w:val="177B6D86"/>
    <w:rsid w:val="17AB5634"/>
    <w:rsid w:val="18362CC8"/>
    <w:rsid w:val="183B3024"/>
    <w:rsid w:val="191F4F5C"/>
    <w:rsid w:val="19752868"/>
    <w:rsid w:val="1987739C"/>
    <w:rsid w:val="19882F8E"/>
    <w:rsid w:val="19B258BE"/>
    <w:rsid w:val="19C972F9"/>
    <w:rsid w:val="19D57681"/>
    <w:rsid w:val="19ED16E8"/>
    <w:rsid w:val="1A0C0EC0"/>
    <w:rsid w:val="1A1F2EF7"/>
    <w:rsid w:val="1A4C1930"/>
    <w:rsid w:val="1A4D4321"/>
    <w:rsid w:val="1A6E6559"/>
    <w:rsid w:val="1A787504"/>
    <w:rsid w:val="1AB31597"/>
    <w:rsid w:val="1AC61965"/>
    <w:rsid w:val="1ACD7B7D"/>
    <w:rsid w:val="1B3179B3"/>
    <w:rsid w:val="1B385288"/>
    <w:rsid w:val="1B9047C2"/>
    <w:rsid w:val="1C082701"/>
    <w:rsid w:val="1C127CD4"/>
    <w:rsid w:val="1C17056A"/>
    <w:rsid w:val="1C725757"/>
    <w:rsid w:val="1C8439A8"/>
    <w:rsid w:val="1C963CD2"/>
    <w:rsid w:val="1C9E3764"/>
    <w:rsid w:val="1CA7512B"/>
    <w:rsid w:val="1CBA0DC9"/>
    <w:rsid w:val="1CC84FAF"/>
    <w:rsid w:val="1CD343BD"/>
    <w:rsid w:val="1CD90F64"/>
    <w:rsid w:val="1CF7128E"/>
    <w:rsid w:val="1D0B67C7"/>
    <w:rsid w:val="1D1D198D"/>
    <w:rsid w:val="1D382E9A"/>
    <w:rsid w:val="1D7C2F6F"/>
    <w:rsid w:val="1D7C3EC2"/>
    <w:rsid w:val="1D970CFC"/>
    <w:rsid w:val="1DE31477"/>
    <w:rsid w:val="1DF02B38"/>
    <w:rsid w:val="1E3F253A"/>
    <w:rsid w:val="1E457626"/>
    <w:rsid w:val="1E4D2235"/>
    <w:rsid w:val="1E546BED"/>
    <w:rsid w:val="1E5642BF"/>
    <w:rsid w:val="1E5D30E3"/>
    <w:rsid w:val="1E607CC0"/>
    <w:rsid w:val="1E7B2E90"/>
    <w:rsid w:val="1EF43673"/>
    <w:rsid w:val="1F447AFC"/>
    <w:rsid w:val="1F61776F"/>
    <w:rsid w:val="1FA47700"/>
    <w:rsid w:val="1FE44373"/>
    <w:rsid w:val="200369DF"/>
    <w:rsid w:val="204A3EE8"/>
    <w:rsid w:val="20995E95"/>
    <w:rsid w:val="20A928C7"/>
    <w:rsid w:val="214462C3"/>
    <w:rsid w:val="214F2F97"/>
    <w:rsid w:val="21516146"/>
    <w:rsid w:val="21966074"/>
    <w:rsid w:val="21BD35CF"/>
    <w:rsid w:val="21EF4865"/>
    <w:rsid w:val="224E261D"/>
    <w:rsid w:val="22720BE8"/>
    <w:rsid w:val="22D422DD"/>
    <w:rsid w:val="22D71661"/>
    <w:rsid w:val="22E407FC"/>
    <w:rsid w:val="22FF5139"/>
    <w:rsid w:val="2302130E"/>
    <w:rsid w:val="23021F9E"/>
    <w:rsid w:val="239F1CFF"/>
    <w:rsid w:val="241B6CC3"/>
    <w:rsid w:val="2448787E"/>
    <w:rsid w:val="245A3FCA"/>
    <w:rsid w:val="24811289"/>
    <w:rsid w:val="24A052E6"/>
    <w:rsid w:val="24A36856"/>
    <w:rsid w:val="24A95049"/>
    <w:rsid w:val="24BD0687"/>
    <w:rsid w:val="24D2765A"/>
    <w:rsid w:val="24F72D1B"/>
    <w:rsid w:val="2500680C"/>
    <w:rsid w:val="2505335C"/>
    <w:rsid w:val="25145328"/>
    <w:rsid w:val="254C77A9"/>
    <w:rsid w:val="25AF6479"/>
    <w:rsid w:val="25B12591"/>
    <w:rsid w:val="25EB2E2C"/>
    <w:rsid w:val="25F37424"/>
    <w:rsid w:val="263E785D"/>
    <w:rsid w:val="265660F3"/>
    <w:rsid w:val="26591245"/>
    <w:rsid w:val="2667025F"/>
    <w:rsid w:val="266B7F73"/>
    <w:rsid w:val="26846405"/>
    <w:rsid w:val="268E67F6"/>
    <w:rsid w:val="26D11723"/>
    <w:rsid w:val="26DB2738"/>
    <w:rsid w:val="271237DC"/>
    <w:rsid w:val="271A7439"/>
    <w:rsid w:val="271E5FE8"/>
    <w:rsid w:val="27457A1B"/>
    <w:rsid w:val="2759727A"/>
    <w:rsid w:val="27673E35"/>
    <w:rsid w:val="276C16A8"/>
    <w:rsid w:val="2778163D"/>
    <w:rsid w:val="2791110F"/>
    <w:rsid w:val="27D30F87"/>
    <w:rsid w:val="27DF31C7"/>
    <w:rsid w:val="27FB48DE"/>
    <w:rsid w:val="28056289"/>
    <w:rsid w:val="285919D0"/>
    <w:rsid w:val="287411F4"/>
    <w:rsid w:val="28922745"/>
    <w:rsid w:val="29130D29"/>
    <w:rsid w:val="293E4722"/>
    <w:rsid w:val="294E29BE"/>
    <w:rsid w:val="29623C59"/>
    <w:rsid w:val="29802F8C"/>
    <w:rsid w:val="299D3B3E"/>
    <w:rsid w:val="299F2FE1"/>
    <w:rsid w:val="29E11D05"/>
    <w:rsid w:val="29F51284"/>
    <w:rsid w:val="2A0C2446"/>
    <w:rsid w:val="2A1536D4"/>
    <w:rsid w:val="2A616490"/>
    <w:rsid w:val="2A61691A"/>
    <w:rsid w:val="2A6D7A24"/>
    <w:rsid w:val="2AA64D3B"/>
    <w:rsid w:val="2B47184A"/>
    <w:rsid w:val="2B7D3F6C"/>
    <w:rsid w:val="2B884FA6"/>
    <w:rsid w:val="2BE25AC6"/>
    <w:rsid w:val="2C2A71DF"/>
    <w:rsid w:val="2CA10ED9"/>
    <w:rsid w:val="2CC80477"/>
    <w:rsid w:val="2CD42EFB"/>
    <w:rsid w:val="2D445639"/>
    <w:rsid w:val="2D496A1D"/>
    <w:rsid w:val="2D5E7928"/>
    <w:rsid w:val="2D65712B"/>
    <w:rsid w:val="2D935D7C"/>
    <w:rsid w:val="2E466B0B"/>
    <w:rsid w:val="2E7B7120"/>
    <w:rsid w:val="2E9F0B75"/>
    <w:rsid w:val="2EB536D8"/>
    <w:rsid w:val="2EBB78BE"/>
    <w:rsid w:val="2ED05D47"/>
    <w:rsid w:val="2F125D50"/>
    <w:rsid w:val="2F210D6D"/>
    <w:rsid w:val="2F2B637B"/>
    <w:rsid w:val="2F8E5535"/>
    <w:rsid w:val="2F95018C"/>
    <w:rsid w:val="2FC25432"/>
    <w:rsid w:val="2FE30932"/>
    <w:rsid w:val="302F14C5"/>
    <w:rsid w:val="30360E95"/>
    <w:rsid w:val="30702752"/>
    <w:rsid w:val="307A69CA"/>
    <w:rsid w:val="30807ADD"/>
    <w:rsid w:val="309125DD"/>
    <w:rsid w:val="31162FEA"/>
    <w:rsid w:val="31603462"/>
    <w:rsid w:val="31752861"/>
    <w:rsid w:val="31AF03FC"/>
    <w:rsid w:val="31C706C0"/>
    <w:rsid w:val="32091F49"/>
    <w:rsid w:val="3216001A"/>
    <w:rsid w:val="3240775C"/>
    <w:rsid w:val="32540D14"/>
    <w:rsid w:val="325D4509"/>
    <w:rsid w:val="325F576F"/>
    <w:rsid w:val="328E3197"/>
    <w:rsid w:val="32A55535"/>
    <w:rsid w:val="32B6338F"/>
    <w:rsid w:val="32D9405D"/>
    <w:rsid w:val="33334AF2"/>
    <w:rsid w:val="3343246B"/>
    <w:rsid w:val="336D4581"/>
    <w:rsid w:val="33865643"/>
    <w:rsid w:val="33AC157E"/>
    <w:rsid w:val="342879E7"/>
    <w:rsid w:val="346B61B3"/>
    <w:rsid w:val="34D7310F"/>
    <w:rsid w:val="34F75807"/>
    <w:rsid w:val="357B1C35"/>
    <w:rsid w:val="35AA386B"/>
    <w:rsid w:val="360857DD"/>
    <w:rsid w:val="361A51A9"/>
    <w:rsid w:val="36401646"/>
    <w:rsid w:val="364A1E60"/>
    <w:rsid w:val="369E4A52"/>
    <w:rsid w:val="36F4760B"/>
    <w:rsid w:val="3707251A"/>
    <w:rsid w:val="37A37C61"/>
    <w:rsid w:val="37C702A9"/>
    <w:rsid w:val="37D7371E"/>
    <w:rsid w:val="37E50C5D"/>
    <w:rsid w:val="38042AEB"/>
    <w:rsid w:val="38184D3B"/>
    <w:rsid w:val="381E19F2"/>
    <w:rsid w:val="38257EA9"/>
    <w:rsid w:val="38384559"/>
    <w:rsid w:val="383B2FB3"/>
    <w:rsid w:val="385C6972"/>
    <w:rsid w:val="38897ABE"/>
    <w:rsid w:val="38E37604"/>
    <w:rsid w:val="39224CF6"/>
    <w:rsid w:val="39274052"/>
    <w:rsid w:val="39322BF4"/>
    <w:rsid w:val="39466C55"/>
    <w:rsid w:val="398F3778"/>
    <w:rsid w:val="39A607ED"/>
    <w:rsid w:val="39AC20F4"/>
    <w:rsid w:val="39BF365D"/>
    <w:rsid w:val="3A093023"/>
    <w:rsid w:val="3A243AEF"/>
    <w:rsid w:val="3A834C23"/>
    <w:rsid w:val="3A991B74"/>
    <w:rsid w:val="3A993EAE"/>
    <w:rsid w:val="3AC71633"/>
    <w:rsid w:val="3AE4445B"/>
    <w:rsid w:val="3B105FD3"/>
    <w:rsid w:val="3B2220F5"/>
    <w:rsid w:val="3B986F4A"/>
    <w:rsid w:val="3BB645EB"/>
    <w:rsid w:val="3BDC56F8"/>
    <w:rsid w:val="3BED2703"/>
    <w:rsid w:val="3BFA24DD"/>
    <w:rsid w:val="3BFF7C2E"/>
    <w:rsid w:val="3C042A3D"/>
    <w:rsid w:val="3C28235F"/>
    <w:rsid w:val="3C362D74"/>
    <w:rsid w:val="3C4542ED"/>
    <w:rsid w:val="3C5E3E3A"/>
    <w:rsid w:val="3C683B38"/>
    <w:rsid w:val="3CEE4D3A"/>
    <w:rsid w:val="3CF019AF"/>
    <w:rsid w:val="3CF61FE4"/>
    <w:rsid w:val="3D1E504B"/>
    <w:rsid w:val="3D3B749E"/>
    <w:rsid w:val="3D7E4E93"/>
    <w:rsid w:val="3D851BF5"/>
    <w:rsid w:val="3DC5564E"/>
    <w:rsid w:val="3DD341D3"/>
    <w:rsid w:val="3DF62488"/>
    <w:rsid w:val="3E1E2BFE"/>
    <w:rsid w:val="3E5C6447"/>
    <w:rsid w:val="3E673ECE"/>
    <w:rsid w:val="3E9F0FD0"/>
    <w:rsid w:val="3EBB3166"/>
    <w:rsid w:val="3EC820B4"/>
    <w:rsid w:val="3EF75812"/>
    <w:rsid w:val="3F392456"/>
    <w:rsid w:val="3F4C61D7"/>
    <w:rsid w:val="3FAF638B"/>
    <w:rsid w:val="3FD26F13"/>
    <w:rsid w:val="3FE756BB"/>
    <w:rsid w:val="3FEC095A"/>
    <w:rsid w:val="3FED6C75"/>
    <w:rsid w:val="400B03A1"/>
    <w:rsid w:val="40274FA2"/>
    <w:rsid w:val="4055585D"/>
    <w:rsid w:val="40901ACD"/>
    <w:rsid w:val="40BC3C86"/>
    <w:rsid w:val="40C134A6"/>
    <w:rsid w:val="41273718"/>
    <w:rsid w:val="41516855"/>
    <w:rsid w:val="417836BC"/>
    <w:rsid w:val="422A6508"/>
    <w:rsid w:val="42576B28"/>
    <w:rsid w:val="427C7A6F"/>
    <w:rsid w:val="42943C2C"/>
    <w:rsid w:val="42A7031A"/>
    <w:rsid w:val="42CB3A88"/>
    <w:rsid w:val="42F503E0"/>
    <w:rsid w:val="43025225"/>
    <w:rsid w:val="432400C2"/>
    <w:rsid w:val="432707EC"/>
    <w:rsid w:val="438F11EC"/>
    <w:rsid w:val="43E67960"/>
    <w:rsid w:val="43E7419F"/>
    <w:rsid w:val="441477C8"/>
    <w:rsid w:val="441B1EAF"/>
    <w:rsid w:val="448B32B6"/>
    <w:rsid w:val="449D0A3E"/>
    <w:rsid w:val="44C935E1"/>
    <w:rsid w:val="44D067EB"/>
    <w:rsid w:val="44EE629A"/>
    <w:rsid w:val="45070691"/>
    <w:rsid w:val="45183095"/>
    <w:rsid w:val="4533123A"/>
    <w:rsid w:val="45564415"/>
    <w:rsid w:val="4574179F"/>
    <w:rsid w:val="45B50E6E"/>
    <w:rsid w:val="45C656E1"/>
    <w:rsid w:val="45F91127"/>
    <w:rsid w:val="460E5854"/>
    <w:rsid w:val="46572AC5"/>
    <w:rsid w:val="46894E6A"/>
    <w:rsid w:val="46A3775F"/>
    <w:rsid w:val="46FE426A"/>
    <w:rsid w:val="47122C92"/>
    <w:rsid w:val="471D6FE0"/>
    <w:rsid w:val="477270E0"/>
    <w:rsid w:val="478F7D0A"/>
    <w:rsid w:val="47990E08"/>
    <w:rsid w:val="47A773EC"/>
    <w:rsid w:val="48806059"/>
    <w:rsid w:val="488F270D"/>
    <w:rsid w:val="48AC7CA5"/>
    <w:rsid w:val="48F61E83"/>
    <w:rsid w:val="49057251"/>
    <w:rsid w:val="49165621"/>
    <w:rsid w:val="49222CF6"/>
    <w:rsid w:val="494B26E8"/>
    <w:rsid w:val="49501B10"/>
    <w:rsid w:val="497C0455"/>
    <w:rsid w:val="49B371DE"/>
    <w:rsid w:val="49F5700B"/>
    <w:rsid w:val="4A030C58"/>
    <w:rsid w:val="4A184593"/>
    <w:rsid w:val="4A6D24FE"/>
    <w:rsid w:val="4ACA49BB"/>
    <w:rsid w:val="4AE51F41"/>
    <w:rsid w:val="4AEE7786"/>
    <w:rsid w:val="4AFD5D93"/>
    <w:rsid w:val="4B2901D6"/>
    <w:rsid w:val="4B2B0DBA"/>
    <w:rsid w:val="4B73193A"/>
    <w:rsid w:val="4B851004"/>
    <w:rsid w:val="4B893A11"/>
    <w:rsid w:val="4B9D32B6"/>
    <w:rsid w:val="4BA13D17"/>
    <w:rsid w:val="4BB60F6D"/>
    <w:rsid w:val="4BC27620"/>
    <w:rsid w:val="4C0215BF"/>
    <w:rsid w:val="4C7A0854"/>
    <w:rsid w:val="4CA44D2B"/>
    <w:rsid w:val="4CD02F70"/>
    <w:rsid w:val="4CD20A30"/>
    <w:rsid w:val="4CE55BEF"/>
    <w:rsid w:val="4CE8382D"/>
    <w:rsid w:val="4D425AB0"/>
    <w:rsid w:val="4D447CB0"/>
    <w:rsid w:val="4D4D15CB"/>
    <w:rsid w:val="4D546851"/>
    <w:rsid w:val="4D731F0A"/>
    <w:rsid w:val="4DA0606C"/>
    <w:rsid w:val="4DA732BE"/>
    <w:rsid w:val="4DC1053C"/>
    <w:rsid w:val="4DF30CBD"/>
    <w:rsid w:val="4DFD42E5"/>
    <w:rsid w:val="4E037439"/>
    <w:rsid w:val="4E17689B"/>
    <w:rsid w:val="4E1D6BA6"/>
    <w:rsid w:val="4E35193A"/>
    <w:rsid w:val="4E4E35AB"/>
    <w:rsid w:val="4E6041D5"/>
    <w:rsid w:val="4E660AF6"/>
    <w:rsid w:val="4ECA0682"/>
    <w:rsid w:val="4ED5067D"/>
    <w:rsid w:val="4EF02A75"/>
    <w:rsid w:val="4F14333B"/>
    <w:rsid w:val="4F9E05C6"/>
    <w:rsid w:val="4FC839E5"/>
    <w:rsid w:val="4FED4628"/>
    <w:rsid w:val="50021530"/>
    <w:rsid w:val="50DB20FA"/>
    <w:rsid w:val="51037E7B"/>
    <w:rsid w:val="516338F0"/>
    <w:rsid w:val="51D351F2"/>
    <w:rsid w:val="5202205A"/>
    <w:rsid w:val="525941F7"/>
    <w:rsid w:val="52752358"/>
    <w:rsid w:val="52974F41"/>
    <w:rsid w:val="52A83004"/>
    <w:rsid w:val="52B8451A"/>
    <w:rsid w:val="52BB1129"/>
    <w:rsid w:val="52BE2F14"/>
    <w:rsid w:val="52E57E40"/>
    <w:rsid w:val="531254ED"/>
    <w:rsid w:val="53192F96"/>
    <w:rsid w:val="532F1050"/>
    <w:rsid w:val="533407C0"/>
    <w:rsid w:val="536073FA"/>
    <w:rsid w:val="536A2AFE"/>
    <w:rsid w:val="53807DF2"/>
    <w:rsid w:val="539905F6"/>
    <w:rsid w:val="53DA3D2F"/>
    <w:rsid w:val="54023B8E"/>
    <w:rsid w:val="54487745"/>
    <w:rsid w:val="546A0696"/>
    <w:rsid w:val="5476414F"/>
    <w:rsid w:val="547C640F"/>
    <w:rsid w:val="55180399"/>
    <w:rsid w:val="554B3955"/>
    <w:rsid w:val="556A1D4B"/>
    <w:rsid w:val="557035E3"/>
    <w:rsid w:val="55BB187E"/>
    <w:rsid w:val="55BC6BE7"/>
    <w:rsid w:val="55D322F9"/>
    <w:rsid w:val="55D74277"/>
    <w:rsid w:val="55E262B1"/>
    <w:rsid w:val="55E77736"/>
    <w:rsid w:val="55F45FE4"/>
    <w:rsid w:val="55F546B5"/>
    <w:rsid w:val="55F56086"/>
    <w:rsid w:val="55FB7BEA"/>
    <w:rsid w:val="564D7907"/>
    <w:rsid w:val="565C04EC"/>
    <w:rsid w:val="56725D0F"/>
    <w:rsid w:val="567C073D"/>
    <w:rsid w:val="56CA5E06"/>
    <w:rsid w:val="56F24C1A"/>
    <w:rsid w:val="572A2312"/>
    <w:rsid w:val="5731061B"/>
    <w:rsid w:val="577F0980"/>
    <w:rsid w:val="581035A9"/>
    <w:rsid w:val="58204F0D"/>
    <w:rsid w:val="582F037A"/>
    <w:rsid w:val="58621B57"/>
    <w:rsid w:val="58C52E4D"/>
    <w:rsid w:val="591B2CFD"/>
    <w:rsid w:val="59226DE5"/>
    <w:rsid w:val="59387EEC"/>
    <w:rsid w:val="599A7E7B"/>
    <w:rsid w:val="59A81801"/>
    <w:rsid w:val="59C547D7"/>
    <w:rsid w:val="59DC5C26"/>
    <w:rsid w:val="59EC7A9C"/>
    <w:rsid w:val="59EE6C20"/>
    <w:rsid w:val="59F67BEB"/>
    <w:rsid w:val="5A213CD8"/>
    <w:rsid w:val="5A2A16EB"/>
    <w:rsid w:val="5A48117A"/>
    <w:rsid w:val="5A50529E"/>
    <w:rsid w:val="5A604991"/>
    <w:rsid w:val="5A70563E"/>
    <w:rsid w:val="5AE81188"/>
    <w:rsid w:val="5AEE1A48"/>
    <w:rsid w:val="5B1F1D55"/>
    <w:rsid w:val="5B324F4D"/>
    <w:rsid w:val="5B3B549B"/>
    <w:rsid w:val="5B525C87"/>
    <w:rsid w:val="5B5A4F9F"/>
    <w:rsid w:val="5B791DA2"/>
    <w:rsid w:val="5B825828"/>
    <w:rsid w:val="5B98482D"/>
    <w:rsid w:val="5BDC19F5"/>
    <w:rsid w:val="5BF423AA"/>
    <w:rsid w:val="5C724809"/>
    <w:rsid w:val="5CB31CB3"/>
    <w:rsid w:val="5CE46DB3"/>
    <w:rsid w:val="5CF7080A"/>
    <w:rsid w:val="5CFF1157"/>
    <w:rsid w:val="5D2F43DB"/>
    <w:rsid w:val="5D3437C4"/>
    <w:rsid w:val="5D3C274B"/>
    <w:rsid w:val="5D5B3A7B"/>
    <w:rsid w:val="5DB46280"/>
    <w:rsid w:val="5DF70D68"/>
    <w:rsid w:val="5E12629B"/>
    <w:rsid w:val="5E147815"/>
    <w:rsid w:val="5EE40EF0"/>
    <w:rsid w:val="5F455B95"/>
    <w:rsid w:val="5F750405"/>
    <w:rsid w:val="5FE2793B"/>
    <w:rsid w:val="606326E4"/>
    <w:rsid w:val="608208AA"/>
    <w:rsid w:val="609D5BF6"/>
    <w:rsid w:val="60E5739C"/>
    <w:rsid w:val="61010679"/>
    <w:rsid w:val="611E1908"/>
    <w:rsid w:val="61374761"/>
    <w:rsid w:val="6168071C"/>
    <w:rsid w:val="61736E94"/>
    <w:rsid w:val="617A08FC"/>
    <w:rsid w:val="61B462FA"/>
    <w:rsid w:val="61C4414A"/>
    <w:rsid w:val="61CB34C5"/>
    <w:rsid w:val="61D323EE"/>
    <w:rsid w:val="61D81A0E"/>
    <w:rsid w:val="62050A10"/>
    <w:rsid w:val="621E71E0"/>
    <w:rsid w:val="62223CE8"/>
    <w:rsid w:val="62515912"/>
    <w:rsid w:val="62606EDB"/>
    <w:rsid w:val="626B0651"/>
    <w:rsid w:val="627531AD"/>
    <w:rsid w:val="62E62BDF"/>
    <w:rsid w:val="631A091A"/>
    <w:rsid w:val="633245D7"/>
    <w:rsid w:val="635A6E82"/>
    <w:rsid w:val="639D6B48"/>
    <w:rsid w:val="63D05D79"/>
    <w:rsid w:val="63F052F8"/>
    <w:rsid w:val="642F1E49"/>
    <w:rsid w:val="64575F9E"/>
    <w:rsid w:val="646255E0"/>
    <w:rsid w:val="646E5DD0"/>
    <w:rsid w:val="647E3A54"/>
    <w:rsid w:val="64C04120"/>
    <w:rsid w:val="64DC48A1"/>
    <w:rsid w:val="64F67403"/>
    <w:rsid w:val="64FE38A5"/>
    <w:rsid w:val="650D2168"/>
    <w:rsid w:val="651329AC"/>
    <w:rsid w:val="6525440C"/>
    <w:rsid w:val="65901886"/>
    <w:rsid w:val="65A07531"/>
    <w:rsid w:val="66335343"/>
    <w:rsid w:val="66396019"/>
    <w:rsid w:val="663C7309"/>
    <w:rsid w:val="66427D1C"/>
    <w:rsid w:val="66BF4CE5"/>
    <w:rsid w:val="66E71449"/>
    <w:rsid w:val="66FE0852"/>
    <w:rsid w:val="6735451E"/>
    <w:rsid w:val="67482028"/>
    <w:rsid w:val="6764089B"/>
    <w:rsid w:val="67941930"/>
    <w:rsid w:val="67A15EDF"/>
    <w:rsid w:val="67B727B2"/>
    <w:rsid w:val="67D91AAF"/>
    <w:rsid w:val="67FA7F10"/>
    <w:rsid w:val="68190258"/>
    <w:rsid w:val="681E5050"/>
    <w:rsid w:val="68257633"/>
    <w:rsid w:val="68C501FA"/>
    <w:rsid w:val="68E1770C"/>
    <w:rsid w:val="6939728B"/>
    <w:rsid w:val="69403D44"/>
    <w:rsid w:val="69B737F5"/>
    <w:rsid w:val="69C04AA6"/>
    <w:rsid w:val="69E12F6A"/>
    <w:rsid w:val="69F17DC2"/>
    <w:rsid w:val="6A0960AB"/>
    <w:rsid w:val="6A7104F8"/>
    <w:rsid w:val="6A867923"/>
    <w:rsid w:val="6AC025BE"/>
    <w:rsid w:val="6AC50223"/>
    <w:rsid w:val="6AE10DD5"/>
    <w:rsid w:val="6B56531F"/>
    <w:rsid w:val="6B9B48D9"/>
    <w:rsid w:val="6BBF6778"/>
    <w:rsid w:val="6BC9041D"/>
    <w:rsid w:val="6BCE135A"/>
    <w:rsid w:val="6BD911BC"/>
    <w:rsid w:val="6BDC10F4"/>
    <w:rsid w:val="6BEB400C"/>
    <w:rsid w:val="6BFB52B2"/>
    <w:rsid w:val="6BFD0D90"/>
    <w:rsid w:val="6C1A20BE"/>
    <w:rsid w:val="6C5B7316"/>
    <w:rsid w:val="6C805C1A"/>
    <w:rsid w:val="6CB273CD"/>
    <w:rsid w:val="6CD90C8F"/>
    <w:rsid w:val="6CE60293"/>
    <w:rsid w:val="6D1A1ACB"/>
    <w:rsid w:val="6D4C57DE"/>
    <w:rsid w:val="6D553895"/>
    <w:rsid w:val="6D5C69C0"/>
    <w:rsid w:val="6D865144"/>
    <w:rsid w:val="6D903158"/>
    <w:rsid w:val="6DFE4A7A"/>
    <w:rsid w:val="6E3F4FE4"/>
    <w:rsid w:val="6E6E0BD2"/>
    <w:rsid w:val="6E941B8B"/>
    <w:rsid w:val="6EB609ED"/>
    <w:rsid w:val="6ED93E1E"/>
    <w:rsid w:val="6F034CBF"/>
    <w:rsid w:val="6F2D4721"/>
    <w:rsid w:val="6F333765"/>
    <w:rsid w:val="6F6D0E8A"/>
    <w:rsid w:val="6F9B77A5"/>
    <w:rsid w:val="6FDB386D"/>
    <w:rsid w:val="6FF11ABB"/>
    <w:rsid w:val="701F03D6"/>
    <w:rsid w:val="702A6D7B"/>
    <w:rsid w:val="7048348A"/>
    <w:rsid w:val="70492FFA"/>
    <w:rsid w:val="705430ED"/>
    <w:rsid w:val="70F93A1E"/>
    <w:rsid w:val="71030327"/>
    <w:rsid w:val="71181F66"/>
    <w:rsid w:val="711C0F3A"/>
    <w:rsid w:val="711D689F"/>
    <w:rsid w:val="7125497C"/>
    <w:rsid w:val="714326B4"/>
    <w:rsid w:val="714F6A99"/>
    <w:rsid w:val="71954552"/>
    <w:rsid w:val="71CC24EF"/>
    <w:rsid w:val="71D15516"/>
    <w:rsid w:val="71E314AF"/>
    <w:rsid w:val="721418C3"/>
    <w:rsid w:val="72253366"/>
    <w:rsid w:val="722C75BF"/>
    <w:rsid w:val="72C218FD"/>
    <w:rsid w:val="72CD1AF2"/>
    <w:rsid w:val="72E06496"/>
    <w:rsid w:val="72FF204B"/>
    <w:rsid w:val="73575302"/>
    <w:rsid w:val="73A17823"/>
    <w:rsid w:val="73B477A6"/>
    <w:rsid w:val="73C1222C"/>
    <w:rsid w:val="73C73A13"/>
    <w:rsid w:val="73FA2659"/>
    <w:rsid w:val="744E023E"/>
    <w:rsid w:val="745F5D6D"/>
    <w:rsid w:val="74784559"/>
    <w:rsid w:val="749A200D"/>
    <w:rsid w:val="74AD5550"/>
    <w:rsid w:val="74C96B62"/>
    <w:rsid w:val="74F17D7B"/>
    <w:rsid w:val="74F2456B"/>
    <w:rsid w:val="750B009F"/>
    <w:rsid w:val="751E07FE"/>
    <w:rsid w:val="754F7E96"/>
    <w:rsid w:val="755259F9"/>
    <w:rsid w:val="75545498"/>
    <w:rsid w:val="7580165D"/>
    <w:rsid w:val="758B02BC"/>
    <w:rsid w:val="75BD2B4B"/>
    <w:rsid w:val="75BD64A2"/>
    <w:rsid w:val="75CB2679"/>
    <w:rsid w:val="75E12BAC"/>
    <w:rsid w:val="75E4460C"/>
    <w:rsid w:val="766C600E"/>
    <w:rsid w:val="76757B04"/>
    <w:rsid w:val="768B55C1"/>
    <w:rsid w:val="769036A0"/>
    <w:rsid w:val="76A551D1"/>
    <w:rsid w:val="76C331A8"/>
    <w:rsid w:val="77057A22"/>
    <w:rsid w:val="772F2143"/>
    <w:rsid w:val="777A358B"/>
    <w:rsid w:val="77BB4F5D"/>
    <w:rsid w:val="77D94F66"/>
    <w:rsid w:val="77F02658"/>
    <w:rsid w:val="78204435"/>
    <w:rsid w:val="78357B22"/>
    <w:rsid w:val="785D5DB0"/>
    <w:rsid w:val="7880578A"/>
    <w:rsid w:val="78A019F6"/>
    <w:rsid w:val="78DF3190"/>
    <w:rsid w:val="79082E05"/>
    <w:rsid w:val="79142580"/>
    <w:rsid w:val="7982471D"/>
    <w:rsid w:val="799040F2"/>
    <w:rsid w:val="799847D7"/>
    <w:rsid w:val="79996962"/>
    <w:rsid w:val="79BF22E2"/>
    <w:rsid w:val="79DC4C7C"/>
    <w:rsid w:val="79E501E9"/>
    <w:rsid w:val="7A434029"/>
    <w:rsid w:val="7A4615F8"/>
    <w:rsid w:val="7AD710E4"/>
    <w:rsid w:val="7AEA1A93"/>
    <w:rsid w:val="7B122EAA"/>
    <w:rsid w:val="7B284B90"/>
    <w:rsid w:val="7BC853FF"/>
    <w:rsid w:val="7BEF1F0F"/>
    <w:rsid w:val="7C0611DC"/>
    <w:rsid w:val="7C296138"/>
    <w:rsid w:val="7C2C5984"/>
    <w:rsid w:val="7C404CEA"/>
    <w:rsid w:val="7C6B5A01"/>
    <w:rsid w:val="7C8F3808"/>
    <w:rsid w:val="7C9168CD"/>
    <w:rsid w:val="7C9765A8"/>
    <w:rsid w:val="7CAF2D9C"/>
    <w:rsid w:val="7CC56FEF"/>
    <w:rsid w:val="7CCF6F3E"/>
    <w:rsid w:val="7CFF4043"/>
    <w:rsid w:val="7D43322A"/>
    <w:rsid w:val="7D444752"/>
    <w:rsid w:val="7D562F5D"/>
    <w:rsid w:val="7D8C0729"/>
    <w:rsid w:val="7D8F021D"/>
    <w:rsid w:val="7D975947"/>
    <w:rsid w:val="7DA95783"/>
    <w:rsid w:val="7E3F7F0D"/>
    <w:rsid w:val="7E7E5F89"/>
    <w:rsid w:val="7E927FC5"/>
    <w:rsid w:val="7ECB3D75"/>
    <w:rsid w:val="7F3B2A7C"/>
    <w:rsid w:val="7F402407"/>
    <w:rsid w:val="7F6561CE"/>
    <w:rsid w:val="7F697D1F"/>
    <w:rsid w:val="7F705269"/>
    <w:rsid w:val="7FB7303B"/>
    <w:rsid w:val="7FBC064C"/>
    <w:rsid w:val="7FD77C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0"/>
    <w:pPr>
      <w:keepNext/>
      <w:keepLines/>
      <w:pageBreakBefore/>
      <w:spacing w:before="340" w:beforeLines="0" w:after="330" w:afterLines="0" w:line="576" w:lineRule="auto"/>
      <w:outlineLvl w:val="0"/>
    </w:pPr>
    <w:rPr>
      <w:rFonts w:ascii="Times New Roman" w:hAnsi="Times New Roman" w:eastAsia="宋体"/>
      <w:b/>
      <w:bCs/>
      <w:kern w:val="44"/>
      <w:sz w:val="24"/>
      <w:szCs w:val="44"/>
    </w:rPr>
  </w:style>
  <w:style w:type="paragraph" w:styleId="3">
    <w:name w:val="heading 2"/>
    <w:basedOn w:val="1"/>
    <w:next w:val="1"/>
    <w:link w:val="52"/>
    <w:unhideWhenUsed/>
    <w:qFormat/>
    <w:uiPriority w:val="0"/>
    <w:pPr>
      <w:keepNext/>
      <w:keepLines/>
      <w:spacing w:before="260" w:beforeLines="0" w:after="260" w:afterLines="0" w:line="413" w:lineRule="auto"/>
      <w:outlineLvl w:val="1"/>
    </w:pPr>
    <w:rPr>
      <w:rFonts w:ascii="Cambria" w:hAnsi="Cambria" w:eastAsia="宋体"/>
      <w:b/>
      <w:bCs/>
      <w:sz w:val="24"/>
      <w:szCs w:val="32"/>
    </w:rPr>
  </w:style>
  <w:style w:type="paragraph" w:styleId="4">
    <w:name w:val="heading 3"/>
    <w:basedOn w:val="1"/>
    <w:next w:val="1"/>
    <w:link w:val="33"/>
    <w:unhideWhenUsed/>
    <w:qFormat/>
    <w:uiPriority w:val="0"/>
    <w:pPr>
      <w:keepNext/>
      <w:keepLines/>
      <w:spacing w:before="260" w:beforeLines="0" w:after="260" w:afterLines="0" w:line="413" w:lineRule="auto"/>
      <w:outlineLvl w:val="2"/>
    </w:pPr>
    <w:rPr>
      <w:rFonts w:ascii="Times New Roman" w:hAnsi="Times New Roman" w:eastAsia="宋体"/>
      <w:b/>
      <w:bCs/>
      <w:sz w:val="24"/>
      <w:szCs w:val="32"/>
    </w:rPr>
  </w:style>
  <w:style w:type="paragraph" w:styleId="5">
    <w:name w:val="heading 4"/>
    <w:basedOn w:val="1"/>
    <w:next w:val="1"/>
    <w:link w:val="31"/>
    <w:unhideWhenUsed/>
    <w:qFormat/>
    <w:uiPriority w:val="0"/>
    <w:pPr>
      <w:keepNext/>
      <w:keepLines/>
      <w:numPr>
        <w:ilvl w:val="3"/>
        <w:numId w:val="1"/>
      </w:numPr>
      <w:spacing w:before="280" w:after="290" w:line="376" w:lineRule="auto"/>
      <w:ind w:left="850" w:hanging="850"/>
      <w:outlineLvl w:val="3"/>
    </w:pPr>
    <w:rPr>
      <w:rFonts w:ascii="Arial" w:hAnsi="Arial" w:eastAsia="宋体"/>
      <w:b/>
      <w:bCs/>
      <w:kern w:val="0"/>
      <w:sz w:val="24"/>
      <w:szCs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rFonts w:ascii="Times New Roman" w:hAnsi="Times New Roman" w:eastAsia="宋体"/>
      <w:b/>
      <w:sz w:val="24"/>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snapToGrid w:val="0"/>
      <w:spacing w:line="360" w:lineRule="auto"/>
      <w:ind w:firstLine="480" w:firstLineChars="200"/>
    </w:pPr>
    <w:rPr>
      <w:color w:val="000000"/>
      <w:kern w:val="0"/>
      <w:sz w:val="24"/>
    </w:rPr>
  </w:style>
  <w:style w:type="paragraph" w:styleId="8">
    <w:name w:val="caption"/>
    <w:basedOn w:val="1"/>
    <w:next w:val="1"/>
    <w:unhideWhenUsed/>
    <w:qFormat/>
    <w:uiPriority w:val="0"/>
    <w:rPr>
      <w:rFonts w:ascii="Calibri Light" w:hAnsi="Calibri Light" w:eastAsia="黑体" w:cs="Times New Roman"/>
      <w:sz w:val="20"/>
      <w:szCs w:val="20"/>
    </w:rPr>
  </w:style>
  <w:style w:type="paragraph" w:styleId="9">
    <w:name w:val="annotation text"/>
    <w:basedOn w:val="1"/>
    <w:qFormat/>
    <w:uiPriority w:val="0"/>
    <w:pPr>
      <w:jc w:val="left"/>
    </w:pPr>
    <w:rPr>
      <w:szCs w:val="20"/>
    </w:rPr>
  </w:style>
  <w:style w:type="paragraph" w:styleId="10">
    <w:name w:val="Salutation"/>
    <w:basedOn w:val="1"/>
    <w:next w:val="1"/>
    <w:qFormat/>
    <w:uiPriority w:val="99"/>
    <w:pPr>
      <w:widowControl/>
      <w:jc w:val="left"/>
    </w:pPr>
    <w:rPr>
      <w:rFonts w:ascii="Times New Roman" w:hAnsi="Times New Roman"/>
      <w:kern w:val="0"/>
      <w:sz w:val="20"/>
    </w:rPr>
  </w:style>
  <w:style w:type="paragraph" w:styleId="11">
    <w:name w:val="Body Text"/>
    <w:basedOn w:val="1"/>
    <w:qFormat/>
    <w:uiPriority w:val="0"/>
    <w:pPr>
      <w:spacing w:after="120"/>
    </w:pPr>
  </w:style>
  <w:style w:type="paragraph" w:styleId="12">
    <w:name w:val="Body Text Indent"/>
    <w:basedOn w:val="1"/>
    <w:qFormat/>
    <w:uiPriority w:val="0"/>
    <w:pPr>
      <w:spacing w:line="360" w:lineRule="auto"/>
      <w:ind w:firstLine="480"/>
    </w:pPr>
    <w:rPr>
      <w:rFonts w:hAnsi="宋体"/>
      <w:sz w:val="24"/>
    </w:rPr>
  </w:style>
  <w:style w:type="paragraph" w:styleId="13">
    <w:name w:val="toc 3"/>
    <w:basedOn w:val="1"/>
    <w:next w:val="1"/>
    <w:qFormat/>
    <w:uiPriority w:val="0"/>
    <w:pPr>
      <w:ind w:left="840" w:leftChars="400"/>
    </w:pPr>
  </w:style>
  <w:style w:type="paragraph" w:styleId="14">
    <w:name w:val="Plain Text"/>
    <w:basedOn w:val="1"/>
    <w:next w:val="1"/>
    <w:qFormat/>
    <w:uiPriority w:val="0"/>
    <w:rPr>
      <w:rFonts w:ascii="宋体" w:hAnsi="Courier New"/>
      <w:szCs w:val="21"/>
    </w:rPr>
  </w:style>
  <w:style w:type="paragraph" w:styleId="15">
    <w:name w:val="Body Text Indent 2"/>
    <w:basedOn w:val="1"/>
    <w:qFormat/>
    <w:uiPriority w:val="0"/>
    <w:pPr>
      <w:spacing w:line="360" w:lineRule="auto"/>
      <w:ind w:firstLine="480"/>
    </w:pPr>
    <w:rPr>
      <w:color w:val="FF0000"/>
      <w:sz w:val="24"/>
    </w:rPr>
  </w:style>
  <w:style w:type="paragraph" w:styleId="16">
    <w:name w:val="footer"/>
    <w:basedOn w:val="1"/>
    <w:qFormat/>
    <w:uiPriority w:val="99"/>
    <w:pPr>
      <w:tabs>
        <w:tab w:val="center" w:pos="4153"/>
        <w:tab w:val="right" w:pos="8306"/>
      </w:tabs>
      <w:snapToGrid w:val="0"/>
      <w:jc w:val="left"/>
    </w:pPr>
    <w:rPr>
      <w:sz w:val="18"/>
      <w:szCs w:val="18"/>
    </w:rPr>
  </w:style>
  <w:style w:type="paragraph" w:styleId="17">
    <w:name w:val="header"/>
    <w:basedOn w:val="1"/>
    <w:next w:val="1"/>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line="360" w:lineRule="auto"/>
      <w:jc w:val="left"/>
    </w:pPr>
    <w:rPr>
      <w:bCs/>
      <w:caps/>
      <w:sz w:val="24"/>
      <w:szCs w:val="20"/>
    </w:rPr>
  </w:style>
  <w:style w:type="paragraph" w:styleId="19">
    <w:name w:val="toc 2"/>
    <w:basedOn w:val="1"/>
    <w:next w:val="1"/>
    <w:qFormat/>
    <w:uiPriority w:val="0"/>
    <w:pPr>
      <w:spacing w:line="240" w:lineRule="auto"/>
      <w:ind w:left="0" w:leftChars="0"/>
      <w:jc w:val="left"/>
    </w:pPr>
    <w:rPr>
      <w:rFonts w:ascii="Times New Roman" w:hAnsi="Times New Roman" w:eastAsia="仿宋" w:cs="Times New Roman"/>
      <w:sz w:val="28"/>
    </w:rPr>
  </w:style>
  <w:style w:type="paragraph" w:styleId="20">
    <w:name w:val="Normal (Web)"/>
    <w:basedOn w:val="1"/>
    <w:qFormat/>
    <w:uiPriority w:val="99"/>
    <w:pPr>
      <w:widowControl/>
      <w:spacing w:before="100" w:beforeAutospacing="1" w:after="100" w:afterAutospacing="1"/>
      <w:jc w:val="left"/>
    </w:pPr>
    <w:rPr>
      <w:rFonts w:ascii="Arial Unicode MS" w:hAnsi="Arial Unicode MS" w:eastAsia="Times New Roman"/>
      <w:color w:val="000000"/>
      <w:kern w:val="0"/>
      <w:sz w:val="24"/>
    </w:rPr>
  </w:style>
  <w:style w:type="paragraph" w:styleId="21">
    <w:name w:val="Title"/>
    <w:basedOn w:val="1"/>
    <w:next w:val="1"/>
    <w:qFormat/>
    <w:uiPriority w:val="0"/>
    <w:pPr>
      <w:ind w:firstLine="0" w:firstLineChars="0"/>
      <w:outlineLvl w:val="2"/>
    </w:pPr>
    <w:rPr>
      <w:rFonts w:cs="Times New Roman"/>
      <w:b/>
      <w:bCs/>
      <w:szCs w:val="32"/>
    </w:rPr>
  </w:style>
  <w:style w:type="paragraph" w:styleId="22">
    <w:name w:val="Body Text First Indent 2"/>
    <w:basedOn w:val="12"/>
    <w:qFormat/>
    <w:uiPriority w:val="0"/>
    <w:pPr>
      <w:ind w:firstLine="420" w:firstLineChars="200"/>
    </w:pPr>
    <w:rPr>
      <w:rFonts w:ascii="Times New Roman"/>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qFormat/>
    <w:uiPriority w:val="22"/>
    <w:rPr>
      <w:b/>
      <w:bCs/>
    </w:rPr>
  </w:style>
  <w:style w:type="character" w:styleId="27">
    <w:name w:val="Emphasis"/>
    <w:qFormat/>
    <w:uiPriority w:val="0"/>
    <w:rPr>
      <w:i/>
      <w:iCs/>
    </w:rPr>
  </w:style>
  <w:style w:type="character" w:styleId="28">
    <w:name w:val="Hyperlink"/>
    <w:qFormat/>
    <w:uiPriority w:val="99"/>
    <w:rPr>
      <w:color w:val="0000FF"/>
      <w:u w:val="single"/>
    </w:rPr>
  </w:style>
  <w:style w:type="paragraph" w:customStyle="1" w:styleId="29">
    <w:name w:val="3333"/>
    <w:basedOn w:val="4"/>
    <w:qFormat/>
    <w:uiPriority w:val="0"/>
    <w:pPr>
      <w:numPr>
        <w:ilvl w:val="0"/>
        <w:numId w:val="2"/>
      </w:numPr>
      <w:snapToGrid w:val="0"/>
      <w:spacing w:before="0" w:after="0" w:line="360" w:lineRule="auto"/>
    </w:pPr>
    <w:rPr>
      <w:rFonts w:ascii="Times New Roman" w:hAnsi="Times New Roman" w:eastAsia="仿宋" w:cs="Times New Roman"/>
      <w:color w:val="000000"/>
      <w:kern w:val="0"/>
      <w:sz w:val="30"/>
      <w:szCs w:val="32"/>
    </w:rPr>
  </w:style>
  <w:style w:type="character" w:customStyle="1" w:styleId="30">
    <w:name w:val="标题 1 字符1"/>
    <w:link w:val="2"/>
    <w:qFormat/>
    <w:uiPriority w:val="99"/>
    <w:rPr>
      <w:rFonts w:ascii="Times New Roman" w:hAnsi="Times New Roman" w:eastAsia="宋体"/>
      <w:b/>
      <w:bCs/>
      <w:kern w:val="44"/>
      <w:sz w:val="24"/>
      <w:szCs w:val="44"/>
      <w:lang w:val="zh-CN" w:eastAsia="zh-CN"/>
    </w:rPr>
  </w:style>
  <w:style w:type="character" w:customStyle="1" w:styleId="31">
    <w:name w:val="标题 4 字符"/>
    <w:link w:val="5"/>
    <w:qFormat/>
    <w:locked/>
    <w:uiPriority w:val="99"/>
    <w:rPr>
      <w:rFonts w:ascii="Arial" w:hAnsi="Arial" w:eastAsia="宋体" w:cs="Times New Roman"/>
      <w:b/>
      <w:bCs/>
      <w:sz w:val="24"/>
      <w:szCs w:val="28"/>
    </w:rPr>
  </w:style>
  <w:style w:type="character" w:customStyle="1" w:styleId="32">
    <w:name w:val="标题 2 字符1"/>
    <w:link w:val="3"/>
    <w:qFormat/>
    <w:uiPriority w:val="0"/>
    <w:rPr>
      <w:rFonts w:ascii="Cambria" w:hAnsi="Cambria" w:eastAsia="仿宋" w:cs="Times New Roman"/>
      <w:b/>
      <w:bCs/>
      <w:sz w:val="30"/>
      <w:szCs w:val="32"/>
    </w:rPr>
  </w:style>
  <w:style w:type="character" w:customStyle="1" w:styleId="33">
    <w:name w:val="标题 3 字符"/>
    <w:link w:val="4"/>
    <w:qFormat/>
    <w:uiPriority w:val="0"/>
    <w:rPr>
      <w:rFonts w:ascii="Times New Roman" w:hAnsi="Times New Roman" w:eastAsia="宋体"/>
      <w:b/>
      <w:bCs/>
      <w:sz w:val="24"/>
      <w:szCs w:val="32"/>
    </w:rPr>
  </w:style>
  <w:style w:type="character" w:customStyle="1" w:styleId="34">
    <w:name w:val="标题 2 Char Char Char Char Char Char"/>
    <w:qFormat/>
    <w:uiPriority w:val="0"/>
    <w:rPr>
      <w:rFonts w:ascii="Arial" w:hAnsi="Arial" w:eastAsia="黑体"/>
      <w:b/>
      <w:bCs/>
      <w:kern w:val="2"/>
      <w:sz w:val="32"/>
      <w:szCs w:val="32"/>
      <w:lang w:val="en-US" w:eastAsia="zh-CN" w:bidi="ar-SA"/>
    </w:rPr>
  </w:style>
  <w:style w:type="character" w:customStyle="1" w:styleId="35">
    <w:name w:val="标题 3 Char"/>
    <w:qFormat/>
    <w:uiPriority w:val="0"/>
  </w:style>
  <w:style w:type="paragraph" w:customStyle="1" w:styleId="36">
    <w:name w:val="段落正文"/>
    <w:basedOn w:val="1"/>
    <w:qFormat/>
    <w:uiPriority w:val="0"/>
    <w:pPr>
      <w:spacing w:line="360" w:lineRule="auto"/>
      <w:ind w:firstLine="480" w:firstLineChars="200"/>
    </w:pPr>
    <w:rPr>
      <w:sz w:val="24"/>
      <w:szCs w:val="20"/>
    </w:rPr>
  </w:style>
  <w:style w:type="paragraph" w:customStyle="1" w:styleId="37">
    <w:name w:val="赵"/>
    <w:basedOn w:val="1"/>
    <w:qFormat/>
    <w:uiPriority w:val="0"/>
    <w:pPr>
      <w:widowControl/>
      <w:tabs>
        <w:tab w:val="left" w:pos="540"/>
        <w:tab w:val="left" w:pos="851"/>
        <w:tab w:val="left" w:pos="994"/>
        <w:tab w:val="left" w:pos="1260"/>
        <w:tab w:val="left" w:pos="3108"/>
        <w:tab w:val="left" w:pos="3150"/>
      </w:tabs>
      <w:adjustRightInd w:val="0"/>
      <w:spacing w:line="360" w:lineRule="auto"/>
      <w:ind w:firstLine="200" w:firstLineChars="200"/>
    </w:pPr>
    <w:rPr>
      <w:color w:val="000000"/>
      <w:kern w:val="32"/>
      <w:sz w:val="24"/>
      <w:szCs w:val="28"/>
    </w:rPr>
  </w:style>
  <w:style w:type="paragraph" w:customStyle="1" w:styleId="38">
    <w:name w:val="表头"/>
    <w:basedOn w:val="39"/>
    <w:next w:val="1"/>
    <w:qFormat/>
    <w:uiPriority w:val="0"/>
    <w:pPr>
      <w:widowControl/>
      <w:adjustRightInd w:val="0"/>
      <w:snapToGrid w:val="0"/>
      <w:spacing w:before="120" w:line="240" w:lineRule="atLeast"/>
      <w:jc w:val="center"/>
    </w:pPr>
    <w:rPr>
      <w:rFonts w:eastAsia="仿宋_GB2312"/>
      <w:b/>
      <w:kern w:val="0"/>
      <w:sz w:val="28"/>
      <w:szCs w:val="20"/>
    </w:rPr>
  </w:style>
  <w:style w:type="paragraph" w:customStyle="1" w:styleId="39">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40">
    <w:name w:val="正文1"/>
    <w:basedOn w:val="1"/>
    <w:qFormat/>
    <w:uiPriority w:val="0"/>
    <w:pPr>
      <w:snapToGrid w:val="0"/>
      <w:spacing w:line="360" w:lineRule="auto"/>
      <w:ind w:firstLine="469" w:firstLineChars="200"/>
    </w:pPr>
    <w:rPr>
      <w:rFonts w:ascii="宋体" w:hAnsi="宋体"/>
      <w:w w:val="98"/>
      <w:sz w:val="24"/>
    </w:rPr>
  </w:style>
  <w:style w:type="paragraph" w:customStyle="1" w:styleId="41">
    <w:name w:val="表格文字"/>
    <w:basedOn w:val="1"/>
    <w:qFormat/>
    <w:uiPriority w:val="0"/>
    <w:pPr>
      <w:spacing w:line="320" w:lineRule="atLeast"/>
      <w:jc w:val="center"/>
    </w:pPr>
    <w:rPr>
      <w:sz w:val="24"/>
      <w:szCs w:val="20"/>
    </w:rPr>
  </w:style>
  <w:style w:type="paragraph" w:customStyle="1" w:styleId="42">
    <w:name w:val="Table Paragraph"/>
    <w:basedOn w:val="1"/>
    <w:qFormat/>
    <w:uiPriority w:val="0"/>
    <w:pPr>
      <w:autoSpaceDE w:val="0"/>
      <w:autoSpaceDN w:val="0"/>
      <w:adjustRightInd w:val="0"/>
      <w:jc w:val="left"/>
    </w:pPr>
    <w:rPr>
      <w:kern w:val="0"/>
      <w:sz w:val="24"/>
    </w:rPr>
  </w:style>
  <w:style w:type="paragraph" w:customStyle="1" w:styleId="43">
    <w:name w:val="样式 样式 小四 段前: 7.8 磅 段后: 7.8 磅 行距: 1.5 倍行距 + 首行缩进:  2 字符"/>
    <w:basedOn w:val="44"/>
    <w:qFormat/>
    <w:uiPriority w:val="0"/>
  </w:style>
  <w:style w:type="paragraph" w:customStyle="1" w:styleId="44">
    <w:name w:val="样式 小四 段前: 7.8 磅 段后: 7.8 磅 行距: 1.5 倍行距"/>
    <w:basedOn w:val="1"/>
    <w:qFormat/>
    <w:uiPriority w:val="0"/>
    <w:pPr>
      <w:spacing w:line="360" w:lineRule="auto"/>
      <w:ind w:firstLine="480" w:firstLineChars="200"/>
    </w:pPr>
    <w:rPr>
      <w:sz w:val="24"/>
    </w:rPr>
  </w:style>
  <w:style w:type="paragraph" w:customStyle="1" w:styleId="45">
    <w:name w:val="1正文"/>
    <w:basedOn w:val="1"/>
    <w:qFormat/>
    <w:uiPriority w:val="0"/>
    <w:pPr>
      <w:spacing w:line="500" w:lineRule="exact"/>
      <w:ind w:firstLine="588" w:firstLineChars="196"/>
    </w:pPr>
    <w:rPr>
      <w:rFonts w:eastAsia="楷体_GB2312"/>
      <w:sz w:val="30"/>
      <w:szCs w:val="30"/>
    </w:rPr>
  </w:style>
  <w:style w:type="paragraph" w:customStyle="1" w:styleId="46">
    <w:name w:val="样式3正文"/>
    <w:basedOn w:val="1"/>
    <w:qFormat/>
    <w:uiPriority w:val="0"/>
    <w:pPr>
      <w:spacing w:line="360" w:lineRule="auto"/>
      <w:ind w:firstLine="480" w:firstLineChars="200"/>
    </w:pPr>
    <w:rPr>
      <w:rFonts w:cs="宋体"/>
      <w:kern w:val="0"/>
      <w:sz w:val="24"/>
    </w:rPr>
  </w:style>
  <w:style w:type="paragraph" w:customStyle="1" w:styleId="47">
    <w:name w:val="No Spacing"/>
    <w:basedOn w:val="1"/>
    <w:qFormat/>
    <w:uiPriority w:val="0"/>
    <w:pPr>
      <w:widowControl w:val="0"/>
      <w:jc w:val="both"/>
    </w:pPr>
    <w:rPr>
      <w:rFonts w:ascii="Times New Roman" w:hAnsi="Times New Roman" w:eastAsia="宋体" w:cs="Times New Roman"/>
      <w:kern w:val="2"/>
      <w:sz w:val="24"/>
      <w:szCs w:val="22"/>
      <w:lang w:val="en-US" w:eastAsia="zh-CN" w:bidi="ar-SA"/>
    </w:rPr>
  </w:style>
  <w:style w:type="paragraph" w:customStyle="1" w:styleId="48">
    <w:name w:val="正缩1"/>
    <w:basedOn w:val="1"/>
    <w:qFormat/>
    <w:uiPriority w:val="0"/>
    <w:pPr>
      <w:adjustRightInd w:val="0"/>
      <w:snapToGrid w:val="0"/>
      <w:spacing w:line="500" w:lineRule="exact"/>
      <w:ind w:firstLine="567"/>
    </w:pPr>
    <w:rPr>
      <w:rFonts w:eastAsia="仿宋_GB2312"/>
      <w:color w:val="000000"/>
      <w:sz w:val="28"/>
      <w:szCs w:val="20"/>
    </w:rPr>
  </w:style>
  <w:style w:type="paragraph" w:customStyle="1" w:styleId="49">
    <w:name w:val="表格2"/>
    <w:basedOn w:val="1"/>
    <w:qFormat/>
    <w:uiPriority w:val="0"/>
    <w:pPr>
      <w:spacing w:line="360" w:lineRule="atLeast"/>
      <w:jc w:val="center"/>
    </w:pPr>
    <w:rPr>
      <w:szCs w:val="21"/>
    </w:rPr>
  </w:style>
  <w:style w:type="paragraph" w:customStyle="1" w:styleId="50">
    <w:name w:val="样式1"/>
    <w:qFormat/>
    <w:uiPriority w:val="39"/>
    <w:pPr>
      <w:ind w:firstLine="200" w:firstLineChars="200"/>
    </w:pPr>
    <w:rPr>
      <w:rFonts w:ascii="Times New Roman" w:hAnsi="Times New Roman" w:eastAsia="宋体" w:cs="Times New Roman"/>
      <w:sz w:val="24"/>
      <w:lang w:val="en-US" w:eastAsia="zh-CN" w:bidi="ar-SA"/>
    </w:rPr>
  </w:style>
  <w:style w:type="paragraph" w:customStyle="1" w:styleId="51">
    <w:name w:val="魏秀珍   正文"/>
    <w:basedOn w:val="7"/>
    <w:qFormat/>
    <w:uiPriority w:val="0"/>
    <w:pPr>
      <w:adjustRightInd w:val="0"/>
      <w:jc w:val="left"/>
    </w:pPr>
    <w:rPr>
      <w:rFonts w:cs="宋体"/>
      <w:color w:val="auto"/>
      <w:szCs w:val="20"/>
      <w:lang w:val="en-GB"/>
    </w:rPr>
  </w:style>
  <w:style w:type="character" w:customStyle="1" w:styleId="52">
    <w:name w:val="标题 2 Char"/>
    <w:link w:val="3"/>
    <w:qFormat/>
    <w:uiPriority w:val="0"/>
    <w:rPr>
      <w:rFonts w:eastAsia="宋体"/>
      <w:b/>
      <w:bCs/>
      <w:kern w:val="24"/>
      <w:sz w:val="24"/>
      <w:szCs w:val="32"/>
      <w:lang w:val="en-US" w:eastAsia="zh-CN" w:bidi="ar-SA"/>
    </w:rPr>
  </w:style>
  <w:style w:type="paragraph" w:customStyle="1" w:styleId="53">
    <w:name w:val="报告"/>
    <w:basedOn w:val="1"/>
    <w:qFormat/>
    <w:uiPriority w:val="0"/>
    <w:pPr>
      <w:widowControl/>
      <w:ind w:firstLine="560" w:firstLineChars="200"/>
    </w:pPr>
    <w:rPr>
      <w:rFonts w:cs="宋体"/>
      <w:kern w:val="0"/>
      <w:sz w:val="28"/>
      <w:szCs w:val="20"/>
    </w:rPr>
  </w:style>
  <w:style w:type="paragraph" w:customStyle="1" w:styleId="54">
    <w:name w:val="样式4"/>
    <w:basedOn w:val="1"/>
    <w:qFormat/>
    <w:uiPriority w:val="0"/>
    <w:pPr>
      <w:spacing w:line="360" w:lineRule="exact"/>
      <w:jc w:val="center"/>
    </w:pPr>
    <w:rPr>
      <w:szCs w:val="21"/>
    </w:rPr>
  </w:style>
  <w:style w:type="paragraph" w:customStyle="1" w:styleId="55">
    <w:name w:val="LZ正文"/>
    <w:basedOn w:val="56"/>
    <w:qFormat/>
    <w:uiPriority w:val="0"/>
    <w:pPr>
      <w:ind w:firstLine="480"/>
    </w:pPr>
  </w:style>
  <w:style w:type="paragraph" w:customStyle="1" w:styleId="56">
    <w:name w:val="lizhi正文"/>
    <w:basedOn w:val="22"/>
    <w:qFormat/>
    <w:uiPriority w:val="0"/>
    <w:pPr>
      <w:spacing w:after="0" w:line="360" w:lineRule="auto"/>
      <w:ind w:left="0" w:leftChars="0" w:firstLine="200"/>
    </w:pPr>
    <w:rPr>
      <w:sz w:val="24"/>
      <w:szCs w:val="24"/>
    </w:rPr>
  </w:style>
  <w:style w:type="table" w:customStyle="1" w:styleId="57">
    <w:name w:val="Table Normal"/>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Times New Roman" w:hAnsi="Times New Roman" w:eastAsia="Times New Roman" w:cs="Times New Roman"/>
      <w:sz w:val="21"/>
      <w:szCs w:val="21"/>
      <w:lang w:val="en-US" w:eastAsia="en-US" w:bidi="ar-SA"/>
    </w:rPr>
  </w:style>
  <w:style w:type="paragraph" w:customStyle="1" w:styleId="59">
    <w:name w:val="中文报告书"/>
    <w:basedOn w:val="1"/>
    <w:qFormat/>
    <w:uiPriority w:val="0"/>
    <w:pPr>
      <w:adjustRightInd w:val="0"/>
      <w:spacing w:after="80" w:line="420" w:lineRule="atLeast"/>
      <w:jc w:val="left"/>
      <w:textAlignment w:val="baseline"/>
    </w:pPr>
    <w:rPr>
      <w:sz w:val="24"/>
    </w:rPr>
  </w:style>
  <w:style w:type="paragraph" w:customStyle="1" w:styleId="60">
    <w:name w:val="表格内文字"/>
    <w:basedOn w:val="1"/>
    <w:qFormat/>
    <w:uiPriority w:val="0"/>
    <w:pPr>
      <w:adjustRightInd w:val="0"/>
      <w:snapToGrid w:val="0"/>
      <w:jc w:val="center"/>
    </w:pPr>
    <w:rPr>
      <w:rFonts w:eastAsia="华文中宋"/>
      <w:szCs w:val="20"/>
    </w:rPr>
  </w:style>
  <w:style w:type="character" w:customStyle="1" w:styleId="61">
    <w:name w:val="正文（首行缩进两字） Char"/>
    <w:basedOn w:val="25"/>
    <w:qFormat/>
    <w:uiPriority w:val="0"/>
    <w:rPr>
      <w:rFonts w:eastAsia="宋体"/>
      <w:kern w:val="2"/>
      <w:sz w:val="24"/>
      <w:lang w:val="en-US" w:eastAsia="zh-CN"/>
    </w:rPr>
  </w:style>
  <w:style w:type="paragraph" w:customStyle="1" w:styleId="62">
    <w:name w:val="我的正文"/>
    <w:basedOn w:val="1"/>
    <w:qFormat/>
    <w:uiPriority w:val="0"/>
    <w:pPr>
      <w:adjustRightInd w:val="0"/>
      <w:snapToGrid w:val="0"/>
      <w:spacing w:line="240" w:lineRule="auto"/>
      <w:ind w:firstLine="200" w:firstLineChars="200"/>
    </w:pPr>
    <w:rPr>
      <w:rFonts w:cs="Times New Roman"/>
      <w:sz w:val="21"/>
    </w:rPr>
  </w:style>
  <w:style w:type="paragraph" w:customStyle="1" w:styleId="63">
    <w:name w:val="+正文"/>
    <w:basedOn w:val="1"/>
    <w:qFormat/>
    <w:uiPriority w:val="0"/>
    <w:pPr>
      <w:spacing w:line="360" w:lineRule="auto"/>
      <w:ind w:firstLine="200" w:firstLineChars="200"/>
    </w:pPr>
    <w:rPr>
      <w:rFonts w:ascii="Times New Roman" w:hAnsi="Times New Roman"/>
      <w:sz w:val="24"/>
      <w:szCs w:val="28"/>
    </w:rPr>
  </w:style>
  <w:style w:type="paragraph" w:customStyle="1" w:styleId="64">
    <w:name w:val="Char Char Char Char Char Char2"/>
    <w:basedOn w:val="1"/>
    <w:qFormat/>
    <w:uiPriority w:val="0"/>
    <w:pPr>
      <w:widowControl/>
      <w:spacing w:line="240" w:lineRule="auto"/>
    </w:pPr>
    <w:rPr>
      <w:rFonts w:cs="Times New Roman"/>
      <w:szCs w:val="24"/>
    </w:rPr>
  </w:style>
  <w:style w:type="paragraph" w:customStyle="1" w:styleId="65">
    <w:name w:val="正文（缩进）"/>
    <w:basedOn w:val="66"/>
    <w:next w:val="1"/>
    <w:qFormat/>
    <w:uiPriority w:val="99"/>
    <w:pPr>
      <w:tabs>
        <w:tab w:val="left" w:pos="6678"/>
      </w:tabs>
      <w:ind w:firstLine="480"/>
    </w:pPr>
  </w:style>
  <w:style w:type="paragraph" w:customStyle="1" w:styleId="66">
    <w:name w:val="正文(首行缩进)"/>
    <w:basedOn w:val="1"/>
    <w:qFormat/>
    <w:uiPriority w:val="0"/>
    <w:pPr>
      <w:tabs>
        <w:tab w:val="left" w:pos="6678"/>
      </w:tabs>
      <w:ind w:firstLine="480" w:firstLineChars="200"/>
    </w:pPr>
    <w:rPr>
      <w:rFonts w:cs="Times New Roman"/>
      <w:snapToGrid w:val="0"/>
      <w:color w:val="FF0000"/>
    </w:rPr>
  </w:style>
  <w:style w:type="paragraph" w:customStyle="1" w:styleId="67">
    <w:name w:val="Default"/>
    <w:basedOn w:val="68"/>
    <w:qFormat/>
    <w:uiPriority w:val="0"/>
    <w:pPr>
      <w:widowControl w:val="0"/>
      <w:autoSpaceDE w:val="0"/>
      <w:autoSpaceDN w:val="0"/>
      <w:adjustRightInd w:val="0"/>
    </w:pPr>
    <w:rPr>
      <w:rFonts w:ascii="Calibri" w:hAnsi="Calibri"/>
      <w:color w:val="000000"/>
      <w:sz w:val="24"/>
      <w:szCs w:val="24"/>
      <w:lang w:val="en-US" w:eastAsia="zh-CN" w:bidi="ar-SA"/>
    </w:rPr>
  </w:style>
  <w:style w:type="paragraph" w:customStyle="1" w:styleId="68">
    <w:name w:val="纯文本1"/>
    <w:basedOn w:val="1"/>
    <w:qFormat/>
    <w:uiPriority w:val="0"/>
    <w:pPr>
      <w:adjustRightInd w:val="0"/>
      <w:ind w:firstLine="0"/>
      <w:jc w:val="center"/>
      <w:textAlignment w:val="baseline"/>
    </w:pPr>
    <w:rPr>
      <w:rFonts w:ascii="宋体" w:hAnsi="Courier New" w:eastAsia="宋体" w:cs="Times New Roman"/>
    </w:rPr>
  </w:style>
  <w:style w:type="paragraph" w:customStyle="1" w:styleId="69">
    <w:name w:val="样式 样式 样式 小四 首行缩进:  2.25 字符 + 首行缩进:  2.25 字符 + 首行缩进:  2 字符"/>
    <w:basedOn w:val="1"/>
    <w:qFormat/>
    <w:uiPriority w:val="0"/>
    <w:pPr>
      <w:spacing w:line="440" w:lineRule="exact"/>
      <w:ind w:firstLine="200" w:firstLineChars="200"/>
    </w:pPr>
    <w:rPr>
      <w:sz w:val="24"/>
      <w:szCs w:val="20"/>
    </w:rPr>
  </w:style>
  <w:style w:type="paragraph" w:customStyle="1" w:styleId="70">
    <w:name w:val="LZ无间隔"/>
    <w:basedOn w:val="1"/>
    <w:qFormat/>
    <w:uiPriority w:val="0"/>
    <w:pPr>
      <w:widowControl/>
      <w:jc w:val="center"/>
    </w:pPr>
    <w:rPr>
      <w:kern w:val="0"/>
      <w:szCs w:val="20"/>
    </w:rPr>
  </w:style>
  <w:style w:type="paragraph" w:customStyle="1" w:styleId="71">
    <w:name w:val="样式 标题 1 + 四号 段前: 0 磅 段后: 0 磅 行距: 1.5 倍行距"/>
    <w:basedOn w:val="45"/>
    <w:next w:val="1"/>
    <w:qFormat/>
    <w:uiPriority w:val="0"/>
    <w:pPr>
      <w:keepLines/>
      <w:spacing w:before="340" w:after="330"/>
      <w:jc w:val="center"/>
    </w:pPr>
    <w:rPr>
      <w:rFonts w:ascii="Calibri" w:hAnsi="黑体"/>
      <w:b/>
      <w:kern w:val="44"/>
      <w:sz w:val="21"/>
      <w:szCs w:val="24"/>
    </w:rPr>
  </w:style>
  <w:style w:type="paragraph" w:customStyle="1" w:styleId="72">
    <w:name w:val="表头格式"/>
    <w:basedOn w:val="1"/>
    <w:next w:val="1"/>
    <w:qFormat/>
    <w:uiPriority w:val="0"/>
    <w:pPr>
      <w:jc w:val="center"/>
    </w:pPr>
    <w:rPr>
      <w:b/>
      <w:szCs w:val="21"/>
    </w:rPr>
  </w:style>
  <w:style w:type="paragraph" w:customStyle="1" w:styleId="73">
    <w:name w:val="List Paragraph"/>
    <w:basedOn w:val="1"/>
    <w:qFormat/>
    <w:uiPriority w:val="99"/>
    <w:pPr>
      <w:ind w:firstLine="420" w:firstLineChars="200"/>
    </w:pPr>
    <w:rPr>
      <w:kern w:val="0"/>
      <w:sz w:val="24"/>
    </w:rPr>
  </w:style>
  <w:style w:type="paragraph" w:customStyle="1" w:styleId="74">
    <w:name w:val="BHT正文"/>
    <w:basedOn w:val="1"/>
    <w:qFormat/>
    <w:uiPriority w:val="0"/>
    <w:pPr>
      <w:suppressAutoHyphens/>
      <w:adjustRightInd w:val="0"/>
      <w:spacing w:line="360" w:lineRule="auto"/>
      <w:ind w:firstLine="480" w:firstLineChars="200"/>
      <w:textAlignment w:val="baseline"/>
    </w:pPr>
    <w:rPr>
      <w:color w:val="000000"/>
      <w:sz w:val="24"/>
      <w:szCs w:val="24"/>
    </w:rPr>
  </w:style>
  <w:style w:type="paragraph" w:customStyle="1" w:styleId="75">
    <w:name w:val="正文2"/>
    <w:basedOn w:val="1"/>
    <w:qFormat/>
    <w:uiPriority w:val="0"/>
    <w:pPr>
      <w:spacing w:line="360" w:lineRule="auto"/>
      <w:ind w:firstLine="200" w:firstLineChars="200"/>
      <w:jc w:val="left"/>
    </w:pPr>
    <w:rPr>
      <w:sz w:val="24"/>
      <w:szCs w:val="24"/>
    </w:rPr>
  </w:style>
  <w:style w:type="paragraph" w:customStyle="1" w:styleId="76">
    <w:name w:val="pra"/>
    <w:basedOn w:val="1"/>
    <w:qFormat/>
    <w:uiPriority w:val="0"/>
    <w:pPr>
      <w:widowControl/>
      <w:spacing w:line="360" w:lineRule="auto"/>
      <w:ind w:firstLine="420"/>
      <w:jc w:val="left"/>
    </w:pPr>
    <w:rPr>
      <w:rFonts w:ascii="宋体" w:hAnsi="宋体" w:cs="宋体"/>
      <w:color w:val="333333"/>
      <w:kern w:val="0"/>
      <w:szCs w:val="21"/>
    </w:rPr>
  </w:style>
  <w:style w:type="paragraph" w:customStyle="1" w:styleId="77">
    <w:name w:val="正文▲"/>
    <w:basedOn w:val="1"/>
    <w:qFormat/>
    <w:uiPriority w:val="0"/>
    <w:pPr>
      <w:widowControl/>
      <w:spacing w:line="360" w:lineRule="auto"/>
      <w:ind w:firstLine="200" w:firstLineChars="200"/>
      <w:jc w:val="left"/>
    </w:pPr>
    <w:rPr>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footer" Target="footer2.xml"/><Relationship Id="rId69" Type="http://schemas.openxmlformats.org/officeDocument/2006/relationships/customXml" Target="../customXml/item1.xml"/><Relationship Id="rId68" Type="http://schemas.openxmlformats.org/officeDocument/2006/relationships/image" Target="media/image24.wmf"/><Relationship Id="rId67" Type="http://schemas.openxmlformats.org/officeDocument/2006/relationships/oleObject" Target="embeddings/oleObject6.bin"/><Relationship Id="rId66" Type="http://schemas.openxmlformats.org/officeDocument/2006/relationships/image" Target="media/image23.png"/><Relationship Id="rId65" Type="http://schemas.openxmlformats.org/officeDocument/2006/relationships/image" Target="media/image22.png"/><Relationship Id="rId64" Type="http://schemas.openxmlformats.org/officeDocument/2006/relationships/image" Target="media/image21.png"/><Relationship Id="rId63" Type="http://schemas.openxmlformats.org/officeDocument/2006/relationships/image" Target="media/image20.wmf"/><Relationship Id="rId62" Type="http://schemas.openxmlformats.org/officeDocument/2006/relationships/oleObject" Target="embeddings/oleObject5.bin"/><Relationship Id="rId61" Type="http://schemas.openxmlformats.org/officeDocument/2006/relationships/chart" Target="charts/chart2.xml"/><Relationship Id="rId60" Type="http://schemas.openxmlformats.org/officeDocument/2006/relationships/chart" Target="charts/chart1.xml"/><Relationship Id="rId6" Type="http://schemas.openxmlformats.org/officeDocument/2006/relationships/footer" Target="footer1.xml"/><Relationship Id="rId59" Type="http://schemas.openxmlformats.org/officeDocument/2006/relationships/image" Target="media/image19.png"/><Relationship Id="rId58" Type="http://schemas.openxmlformats.org/officeDocument/2006/relationships/image" Target="media/image18.jpeg"/><Relationship Id="rId57" Type="http://schemas.openxmlformats.org/officeDocument/2006/relationships/image" Target="media/image17.jpeg"/><Relationship Id="rId56" Type="http://schemas.openxmlformats.org/officeDocument/2006/relationships/image" Target="media/image16.png"/><Relationship Id="rId55" Type="http://schemas.openxmlformats.org/officeDocument/2006/relationships/image" Target="media/image15.png"/><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3.xml"/><Relationship Id="rId49" Type="http://schemas.openxmlformats.org/officeDocument/2006/relationships/image" Target="media/image9.png"/><Relationship Id="rId48" Type="http://schemas.openxmlformats.org/officeDocument/2006/relationships/image" Target="media/image8.emf"/><Relationship Id="rId47" Type="http://schemas.openxmlformats.org/officeDocument/2006/relationships/oleObject" Target="embeddings/oleObject4.bin"/><Relationship Id="rId46" Type="http://schemas.openxmlformats.org/officeDocument/2006/relationships/image" Target="media/image7.png"/><Relationship Id="rId45" Type="http://schemas.openxmlformats.org/officeDocument/2006/relationships/image" Target="media/image6.emf"/><Relationship Id="rId44" Type="http://schemas.openxmlformats.org/officeDocument/2006/relationships/oleObject" Target="embeddings/oleObject3.bin"/><Relationship Id="rId43" Type="http://schemas.openxmlformats.org/officeDocument/2006/relationships/image" Target="media/image5.emf"/><Relationship Id="rId42" Type="http://schemas.openxmlformats.org/officeDocument/2006/relationships/oleObject" Target="embeddings/oleObject2.bin"/><Relationship Id="rId41" Type="http://schemas.openxmlformats.org/officeDocument/2006/relationships/image" Target="media/image4.emf"/><Relationship Id="rId40" Type="http://schemas.openxmlformats.org/officeDocument/2006/relationships/oleObject" Target="embeddings/oleObject1.bin"/><Relationship Id="rId4" Type="http://schemas.openxmlformats.org/officeDocument/2006/relationships/header" Target="header2.xml"/><Relationship Id="rId39" Type="http://schemas.openxmlformats.org/officeDocument/2006/relationships/image" Target="media/image3.png"/><Relationship Id="rId38" Type="http://schemas.openxmlformats.org/officeDocument/2006/relationships/image" Target="media/image2.wmf"/><Relationship Id="rId37" Type="http://schemas.openxmlformats.org/officeDocument/2006/relationships/image" Target="media/image1.jpe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6&#26032;&#21736;&#20108;&#22330;&#22521;&#32946;&#22522;&#22320;\&#22320;&#19979;&#27700;&#19977;&#32423;&#39044;&#27979;&#20844;&#24335;-&#19968;&#32500;&#36830;&#32493;&#39044;&#2797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6&#26032;&#21736;&#20108;&#22330;&#22521;&#32946;&#22522;&#22320;\&#22320;&#19979;&#27700;&#19977;&#32423;&#39044;&#27979;&#20844;&#24335;-&#19968;&#32500;&#36830;&#32493;&#39044;&#279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"距离25m预测"</c:f>
              <c:strCache>
                <c:ptCount val="1"/>
                <c:pt idx="0">
                  <c:v>距离25m预测</c:v>
                </c:pt>
              </c:strCache>
            </c:strRef>
          </c:tx>
          <c:spPr>
            <a:ln w="31750" cap="rnd" cmpd="sng" algn="ctr">
              <a:solidFill>
                <a:schemeClr val="accent1">
                  <a:shade val="76667"/>
                  <a:shade val="95000"/>
                  <a:satMod val="105000"/>
                </a:schemeClr>
              </a:solidFill>
              <a:prstDash val="sysDot"/>
              <a:round/>
            </a:ln>
            <a:sp3d contourW="31750"/>
          </c:spPr>
          <c:marker>
            <c:symbol val="none"/>
          </c:marker>
          <c:dLbls>
            <c:delete val="1"/>
          </c:dLbls>
          <c:cat>
            <c:numRef>
              <c:f>'[地下水三级预测公式-一维连续预测.xlsx]相同距离，不同时间'!$B$9:$B$62</c:f>
              <c:numCache>
                <c:formatCode>General</c:formatCode>
                <c:ptCount val="54"/>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pt idx="25">
                  <c:v>500</c:v>
                </c:pt>
                <c:pt idx="26">
                  <c:v>520</c:v>
                </c:pt>
                <c:pt idx="27">
                  <c:v>540</c:v>
                </c:pt>
                <c:pt idx="28">
                  <c:v>560</c:v>
                </c:pt>
                <c:pt idx="29">
                  <c:v>580</c:v>
                </c:pt>
                <c:pt idx="30">
                  <c:v>600</c:v>
                </c:pt>
                <c:pt idx="31">
                  <c:v>620</c:v>
                </c:pt>
                <c:pt idx="32">
                  <c:v>640</c:v>
                </c:pt>
                <c:pt idx="33">
                  <c:v>660</c:v>
                </c:pt>
                <c:pt idx="34">
                  <c:v>680</c:v>
                </c:pt>
                <c:pt idx="35">
                  <c:v>700</c:v>
                </c:pt>
                <c:pt idx="36">
                  <c:v>720</c:v>
                </c:pt>
                <c:pt idx="37">
                  <c:v>740</c:v>
                </c:pt>
                <c:pt idx="38">
                  <c:v>760</c:v>
                </c:pt>
                <c:pt idx="39">
                  <c:v>780</c:v>
                </c:pt>
                <c:pt idx="40">
                  <c:v>800</c:v>
                </c:pt>
                <c:pt idx="41">
                  <c:v>820</c:v>
                </c:pt>
                <c:pt idx="42">
                  <c:v>840</c:v>
                </c:pt>
                <c:pt idx="43">
                  <c:v>860</c:v>
                </c:pt>
                <c:pt idx="44">
                  <c:v>880</c:v>
                </c:pt>
                <c:pt idx="45">
                  <c:v>900</c:v>
                </c:pt>
                <c:pt idx="46">
                  <c:v>920</c:v>
                </c:pt>
                <c:pt idx="47">
                  <c:v>940</c:v>
                </c:pt>
                <c:pt idx="48">
                  <c:v>960</c:v>
                </c:pt>
                <c:pt idx="49">
                  <c:v>980</c:v>
                </c:pt>
                <c:pt idx="50">
                  <c:v>1000</c:v>
                </c:pt>
                <c:pt idx="51">
                  <c:v>1020</c:v>
                </c:pt>
                <c:pt idx="52">
                  <c:v>1040</c:v>
                </c:pt>
                <c:pt idx="53">
                  <c:v>1060</c:v>
                </c:pt>
              </c:numCache>
            </c:numRef>
          </c:cat>
          <c:val>
            <c:numRef>
              <c:f>'[地下水三级预测公式-一维连续预测.xlsx]相同距离，不同时间'!$C$9:$C$62</c:f>
              <c:numCache>
                <c:formatCode>General</c:formatCode>
                <c:ptCount val="54"/>
                <c:pt idx="0">
                  <c:v>0</c:v>
                </c:pt>
                <c:pt idx="1">
                  <c:v>6.35884956149396e-50</c:v>
                </c:pt>
                <c:pt idx="2">
                  <c:v>4.47374082543417e-24</c:v>
                </c:pt>
                <c:pt idx="3">
                  <c:v>1.99353367016044e-15</c:v>
                </c:pt>
                <c:pt idx="4">
                  <c:v>4.35626972241805e-11</c:v>
                </c:pt>
                <c:pt idx="5">
                  <c:v>1.78278472924611e-8</c:v>
                </c:pt>
                <c:pt idx="6">
                  <c:v>9.94306642937909e-7</c:v>
                </c:pt>
                <c:pt idx="7">
                  <c:v>1.77141934407299e-5</c:v>
                </c:pt>
                <c:pt idx="8">
                  <c:v>0.000154432081850041</c:v>
                </c:pt>
                <c:pt idx="9">
                  <c:v>0.000835261711787892</c:v>
                </c:pt>
                <c:pt idx="10">
                  <c:v>0.00323217712835511</c:v>
                </c:pt>
                <c:pt idx="11">
                  <c:v>0.00979969473761558</c:v>
                </c:pt>
                <c:pt idx="12">
                  <c:v>0.0247352157318669</c:v>
                </c:pt>
                <c:pt idx="13">
                  <c:v>0.0542082598060469</c:v>
                </c:pt>
                <c:pt idx="14">
                  <c:v>0.106297462915076</c:v>
                </c:pt>
                <c:pt idx="15">
                  <c:v>0.190668490897275</c:v>
                </c:pt>
                <c:pt idx="16">
                  <c:v>0.31807995020556</c:v>
                </c:pt>
                <c:pt idx="17">
                  <c:v>0.499816070926936</c:v>
                </c:pt>
                <c:pt idx="18">
                  <c:v>0.747129530025414</c:v>
                </c:pt>
                <c:pt idx="19">
                  <c:v>1.07075149087977</c:v>
                </c:pt>
                <c:pt idx="20">
                  <c:v>1.48049968393582</c:v>
                </c:pt>
                <c:pt idx="21">
                  <c:v>1.98499440629918</c:v>
                </c:pt>
                <c:pt idx="22">
                  <c:v>2.59147804181321</c:v>
                </c:pt>
                <c:pt idx="23">
                  <c:v>3.30572542041133</c:v>
                </c:pt>
                <c:pt idx="24">
                  <c:v>4.13202861123037</c:v>
                </c:pt>
                <c:pt idx="25">
                  <c:v>5.07323909147966</c:v>
                </c:pt>
                <c:pt idx="26">
                  <c:v>6.13085141854783</c:v>
                </c:pt>
                <c:pt idx="27">
                  <c:v>7.30511465272276</c:v>
                </c:pt>
                <c:pt idx="28">
                  <c:v>8.59516023015637</c:v>
                </c:pt>
                <c:pt idx="29">
                  <c:v>9.99913740434091</c:v>
                </c:pt>
                <c:pt idx="30">
                  <c:v>11.5143495612997</c:v>
                </c:pt>
                <c:pt idx="31">
                  <c:v>13.1373865816735</c:v>
                </c:pt>
                <c:pt idx="32">
                  <c:v>14.8642499526233</c:v>
                </c:pt>
                <c:pt idx="33">
                  <c:v>16.6904685429049</c:v>
                </c:pt>
                <c:pt idx="34">
                  <c:v>18.6112038832245</c:v>
                </c:pt>
                <c:pt idx="35">
                  <c:v>20.621344485336</c:v>
                </c:pt>
                <c:pt idx="36">
                  <c:v>22.7155892312978</c:v>
                </c:pt>
                <c:pt idx="37">
                  <c:v>24.8885202089735</c:v>
                </c:pt>
                <c:pt idx="38">
                  <c:v>27.1346655958931</c:v>
                </c:pt>
                <c:pt idx="39">
                  <c:v>29.4485533298703</c:v>
                </c:pt>
                <c:pt idx="40">
                  <c:v>31.824756374668</c:v>
                </c:pt>
                <c:pt idx="41">
                  <c:v>34.2579304110547</c:v>
                </c:pt>
                <c:pt idx="42">
                  <c:v>36.7428447721983</c:v>
                </c:pt>
                <c:pt idx="43">
                  <c:v>39.2744074084844</c:v>
                </c:pt>
                <c:pt idx="44">
                  <c:v>41.8476846187883</c:v>
                </c:pt>
                <c:pt idx="45">
                  <c:v>44.4579162290546</c:v>
                </c:pt>
                <c:pt idx="46">
                  <c:v>47.1005268391248</c:v>
                </c:pt>
                <c:pt idx="47">
                  <c:v>49.7711336982261</c:v>
                </c:pt>
                <c:pt idx="48">
                  <c:v>52.4655517104786</c:v>
                </c:pt>
                <c:pt idx="49">
                  <c:v>55.1797960155988</c:v>
                </c:pt>
                <c:pt idx="50">
                  <c:v>57.9100825375007</c:v>
                </c:pt>
                <c:pt idx="51">
                  <c:v>60.6528268451766</c:v>
                </c:pt>
                <c:pt idx="52">
                  <c:v>63.4046416262479</c:v>
                </c:pt>
                <c:pt idx="53">
                  <c:v>66.1623330338964</c:v>
                </c:pt>
              </c:numCache>
            </c:numRef>
          </c:val>
          <c:smooth val="0"/>
        </c:ser>
        <c:ser>
          <c:idx val="5"/>
          <c:order val="4"/>
          <c:tx>
            <c:strRef>
              <c:f>"标准值"</c:f>
              <c:strCache>
                <c:ptCount val="1"/>
                <c:pt idx="0">
                  <c:v>标准值</c:v>
                </c:pt>
              </c:strCache>
            </c:strRef>
          </c:tx>
          <c:marker>
            <c:symbol val="none"/>
          </c:marker>
          <c:dLbls>
            <c:delete val="1"/>
          </c:dLbls>
          <c:cat>
            <c:numRef>
              <c:f>'[地下水三级预测公式-一维连续预测.xlsx]相同距离，不同时间'!$B$9:$B$62</c:f>
              <c:numCache>
                <c:formatCode>General</c:formatCode>
                <c:ptCount val="54"/>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pt idx="25">
                  <c:v>500</c:v>
                </c:pt>
                <c:pt idx="26">
                  <c:v>520</c:v>
                </c:pt>
                <c:pt idx="27">
                  <c:v>540</c:v>
                </c:pt>
                <c:pt idx="28">
                  <c:v>560</c:v>
                </c:pt>
                <c:pt idx="29">
                  <c:v>580</c:v>
                </c:pt>
                <c:pt idx="30">
                  <c:v>600</c:v>
                </c:pt>
                <c:pt idx="31">
                  <c:v>620</c:v>
                </c:pt>
                <c:pt idx="32">
                  <c:v>640</c:v>
                </c:pt>
                <c:pt idx="33">
                  <c:v>660</c:v>
                </c:pt>
                <c:pt idx="34">
                  <c:v>680</c:v>
                </c:pt>
                <c:pt idx="35">
                  <c:v>700</c:v>
                </c:pt>
                <c:pt idx="36">
                  <c:v>720</c:v>
                </c:pt>
                <c:pt idx="37">
                  <c:v>740</c:v>
                </c:pt>
                <c:pt idx="38">
                  <c:v>760</c:v>
                </c:pt>
                <c:pt idx="39">
                  <c:v>780</c:v>
                </c:pt>
                <c:pt idx="40">
                  <c:v>800</c:v>
                </c:pt>
                <c:pt idx="41">
                  <c:v>820</c:v>
                </c:pt>
                <c:pt idx="42">
                  <c:v>840</c:v>
                </c:pt>
                <c:pt idx="43">
                  <c:v>860</c:v>
                </c:pt>
                <c:pt idx="44">
                  <c:v>880</c:v>
                </c:pt>
                <c:pt idx="45">
                  <c:v>900</c:v>
                </c:pt>
                <c:pt idx="46">
                  <c:v>920</c:v>
                </c:pt>
                <c:pt idx="47">
                  <c:v>940</c:v>
                </c:pt>
                <c:pt idx="48">
                  <c:v>960</c:v>
                </c:pt>
                <c:pt idx="49">
                  <c:v>980</c:v>
                </c:pt>
                <c:pt idx="50">
                  <c:v>1000</c:v>
                </c:pt>
                <c:pt idx="51">
                  <c:v>1020</c:v>
                </c:pt>
                <c:pt idx="52">
                  <c:v>1040</c:v>
                </c:pt>
                <c:pt idx="53">
                  <c:v>1060</c:v>
                </c:pt>
              </c:numCache>
            </c:numRef>
          </c:cat>
          <c:val>
            <c:numRef>
              <c:f>'[地下水三级预测公式-一维连续预测.xlsx]相同距离，不同时间'!$G$9:$G$62</c:f>
              <c:numCache>
                <c:formatCode>General</c:formatCode>
                <c:ptCount val="54"/>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numCache>
            </c:numRef>
          </c:val>
          <c:smooth val="0"/>
        </c:ser>
        <c:dLbls>
          <c:showLegendKey val="0"/>
          <c:showVal val="0"/>
          <c:showCatName val="0"/>
          <c:showSerName val="0"/>
          <c:showPercent val="0"/>
          <c:showBubbleSize val="0"/>
        </c:dLbls>
        <c:marker val="0"/>
        <c:smooth val="0"/>
        <c:axId val="236814336"/>
        <c:axId val="236816256"/>
        <c:extLst>
          <c:ext xmlns:c15="http://schemas.microsoft.com/office/drawing/2012/chart" uri="{02D57815-91ED-43cb-92C2-25804820EDAC}">
            <c15:filteredLineSeries>
              <c15:ser>
                <c:idx val="1"/>
                <c:order val="1"/>
                <c:tx>
                  <c:strRef>
                    <c:extLst>
                      <c:ext uri="{02D57815-91ED-43cb-92C2-25804820EDAC}">
                        <c15:formulaRef>
                          <c15:sqref>"距离7300m预测"</c15:sqref>
                        </c15:formulaRef>
                      </c:ext>
                    </c:extLst>
                    <c:strCache>
                      <c:ptCount val="1"/>
                      <c:pt idx="0">
                        <c:v>距离7300m预测</c:v>
                      </c:pt>
                    </c:strCache>
                  </c:strRef>
                </c:tx>
                <c:spPr>
                  <a:ln w="31750" cap="rnd" cmpd="sng" algn="ctr">
                    <a:solidFill>
                      <a:schemeClr val="accent2">
                        <a:shade val="76667"/>
                        <a:shade val="95000"/>
                        <a:satMod val="105000"/>
                      </a:schemeClr>
                    </a:solidFill>
                    <a:prstDash val="sysDot"/>
                    <a:round/>
                  </a:ln>
                  <a:sp3d contourW="31750"/>
                </c:spPr>
                <c:marker>
                  <c:symbol val="none"/>
                </c:marker>
                <c:dLbls>
                  <c:delete val="1"/>
                </c:dLbls>
                <c:cat>
                  <c:numRef>
                    <c:extLst>
                      <c:ext uri="{02D57815-91ED-43cb-92C2-25804820EDAC}">
                        <c15:fullRef>
                          <c15:sqref/>
                        </c15:fullRef>
                        <c15:formulaRef>
                          <c15:sqref>'[地下水三级预测公式-一维连续预测.xlsx]相同距离，不同时间'!$B$9:$B$62</c15:sqref>
                        </c15:formulaRef>
                      </c:ext>
                    </c:extLst>
                    <c:numCache>
                      <c:formatCode>General</c:formatCode>
                      <c:ptCount val="54"/>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pt idx="25">
                        <c:v>500</c:v>
                      </c:pt>
                      <c:pt idx="26">
                        <c:v>520</c:v>
                      </c:pt>
                      <c:pt idx="27">
                        <c:v>540</c:v>
                      </c:pt>
                      <c:pt idx="28">
                        <c:v>560</c:v>
                      </c:pt>
                      <c:pt idx="29">
                        <c:v>580</c:v>
                      </c:pt>
                      <c:pt idx="30">
                        <c:v>600</c:v>
                      </c:pt>
                      <c:pt idx="31">
                        <c:v>620</c:v>
                      </c:pt>
                      <c:pt idx="32">
                        <c:v>640</c:v>
                      </c:pt>
                      <c:pt idx="33">
                        <c:v>660</c:v>
                      </c:pt>
                      <c:pt idx="34">
                        <c:v>680</c:v>
                      </c:pt>
                      <c:pt idx="35">
                        <c:v>700</c:v>
                      </c:pt>
                      <c:pt idx="36">
                        <c:v>720</c:v>
                      </c:pt>
                      <c:pt idx="37">
                        <c:v>740</c:v>
                      </c:pt>
                      <c:pt idx="38">
                        <c:v>760</c:v>
                      </c:pt>
                      <c:pt idx="39">
                        <c:v>780</c:v>
                      </c:pt>
                      <c:pt idx="40">
                        <c:v>800</c:v>
                      </c:pt>
                      <c:pt idx="41">
                        <c:v>820</c:v>
                      </c:pt>
                      <c:pt idx="42">
                        <c:v>840</c:v>
                      </c:pt>
                      <c:pt idx="43">
                        <c:v>860</c:v>
                      </c:pt>
                      <c:pt idx="44">
                        <c:v>880</c:v>
                      </c:pt>
                      <c:pt idx="45">
                        <c:v>900</c:v>
                      </c:pt>
                      <c:pt idx="46">
                        <c:v>920</c:v>
                      </c:pt>
                      <c:pt idx="47">
                        <c:v>940</c:v>
                      </c:pt>
                      <c:pt idx="48">
                        <c:v>960</c:v>
                      </c:pt>
                      <c:pt idx="49">
                        <c:v>980</c:v>
                      </c:pt>
                      <c:pt idx="50">
                        <c:v>1000</c:v>
                      </c:pt>
                      <c:pt idx="51">
                        <c:v>1020</c:v>
                      </c:pt>
                      <c:pt idx="52">
                        <c:v>1040</c:v>
                      </c:pt>
                      <c:pt idx="53">
                        <c:v>1060</c:v>
                      </c:pt>
                    </c:numCache>
                  </c:numRef>
                </c:cat>
                <c:val>
                  <c:numRef>
                    <c:extLst>
                      <c:ext uri="{02D57815-91ED-43cb-92C2-25804820EDAC}">
                        <c15:formulaRef>
                          <c15:sqref>{0,0,0,0,0,0,0,0,0,0,0,0,0,0,0,0,0,0,0,0,0,0,0,0,0,0,0,0,0,0,0,0,0,0,0,0,0,0,0,0,0,0,0,0,0,0,0,0,0,0,0,0,0,0}</c15:sqref>
                        </c15:formulaRef>
                      </c:ext>
                    </c:extLst>
                    <c:numCache>
                      <c:formatCode>General</c:formatCode>
                      <c:ptCount val="5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numCache>
                  </c:numRef>
                </c:val>
                <c:smooth val="0"/>
              </c15:ser>
            </c15:filteredLineSeries>
            <c15:filteredLineSeries>
              <c15:ser>
                <c:idx val="2"/>
                <c:order val="2"/>
                <c:tx>
                  <c:strRef>
                    <c:extLst>
                      <c:ext uri="{02D57815-91ED-43cb-92C2-25804820EDAC}">
                        <c15:formulaRef>
                          <c15:sqref>"距离7900m预测"</c15:sqref>
                        </c15:formulaRef>
                      </c:ext>
                    </c:extLst>
                    <c:strCache>
                      <c:ptCount val="1"/>
                      <c:pt idx="0">
                        <c:v>距离7900m预测</c:v>
                      </c:pt>
                    </c:strCache>
                  </c:strRef>
                </c:tx>
                <c:spPr>
                  <a:ln w="31750" cap="rnd" cmpd="sng" algn="ctr">
                    <a:solidFill>
                      <a:schemeClr val="accent3">
                        <a:shade val="76667"/>
                        <a:shade val="95000"/>
                        <a:satMod val="105000"/>
                      </a:schemeClr>
                    </a:solidFill>
                    <a:prstDash val="sysDot"/>
                    <a:round/>
                  </a:ln>
                  <a:sp3d contourW="31750"/>
                </c:spPr>
                <c:marker>
                  <c:symbol val="none"/>
                </c:marker>
                <c:dLbls>
                  <c:delete val="1"/>
                </c:dLbls>
                <c:cat>
                  <c:numRef>
                    <c:extLst>
                      <c:ext uri="{02D57815-91ED-43cb-92C2-25804820EDAC}">
                        <c15:fullRef>
                          <c15:sqref/>
                        </c15:fullRef>
                        <c15:formulaRef>
                          <c15:sqref>'[地下水三级预测公式-一维连续预测.xlsx]相同距离，不同时间'!$B$9:$B$62</c15:sqref>
                        </c15:formulaRef>
                      </c:ext>
                    </c:extLst>
                    <c:numCache>
                      <c:formatCode>General</c:formatCode>
                      <c:ptCount val="54"/>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pt idx="25">
                        <c:v>500</c:v>
                      </c:pt>
                      <c:pt idx="26">
                        <c:v>520</c:v>
                      </c:pt>
                      <c:pt idx="27">
                        <c:v>540</c:v>
                      </c:pt>
                      <c:pt idx="28">
                        <c:v>560</c:v>
                      </c:pt>
                      <c:pt idx="29">
                        <c:v>580</c:v>
                      </c:pt>
                      <c:pt idx="30">
                        <c:v>600</c:v>
                      </c:pt>
                      <c:pt idx="31">
                        <c:v>620</c:v>
                      </c:pt>
                      <c:pt idx="32">
                        <c:v>640</c:v>
                      </c:pt>
                      <c:pt idx="33">
                        <c:v>660</c:v>
                      </c:pt>
                      <c:pt idx="34">
                        <c:v>680</c:v>
                      </c:pt>
                      <c:pt idx="35">
                        <c:v>700</c:v>
                      </c:pt>
                      <c:pt idx="36">
                        <c:v>720</c:v>
                      </c:pt>
                      <c:pt idx="37">
                        <c:v>740</c:v>
                      </c:pt>
                      <c:pt idx="38">
                        <c:v>760</c:v>
                      </c:pt>
                      <c:pt idx="39">
                        <c:v>780</c:v>
                      </c:pt>
                      <c:pt idx="40">
                        <c:v>800</c:v>
                      </c:pt>
                      <c:pt idx="41">
                        <c:v>820</c:v>
                      </c:pt>
                      <c:pt idx="42">
                        <c:v>840</c:v>
                      </c:pt>
                      <c:pt idx="43">
                        <c:v>860</c:v>
                      </c:pt>
                      <c:pt idx="44">
                        <c:v>880</c:v>
                      </c:pt>
                      <c:pt idx="45">
                        <c:v>900</c:v>
                      </c:pt>
                      <c:pt idx="46">
                        <c:v>920</c:v>
                      </c:pt>
                      <c:pt idx="47">
                        <c:v>940</c:v>
                      </c:pt>
                      <c:pt idx="48">
                        <c:v>960</c:v>
                      </c:pt>
                      <c:pt idx="49">
                        <c:v>980</c:v>
                      </c:pt>
                      <c:pt idx="50">
                        <c:v>1000</c:v>
                      </c:pt>
                      <c:pt idx="51">
                        <c:v>1020</c:v>
                      </c:pt>
                      <c:pt idx="52">
                        <c:v>1040</c:v>
                      </c:pt>
                      <c:pt idx="53">
                        <c:v>1060</c:v>
                      </c:pt>
                    </c:numCache>
                  </c:numRef>
                </c:cat>
                <c:val>
                  <c:numRef>
                    <c:extLst>
                      <c:ext uri="{02D57815-91ED-43cb-92C2-25804820EDAC}">
                        <c15:formulaRef>
                          <c15:sqref>{0,0,0,0,0,0,0,0,0,0,0,0,0,0,0,0,0,0,0,0,0,0,0,0,0,0,0,0,0,0,0,0,0,0,0,0,0,0,0,0,0,0,0,0,0,0,0,0,0,0,0,0,0,0}</c15:sqref>
                        </c15:formulaRef>
                      </c:ext>
                    </c:extLst>
                    <c:numCache>
                      <c:formatCode>General</c:formatCode>
                      <c:ptCount val="5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numCache>
                  </c:numRef>
                </c:val>
                <c:smooth val="0"/>
              </c15:ser>
            </c15:filteredLineSeries>
            <c15:filteredLineSeries>
              <c15:ser>
                <c:idx val="3"/>
                <c:order val="3"/>
                <c:tx>
                  <c:strRef>
                    <c:extLst>
                      <c:ext uri="{02D57815-91ED-43cb-92C2-25804820EDAC}">
                        <c15:formulaRef>
                          <c15:sqref>"距离800m预测"</c15:sqref>
                        </c15:formulaRef>
                      </c:ext>
                    </c:extLst>
                    <c:strCache>
                      <c:ptCount val="1"/>
                      <c:pt idx="0">
                        <c:v>距离800m预测</c:v>
                      </c:pt>
                    </c:strCache>
                  </c:strRef>
                </c:tx>
                <c:marker>
                  <c:symbol val="none"/>
                </c:marker>
                <c:dLbls>
                  <c:delete val="1"/>
                </c:dLbls>
                <c:val>
                  <c:numRef>
                    <c:extLst>
                      <c:ext uri="{02D57815-91ED-43cb-92C2-25804820EDAC}">
                        <c15:formulaRef>
                          <c15:sqref>{1}</c15:sqref>
                        </c15:formulaRef>
                      </c:ext>
                    </c:extLst>
                    <c:numCache>
                      <c:formatCode>General</c:formatCode>
                      <c:ptCount val="1"/>
                      <c:pt idx="0">
                        <c:v>1</c:v>
                      </c:pt>
                    </c:numCache>
                  </c:numRef>
                </c:val>
                <c:smooth val="0"/>
              </c15:ser>
            </c15:filteredLineSeries>
          </c:ext>
        </c:extLst>
      </c:lineChart>
      <c:catAx>
        <c:axId val="236814336"/>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时间</a:t>
                </a:r>
                <a:r>
                  <a:rPr lang="en-US" altLang="zh-CN"/>
                  <a:t>d</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6816256"/>
        <c:crosses val="autoZero"/>
        <c:auto val="1"/>
        <c:lblAlgn val="ctr"/>
        <c:lblOffset val="100"/>
        <c:noMultiLvlLbl val="0"/>
      </c:catAx>
      <c:valAx>
        <c:axId val="236816256"/>
        <c:scaling>
          <c:orientation val="minMax"/>
          <c:max val="10"/>
          <c:min val="0"/>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浓度</a:t>
                </a:r>
                <a:r>
                  <a:rPr lang="en-US" altLang="zh-CN"/>
                  <a:t>mg/L</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6814336"/>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9001086-ba71-4684-a461-106258fc1231}"/>
      </c:ext>
    </c:extLst>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"距离25m预测"</c:f>
              <c:strCache>
                <c:ptCount val="1"/>
                <c:pt idx="0">
                  <c:v>距离25m预测</c:v>
                </c:pt>
              </c:strCache>
            </c:strRef>
          </c:tx>
          <c:spPr>
            <a:ln w="31750" cap="rnd" cmpd="sng" algn="ctr">
              <a:solidFill>
                <a:schemeClr val="accent1">
                  <a:shade val="76667"/>
                  <a:shade val="95000"/>
                  <a:satMod val="105000"/>
                </a:schemeClr>
              </a:solidFill>
              <a:prstDash val="sysDot"/>
              <a:round/>
            </a:ln>
            <a:sp3d contourW="31750"/>
          </c:spPr>
          <c:marker>
            <c:symbol val="none"/>
          </c:marker>
          <c:dLbls>
            <c:delete val="1"/>
          </c:dLbls>
          <c:cat>
            <c:numRef>
              <c:f>'[地下水三级预测公式-一维连续预测.xlsx]相同距离，不同时间'!$B$9:$B$62</c:f>
              <c:numCache>
                <c:formatCode>General</c:formatCode>
                <c:ptCount val="54"/>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pt idx="25">
                  <c:v>500</c:v>
                </c:pt>
                <c:pt idx="26">
                  <c:v>520</c:v>
                </c:pt>
                <c:pt idx="27">
                  <c:v>540</c:v>
                </c:pt>
                <c:pt idx="28">
                  <c:v>560</c:v>
                </c:pt>
                <c:pt idx="29">
                  <c:v>580</c:v>
                </c:pt>
                <c:pt idx="30">
                  <c:v>600</c:v>
                </c:pt>
                <c:pt idx="31">
                  <c:v>620</c:v>
                </c:pt>
                <c:pt idx="32">
                  <c:v>640</c:v>
                </c:pt>
                <c:pt idx="33">
                  <c:v>660</c:v>
                </c:pt>
                <c:pt idx="34">
                  <c:v>680</c:v>
                </c:pt>
                <c:pt idx="35">
                  <c:v>700</c:v>
                </c:pt>
                <c:pt idx="36">
                  <c:v>720</c:v>
                </c:pt>
                <c:pt idx="37">
                  <c:v>740</c:v>
                </c:pt>
                <c:pt idx="38">
                  <c:v>760</c:v>
                </c:pt>
                <c:pt idx="39">
                  <c:v>780</c:v>
                </c:pt>
                <c:pt idx="40">
                  <c:v>800</c:v>
                </c:pt>
                <c:pt idx="41">
                  <c:v>820</c:v>
                </c:pt>
                <c:pt idx="42">
                  <c:v>840</c:v>
                </c:pt>
                <c:pt idx="43">
                  <c:v>860</c:v>
                </c:pt>
                <c:pt idx="44">
                  <c:v>880</c:v>
                </c:pt>
                <c:pt idx="45">
                  <c:v>900</c:v>
                </c:pt>
                <c:pt idx="46">
                  <c:v>920</c:v>
                </c:pt>
                <c:pt idx="47">
                  <c:v>940</c:v>
                </c:pt>
                <c:pt idx="48">
                  <c:v>960</c:v>
                </c:pt>
                <c:pt idx="49">
                  <c:v>980</c:v>
                </c:pt>
                <c:pt idx="50">
                  <c:v>1000</c:v>
                </c:pt>
                <c:pt idx="51">
                  <c:v>1020</c:v>
                </c:pt>
                <c:pt idx="52">
                  <c:v>1040</c:v>
                </c:pt>
                <c:pt idx="53">
                  <c:v>1060</c:v>
                </c:pt>
              </c:numCache>
            </c:numRef>
          </c:cat>
          <c:val>
            <c:numRef>
              <c:f>'[地下水三级预测公式-一维连续预测.xlsx]相同距离，不同时间'!$C$9:$C$62</c:f>
              <c:numCache>
                <c:formatCode>General</c:formatCode>
                <c:ptCount val="54"/>
                <c:pt idx="0">
                  <c:v>0</c:v>
                </c:pt>
                <c:pt idx="1">
                  <c:v>1.25980075316683e-49</c:v>
                </c:pt>
                <c:pt idx="2">
                  <c:v>8.86327315476076e-24</c:v>
                </c:pt>
                <c:pt idx="3">
                  <c:v>3.94954338020463e-15</c:v>
                </c:pt>
                <c:pt idx="4">
                  <c:v>8.63054208819928e-11</c:v>
                </c:pt>
                <c:pt idx="5">
                  <c:v>3.53201239142211e-8</c:v>
                </c:pt>
                <c:pt idx="6">
                  <c:v>1.96989761361435e-6</c:v>
                </c:pt>
                <c:pt idx="7">
                  <c:v>3.50949554987292e-5</c:v>
                </c:pt>
                <c:pt idx="8">
                  <c:v>0.000305957313734742</c:v>
                </c:pt>
                <c:pt idx="9">
                  <c:v>0.00165480142819196</c:v>
                </c:pt>
                <c:pt idx="10">
                  <c:v>0.00640351551218914</c:v>
                </c:pt>
                <c:pt idx="11">
                  <c:v>0.0194149314146577</c:v>
                </c:pt>
                <c:pt idx="12">
                  <c:v>0.0490048445200656</c:v>
                </c:pt>
                <c:pt idx="13">
                  <c:v>0.107396166352262</c:v>
                </c:pt>
                <c:pt idx="14">
                  <c:v>0.210594105970127</c:v>
                </c:pt>
                <c:pt idx="15">
                  <c:v>0.37774805979391</c:v>
                </c:pt>
                <c:pt idx="16">
                  <c:v>0.630172733229574</c:v>
                </c:pt>
                <c:pt idx="17">
                  <c:v>0.990224185223064</c:v>
                </c:pt>
                <c:pt idx="18">
                  <c:v>1.48019596239365</c:v>
                </c:pt>
                <c:pt idx="19">
                  <c:v>2.12134840055552</c:v>
                </c:pt>
                <c:pt idx="20">
                  <c:v>2.93313216305655</c:v>
                </c:pt>
                <c:pt idx="21">
                  <c:v>3.93262558565724</c:v>
                </c:pt>
                <c:pt idx="22">
                  <c:v>5.13417711383089</c:v>
                </c:pt>
                <c:pt idx="23">
                  <c:v>6.54922770875947</c:v>
                </c:pt>
                <c:pt idx="24">
                  <c:v>8.18628071979724</c:v>
                </c:pt>
                <c:pt idx="25">
                  <c:v>10.050985428471</c:v>
                </c:pt>
                <c:pt idx="26">
                  <c:v>12.1463028177472</c:v>
                </c:pt>
                <c:pt idx="27">
                  <c:v>14.4727263201805</c:v>
                </c:pt>
                <c:pt idx="28">
                  <c:v>17.0285351569107</c:v>
                </c:pt>
                <c:pt idx="29">
                  <c:v>19.8100626712228</c:v>
                </c:pt>
                <c:pt idx="30">
                  <c:v>22.81196639309</c:v>
                </c:pt>
                <c:pt idx="31">
                  <c:v>26.0274902719159</c:v>
                </c:pt>
                <c:pt idx="32">
                  <c:v>29.4487125453795</c:v>
                </c:pt>
                <c:pt idx="33">
                  <c:v>33.0667751103689</c:v>
                </c:pt>
                <c:pt idx="34">
                  <c:v>36.8720921020172</c:v>
                </c:pt>
                <c:pt idx="35">
                  <c:v>40.8545367565441</c:v>
                </c:pt>
                <c:pt idx="36">
                  <c:v>45.0036066201477</c:v>
                </c:pt>
                <c:pt idx="37">
                  <c:v>49.3085678490342</c:v>
                </c:pt>
                <c:pt idx="38">
                  <c:v>53.7585797934884</c:v>
                </c:pt>
                <c:pt idx="39">
                  <c:v>58.3428013288744</c:v>
                </c:pt>
                <c:pt idx="40">
                  <c:v>63.0504805349384</c:v>
                </c:pt>
                <c:pt idx="41">
                  <c:v>67.8710293684694</c:v>
                </c:pt>
                <c:pt idx="42">
                  <c:v>72.7940849517947</c:v>
                </c:pt>
                <c:pt idx="43">
                  <c:v>77.809559032507</c:v>
                </c:pt>
                <c:pt idx="44">
                  <c:v>82.9076770746113</c:v>
                </c:pt>
                <c:pt idx="45">
                  <c:v>88.0790083299787</c:v>
                </c:pt>
                <c:pt idx="46">
                  <c:v>93.3144881203058</c:v>
                </c:pt>
                <c:pt idx="47">
                  <c:v>98.6054334398517</c:v>
                </c:pt>
                <c:pt idx="48">
                  <c:v>103.943552872236</c:v>
                </c:pt>
                <c:pt idx="49">
                  <c:v>109.320951703269</c:v>
                </c:pt>
                <c:pt idx="50">
                  <c:v>114.730133007827</c:v>
                </c:pt>
                <c:pt idx="51">
                  <c:v>120.163995393058</c:v>
                </c:pt>
                <c:pt idx="52">
                  <c:v>125.615827993033</c:v>
                </c:pt>
                <c:pt idx="53">
                  <c:v>131.079303231377</c:v>
                </c:pt>
              </c:numCache>
            </c:numRef>
          </c:val>
          <c:smooth val="0"/>
        </c:ser>
        <c:ser>
          <c:idx val="5"/>
          <c:order val="4"/>
          <c:tx>
            <c:strRef>
              <c:f>"标准值"</c:f>
              <c:strCache>
                <c:ptCount val="1"/>
                <c:pt idx="0">
                  <c:v>标准值</c:v>
                </c:pt>
              </c:strCache>
            </c:strRef>
          </c:tx>
          <c:marker>
            <c:symbol val="none"/>
          </c:marker>
          <c:dLbls>
            <c:delete val="1"/>
          </c:dLbls>
          <c:cat>
            <c:numRef>
              <c:f>'[地下水三级预测公式-一维连续预测.xlsx]相同距离，不同时间'!$B$9:$B$62</c:f>
              <c:numCache>
                <c:formatCode>General</c:formatCode>
                <c:ptCount val="54"/>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pt idx="25">
                  <c:v>500</c:v>
                </c:pt>
                <c:pt idx="26">
                  <c:v>520</c:v>
                </c:pt>
                <c:pt idx="27">
                  <c:v>540</c:v>
                </c:pt>
                <c:pt idx="28">
                  <c:v>560</c:v>
                </c:pt>
                <c:pt idx="29">
                  <c:v>580</c:v>
                </c:pt>
                <c:pt idx="30">
                  <c:v>600</c:v>
                </c:pt>
                <c:pt idx="31">
                  <c:v>620</c:v>
                </c:pt>
                <c:pt idx="32">
                  <c:v>640</c:v>
                </c:pt>
                <c:pt idx="33">
                  <c:v>660</c:v>
                </c:pt>
                <c:pt idx="34">
                  <c:v>680</c:v>
                </c:pt>
                <c:pt idx="35">
                  <c:v>700</c:v>
                </c:pt>
                <c:pt idx="36">
                  <c:v>720</c:v>
                </c:pt>
                <c:pt idx="37">
                  <c:v>740</c:v>
                </c:pt>
                <c:pt idx="38">
                  <c:v>760</c:v>
                </c:pt>
                <c:pt idx="39">
                  <c:v>780</c:v>
                </c:pt>
                <c:pt idx="40">
                  <c:v>800</c:v>
                </c:pt>
                <c:pt idx="41">
                  <c:v>820</c:v>
                </c:pt>
                <c:pt idx="42">
                  <c:v>840</c:v>
                </c:pt>
                <c:pt idx="43">
                  <c:v>860</c:v>
                </c:pt>
                <c:pt idx="44">
                  <c:v>880</c:v>
                </c:pt>
                <c:pt idx="45">
                  <c:v>900</c:v>
                </c:pt>
                <c:pt idx="46">
                  <c:v>920</c:v>
                </c:pt>
                <c:pt idx="47">
                  <c:v>940</c:v>
                </c:pt>
                <c:pt idx="48">
                  <c:v>960</c:v>
                </c:pt>
                <c:pt idx="49">
                  <c:v>980</c:v>
                </c:pt>
                <c:pt idx="50">
                  <c:v>1000</c:v>
                </c:pt>
                <c:pt idx="51">
                  <c:v>1020</c:v>
                </c:pt>
                <c:pt idx="52">
                  <c:v>1040</c:v>
                </c:pt>
                <c:pt idx="53">
                  <c:v>1060</c:v>
                </c:pt>
              </c:numCache>
            </c:numRef>
          </c:cat>
          <c:val>
            <c:numRef>
              <c:f>'[地下水三级预测公式-一维连续预测.xlsx]相同距离，不同时间'!$G$9:$G$62</c:f>
              <c:numCache>
                <c:formatCode>General</c:formatCode>
                <c:ptCount val="54"/>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numCache>
            </c:numRef>
          </c:val>
          <c:smooth val="0"/>
        </c:ser>
        <c:dLbls>
          <c:showLegendKey val="0"/>
          <c:showVal val="0"/>
          <c:showCatName val="0"/>
          <c:showSerName val="0"/>
          <c:showPercent val="0"/>
          <c:showBubbleSize val="0"/>
        </c:dLbls>
        <c:marker val="0"/>
        <c:smooth val="0"/>
        <c:axId val="236814336"/>
        <c:axId val="236816256"/>
        <c:extLst>
          <c:ext xmlns:c15="http://schemas.microsoft.com/office/drawing/2012/chart" uri="{02D57815-91ED-43cb-92C2-25804820EDAC}">
            <c15:filteredLineSeries>
              <c15:ser>
                <c:idx val="1"/>
                <c:order val="1"/>
                <c:tx>
                  <c:strRef>
                    <c:extLst>
                      <c:ext uri="{02D57815-91ED-43cb-92C2-25804820EDAC}">
                        <c15:formulaRef>
                          <c15:sqref>"距离7300m预测"</c15:sqref>
                        </c15:formulaRef>
                      </c:ext>
                    </c:extLst>
                    <c:strCache>
                      <c:ptCount val="1"/>
                      <c:pt idx="0">
                        <c:v>距离7300m预测</c:v>
                      </c:pt>
                    </c:strCache>
                  </c:strRef>
                </c:tx>
                <c:spPr>
                  <a:ln w="31750" cap="rnd" cmpd="sng" algn="ctr">
                    <a:solidFill>
                      <a:schemeClr val="accent2">
                        <a:shade val="76667"/>
                        <a:shade val="95000"/>
                        <a:satMod val="105000"/>
                      </a:schemeClr>
                    </a:solidFill>
                    <a:prstDash val="sysDot"/>
                    <a:round/>
                  </a:ln>
                  <a:sp3d contourW="31750"/>
                </c:spPr>
                <c:marker>
                  <c:symbol val="none"/>
                </c:marker>
                <c:dLbls>
                  <c:delete val="1"/>
                </c:dLbls>
                <c:cat>
                  <c:numRef>
                    <c:extLst>
                      <c:ext uri="{02D57815-91ED-43cb-92C2-25804820EDAC}">
                        <c15:fullRef>
                          <c15:sqref/>
                        </c15:fullRef>
                        <c15:formulaRef>
                          <c15:sqref>'[地下水三级预测公式-一维连续预测.xlsx]相同距离，不同时间'!$B$9:$B$62</c15:sqref>
                        </c15:formulaRef>
                      </c:ext>
                    </c:extLst>
                    <c:numCache>
                      <c:formatCode>General</c:formatCode>
                      <c:ptCount val="54"/>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pt idx="25">
                        <c:v>500</c:v>
                      </c:pt>
                      <c:pt idx="26">
                        <c:v>520</c:v>
                      </c:pt>
                      <c:pt idx="27">
                        <c:v>540</c:v>
                      </c:pt>
                      <c:pt idx="28">
                        <c:v>560</c:v>
                      </c:pt>
                      <c:pt idx="29">
                        <c:v>580</c:v>
                      </c:pt>
                      <c:pt idx="30">
                        <c:v>600</c:v>
                      </c:pt>
                      <c:pt idx="31">
                        <c:v>620</c:v>
                      </c:pt>
                      <c:pt idx="32">
                        <c:v>640</c:v>
                      </c:pt>
                      <c:pt idx="33">
                        <c:v>660</c:v>
                      </c:pt>
                      <c:pt idx="34">
                        <c:v>680</c:v>
                      </c:pt>
                      <c:pt idx="35">
                        <c:v>700</c:v>
                      </c:pt>
                      <c:pt idx="36">
                        <c:v>720</c:v>
                      </c:pt>
                      <c:pt idx="37">
                        <c:v>740</c:v>
                      </c:pt>
                      <c:pt idx="38">
                        <c:v>760</c:v>
                      </c:pt>
                      <c:pt idx="39">
                        <c:v>780</c:v>
                      </c:pt>
                      <c:pt idx="40">
                        <c:v>800</c:v>
                      </c:pt>
                      <c:pt idx="41">
                        <c:v>820</c:v>
                      </c:pt>
                      <c:pt idx="42">
                        <c:v>840</c:v>
                      </c:pt>
                      <c:pt idx="43">
                        <c:v>860</c:v>
                      </c:pt>
                      <c:pt idx="44">
                        <c:v>880</c:v>
                      </c:pt>
                      <c:pt idx="45">
                        <c:v>900</c:v>
                      </c:pt>
                      <c:pt idx="46">
                        <c:v>920</c:v>
                      </c:pt>
                      <c:pt idx="47">
                        <c:v>940</c:v>
                      </c:pt>
                      <c:pt idx="48">
                        <c:v>960</c:v>
                      </c:pt>
                      <c:pt idx="49">
                        <c:v>980</c:v>
                      </c:pt>
                      <c:pt idx="50">
                        <c:v>1000</c:v>
                      </c:pt>
                      <c:pt idx="51">
                        <c:v>1020</c:v>
                      </c:pt>
                      <c:pt idx="52">
                        <c:v>1040</c:v>
                      </c:pt>
                      <c:pt idx="53">
                        <c:v>1060</c:v>
                      </c:pt>
                    </c:numCache>
                  </c:numRef>
                </c:cat>
                <c:val>
                  <c:numRef>
                    <c:extLst>
                      <c:ext uri="{02D57815-91ED-43cb-92C2-25804820EDAC}">
                        <c15:formulaRef>
                          <c15:sqref>{0,0,0,0,0,0,0,0,0,0,0,0,0,0,0,0,0,0,0,0,0,0,0,0,0,0,0,0,0,0,0,0,0,0,0,0,0,0,0,0,0,0,0,0,0,0,0,0,0,0,0,0,0,0}</c15:sqref>
                        </c15:formulaRef>
                      </c:ext>
                    </c:extLst>
                    <c:numCache>
                      <c:formatCode>General</c:formatCode>
                      <c:ptCount val="5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numCache>
                  </c:numRef>
                </c:val>
                <c:smooth val="0"/>
              </c15:ser>
            </c15:filteredLineSeries>
            <c15:filteredLineSeries>
              <c15:ser>
                <c:idx val="2"/>
                <c:order val="2"/>
                <c:tx>
                  <c:strRef>
                    <c:extLst>
                      <c:ext uri="{02D57815-91ED-43cb-92C2-25804820EDAC}">
                        <c15:formulaRef>
                          <c15:sqref>"距离7900m预测"</c15:sqref>
                        </c15:formulaRef>
                      </c:ext>
                    </c:extLst>
                    <c:strCache>
                      <c:ptCount val="1"/>
                      <c:pt idx="0">
                        <c:v>距离7900m预测</c:v>
                      </c:pt>
                    </c:strCache>
                  </c:strRef>
                </c:tx>
                <c:spPr>
                  <a:ln w="31750" cap="rnd" cmpd="sng" algn="ctr">
                    <a:solidFill>
                      <a:schemeClr val="accent3">
                        <a:shade val="76667"/>
                        <a:shade val="95000"/>
                        <a:satMod val="105000"/>
                      </a:schemeClr>
                    </a:solidFill>
                    <a:prstDash val="sysDot"/>
                    <a:round/>
                  </a:ln>
                  <a:sp3d contourW="31750"/>
                </c:spPr>
                <c:marker>
                  <c:symbol val="none"/>
                </c:marker>
                <c:dLbls>
                  <c:delete val="1"/>
                </c:dLbls>
                <c:cat>
                  <c:numRef>
                    <c:extLst>
                      <c:ext uri="{02D57815-91ED-43cb-92C2-25804820EDAC}">
                        <c15:fullRef>
                          <c15:sqref/>
                        </c15:fullRef>
                        <c15:formulaRef>
                          <c15:sqref>'[地下水三级预测公式-一维连续预测.xlsx]相同距离，不同时间'!$B$9:$B$62</c15:sqref>
                        </c15:formulaRef>
                      </c:ext>
                    </c:extLst>
                    <c:numCache>
                      <c:formatCode>General</c:formatCode>
                      <c:ptCount val="54"/>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pt idx="21">
                        <c:v>420</c:v>
                      </c:pt>
                      <c:pt idx="22">
                        <c:v>440</c:v>
                      </c:pt>
                      <c:pt idx="23">
                        <c:v>460</c:v>
                      </c:pt>
                      <c:pt idx="24">
                        <c:v>480</c:v>
                      </c:pt>
                      <c:pt idx="25">
                        <c:v>500</c:v>
                      </c:pt>
                      <c:pt idx="26">
                        <c:v>520</c:v>
                      </c:pt>
                      <c:pt idx="27">
                        <c:v>540</c:v>
                      </c:pt>
                      <c:pt idx="28">
                        <c:v>560</c:v>
                      </c:pt>
                      <c:pt idx="29">
                        <c:v>580</c:v>
                      </c:pt>
                      <c:pt idx="30">
                        <c:v>600</c:v>
                      </c:pt>
                      <c:pt idx="31">
                        <c:v>620</c:v>
                      </c:pt>
                      <c:pt idx="32">
                        <c:v>640</c:v>
                      </c:pt>
                      <c:pt idx="33">
                        <c:v>660</c:v>
                      </c:pt>
                      <c:pt idx="34">
                        <c:v>680</c:v>
                      </c:pt>
                      <c:pt idx="35">
                        <c:v>700</c:v>
                      </c:pt>
                      <c:pt idx="36">
                        <c:v>720</c:v>
                      </c:pt>
                      <c:pt idx="37">
                        <c:v>740</c:v>
                      </c:pt>
                      <c:pt idx="38">
                        <c:v>760</c:v>
                      </c:pt>
                      <c:pt idx="39">
                        <c:v>780</c:v>
                      </c:pt>
                      <c:pt idx="40">
                        <c:v>800</c:v>
                      </c:pt>
                      <c:pt idx="41">
                        <c:v>820</c:v>
                      </c:pt>
                      <c:pt idx="42">
                        <c:v>840</c:v>
                      </c:pt>
                      <c:pt idx="43">
                        <c:v>860</c:v>
                      </c:pt>
                      <c:pt idx="44">
                        <c:v>880</c:v>
                      </c:pt>
                      <c:pt idx="45">
                        <c:v>900</c:v>
                      </c:pt>
                      <c:pt idx="46">
                        <c:v>920</c:v>
                      </c:pt>
                      <c:pt idx="47">
                        <c:v>940</c:v>
                      </c:pt>
                      <c:pt idx="48">
                        <c:v>960</c:v>
                      </c:pt>
                      <c:pt idx="49">
                        <c:v>980</c:v>
                      </c:pt>
                      <c:pt idx="50">
                        <c:v>1000</c:v>
                      </c:pt>
                      <c:pt idx="51">
                        <c:v>1020</c:v>
                      </c:pt>
                      <c:pt idx="52">
                        <c:v>1040</c:v>
                      </c:pt>
                      <c:pt idx="53">
                        <c:v>1060</c:v>
                      </c:pt>
                    </c:numCache>
                  </c:numRef>
                </c:cat>
                <c:val>
                  <c:numRef>
                    <c:extLst>
                      <c:ext uri="{02D57815-91ED-43cb-92C2-25804820EDAC}">
                        <c15:formulaRef>
                          <c15:sqref>{0,0,0,0,0,0,0,0,0,0,0,0,0,0,0,0,0,0,0,0,0,0,0,0,0,0,0,0,0,0,0,0,0,0,0,0,0,0,0,0,0,0,0,0,0,0,0,0,0,0,0,0,0,0}</c15:sqref>
                        </c15:formulaRef>
                      </c:ext>
                    </c:extLst>
                    <c:numCache>
                      <c:formatCode>General</c:formatCode>
                      <c:ptCount val="5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numCache>
                  </c:numRef>
                </c:val>
                <c:smooth val="0"/>
              </c15:ser>
            </c15:filteredLineSeries>
            <c15:filteredLineSeries>
              <c15:ser>
                <c:idx val="3"/>
                <c:order val="3"/>
                <c:tx>
                  <c:strRef>
                    <c:extLst>
                      <c:ext uri="{02D57815-91ED-43cb-92C2-25804820EDAC}">
                        <c15:formulaRef>
                          <c15:sqref>"距离800m预测"</c15:sqref>
                        </c15:formulaRef>
                      </c:ext>
                    </c:extLst>
                    <c:strCache>
                      <c:ptCount val="1"/>
                      <c:pt idx="0">
                        <c:v>距离800m预测</c:v>
                      </c:pt>
                    </c:strCache>
                  </c:strRef>
                </c:tx>
                <c:marker>
                  <c:symbol val="none"/>
                </c:marker>
                <c:dLbls>
                  <c:delete val="1"/>
                </c:dLbls>
                <c:val>
                  <c:numRef>
                    <c:extLst>
                      <c:ext uri="{02D57815-91ED-43cb-92C2-25804820EDAC}">
                        <c15:formulaRef>
                          <c15:sqref>{1}</c15:sqref>
                        </c15:formulaRef>
                      </c:ext>
                    </c:extLst>
                    <c:numCache>
                      <c:formatCode>General</c:formatCode>
                      <c:ptCount val="1"/>
                      <c:pt idx="0">
                        <c:v>1</c:v>
                      </c:pt>
                    </c:numCache>
                  </c:numRef>
                </c:val>
                <c:smooth val="0"/>
              </c15:ser>
            </c15:filteredLineSeries>
          </c:ext>
        </c:extLst>
      </c:lineChart>
      <c:catAx>
        <c:axId val="236814336"/>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时间</a:t>
                </a:r>
                <a:r>
                  <a:rPr lang="en-US" altLang="zh-CN"/>
                  <a:t>d</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6816256"/>
        <c:crosses val="autoZero"/>
        <c:auto val="1"/>
        <c:lblAlgn val="ctr"/>
        <c:lblOffset val="100"/>
        <c:noMultiLvlLbl val="0"/>
      </c:catAx>
      <c:valAx>
        <c:axId val="236816256"/>
        <c:scaling>
          <c:orientation val="minMax"/>
          <c:max val="10"/>
          <c:min val="0"/>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浓度</a:t>
                </a:r>
                <a:r>
                  <a:rPr lang="en-US" altLang="zh-CN"/>
                  <a:t>mg/L</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6814336"/>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5674756-8bd6-479e-84d0-d5af04cd5cc0}"/>
      </c:ext>
    </c:extLst>
  </c:chart>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222</Pages>
  <Words>14949</Words>
  <Characters>17822</Characters>
  <Lines>0</Lines>
  <Paragraphs>0</Paragraphs>
  <TotalTime>1</TotalTime>
  <ScaleCrop>false</ScaleCrop>
  <LinksUpToDate>false</LinksUpToDate>
  <CharactersWithSpaces>18458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2025-02-25T01:10:00Z</dcterms:created>
  <dc:creator>admin</dc:creator>
  <cp:lastModifiedBy>小1</cp:lastModifiedBy>
  <dcterms:modified xsi:type="dcterms:W3CDTF">2025-06-20T08:24:56Z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093BB3494F494ABAA3EFC72A0444348D_13</vt:lpwstr>
  </property>
  <property fmtid="{D5CDD505-2E9C-101B-9397-08002B2CF9AE}" pid="4" name="KSOTemplateDocerSaveRecord">
    <vt:lpwstr>eyJoZGlkIjoiZjNjMzMxMmE3NzQxOTZmYzY2NmYwMmE4Y2MyZjEwNTkiLCJ1c2VySWQiOiI2MzA2Njg5MjMifQ==</vt:lpwstr>
  </property>
</Properties>
</file>