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A3696">
      <w:pPr>
        <w:jc w:val="center"/>
        <w:rPr>
          <w:b/>
          <w:sz w:val="48"/>
          <w:szCs w:val="48"/>
        </w:rPr>
      </w:pPr>
      <w:bookmarkStart w:id="0" w:name="_GoBack"/>
      <w:bookmarkEnd w:id="0"/>
      <w:r>
        <w:rPr>
          <w:b/>
          <w:sz w:val="48"/>
          <w:szCs w:val="48"/>
        </w:rPr>
        <w:t>劳务分包合同补充条款（</w:t>
      </w:r>
      <w:r>
        <w:rPr>
          <w:rFonts w:hint="eastAsia"/>
          <w:b/>
          <w:sz w:val="48"/>
          <w:szCs w:val="48"/>
        </w:rPr>
        <w:t>202</w:t>
      </w:r>
      <w:r>
        <w:rPr>
          <w:rFonts w:hint="eastAsia"/>
          <w:b/>
          <w:sz w:val="48"/>
          <w:szCs w:val="48"/>
          <w:lang w:val="en-US" w:eastAsia="zh-CN"/>
        </w:rPr>
        <w:t>5</w:t>
      </w:r>
      <w:r>
        <w:rPr>
          <w:rFonts w:hint="eastAsia"/>
          <w:b/>
          <w:sz w:val="48"/>
          <w:szCs w:val="48"/>
        </w:rPr>
        <w:t>版</w:t>
      </w:r>
      <w:r>
        <w:rPr>
          <w:b/>
          <w:sz w:val="48"/>
          <w:szCs w:val="48"/>
        </w:rPr>
        <w:t>）</w:t>
      </w:r>
    </w:p>
    <w:p w14:paraId="1345404B">
      <w:pPr>
        <w:spacing w:line="500" w:lineRule="exact"/>
        <w:rPr>
          <w:rFonts w:ascii="隶书" w:eastAsia="隶书"/>
          <w:b/>
          <w:sz w:val="36"/>
          <w:szCs w:val="36"/>
        </w:rPr>
      </w:pPr>
      <w:r>
        <w:rPr>
          <w:rFonts w:hint="eastAsia" w:ascii="隶书" w:eastAsia="隶书"/>
          <w:b/>
          <w:sz w:val="36"/>
          <w:szCs w:val="36"/>
        </w:rPr>
        <w:t>使用说明：</w:t>
      </w:r>
    </w:p>
    <w:p w14:paraId="6C8EB536">
      <w:pPr>
        <w:spacing w:line="500" w:lineRule="exact"/>
        <w:rPr>
          <w:rFonts w:ascii="隶书" w:eastAsia="隶书"/>
          <w:b/>
          <w:sz w:val="48"/>
          <w:szCs w:val="48"/>
        </w:rPr>
      </w:pPr>
      <w:r>
        <w:rPr>
          <w:rFonts w:hint="eastAsia" w:ascii="隶书" w:eastAsia="隶书"/>
          <w:b/>
          <w:sz w:val="36"/>
          <w:szCs w:val="36"/>
        </w:rPr>
        <w:t>(下浮比例为：抵顶比例*0.8；最高下浮比例40%)</w:t>
      </w:r>
    </w:p>
    <w:p w14:paraId="70F47DDD">
      <w:pPr>
        <w:spacing w:line="500" w:lineRule="exact"/>
        <w:rPr>
          <w:rFonts w:ascii="隶书" w:eastAsia="隶书"/>
          <w:b/>
          <w:sz w:val="36"/>
          <w:szCs w:val="36"/>
        </w:rPr>
      </w:pPr>
      <w:r>
        <w:rPr>
          <w:rFonts w:hint="eastAsia"/>
          <w:b/>
          <w:sz w:val="32"/>
          <w:szCs w:val="32"/>
          <w:highlight w:val="green"/>
        </w:rPr>
        <w:t>所有合同都要增加的补充条款</w:t>
      </w:r>
      <w:r>
        <w:rPr>
          <w:rFonts w:hint="eastAsia" w:ascii="隶书" w:eastAsia="隶书"/>
          <w:b/>
          <w:sz w:val="36"/>
          <w:szCs w:val="36"/>
        </w:rPr>
        <w:t>（共</w:t>
      </w:r>
      <w:r>
        <w:rPr>
          <w:rFonts w:hint="eastAsia" w:ascii="隶书" w:eastAsia="隶书"/>
          <w:b/>
          <w:sz w:val="36"/>
          <w:szCs w:val="36"/>
          <w:lang w:val="en-US" w:eastAsia="zh-CN"/>
        </w:rPr>
        <w:t>6</w:t>
      </w:r>
      <w:r>
        <w:rPr>
          <w:rFonts w:hint="eastAsia" w:ascii="隶书" w:eastAsia="隶书"/>
          <w:b/>
          <w:sz w:val="36"/>
          <w:szCs w:val="36"/>
        </w:rPr>
        <w:t>条）</w:t>
      </w:r>
    </w:p>
    <w:p w14:paraId="4FCC95CC">
      <w:pPr>
        <w:spacing w:line="500" w:lineRule="exact"/>
        <w:rPr>
          <w:b/>
          <w:sz w:val="32"/>
          <w:szCs w:val="32"/>
        </w:rPr>
      </w:pPr>
    </w:p>
    <w:p w14:paraId="1E315968">
      <w:pPr>
        <w:pStyle w:val="4"/>
        <w:keepNext w:val="0"/>
        <w:keepLines w:val="0"/>
        <w:pageBreakBefore w:val="0"/>
        <w:widowControl w:val="0"/>
        <w:numPr>
          <w:ilvl w:val="0"/>
          <w:numId w:val="0"/>
        </w:numPr>
        <w:kinsoku/>
        <w:wordWrap/>
        <w:overflowPunct/>
        <w:topLinePunct w:val="0"/>
        <w:autoSpaceDE/>
        <w:autoSpaceDN/>
        <w:bidi w:val="0"/>
        <w:adjustRightInd/>
        <w:snapToGrid/>
        <w:spacing w:after="313" w:afterLines="100" w:line="50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合同工程款（除抵顶部分外）采用非现金和现金方式支付，具体支付比例如下：非抵顶工程款累计非现金方式支付比例不低于合同价款的50%，其余部分采用现金支付。（非现金方式包括但不限于商票、汇票等其他非现金形式，承包人有权调整非现金的支付方式及比例）。合同履行中实际抵顶金额超过合同约定比例的，以实际抵顶金额调整现金付款部分比例。</w:t>
      </w:r>
    </w:p>
    <w:p w14:paraId="21FD722C">
      <w:pPr>
        <w:pStyle w:val="4"/>
        <w:keepNext w:val="0"/>
        <w:keepLines w:val="0"/>
        <w:pageBreakBefore w:val="0"/>
        <w:widowControl w:val="0"/>
        <w:numPr>
          <w:ilvl w:val="0"/>
          <w:numId w:val="0"/>
        </w:numPr>
        <w:kinsoku/>
        <w:wordWrap/>
        <w:overflowPunct/>
        <w:topLinePunct w:val="0"/>
        <w:autoSpaceDE/>
        <w:autoSpaceDN/>
        <w:bidi w:val="0"/>
        <w:adjustRightInd/>
        <w:snapToGrid/>
        <w:spacing w:after="313" w:afterLines="100" w:line="50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根据《山东省住房和城乡建设厅关于调整新建住宅工程质量保修期的指导意见》和威海市住房和城乡建设局《关于全面调整新建住宅工程质量保修期的实施意见》的通知，分包人分包范围内的所有施工内容（包含外墙渗漏）的保修期</w:t>
      </w:r>
      <w:r>
        <w:rPr>
          <w:rFonts w:hint="eastAsia" w:ascii="仿宋" w:hAnsi="仿宋" w:eastAsia="仿宋" w:cs="仿宋"/>
          <w:kern w:val="2"/>
          <w:sz w:val="24"/>
          <w:szCs w:val="24"/>
          <w:highlight w:val="yellow"/>
          <w:lang w:val="en-US" w:eastAsia="zh-CN" w:bidi="ar-SA"/>
        </w:rPr>
        <w:t>为    年</w:t>
      </w:r>
      <w:r>
        <w:rPr>
          <w:rFonts w:hint="eastAsia" w:ascii="仿宋" w:hAnsi="仿宋" w:eastAsia="仿宋" w:cs="仿宋"/>
          <w:kern w:val="2"/>
          <w:sz w:val="24"/>
          <w:szCs w:val="24"/>
          <w:lang w:val="en-US" w:eastAsia="zh-CN" w:bidi="ar-SA"/>
        </w:rPr>
        <w:t>，质量保修期自总承包单位整体工程竣工验收合格之日起计算。</w:t>
      </w:r>
      <w:r>
        <w:rPr>
          <w:rFonts w:hint="eastAsia" w:ascii="仿宋" w:hAnsi="仿宋" w:eastAsia="仿宋" w:cs="仿宋"/>
          <w:kern w:val="2"/>
          <w:sz w:val="24"/>
          <w:szCs w:val="24"/>
          <w:highlight w:val="yellow"/>
          <w:lang w:val="en-US" w:eastAsia="zh-CN" w:bidi="ar-SA"/>
        </w:rPr>
        <w:t xml:space="preserve">   年</w:t>
      </w:r>
      <w:r>
        <w:rPr>
          <w:rFonts w:hint="eastAsia" w:ascii="仿宋" w:hAnsi="仿宋" w:eastAsia="仿宋" w:cs="仿宋"/>
          <w:kern w:val="2"/>
          <w:sz w:val="24"/>
          <w:szCs w:val="24"/>
          <w:lang w:val="en-US" w:eastAsia="zh-CN" w:bidi="ar-SA"/>
        </w:rPr>
        <w:t>内出现质量问题负责维修至验收合格，质量保修期自维修验收合格之日起</w:t>
      </w:r>
      <w:r>
        <w:rPr>
          <w:rFonts w:hint="eastAsia" w:ascii="仿宋" w:hAnsi="仿宋" w:eastAsia="仿宋" w:cs="仿宋"/>
          <w:kern w:val="2"/>
          <w:sz w:val="24"/>
          <w:szCs w:val="24"/>
          <w:highlight w:val="yellow"/>
          <w:lang w:val="en-US" w:eastAsia="zh-CN" w:bidi="ar-SA"/>
        </w:rPr>
        <w:t>顺延   年</w:t>
      </w:r>
      <w:r>
        <w:rPr>
          <w:rFonts w:hint="eastAsia" w:ascii="仿宋" w:hAnsi="仿宋" w:eastAsia="仿宋" w:cs="仿宋"/>
          <w:kern w:val="2"/>
          <w:sz w:val="24"/>
          <w:szCs w:val="24"/>
          <w:lang w:val="en-US" w:eastAsia="zh-CN" w:bidi="ar-SA"/>
        </w:rPr>
        <w:t>承担分包范围内的质量保修，费用由分包人承担。竣工验收前和质量保修期内，出现分包范围内质量问题，分包人应当在接到通知之日起3天内派人保修，且必须开展实质性维修措施，维修后及时与业主（发包人、承包方）沟通，在业主（发包人、承包方）认可的合理工期内修复完毕。因分包人未及时履行保修义务，导致建筑物毁损或者造成人身、财产损害的，分包人应当承担赔偿责任。因分包人的过错造成分包工程质量不符合约定，分包人拒绝修理、返工，承包人可减少支付工程价款。分包人不在约定期限内派人保修的，承包人可以委托他人修理。承包人据实审核修复费用，分包人按承包人要求一次性支付修复费用给第三方。分包人承担自行修复或第三方修复部位的保修责任。由于分包工程缺陷维修导致其他总包分项工程返修所造成的损失，费用及造成的直接或间接损失均由分包人承担。分包工程竣工验收合格并不意味着分包人免除应承担的质量责任。</w:t>
      </w:r>
    </w:p>
    <w:p w14:paraId="49605B4C">
      <w:pPr>
        <w:pStyle w:val="4"/>
        <w:keepNext w:val="0"/>
        <w:keepLines w:val="0"/>
        <w:pageBreakBefore w:val="0"/>
        <w:widowControl w:val="0"/>
        <w:numPr>
          <w:ilvl w:val="0"/>
          <w:numId w:val="0"/>
        </w:numPr>
        <w:kinsoku/>
        <w:wordWrap/>
        <w:overflowPunct/>
        <w:topLinePunct w:val="0"/>
        <w:autoSpaceDE/>
        <w:autoSpaceDN/>
        <w:bidi w:val="0"/>
        <w:adjustRightInd/>
        <w:snapToGrid/>
        <w:spacing w:after="313" w:afterLines="100" w:line="50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若发包人未能按照发包人与承包人签订的《建设工程施工合同》约定的付款比例完全支付工程承包人工程款，则承包人按照发包人实际付款的同等比例支付分包人工程款。承包人与分包人协商本合同价款时，对发包人可能拖延支付工程款的情况已充分考虑，本合同约定的价款中有20%为拖延付款的风险金，在发包人付款比例长期低于合同约定比例时，如分包人主张按上述约定支付款项，则最终的付款金额应在按合同项下总结算金额下调20%，且不属于承包方拖延付款。每期支付进度款时，各项应扣款应随发生随扣除。当期付款需扣除甲方代乙方缴纳或支付的其它有关费用、乙方违约罚款、劳资纠纷、其它赔偿金或其它应扣留或扣除的费用等各项应扣款。</w:t>
      </w:r>
    </w:p>
    <w:p w14:paraId="2D901D70">
      <w:pPr>
        <w:pStyle w:val="4"/>
        <w:keepNext w:val="0"/>
        <w:keepLines w:val="0"/>
        <w:pageBreakBefore w:val="0"/>
        <w:widowControl w:val="0"/>
        <w:numPr>
          <w:ilvl w:val="0"/>
          <w:numId w:val="0"/>
        </w:numPr>
        <w:kinsoku/>
        <w:wordWrap/>
        <w:overflowPunct/>
        <w:topLinePunct w:val="0"/>
        <w:autoSpaceDE/>
        <w:autoSpaceDN/>
        <w:bidi w:val="0"/>
        <w:adjustRightInd/>
        <w:snapToGrid/>
        <w:spacing w:after="313" w:afterLines="100" w:line="46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如承包人违反合同约定，未按时向分包人支付工程款，双方同意进度款延迟付款免息，整体工程竣工验收且承包人与发包人竣工结算审定后四年内未支付部分的工程款免息，四年后无正当理由仍未支付的，承包人按活期存款利率向分包人支付拖欠部分工程款利息。</w:t>
      </w:r>
    </w:p>
    <w:p w14:paraId="3C143F8D">
      <w:pPr>
        <w:keepNext w:val="0"/>
        <w:keepLines w:val="0"/>
        <w:pageBreakBefore w:val="0"/>
        <w:widowControl w:val="0"/>
        <w:kinsoku/>
        <w:wordWrap/>
        <w:overflowPunct/>
        <w:topLinePunct w:val="0"/>
        <w:autoSpaceDE/>
        <w:autoSpaceDN/>
        <w:bidi w:val="0"/>
        <w:adjustRightInd/>
        <w:snapToGrid/>
        <w:spacing w:after="313" w:afterLines="100" w:line="500" w:lineRule="exact"/>
        <w:ind w:lef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5、分包人在合同履行过程中应及时完成抵顶事宜，若自工程竣工之日起满 2 年，分包人尚有部分抵顶未予完成，视为分包人同意放弃未抵顶部分的债权，即分包人无权再向发包人主张该部分债权对应数额的工程款，也不可再以任何方式向承包人索要此部分工程款。</w:t>
      </w:r>
    </w:p>
    <w:p w14:paraId="481292C3">
      <w:pPr>
        <w:keepNext w:val="0"/>
        <w:keepLines w:val="0"/>
        <w:pageBreakBefore w:val="0"/>
        <w:widowControl w:val="0"/>
        <w:kinsoku/>
        <w:wordWrap/>
        <w:overflowPunct/>
        <w:topLinePunct w:val="0"/>
        <w:autoSpaceDE/>
        <w:autoSpaceDN/>
        <w:bidi w:val="0"/>
        <w:adjustRightInd/>
        <w:snapToGrid/>
        <w:spacing w:after="313" w:afterLines="100" w:line="500"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、双方签订本合同价款时，已充分考虑了抵顶房屋或抵顶物资的情形，本合同中约定的价款高于正常</w:t>
      </w:r>
      <w:r>
        <w:rPr>
          <w:rFonts w:hint="eastAsia" w:ascii="仿宋" w:hAnsi="仿宋" w:eastAsia="仿宋" w:cs="仿宋"/>
          <w:sz w:val="24"/>
          <w:szCs w:val="24"/>
          <w:highlight w:val="yellow"/>
        </w:rPr>
        <w:t>价   %</w:t>
      </w:r>
      <w:r>
        <w:rPr>
          <w:rFonts w:hint="eastAsia" w:ascii="仿宋" w:hAnsi="仿宋" w:eastAsia="仿宋" w:cs="仿宋"/>
          <w:sz w:val="24"/>
          <w:szCs w:val="24"/>
        </w:rPr>
        <w:t>，如最终未能达成抵顶，分包人同意承包人按合同项下总结算金额下</w:t>
      </w:r>
      <w:r>
        <w:rPr>
          <w:rFonts w:hint="eastAsia" w:ascii="仿宋" w:hAnsi="仿宋" w:eastAsia="仿宋" w:cs="仿宋"/>
          <w:sz w:val="24"/>
          <w:szCs w:val="24"/>
          <w:highlight w:val="yellow"/>
        </w:rPr>
        <w:t>浮   %</w:t>
      </w:r>
      <w:r>
        <w:rPr>
          <w:rFonts w:hint="eastAsia" w:ascii="仿宋" w:hAnsi="仿宋" w:eastAsia="仿宋" w:cs="仿宋"/>
          <w:sz w:val="24"/>
          <w:szCs w:val="24"/>
        </w:rPr>
        <w:t>后（包括已付款项经重新核算后），承包人以承兑汇票、现金、转账支票等来支付。如工程发包或总包方对本工程的工程款付款比例达不到本合同约定的付款比例，分包人同意承包人按本工程收到的实际付款比例同比例支付分包人款项。</w:t>
      </w:r>
    </w:p>
    <w:p w14:paraId="1D61BE46">
      <w:pPr>
        <w:keepNext w:val="0"/>
        <w:keepLines w:val="0"/>
        <w:pageBreakBefore w:val="0"/>
        <w:widowControl w:val="0"/>
        <w:kinsoku/>
        <w:wordWrap/>
        <w:overflowPunct/>
        <w:topLinePunct w:val="0"/>
        <w:autoSpaceDE/>
        <w:autoSpaceDN/>
        <w:bidi w:val="0"/>
        <w:adjustRightInd/>
        <w:snapToGrid/>
        <w:spacing w:after="313" w:afterLines="100" w:line="500" w:lineRule="exact"/>
        <w:ind w:left="0" w:firstLine="480" w:firstLineChars="200"/>
        <w:jc w:val="left"/>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90D47"/>
    <w:rsid w:val="00003510"/>
    <w:rsid w:val="000069BA"/>
    <w:rsid w:val="00010792"/>
    <w:rsid w:val="00010D03"/>
    <w:rsid w:val="000426A0"/>
    <w:rsid w:val="00067686"/>
    <w:rsid w:val="000C76CF"/>
    <w:rsid w:val="000D7593"/>
    <w:rsid w:val="001008E9"/>
    <w:rsid w:val="00102065"/>
    <w:rsid w:val="0011513D"/>
    <w:rsid w:val="0014217D"/>
    <w:rsid w:val="001428DB"/>
    <w:rsid w:val="0014645D"/>
    <w:rsid w:val="00192034"/>
    <w:rsid w:val="001A6995"/>
    <w:rsid w:val="002203C7"/>
    <w:rsid w:val="002B08E5"/>
    <w:rsid w:val="00300FC6"/>
    <w:rsid w:val="0033174C"/>
    <w:rsid w:val="00360A2F"/>
    <w:rsid w:val="00363BC1"/>
    <w:rsid w:val="00374251"/>
    <w:rsid w:val="003A2388"/>
    <w:rsid w:val="003D4CF8"/>
    <w:rsid w:val="003F11C6"/>
    <w:rsid w:val="004050D7"/>
    <w:rsid w:val="00406F1B"/>
    <w:rsid w:val="00426714"/>
    <w:rsid w:val="00496BBD"/>
    <w:rsid w:val="004E2F6C"/>
    <w:rsid w:val="00505DDE"/>
    <w:rsid w:val="00523EBE"/>
    <w:rsid w:val="00524DBA"/>
    <w:rsid w:val="00557FC1"/>
    <w:rsid w:val="00577B4F"/>
    <w:rsid w:val="00585C07"/>
    <w:rsid w:val="00586708"/>
    <w:rsid w:val="005A2BF3"/>
    <w:rsid w:val="005C13AA"/>
    <w:rsid w:val="005C448D"/>
    <w:rsid w:val="005D298E"/>
    <w:rsid w:val="005E5261"/>
    <w:rsid w:val="005F4882"/>
    <w:rsid w:val="00614A54"/>
    <w:rsid w:val="006179BD"/>
    <w:rsid w:val="00655948"/>
    <w:rsid w:val="00661EA7"/>
    <w:rsid w:val="006702A8"/>
    <w:rsid w:val="00674ECD"/>
    <w:rsid w:val="00681F80"/>
    <w:rsid w:val="00694DE3"/>
    <w:rsid w:val="00697011"/>
    <w:rsid w:val="006A36C6"/>
    <w:rsid w:val="006C3144"/>
    <w:rsid w:val="006D634B"/>
    <w:rsid w:val="006F3A8B"/>
    <w:rsid w:val="007032FC"/>
    <w:rsid w:val="00703690"/>
    <w:rsid w:val="0070420D"/>
    <w:rsid w:val="00712F68"/>
    <w:rsid w:val="00717700"/>
    <w:rsid w:val="00722BAD"/>
    <w:rsid w:val="0075395B"/>
    <w:rsid w:val="00776882"/>
    <w:rsid w:val="007810EF"/>
    <w:rsid w:val="00782B4D"/>
    <w:rsid w:val="007A5A84"/>
    <w:rsid w:val="007B23B2"/>
    <w:rsid w:val="007B6AF6"/>
    <w:rsid w:val="007D55B9"/>
    <w:rsid w:val="00816042"/>
    <w:rsid w:val="008320DA"/>
    <w:rsid w:val="00851FF2"/>
    <w:rsid w:val="00883739"/>
    <w:rsid w:val="00890F8E"/>
    <w:rsid w:val="008A4F54"/>
    <w:rsid w:val="008B4388"/>
    <w:rsid w:val="008E03BB"/>
    <w:rsid w:val="008F3E98"/>
    <w:rsid w:val="0092097E"/>
    <w:rsid w:val="009579E1"/>
    <w:rsid w:val="00965EE4"/>
    <w:rsid w:val="009F4ED0"/>
    <w:rsid w:val="00A16ACD"/>
    <w:rsid w:val="00A35956"/>
    <w:rsid w:val="00A40613"/>
    <w:rsid w:val="00A85636"/>
    <w:rsid w:val="00AB1669"/>
    <w:rsid w:val="00AC7811"/>
    <w:rsid w:val="00AE58C5"/>
    <w:rsid w:val="00AE6563"/>
    <w:rsid w:val="00B1140A"/>
    <w:rsid w:val="00B146E5"/>
    <w:rsid w:val="00B247AB"/>
    <w:rsid w:val="00B257B1"/>
    <w:rsid w:val="00B31A2D"/>
    <w:rsid w:val="00B54D2D"/>
    <w:rsid w:val="00B65B60"/>
    <w:rsid w:val="00BB03FE"/>
    <w:rsid w:val="00BB415C"/>
    <w:rsid w:val="00BD5DE9"/>
    <w:rsid w:val="00BF4B09"/>
    <w:rsid w:val="00C10303"/>
    <w:rsid w:val="00C752BF"/>
    <w:rsid w:val="00C85AB7"/>
    <w:rsid w:val="00CA0FD3"/>
    <w:rsid w:val="00CA5111"/>
    <w:rsid w:val="00CF2ED6"/>
    <w:rsid w:val="00D30BD9"/>
    <w:rsid w:val="00D37A6C"/>
    <w:rsid w:val="00D478CF"/>
    <w:rsid w:val="00DE6657"/>
    <w:rsid w:val="00E11D69"/>
    <w:rsid w:val="00E227B0"/>
    <w:rsid w:val="00E32B67"/>
    <w:rsid w:val="00E37F27"/>
    <w:rsid w:val="00EB1269"/>
    <w:rsid w:val="00EB4842"/>
    <w:rsid w:val="00EC0237"/>
    <w:rsid w:val="00EE0EFF"/>
    <w:rsid w:val="00F40844"/>
    <w:rsid w:val="00F54757"/>
    <w:rsid w:val="00F86C29"/>
    <w:rsid w:val="00F90D47"/>
    <w:rsid w:val="00FD6B86"/>
    <w:rsid w:val="00FE6238"/>
    <w:rsid w:val="1E942367"/>
    <w:rsid w:val="22235AEA"/>
    <w:rsid w:val="38080D1C"/>
    <w:rsid w:val="4FD10381"/>
    <w:rsid w:val="51870100"/>
    <w:rsid w:val="56AD7118"/>
    <w:rsid w:val="64584811"/>
    <w:rsid w:val="655D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1479</Words>
  <Characters>1494</Characters>
  <Lines>14</Lines>
  <Paragraphs>4</Paragraphs>
  <TotalTime>9</TotalTime>
  <ScaleCrop>false</ScaleCrop>
  <LinksUpToDate>false</LinksUpToDate>
  <CharactersWithSpaces>1512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2023-10-20T02:20:00Z</dcterms:created>
  <dc:creator>Dell</dc:creator>
  <cp:lastModifiedBy>张伟</cp:lastModifiedBy>
  <cp:lastPrinted>2023-10-17T02:18:00Z</cp:lastPrinted>
  <dcterms:modified xsi:type="dcterms:W3CDTF">2025-04-02T09:43:16Z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08A150BDEBD3434C9FDCDA3D42FF1BC0_13</vt:lpwstr>
  </property>
  <property fmtid="{D5CDD505-2E9C-101B-9397-08002B2CF9AE}" pid="4" name="KSOTemplateDocerSaveRecord">
    <vt:lpwstr>eyJoZGlkIjoiNGZkYWJlZTk3OTA0ZDFmOGQwNWFmN2QyNzI1MDlhNWEiLCJ1c2VySWQiOiIzMDMxOTQ4OCJ9</vt:lpwstr>
  </property>
</Properties>
</file>