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67AFB">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rPr>
          <w:rFonts w:hint="eastAsia" w:ascii="仿宋" w:hAnsi="仿宋" w:eastAsia="仿宋" w:cs="仿宋"/>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宁波市看病就医智享应用系统项目等保测评服务</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需求</w:t>
      </w:r>
    </w:p>
    <w:p w14:paraId="2103B623">
      <w:pPr>
        <w:keepNext w:val="0"/>
        <w:keepLines w:val="0"/>
        <w:pageBreakBefore w:val="0"/>
        <w:widowControl/>
        <w:kinsoku/>
        <w:wordWrap/>
        <w:overflowPunct/>
        <w:topLinePunct w:val="0"/>
        <w:bidi w:val="0"/>
        <w:adjustRightInd w:val="0"/>
        <w:snapToGrid w:val="0"/>
        <w:spacing w:line="560" w:lineRule="exact"/>
        <w:ind w:left="0" w:leftChars="0" w:right="0" w:firstLine="643" w:firstLineChars="200"/>
        <w:textAlignment w:val="auto"/>
        <w:outlineLvl w:val="1"/>
        <w:rPr>
          <w:rFonts w:hint="eastAsia" w:ascii="仿宋" w:hAnsi="仿宋" w:eastAsia="仿宋" w:cs="仿宋"/>
          <w:b/>
          <w:color w:val="000000" w:themeColor="text1"/>
          <w:sz w:val="32"/>
          <w:szCs w:val="32"/>
          <w14:textFill>
            <w14:solidFill>
              <w14:schemeClr w14:val="tx1"/>
            </w14:solidFill>
          </w14:textFill>
        </w:rPr>
      </w:pPr>
    </w:p>
    <w:p w14:paraId="4982BCAD">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一、</w:t>
      </w:r>
      <w:r>
        <w:rPr>
          <w:rFonts w:hint="eastAsia" w:ascii="黑体" w:hAnsi="黑体" w:eastAsia="黑体" w:cs="黑体"/>
          <w:b w:val="0"/>
          <w:bCs/>
          <w:color w:val="000000" w:themeColor="text1"/>
          <w:sz w:val="32"/>
          <w:szCs w:val="32"/>
          <w14:textFill>
            <w14:solidFill>
              <w14:schemeClr w14:val="tx1"/>
            </w14:solidFill>
          </w14:textFill>
        </w:rPr>
        <w:t>项目概况</w:t>
      </w:r>
    </w:p>
    <w:p w14:paraId="4DEAF59E">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本次项目为宁波市 “健康大脑智慧医疗”场景应用项目部分子项目等保测评服务，项目范围为宁波市看病就医智享应用系统项目</w:t>
      </w:r>
      <w:r>
        <w:rPr>
          <w:rFonts w:hint="eastAsia"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级等级保护</w:t>
      </w:r>
      <w:r>
        <w:rPr>
          <w:rFonts w:hint="eastAsia" w:ascii="仿宋" w:hAnsi="仿宋" w:eastAsia="仿宋" w:cs="仿宋"/>
          <w:color w:val="000000" w:themeColor="text1"/>
          <w:sz w:val="32"/>
          <w:szCs w:val="32"/>
          <w:lang w:val="en-US" w:eastAsia="zh-CN"/>
          <w14:textFill>
            <w14:solidFill>
              <w14:schemeClr w14:val="tx1"/>
            </w14:solidFill>
          </w14:textFill>
        </w:rPr>
        <w:t>测评</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color w:val="000000"/>
          <w:sz w:val="32"/>
          <w:szCs w:val="32"/>
        </w:rPr>
        <w:t xml:space="preserve">服务内容包括以下几点： </w:t>
      </w:r>
    </w:p>
    <w:p w14:paraId="783B9A65">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cs="仿宋"/>
          <w:color w:val="000000"/>
          <w:sz w:val="32"/>
          <w:szCs w:val="32"/>
          <w:lang w:val="en-US" w:eastAsia="zh-CN"/>
        </w:rPr>
        <w:t>1.</w:t>
      </w:r>
      <w:r>
        <w:rPr>
          <w:rFonts w:hint="eastAsia" w:ascii="仿宋" w:hAnsi="仿宋" w:eastAsia="仿宋" w:cs="仿宋"/>
          <w:color w:val="000000"/>
          <w:sz w:val="32"/>
          <w:szCs w:val="32"/>
        </w:rPr>
        <w:t>依据《浙江省卫生计生系统网络与信息安全管理工作考核细则》、《浙江省卫生系统网络与信息安全管理指南》、《GB/T 22239-2008 信息系统安全等级保护基本要求》等国家、行业技术标准规范；</w:t>
      </w:r>
    </w:p>
    <w:p w14:paraId="0B8F8681">
      <w:pPr>
        <w:keepNext w:val="0"/>
        <w:keepLines w:val="0"/>
        <w:pageBreakBefore w:val="0"/>
        <w:widowControl/>
        <w:tabs>
          <w:tab w:val="left" w:pos="180"/>
          <w:tab w:val="left" w:pos="360"/>
          <w:tab w:val="left" w:pos="540"/>
          <w:tab w:val="left" w:pos="8280"/>
        </w:tabs>
        <w:kinsoku/>
        <w:wordWrap/>
        <w:overflowPunct/>
        <w:topLinePunct w:val="0"/>
        <w:autoSpaceDE w:val="0"/>
        <w:autoSpaceDN w:val="0"/>
        <w:bidi w:val="0"/>
        <w:adjustRightInd w:val="0"/>
        <w:snapToGrid w:val="0"/>
        <w:spacing w:line="56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cs="仿宋"/>
          <w:color w:val="000000"/>
          <w:sz w:val="32"/>
          <w:szCs w:val="32"/>
          <w:lang w:val="en-US" w:eastAsia="zh-CN"/>
        </w:rPr>
        <w:t>2.</w:t>
      </w:r>
      <w:r>
        <w:rPr>
          <w:rFonts w:hint="eastAsia" w:ascii="仿宋" w:hAnsi="仿宋" w:eastAsia="仿宋" w:cs="仿宋"/>
          <w:color w:val="000000"/>
          <w:sz w:val="32"/>
          <w:szCs w:val="32"/>
        </w:rPr>
        <w:t>要求对被测信息系统进行摸底、分析和梳理，提出测评方案，并逐一对信息系统进行安全等级保护测评：</w:t>
      </w:r>
    </w:p>
    <w:p w14:paraId="5A418755">
      <w:pPr>
        <w:keepNext w:val="0"/>
        <w:keepLines w:val="0"/>
        <w:pageBreakBefore w:val="0"/>
        <w:widowControl/>
        <w:tabs>
          <w:tab w:val="left" w:pos="180"/>
          <w:tab w:val="left" w:pos="360"/>
          <w:tab w:val="left" w:pos="540"/>
          <w:tab w:val="left" w:pos="8280"/>
        </w:tabs>
        <w:kinsoku/>
        <w:wordWrap/>
        <w:overflowPunct/>
        <w:topLinePunct w:val="0"/>
        <w:autoSpaceDE w:val="0"/>
        <w:autoSpaceDN w:val="0"/>
        <w:bidi w:val="0"/>
        <w:adjustRightInd w:val="0"/>
        <w:snapToGrid w:val="0"/>
        <w:spacing w:line="560" w:lineRule="exact"/>
        <w:ind w:left="0" w:leftChars="0" w:right="0" w:firstLine="640" w:firstLineChars="200"/>
        <w:jc w:val="left"/>
        <w:textAlignment w:val="auto"/>
        <w:rPr>
          <w:rFonts w:hint="eastAsia" w:ascii="仿宋" w:hAnsi="仿宋" w:eastAsia="仿宋" w:cs="仿宋"/>
          <w:color w:val="000000"/>
          <w:sz w:val="32"/>
          <w:szCs w:val="32"/>
        </w:rPr>
      </w:pPr>
      <w:r>
        <w:rPr>
          <w:rFonts w:hint="eastAsia" w:cs="仿宋"/>
          <w:color w:val="000000"/>
          <w:sz w:val="32"/>
          <w:szCs w:val="32"/>
          <w:lang w:val="en-US" w:eastAsia="zh-CN"/>
        </w:rPr>
        <w:t>3.</w:t>
      </w:r>
      <w:r>
        <w:rPr>
          <w:rFonts w:hint="eastAsia" w:ascii="仿宋" w:hAnsi="仿宋" w:eastAsia="仿宋" w:cs="仿宋"/>
          <w:color w:val="000000"/>
          <w:sz w:val="32"/>
          <w:szCs w:val="32"/>
        </w:rPr>
        <w:t>测评后经用户单位确认出具</w:t>
      </w:r>
      <w:r>
        <w:rPr>
          <w:rFonts w:hint="eastAsia" w:ascii="仿宋" w:hAnsi="仿宋" w:eastAsia="仿宋" w:cs="仿宋"/>
          <w:kern w:val="0"/>
          <w:sz w:val="32"/>
          <w:szCs w:val="32"/>
        </w:rPr>
        <w:t>符合公安主管部门要求的系统安全保护等级测评报告；</w:t>
      </w:r>
    </w:p>
    <w:p w14:paraId="5B1FF618">
      <w:pPr>
        <w:keepNext w:val="0"/>
        <w:keepLines w:val="0"/>
        <w:pageBreakBefore w:val="0"/>
        <w:widowControl/>
        <w:suppressLineNumbers w:val="0"/>
        <w:kinsoku/>
        <w:wordWrap/>
        <w:overflowPunct/>
        <w:topLinePunct w:val="0"/>
        <w:bidi w:val="0"/>
        <w:adjustRightInd w:val="0"/>
        <w:snapToGrid w:val="0"/>
        <w:spacing w:line="560" w:lineRule="exact"/>
        <w:ind w:left="0" w:firstLine="640" w:firstLineChars="200"/>
        <w:jc w:val="left"/>
        <w:textAlignment w:val="auto"/>
      </w:pPr>
      <w:r>
        <w:rPr>
          <w:rFonts w:hint="eastAsia" w:cs="仿宋"/>
          <w:color w:val="000000"/>
          <w:sz w:val="32"/>
          <w:szCs w:val="32"/>
          <w:lang w:val="en-US" w:eastAsia="zh-CN"/>
        </w:rPr>
        <w:t>4.</w:t>
      </w:r>
      <w:r>
        <w:rPr>
          <w:rFonts w:hint="eastAsia" w:ascii="仿宋" w:hAnsi="仿宋" w:eastAsia="仿宋" w:cs="仿宋"/>
          <w:bCs/>
          <w:sz w:val="32"/>
          <w:szCs w:val="32"/>
        </w:rPr>
        <w:t>现场踏勘时间：</w:t>
      </w:r>
      <w:r>
        <w:rPr>
          <w:rFonts w:hint="eastAsia" w:cs="仿宋"/>
          <w:bCs/>
          <w:sz w:val="32"/>
          <w:szCs w:val="32"/>
          <w:lang w:val="en-US" w:eastAsia="zh-CN"/>
        </w:rPr>
        <w:t>5</w:t>
      </w:r>
      <w:r>
        <w:rPr>
          <w:rFonts w:hint="eastAsia" w:ascii="仿宋" w:hAnsi="仿宋" w:eastAsia="仿宋" w:cs="仿宋"/>
          <w:bCs/>
          <w:sz w:val="32"/>
          <w:szCs w:val="32"/>
        </w:rPr>
        <w:t>月</w:t>
      </w:r>
      <w:r>
        <w:rPr>
          <w:rFonts w:hint="eastAsia" w:cs="仿宋"/>
          <w:bCs/>
          <w:sz w:val="32"/>
          <w:szCs w:val="32"/>
          <w:lang w:val="en-US" w:eastAsia="zh-CN"/>
        </w:rPr>
        <w:t>23</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15</w:t>
      </w:r>
      <w:r>
        <w:rPr>
          <w:rFonts w:hint="default" w:ascii="仿宋" w:hAnsi="仿宋" w:eastAsia="仿宋" w:cs="仿宋"/>
          <w:bCs/>
          <w:sz w:val="32"/>
          <w:szCs w:val="32"/>
          <w:lang w:val="en"/>
        </w:rPr>
        <w:t>:</w:t>
      </w:r>
      <w:r>
        <w:rPr>
          <w:rFonts w:hint="eastAsia" w:ascii="仿宋" w:hAnsi="仿宋" w:eastAsia="仿宋" w:cs="仿宋"/>
          <w:bCs/>
          <w:sz w:val="32"/>
          <w:szCs w:val="32"/>
          <w:lang w:val="en-US" w:eastAsia="zh-CN"/>
        </w:rPr>
        <w:t>0</w:t>
      </w:r>
      <w:r>
        <w:rPr>
          <w:rFonts w:hint="eastAsia" w:ascii="仿宋" w:hAnsi="仿宋" w:eastAsia="仿宋" w:cs="仿宋"/>
          <w:bCs/>
          <w:sz w:val="32"/>
          <w:szCs w:val="32"/>
        </w:rPr>
        <w:t>0 ，现场踏勘地点：</w:t>
      </w:r>
      <w:r>
        <w:rPr>
          <w:rFonts w:hint="eastAsia" w:cs="仿宋"/>
          <w:bCs/>
          <w:sz w:val="32"/>
          <w:szCs w:val="32"/>
          <w:lang w:eastAsia="zh-CN"/>
        </w:rPr>
        <w:t>宁波市卫生信息中心西北街</w:t>
      </w:r>
      <w:r>
        <w:rPr>
          <w:rFonts w:hint="eastAsia" w:cs="仿宋"/>
          <w:bCs/>
          <w:sz w:val="32"/>
          <w:szCs w:val="32"/>
          <w:lang w:val="en-US" w:eastAsia="zh-CN"/>
        </w:rPr>
        <w:t>22号</w:t>
      </w:r>
      <w:r>
        <w:rPr>
          <w:rFonts w:hint="eastAsia" w:ascii="仿宋" w:hAnsi="仿宋" w:eastAsia="仿宋" w:cs="仿宋"/>
          <w:bCs/>
          <w:sz w:val="32"/>
          <w:szCs w:val="32"/>
        </w:rPr>
        <w:t>，踏勘联系人：</w:t>
      </w:r>
      <w:r>
        <w:rPr>
          <w:rFonts w:hint="eastAsia" w:ascii="仿宋" w:hAnsi="仿宋" w:eastAsia="仿宋" w:cs="仿宋"/>
          <w:bCs/>
          <w:sz w:val="32"/>
          <w:szCs w:val="32"/>
          <w:lang w:val="en-US" w:eastAsia="zh-CN"/>
        </w:rPr>
        <w:t>陈老师</w:t>
      </w:r>
      <w:r>
        <w:rPr>
          <w:rFonts w:hint="eastAsia" w:ascii="仿宋" w:hAnsi="仿宋" w:eastAsia="仿宋" w:cs="仿宋"/>
          <w:bCs/>
          <w:sz w:val="32"/>
          <w:szCs w:val="32"/>
        </w:rPr>
        <w:t>。投标人应按规定的时间、地点前往参加踏勘现场活动，期间所发生的费用自行承担。踏勘</w:t>
      </w:r>
      <w:bookmarkStart w:id="2" w:name="_GoBack"/>
      <w:bookmarkEnd w:id="2"/>
      <w:r>
        <w:rPr>
          <w:rFonts w:hint="eastAsia" w:ascii="仿宋" w:hAnsi="仿宋" w:eastAsia="仿宋" w:cs="仿宋"/>
          <w:bCs/>
          <w:sz w:val="32"/>
          <w:szCs w:val="32"/>
        </w:rPr>
        <w:t>现场是本次采购活动的重要组成部分，</w:t>
      </w:r>
      <w:r>
        <w:rPr>
          <w:rFonts w:hint="eastAsia" w:ascii="仿宋" w:hAnsi="仿宋" w:eastAsia="仿宋" w:cs="仿宋"/>
          <w:bCs/>
          <w:sz w:val="32"/>
          <w:szCs w:val="32"/>
          <w:lang w:val="en-US" w:eastAsia="zh-CN"/>
        </w:rPr>
        <w:t>提交报价时需同时提交回执。</w:t>
      </w:r>
    </w:p>
    <w:p w14:paraId="5F058FDC">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446F58AC">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24C0B021">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kern w:val="0"/>
          <w:sz w:val="32"/>
          <w:szCs w:val="32"/>
        </w:rPr>
      </w:pPr>
    </w:p>
    <w:p w14:paraId="48DBF7BC">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、测评范围</w:t>
      </w:r>
    </w:p>
    <w:tbl>
      <w:tblPr>
        <w:tblStyle w:val="6"/>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39"/>
        <w:gridCol w:w="5019"/>
        <w:gridCol w:w="1104"/>
        <w:gridCol w:w="1111"/>
      </w:tblGrid>
      <w:tr w14:paraId="2B66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shd w:val="clear" w:color="auto" w:fill="FFFFFF" w:themeFill="background1"/>
            <w:vAlign w:val="center"/>
          </w:tcPr>
          <w:p w14:paraId="101532FF">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5019" w:type="dxa"/>
            <w:shd w:val="clear" w:color="auto" w:fill="FFFFFF" w:themeFill="background1"/>
            <w:vAlign w:val="center"/>
          </w:tcPr>
          <w:p w14:paraId="65D67450">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系统名称</w:t>
            </w:r>
          </w:p>
        </w:tc>
        <w:tc>
          <w:tcPr>
            <w:tcW w:w="1104" w:type="dxa"/>
            <w:shd w:val="clear" w:color="auto" w:fill="FFFFFF" w:themeFill="background1"/>
            <w:vAlign w:val="center"/>
          </w:tcPr>
          <w:p w14:paraId="235FA2CC">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ascii="仿宋" w:hAnsi="仿宋" w:eastAsia="仿宋" w:cs="仿宋"/>
                <w:color w:val="000000"/>
                <w:sz w:val="32"/>
                <w:szCs w:val="32"/>
              </w:rPr>
              <w:t>系统等级</w:t>
            </w:r>
          </w:p>
        </w:tc>
        <w:tc>
          <w:tcPr>
            <w:tcW w:w="1111" w:type="dxa"/>
            <w:shd w:val="clear" w:color="auto" w:fill="FFFFFF" w:themeFill="background1"/>
            <w:vAlign w:val="center"/>
          </w:tcPr>
          <w:p w14:paraId="1790861E">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情况</w:t>
            </w:r>
          </w:p>
        </w:tc>
      </w:tr>
      <w:tr w14:paraId="52B3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 w:type="dxa"/>
            <w:shd w:val="clear" w:color="auto" w:fill="FFFFFF" w:themeFill="background1"/>
            <w:vAlign w:val="center"/>
          </w:tcPr>
          <w:p w14:paraId="2F60F4EB">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lang w:val="en-US" w:eastAsia="zh-CN"/>
              </w:rPr>
            </w:pPr>
            <w:bookmarkStart w:id="0" w:name="_Toc215567899"/>
            <w:r>
              <w:rPr>
                <w:rFonts w:hint="eastAsia" w:cs="仿宋"/>
                <w:color w:val="000000"/>
                <w:sz w:val="32"/>
                <w:szCs w:val="32"/>
                <w:lang w:val="en-US" w:eastAsia="zh-CN"/>
              </w:rPr>
              <w:t>1</w:t>
            </w:r>
          </w:p>
        </w:tc>
        <w:tc>
          <w:tcPr>
            <w:tcW w:w="5019" w:type="dxa"/>
            <w:shd w:val="clear" w:color="auto" w:fill="FFFFFF" w:themeFill="background1"/>
            <w:vAlign w:val="center"/>
          </w:tcPr>
          <w:p w14:paraId="7575F289">
            <w:pPr>
              <w:keepNext w:val="0"/>
              <w:keepLines w:val="0"/>
              <w:pageBreakBefore w:val="0"/>
              <w:widowControl/>
              <w:kinsoku/>
              <w:wordWrap/>
              <w:overflowPunct/>
              <w:topLinePunct w:val="0"/>
              <w:bidi w:val="0"/>
              <w:adjustRightInd w:val="0"/>
              <w:snapToGrid w:val="0"/>
              <w:spacing w:line="560" w:lineRule="exact"/>
              <w:ind w:left="0" w:leftChars="0" w:right="0" w:firstLine="0"/>
              <w:jc w:val="left"/>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宁波市看病就医智享应用系统项目</w:t>
            </w:r>
          </w:p>
        </w:tc>
        <w:tc>
          <w:tcPr>
            <w:tcW w:w="1104" w:type="dxa"/>
            <w:shd w:val="clear" w:color="auto" w:fill="FFFFFF" w:themeFill="background1"/>
            <w:vAlign w:val="center"/>
          </w:tcPr>
          <w:p w14:paraId="18880511">
            <w:pPr>
              <w:keepNext w:val="0"/>
              <w:keepLines w:val="0"/>
              <w:pageBreakBefore w:val="0"/>
              <w:widowControl/>
              <w:kinsoku/>
              <w:wordWrap/>
              <w:overflowPunct/>
              <w:topLinePunct w:val="0"/>
              <w:bidi w:val="0"/>
              <w:adjustRightInd w:val="0"/>
              <w:snapToGrid w:val="0"/>
              <w:spacing w:line="560" w:lineRule="exact"/>
              <w:ind w:left="0" w:leftChars="0" w:right="0" w:firstLine="0"/>
              <w:jc w:val="center"/>
              <w:textAlignment w:val="auto"/>
              <w:outlineLvl w:val="1"/>
              <w:rPr>
                <w:rFonts w:hint="eastAsia" w:ascii="仿宋" w:hAnsi="仿宋" w:eastAsia="仿宋" w:cs="仿宋"/>
                <w:color w:val="000000"/>
                <w:sz w:val="32"/>
                <w:szCs w:val="32"/>
              </w:rPr>
            </w:pPr>
            <w:r>
              <w:rPr>
                <w:rFonts w:hint="eastAsia" w:cs="仿宋"/>
                <w:color w:val="000000"/>
                <w:sz w:val="32"/>
                <w:szCs w:val="32"/>
                <w:lang w:eastAsia="zh-CN"/>
              </w:rPr>
              <w:t>二</w:t>
            </w:r>
            <w:r>
              <w:rPr>
                <w:rFonts w:hint="eastAsia" w:ascii="仿宋" w:hAnsi="仿宋" w:eastAsia="仿宋" w:cs="仿宋"/>
                <w:color w:val="000000"/>
                <w:sz w:val="32"/>
                <w:szCs w:val="32"/>
              </w:rPr>
              <w:t>级</w:t>
            </w:r>
          </w:p>
        </w:tc>
        <w:tc>
          <w:tcPr>
            <w:tcW w:w="1111" w:type="dxa"/>
            <w:shd w:val="clear" w:color="auto" w:fill="FFFFFF" w:themeFill="background1"/>
            <w:vAlign w:val="center"/>
          </w:tcPr>
          <w:p w14:paraId="7A0BCBAC">
            <w:pPr>
              <w:keepNext w:val="0"/>
              <w:keepLines w:val="0"/>
              <w:pageBreakBefore w:val="0"/>
              <w:widowControl/>
              <w:kinsoku/>
              <w:wordWrap/>
              <w:overflowPunct/>
              <w:topLinePunct w:val="0"/>
              <w:bidi w:val="0"/>
              <w:adjustRightInd w:val="0"/>
              <w:snapToGrid w:val="0"/>
              <w:spacing w:line="560" w:lineRule="exact"/>
              <w:ind w:left="0" w:leftChars="0" w:right="0" w:firstLine="0" w:firstLineChars="0"/>
              <w:jc w:val="center"/>
              <w:textAlignment w:val="auto"/>
              <w:outlineLvl w:val="1"/>
              <w:rPr>
                <w:rFonts w:hint="eastAsia" w:ascii="仿宋" w:hAnsi="仿宋" w:eastAsia="仿宋" w:cs="仿宋"/>
                <w:color w:val="000000"/>
                <w:sz w:val="32"/>
                <w:szCs w:val="32"/>
              </w:rPr>
            </w:pPr>
            <w:r>
              <w:rPr>
                <w:rFonts w:hint="eastAsia" w:cs="仿宋"/>
                <w:color w:val="000000"/>
                <w:sz w:val="32"/>
                <w:szCs w:val="32"/>
                <w:lang w:val="en-US" w:eastAsia="zh-CN"/>
              </w:rPr>
              <w:t>初</w:t>
            </w:r>
            <w:r>
              <w:rPr>
                <w:rFonts w:hint="eastAsia" w:ascii="仿宋" w:hAnsi="仿宋" w:eastAsia="仿宋" w:cs="仿宋"/>
                <w:color w:val="000000"/>
                <w:sz w:val="32"/>
                <w:szCs w:val="32"/>
                <w:lang w:val="en-US" w:eastAsia="zh-CN"/>
              </w:rPr>
              <w:t>评</w:t>
            </w:r>
          </w:p>
        </w:tc>
      </w:tr>
    </w:tbl>
    <w:p w14:paraId="65338228">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、依据标准</w:t>
      </w:r>
    </w:p>
    <w:p w14:paraId="1F642F96">
      <w:pPr>
        <w:keepNext w:val="0"/>
        <w:keepLines w:val="0"/>
        <w:pageBreakBefore w:val="0"/>
        <w:widowControl/>
        <w:kinsoku/>
        <w:wordWrap/>
        <w:overflowPunct/>
        <w:topLinePunct w:val="0"/>
        <w:bidi w:val="0"/>
        <w:adjustRightInd w:val="0"/>
        <w:snapToGrid w:val="0"/>
        <w:spacing w:line="560" w:lineRule="exact"/>
        <w:ind w:left="0" w:leftChars="0" w:right="0" w:firstLine="534" w:firstLineChars="167"/>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投标人应依据国家等级保护相关标准开展工作，依据标准包括但不限于如下国家标准：</w:t>
      </w:r>
    </w:p>
    <w:p w14:paraId="1CA1C128">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22239-2008《信息安全技术信息系统安全等级保护基本要求》</w:t>
      </w:r>
    </w:p>
    <w:p w14:paraId="34128259">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22240-2008《信息安全技术信息系统安全等级保护定级指南》</w:t>
      </w:r>
    </w:p>
    <w:p w14:paraId="4314D350">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25058-2010《信息安全技术信息系统安全等级保护实施指南》</w:t>
      </w:r>
    </w:p>
    <w:p w14:paraId="22A6149F">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bookmarkStart w:id="1" w:name="_Hlt525572411"/>
      <w:bookmarkEnd w:id="1"/>
      <w:r>
        <w:rPr>
          <w:rFonts w:hint="eastAsia" w:ascii="仿宋" w:hAnsi="仿宋" w:eastAsia="仿宋" w:cs="仿宋"/>
          <w:color w:val="000000"/>
          <w:sz w:val="32"/>
          <w:szCs w:val="32"/>
        </w:rPr>
        <w:t>GB/T 28448-2012《信息安全技术信息系统安全等级保护测评要求》</w:t>
      </w:r>
    </w:p>
    <w:p w14:paraId="04A5B2D4">
      <w:pPr>
        <w:pStyle w:val="8"/>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0" w:leftChars="0" w:right="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28449-2012《信息安全技术信息系统安全等级保护测评过程指南》</w:t>
      </w:r>
    </w:p>
    <w:p w14:paraId="78BBBC6D">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、服务内容</w:t>
      </w:r>
    </w:p>
    <w:p w14:paraId="645BB03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信息系统安全等级保护定级指南》，从业务信息安全性和系统服务保障安全要求两个方面分析信息系统的业务和服务安全保护级别，确定信息系统的安全等级。通过对被测系统的详细了解，至少应包含信息系统调查、定级对象分析、定级要素分析等，确保信息系统定级备案的合理性，最后完成定级报告编写工作并协助完成报备工作；</w:t>
      </w:r>
    </w:p>
    <w:p w14:paraId="08750BA8">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基于《信息系统安全等级保护基本要求》（GB/T22239-2008）的等级保护测评服务（包括物理安全、网络安全、主机系统安全、应用安全和数据安全、安全管理机构、安全管理制度、人员安全管理、系统建设管理和系统运维管理等十个方面的安全测评），并提交符合（等级保护主管单位）要求的系统安全保护等级测评报告。</w:t>
      </w:r>
    </w:p>
    <w:p w14:paraId="06F26435">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五</w:t>
      </w:r>
      <w:r>
        <w:rPr>
          <w:rFonts w:hint="eastAsia" w:ascii="黑体" w:hAnsi="黑体" w:eastAsia="黑体" w:cs="黑体"/>
          <w:b w:val="0"/>
          <w:bCs/>
          <w:color w:val="000000" w:themeColor="text1"/>
          <w:sz w:val="32"/>
          <w:szCs w:val="32"/>
          <w14:textFill>
            <w14:solidFill>
              <w14:schemeClr w14:val="tx1"/>
            </w14:solidFill>
          </w14:textFill>
        </w:rPr>
        <w:t>、服务原则</w:t>
      </w:r>
    </w:p>
    <w:p w14:paraId="768572E6">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标准性原则：服务方案的设计与实施应依据国家等级保护的相关标准进行。</w:t>
      </w:r>
    </w:p>
    <w:p w14:paraId="3E043672">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规范性原则：服务工作过程中的文档，具有良好的规范性，便于项目的跟踪和控制。</w:t>
      </w:r>
    </w:p>
    <w:p w14:paraId="70D130D8">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可控性原则：服务工作的进度要严格进度表的安排。</w:t>
      </w:r>
    </w:p>
    <w:p w14:paraId="1678A223">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整体性原则：服务的范围和内容应当整体全面，包括国家等级保护相关要求涉及的各个层面。</w:t>
      </w:r>
    </w:p>
    <w:p w14:paraId="306B03D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cs="仿宋"/>
          <w:sz w:val="32"/>
          <w:szCs w:val="32"/>
          <w:lang w:val="en-US" w:eastAsia="zh-CN"/>
        </w:rPr>
        <w:t>5.</w:t>
      </w:r>
      <w:r>
        <w:rPr>
          <w:rFonts w:hint="eastAsia" w:ascii="仿宋" w:hAnsi="仿宋" w:eastAsia="仿宋" w:cs="仿宋"/>
          <w:sz w:val="32"/>
          <w:szCs w:val="32"/>
        </w:rPr>
        <w:t>最小影响原则：服务工作对系统和网络的影响必须在可控范围内，不能对现有信息系统的的正常运行、业务的正常开展产生任何影响。</w:t>
      </w:r>
    </w:p>
    <w:p w14:paraId="4EF18756">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、保密要求</w:t>
      </w:r>
    </w:p>
    <w:p w14:paraId="49B3DBEF">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对服务的过程数据和结果数据严格保密，未经授权不得泄露给任何单位和个人，不得利用此数据进行任何侵害招标人的行为，否则招标人有权追究投标方的责任；</w:t>
      </w:r>
    </w:p>
    <w:p w14:paraId="67CF543A">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对涉及客户的检查项目、资料、检查过程和结果以及客户的知识产权、所有权等其它信息采取保密措施；</w:t>
      </w:r>
    </w:p>
    <w:p w14:paraId="30313BE4">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在接收客户的检查项目时，应对检查项目加强监管，防止泄密。信息安全等级保护评测之前必须签订保密协议。所有检查项目，不经用户同意，不得向与检查无关人员展示；</w:t>
      </w:r>
    </w:p>
    <w:p w14:paraId="7323F480">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所有检查过程均对外保密，与检查无关人员未经公司批准，不得擅自进入检查现场；</w:t>
      </w:r>
    </w:p>
    <w:p w14:paraId="2269322A">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在未经许可的情况下与检查无关的人员不得接触被检查项目及相关资料，不得参与检查和编制检查报告；</w:t>
      </w:r>
    </w:p>
    <w:p w14:paraId="409BD9ED">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出具的检查报告应为客户保密，未经客户授权，不得将检查报告转交他人，不得擅自公布检查结果；</w:t>
      </w:r>
    </w:p>
    <w:p w14:paraId="5827092D">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当客户要求用电话、图文传真或其它方式传送检查结果时，应有客户正式的书面委托并证实相关通讯方式可靠后方可执行；</w:t>
      </w:r>
    </w:p>
    <w:p w14:paraId="6B8A2A59">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不得向无关人员泄露任何有关客户资料和检查结果，检查结果只能通过相关程序及约定的告知方式通知相应业务单位和个人；</w:t>
      </w:r>
    </w:p>
    <w:p w14:paraId="28F41B66">
      <w:pPr>
        <w:keepNext w:val="0"/>
        <w:keepLines w:val="0"/>
        <w:pageBreakBefore w:val="0"/>
        <w:widowControl/>
        <w:kinsoku/>
        <w:wordWrap/>
        <w:overflowPunct/>
        <w:topLinePunct w:val="0"/>
        <w:bidi w:val="0"/>
        <w:adjustRightInd w:val="0"/>
        <w:snapToGrid w:val="0"/>
        <w:spacing w:line="560" w:lineRule="exact"/>
        <w:ind w:left="0" w:leftChars="0" w:right="0" w:firstLineChars="200"/>
        <w:textAlignment w:val="auto"/>
        <w:rPr>
          <w:rFonts w:hint="eastAsia" w:ascii="仿宋" w:hAnsi="仿宋" w:eastAsia="仿宋" w:cs="仿宋"/>
          <w:sz w:val="32"/>
          <w:szCs w:val="32"/>
        </w:rPr>
      </w:pPr>
      <w:r>
        <w:rPr>
          <w:rFonts w:hint="eastAsia" w:ascii="仿宋" w:hAnsi="仿宋" w:eastAsia="仿宋" w:cs="仿宋"/>
          <w:sz w:val="32"/>
          <w:szCs w:val="32"/>
        </w:rPr>
        <w:t>对接触客户检查项目、资料及其它相关信息的人员应履行为客户保护所有权的义务，不得利用客户的有关知识产权为己牟利。</w:t>
      </w:r>
    </w:p>
    <w:p w14:paraId="0C4C4104">
      <w:pPr>
        <w:keepNext w:val="0"/>
        <w:keepLines w:val="0"/>
        <w:pageBreakBefore w:val="0"/>
        <w:widowControl/>
        <w:kinsoku/>
        <w:wordWrap/>
        <w:overflowPunct/>
        <w:topLinePunct w:val="0"/>
        <w:bidi w:val="0"/>
        <w:adjustRightInd w:val="0"/>
        <w:snapToGrid w:val="0"/>
        <w:spacing w:line="560" w:lineRule="exact"/>
        <w:ind w:left="0" w:leftChars="0" w:right="0" w:firstLine="640" w:firstLineChars="200"/>
        <w:textAlignment w:val="auto"/>
        <w:outlineLvl w:val="1"/>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、其他要求</w:t>
      </w:r>
    </w:p>
    <w:p w14:paraId="15E21897">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符合《中华人民共和国政府采购法》第二十二条规定的谈判供应商资格条件；</w:t>
      </w:r>
    </w:p>
    <w:bookmarkEnd w:id="0"/>
    <w:p w14:paraId="3F84CAE4">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2.</w:t>
      </w:r>
      <w:r>
        <w:rPr>
          <w:rFonts w:hint="eastAsia" w:ascii="仿宋" w:hAnsi="仿宋" w:eastAsia="仿宋" w:cs="仿宋"/>
          <w:color w:val="FF0000"/>
          <w:sz w:val="32"/>
          <w:szCs w:val="32"/>
        </w:rPr>
        <w:t>具备</w:t>
      </w:r>
      <w:r>
        <w:rPr>
          <w:rFonts w:hint="eastAsia" w:cs="仿宋"/>
          <w:color w:val="FF0000"/>
          <w:sz w:val="32"/>
          <w:szCs w:val="32"/>
          <w:lang w:val="en-US" w:eastAsia="zh-CN"/>
        </w:rPr>
        <w:t>公安部第三研究所</w:t>
      </w:r>
      <w:r>
        <w:rPr>
          <w:rFonts w:hint="eastAsia" w:ascii="仿宋" w:hAnsi="仿宋" w:eastAsia="仿宋" w:cs="仿宋"/>
          <w:color w:val="FF0000"/>
          <w:sz w:val="32"/>
          <w:szCs w:val="32"/>
        </w:rPr>
        <w:t>颁发的网络安全等级测评</w:t>
      </w:r>
      <w:r>
        <w:rPr>
          <w:rFonts w:hint="eastAsia" w:cs="仿宋"/>
          <w:color w:val="FF0000"/>
          <w:sz w:val="32"/>
          <w:szCs w:val="32"/>
          <w:lang w:val="en-US" w:eastAsia="zh-CN"/>
        </w:rPr>
        <w:t>与检测评估</w:t>
      </w:r>
      <w:r>
        <w:rPr>
          <w:rFonts w:hint="eastAsia" w:ascii="仿宋" w:hAnsi="仿宋" w:eastAsia="仿宋" w:cs="仿宋"/>
          <w:color w:val="FF0000"/>
          <w:sz w:val="32"/>
          <w:szCs w:val="32"/>
        </w:rPr>
        <w:t>机构</w:t>
      </w:r>
      <w:r>
        <w:rPr>
          <w:rFonts w:hint="eastAsia" w:cs="仿宋"/>
          <w:color w:val="FF0000"/>
          <w:sz w:val="32"/>
          <w:szCs w:val="32"/>
          <w:lang w:val="en-US" w:eastAsia="zh-CN"/>
        </w:rPr>
        <w:t>服务认证</w:t>
      </w:r>
      <w:r>
        <w:rPr>
          <w:rFonts w:hint="eastAsia" w:ascii="仿宋" w:hAnsi="仿宋" w:eastAsia="仿宋" w:cs="仿宋"/>
          <w:color w:val="FF0000"/>
          <w:sz w:val="32"/>
          <w:szCs w:val="32"/>
        </w:rPr>
        <w:t>证书；</w:t>
      </w:r>
    </w:p>
    <w:p w14:paraId="7C19A1C6">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3.具有中国网络安全审查技术与认证中心颁发的信息安全风险评估服务资质认证证书</w:t>
      </w:r>
      <w:r>
        <w:rPr>
          <w:rFonts w:hint="eastAsia" w:ascii="仿宋" w:hAnsi="仿宋" w:eastAsia="仿宋" w:cs="仿宋"/>
          <w:color w:val="FF0000"/>
          <w:sz w:val="32"/>
          <w:szCs w:val="32"/>
        </w:rPr>
        <w:t>；</w:t>
      </w:r>
    </w:p>
    <w:p w14:paraId="781D875C">
      <w:pPr>
        <w:pStyle w:val="8"/>
        <w:keepNext w:val="0"/>
        <w:keepLines w:val="0"/>
        <w:pageBreakBefore w:val="0"/>
        <w:widowControl/>
        <w:numPr>
          <w:ilvl w:val="0"/>
          <w:numId w:val="0"/>
        </w:numPr>
        <w:kinsoku/>
        <w:wordWrap/>
        <w:overflowPunct/>
        <w:topLinePunct w:val="0"/>
        <w:bidi w:val="0"/>
        <w:snapToGrid/>
        <w:spacing w:line="560" w:lineRule="exact"/>
        <w:ind w:leftChars="0" w:right="0" w:rightChars="0" w:firstLine="640" w:firstLineChars="200"/>
        <w:textAlignment w:val="auto"/>
        <w:rPr>
          <w:rFonts w:hint="eastAsia" w:ascii="仿宋" w:hAnsi="仿宋" w:eastAsia="仿宋" w:cs="仿宋"/>
          <w:color w:val="FF0000"/>
          <w:sz w:val="32"/>
          <w:szCs w:val="32"/>
        </w:rPr>
      </w:pPr>
      <w:r>
        <w:rPr>
          <w:rFonts w:hint="eastAsia" w:cs="仿宋"/>
          <w:color w:val="FF0000"/>
          <w:sz w:val="32"/>
          <w:szCs w:val="32"/>
          <w:lang w:val="en-US" w:eastAsia="zh-CN"/>
        </w:rPr>
        <w:t>4.同时具有质量管理体系认证和信息安全管理体系认证证书</w:t>
      </w:r>
      <w:r>
        <w:rPr>
          <w:rFonts w:hint="eastAsia" w:ascii="仿宋" w:hAnsi="仿宋" w:eastAsia="仿宋" w:cs="仿宋"/>
          <w:color w:val="FF0000"/>
          <w:sz w:val="32"/>
          <w:szCs w:val="32"/>
        </w:rPr>
        <w:t>；</w:t>
      </w:r>
    </w:p>
    <w:p w14:paraId="643EDC02">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cs="仿宋"/>
          <w:sz w:val="32"/>
          <w:szCs w:val="32"/>
          <w:lang w:val="en-US" w:eastAsia="zh-CN"/>
        </w:rPr>
        <w:t>5.</w:t>
      </w:r>
      <w:r>
        <w:rPr>
          <w:rFonts w:hint="eastAsia" w:ascii="仿宋" w:hAnsi="仿宋" w:eastAsia="仿宋" w:cs="仿宋"/>
          <w:sz w:val="32"/>
          <w:szCs w:val="32"/>
        </w:rPr>
        <w:t>省外机构需在投标前办理并通过浙江省内备案手续。</w:t>
      </w:r>
    </w:p>
    <w:p w14:paraId="53E3B115">
      <w:pPr>
        <w:pStyle w:val="8"/>
        <w:keepNext w:val="0"/>
        <w:keepLines w:val="0"/>
        <w:pageBreakBefore w:val="0"/>
        <w:widowControl/>
        <w:numPr>
          <w:ilvl w:val="0"/>
          <w:numId w:val="0"/>
        </w:numPr>
        <w:kinsoku/>
        <w:wordWrap/>
        <w:overflowPunct/>
        <w:topLinePunct w:val="0"/>
        <w:bidi w:val="0"/>
        <w:adjustRightInd w:val="0"/>
        <w:snapToGrid w:val="0"/>
        <w:spacing w:line="560" w:lineRule="exact"/>
        <w:ind w:left="0" w:leftChars="0"/>
        <w:textAlignment w:val="auto"/>
        <w:rPr>
          <w:rFonts w:hint="eastAsia" w:ascii="仿宋" w:hAnsi="仿宋" w:eastAsia="仿宋" w:cs="仿宋"/>
          <w:sz w:val="32"/>
          <w:szCs w:val="32"/>
        </w:rPr>
      </w:pPr>
    </w:p>
    <w:p w14:paraId="0CC38E1B">
      <w:pPr>
        <w:pStyle w:val="8"/>
        <w:keepNext w:val="0"/>
        <w:keepLines w:val="0"/>
        <w:pageBreakBefore w:val="0"/>
        <w:widowControl/>
        <w:kinsoku/>
        <w:wordWrap/>
        <w:overflowPunct/>
        <w:topLinePunct w:val="0"/>
        <w:bidi w:val="0"/>
        <w:adjustRightInd w:val="0"/>
        <w:snapToGrid w:val="0"/>
        <w:spacing w:line="560" w:lineRule="exact"/>
        <w:ind w:left="0" w:firstLine="0" w:firstLineChars="0"/>
        <w:textAlignment w:val="auto"/>
        <w:rPr>
          <w:rFonts w:hint="eastAsia" w:ascii="仿宋" w:hAnsi="仿宋" w:eastAsia="仿宋" w:cs="仿宋"/>
          <w:sz w:val="32"/>
          <w:szCs w:val="32"/>
          <w:highlight w:val="yellow"/>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59040E-002D-4CE3-B2E9-547374BA82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F525A0-3A56-4AE9-AE49-D6445260BFCE}"/>
  </w:font>
  <w:font w:name="仿宋">
    <w:panose1 w:val="02010609060101010101"/>
    <w:charset w:val="86"/>
    <w:family w:val="modern"/>
    <w:pitch w:val="default"/>
    <w:sig w:usb0="800002BF" w:usb1="38CF7CFA" w:usb2="00000016" w:usb3="00000000" w:csb0="00040001" w:csb1="00000000"/>
    <w:embedRegular r:id="rId3" w:fontKey="{2618BEEC-3934-4A1A-8582-AC82AD5D3901}"/>
  </w:font>
  <w:font w:name="方正小标宋简体">
    <w:panose1 w:val="02000000000000000000"/>
    <w:charset w:val="86"/>
    <w:family w:val="script"/>
    <w:pitch w:val="default"/>
    <w:sig w:usb0="00000001" w:usb1="08000000" w:usb2="00000000" w:usb3="00000000" w:csb0="00040000" w:csb1="00000000"/>
    <w:embedRegular r:id="rId4" w:fontKey="{FA9350D6-3D62-4074-B58B-185D8373DA47}"/>
  </w:font>
  <w:font w:name="方正楷体简体">
    <w:altName w:val="楷体_GB2312"/>
    <w:panose1 w:val="03000509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D195">
    <w:pPr>
      <w:pStyle w:val="4"/>
      <w:tabs>
        <w:tab w:val="clear" w:pos="4153"/>
      </w:tabs>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9B12">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C79B12">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3"/>
      <w:lvlText w:val="%1"/>
      <w:lvlJc w:val="left"/>
      <w:pPr>
        <w:ind w:left="432" w:hanging="432"/>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576" w:hanging="576"/>
      </w:pPr>
      <w:rPr>
        <w:rFonts w:ascii="Times New Roman" w:hAnsi="Times New Roman" w:cs="Times New Roman"/>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16CF28E3"/>
    <w:multiLevelType w:val="multilevel"/>
    <w:tmpl w:val="16CF28E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YWE4MmE5OTNhOWYzZmNmMzNhZGVmNGY5NWJlMjkifQ=="/>
  </w:docVars>
  <w:rsids>
    <w:rsidRoot w:val="124608C6"/>
    <w:rsid w:val="000F2016"/>
    <w:rsid w:val="001066D7"/>
    <w:rsid w:val="0015404A"/>
    <w:rsid w:val="001C3F6B"/>
    <w:rsid w:val="002457B9"/>
    <w:rsid w:val="00292AB5"/>
    <w:rsid w:val="003A4BF4"/>
    <w:rsid w:val="004040D5"/>
    <w:rsid w:val="004A4030"/>
    <w:rsid w:val="007A3789"/>
    <w:rsid w:val="008069A0"/>
    <w:rsid w:val="0089351E"/>
    <w:rsid w:val="008F6E5D"/>
    <w:rsid w:val="00952F9B"/>
    <w:rsid w:val="009707D0"/>
    <w:rsid w:val="00A74DE4"/>
    <w:rsid w:val="00B61B59"/>
    <w:rsid w:val="00B7303D"/>
    <w:rsid w:val="00D07805"/>
    <w:rsid w:val="00D47BD0"/>
    <w:rsid w:val="00DA7424"/>
    <w:rsid w:val="00DE6090"/>
    <w:rsid w:val="00DF02E6"/>
    <w:rsid w:val="03887BE8"/>
    <w:rsid w:val="046C3EF7"/>
    <w:rsid w:val="08964B56"/>
    <w:rsid w:val="08CD6FEE"/>
    <w:rsid w:val="09527571"/>
    <w:rsid w:val="09D33F35"/>
    <w:rsid w:val="0A7106B0"/>
    <w:rsid w:val="0A9E47A1"/>
    <w:rsid w:val="0AF5564E"/>
    <w:rsid w:val="0C425936"/>
    <w:rsid w:val="0F9E0235"/>
    <w:rsid w:val="11061C28"/>
    <w:rsid w:val="11457119"/>
    <w:rsid w:val="124608C6"/>
    <w:rsid w:val="133111A7"/>
    <w:rsid w:val="186EE76A"/>
    <w:rsid w:val="1B115C3B"/>
    <w:rsid w:val="1EB12291"/>
    <w:rsid w:val="24465D31"/>
    <w:rsid w:val="26163F80"/>
    <w:rsid w:val="26C77BBC"/>
    <w:rsid w:val="26F557FC"/>
    <w:rsid w:val="273C54C8"/>
    <w:rsid w:val="2B2F0197"/>
    <w:rsid w:val="2BFC683E"/>
    <w:rsid w:val="2D4E4A4B"/>
    <w:rsid w:val="325F5E9E"/>
    <w:rsid w:val="32BD6D81"/>
    <w:rsid w:val="35FD77AD"/>
    <w:rsid w:val="3EA862F6"/>
    <w:rsid w:val="40917487"/>
    <w:rsid w:val="47BFF8E6"/>
    <w:rsid w:val="4ACE7EF3"/>
    <w:rsid w:val="4B5A4F93"/>
    <w:rsid w:val="51713456"/>
    <w:rsid w:val="54342BFC"/>
    <w:rsid w:val="58B91BEF"/>
    <w:rsid w:val="58BF445B"/>
    <w:rsid w:val="5B561AFB"/>
    <w:rsid w:val="5DB58B2C"/>
    <w:rsid w:val="5DE14823"/>
    <w:rsid w:val="612E684E"/>
    <w:rsid w:val="636B4B0E"/>
    <w:rsid w:val="65684A5C"/>
    <w:rsid w:val="65721D65"/>
    <w:rsid w:val="65BC6B1F"/>
    <w:rsid w:val="674B3FDA"/>
    <w:rsid w:val="6D535020"/>
    <w:rsid w:val="6E1C57DD"/>
    <w:rsid w:val="706A48DC"/>
    <w:rsid w:val="70B86E1B"/>
    <w:rsid w:val="76F47724"/>
    <w:rsid w:val="77FD3DB7"/>
    <w:rsid w:val="79F5C5F4"/>
    <w:rsid w:val="7AB403D8"/>
    <w:rsid w:val="7D843C0B"/>
    <w:rsid w:val="7E561825"/>
    <w:rsid w:val="7F76511C"/>
    <w:rsid w:val="AF7F9236"/>
    <w:rsid w:val="D76361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80"/>
      <w:jc w:val="both"/>
    </w:pPr>
    <w:rPr>
      <w:rFonts w:ascii="仿宋" w:hAnsi="仿宋" w:eastAsia="仿宋" w:cstheme="minorBidi"/>
      <w:sz w:val="24"/>
      <w:szCs w:val="22"/>
      <w:lang w:val="en-US" w:eastAsia="zh-CN" w:bidi="ar-SA"/>
    </w:rPr>
  </w:style>
  <w:style w:type="paragraph" w:styleId="3">
    <w:name w:val="heading 1"/>
    <w:basedOn w:val="1"/>
    <w:next w:val="1"/>
    <w:qFormat/>
    <w:uiPriority w:val="0"/>
    <w:pPr>
      <w:keepNext/>
      <w:keepLines/>
      <w:numPr>
        <w:ilvl w:val="0"/>
        <w:numId w:val="1"/>
      </w:numPr>
      <w:spacing w:before="340" w:afterLines="50" w:line="720" w:lineRule="auto"/>
      <w:outlineLvl w:val="0"/>
    </w:pPr>
    <w:rPr>
      <w:rFonts w:ascii="黑体" w:hAnsi="黑体" w:eastAsia="黑体" w:cstheme="majorBidi"/>
      <w:color w:val="000000" w:themeColor="text1"/>
      <w:sz w:val="36"/>
      <w:szCs w:val="36"/>
      <w14:textFill>
        <w14:solidFill>
          <w14:schemeClr w14:val="tx1"/>
        </w14:solidFill>
      </w14:textFil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qFormat/>
    <w:uiPriority w:val="39"/>
    <w:pPr>
      <w:ind w:left="420" w:leftChars="200"/>
    </w:pPr>
  </w:style>
  <w:style w:type="paragraph" w:styleId="4">
    <w:name w:val="footer"/>
    <w:basedOn w:val="1"/>
    <w:link w:val="10"/>
    <w:qFormat/>
    <w:uiPriority w:val="0"/>
    <w:pPr>
      <w:tabs>
        <w:tab w:val="center" w:pos="4153"/>
        <w:tab w:val="right" w:pos="8306"/>
      </w:tabs>
      <w:snapToGrid w:val="0"/>
      <w:spacing w:line="240" w:lineRule="auto"/>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仿宋" w:hAnsi="仿宋" w:eastAsia="仿宋" w:cstheme="minorBidi"/>
      <w:sz w:val="18"/>
      <w:szCs w:val="18"/>
    </w:rPr>
  </w:style>
  <w:style w:type="character" w:customStyle="1" w:styleId="10">
    <w:name w:val="页脚 Char"/>
    <w:basedOn w:val="7"/>
    <w:link w:val="4"/>
    <w:qFormat/>
    <w:uiPriority w:val="0"/>
    <w:rPr>
      <w:rFonts w:ascii="仿宋" w:hAnsi="仿宋" w:eastAsia="仿宋"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D:\home\user\C:\home\user\G:\home\user\C:\Users\aoya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1755</Words>
  <Characters>1859</Characters>
  <Lines>1</Lines>
  <Paragraphs>3</Paragraphs>
  <TotalTime>1</TotalTime>
  <ScaleCrop>false</ScaleCrop>
  <LinksUpToDate>false</LinksUpToDate>
  <CharactersWithSpaces>1870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2018-06-16T23:55:00Z</dcterms:created>
  <dc:creator>我有一个柔软的肚皮</dc:creator>
  <cp:lastModifiedBy>新款阿亮哥</cp:lastModifiedBy>
  <dcterms:modified xsi:type="dcterms:W3CDTF">2025-05-21T02:54:35Z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249D65C8F1DF41E9AD679A9C0D1BA05C</vt:lpwstr>
  </property>
  <property fmtid="{D5CDD505-2E9C-101B-9397-08002B2CF9AE}" pid="4" name="KSOTemplateDocerSaveRecord">
    <vt:lpwstr>eyJoZGlkIjoiNTI2NjEyYjUwOTg4ZmM5ZDAyYTI2MjUyOThkMGEzOWIiLCJ1c2VySWQiOiI1MDc2NDIzNzMifQ==</vt:lpwstr>
  </property>
</Properties>
</file>